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A385D" w14:textId="0CC500B6" w:rsidR="00807C36" w:rsidRPr="00B64EAD" w:rsidRDefault="00963F40" w:rsidP="00963F40">
      <w:pPr>
        <w:pStyle w:val="ProductList-Body"/>
        <w:tabs>
          <w:tab w:val="clear" w:pos="360"/>
          <w:tab w:val="clear" w:pos="720"/>
          <w:tab w:val="clear" w:pos="1080"/>
        </w:tabs>
        <w:ind w:left="360"/>
        <w:rPr>
          <w:rFonts w:asciiTheme="majorHAnsi" w:hAnsiTheme="majorHAnsi"/>
          <w:color w:val="FFFFFF" w:themeColor="background1"/>
          <w:sz w:val="6"/>
          <w:szCs w:val="6"/>
        </w:rPr>
      </w:pPr>
      <w:permStart w:id="479878190" w:edGrp="everyone"/>
      <w:r w:rsidRPr="00963F40">
        <w:rPr>
          <w:noProof/>
          <w:lang w:val="en-US" w:eastAsia="zh-CN" w:bidi="ar-SA"/>
        </w:rPr>
        <w:drawing>
          <wp:anchor distT="0" distB="0" distL="114300" distR="114300" simplePos="0" relativeHeight="251658240" behindDoc="1" locked="0" layoutInCell="1" allowOverlap="1" wp14:anchorId="2900D2B1" wp14:editId="4A765267">
            <wp:simplePos x="0" y="0"/>
            <wp:positionH relativeFrom="margin">
              <wp:posOffset>-69011</wp:posOffset>
            </wp:positionH>
            <wp:positionV relativeFrom="paragraph">
              <wp:posOffset>-51758</wp:posOffset>
            </wp:positionV>
            <wp:extent cx="7220309" cy="461032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7220309" cy="461032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ermEnd w:id="479878190"/>
    </w:p>
    <w:p w14:paraId="245C5C1C" w14:textId="0DE402C0" w:rsidR="00807C36" w:rsidRPr="00EF7CF9" w:rsidRDefault="00D0461B" w:rsidP="00963F40">
      <w:pPr>
        <w:pStyle w:val="ProductList-Body"/>
        <w:tabs>
          <w:tab w:val="clear" w:pos="360"/>
          <w:tab w:val="clear" w:pos="720"/>
          <w:tab w:val="clear" w:pos="1080"/>
        </w:tabs>
        <w:ind w:left="360" w:right="7686"/>
        <w:jc w:val="both"/>
        <w:rPr>
          <w:rFonts w:asciiTheme="majorHAnsi" w:hAnsiTheme="majorHAnsi"/>
          <w:color w:val="FFFFFF" w:themeColor="background1"/>
          <w:sz w:val="32"/>
          <w:szCs w:val="32"/>
        </w:rPr>
      </w:pPr>
      <w:r w:rsidRPr="00D0461B">
        <w:rPr>
          <w:rFonts w:asciiTheme="majorHAnsi" w:hAnsiTheme="majorHAnsi"/>
          <w:color w:val="FFFFFF" w:themeColor="background1"/>
          <w:sz w:val="32"/>
          <w:szCs w:val="32"/>
        </w:rPr>
        <w:t>zbiorowe licencjonowanie</w:t>
      </w:r>
    </w:p>
    <w:p w14:paraId="545DABF7" w14:textId="62325975" w:rsidR="00807C36" w:rsidRPr="00963F40" w:rsidRDefault="00807C36" w:rsidP="007E769A">
      <w:pPr>
        <w:pStyle w:val="ProductList-Body"/>
        <w:tabs>
          <w:tab w:val="clear" w:pos="360"/>
          <w:tab w:val="clear" w:pos="720"/>
          <w:tab w:val="clear" w:pos="1080"/>
          <w:tab w:val="left" w:pos="2207"/>
        </w:tabs>
        <w:ind w:left="360"/>
        <w:rPr>
          <w:rFonts w:asciiTheme="majorHAnsi" w:hAnsiTheme="majorHAnsi"/>
          <w:color w:val="FFFFFF" w:themeColor="background1"/>
          <w:sz w:val="58"/>
          <w:szCs w:val="72"/>
        </w:rPr>
      </w:pPr>
    </w:p>
    <w:p w14:paraId="289B0424" w14:textId="7662E226" w:rsidR="00807C36" w:rsidRPr="00963F40" w:rsidRDefault="00807C36" w:rsidP="00C038DF">
      <w:pPr>
        <w:pStyle w:val="ProductList-Body"/>
        <w:tabs>
          <w:tab w:val="clear" w:pos="360"/>
          <w:tab w:val="clear" w:pos="720"/>
          <w:tab w:val="clear" w:pos="1080"/>
          <w:tab w:val="left" w:pos="2207"/>
        </w:tabs>
        <w:ind w:left="360"/>
        <w:rPr>
          <w:rFonts w:asciiTheme="majorHAnsi" w:hAnsiTheme="majorHAnsi"/>
          <w:color w:val="FFFFFF" w:themeColor="background1"/>
          <w:sz w:val="58"/>
          <w:szCs w:val="72"/>
        </w:rPr>
      </w:pPr>
    </w:p>
    <w:p w14:paraId="07B98964" w14:textId="77777777" w:rsidR="00963F40" w:rsidRPr="00963F40" w:rsidRDefault="00963F40" w:rsidP="00C84B0F">
      <w:pPr>
        <w:pStyle w:val="ProductList-Body"/>
        <w:tabs>
          <w:tab w:val="clear" w:pos="360"/>
          <w:tab w:val="clear" w:pos="720"/>
          <w:tab w:val="clear" w:pos="1080"/>
        </w:tabs>
        <w:ind w:left="360" w:right="1017"/>
        <w:rPr>
          <w:rFonts w:asciiTheme="majorHAnsi" w:hAnsiTheme="majorHAnsi"/>
          <w:color w:val="FFFFFF" w:themeColor="background1"/>
          <w:sz w:val="58"/>
          <w:szCs w:val="72"/>
        </w:rPr>
      </w:pPr>
    </w:p>
    <w:p w14:paraId="73D8764D" w14:textId="77777777" w:rsidR="00963F40" w:rsidRPr="00963F40" w:rsidRDefault="00963F40" w:rsidP="00C84B0F">
      <w:pPr>
        <w:pStyle w:val="ProductList-Body"/>
        <w:tabs>
          <w:tab w:val="clear" w:pos="360"/>
          <w:tab w:val="clear" w:pos="720"/>
          <w:tab w:val="clear" w:pos="1080"/>
        </w:tabs>
        <w:ind w:left="360" w:right="1017"/>
        <w:rPr>
          <w:rFonts w:asciiTheme="majorHAnsi" w:hAnsiTheme="majorHAnsi"/>
          <w:color w:val="FFFFFF" w:themeColor="background1"/>
          <w:sz w:val="62"/>
          <w:szCs w:val="72"/>
        </w:rPr>
      </w:pPr>
    </w:p>
    <w:p w14:paraId="5DFA91A6" w14:textId="584A4866" w:rsidR="00807C36" w:rsidRPr="00EF7CF9" w:rsidRDefault="00FD4A5C" w:rsidP="00C84B0F">
      <w:pPr>
        <w:pStyle w:val="ProductList-Body"/>
        <w:tabs>
          <w:tab w:val="clear" w:pos="360"/>
          <w:tab w:val="clear" w:pos="720"/>
          <w:tab w:val="clear" w:pos="1080"/>
        </w:tabs>
        <w:ind w:left="360" w:right="1017"/>
        <w:rPr>
          <w:rFonts w:asciiTheme="majorHAnsi" w:hAnsiTheme="majorHAnsi"/>
          <w:color w:val="FFFFFF" w:themeColor="background1"/>
          <w:sz w:val="72"/>
          <w:szCs w:val="72"/>
        </w:rPr>
      </w:pPr>
      <w:r>
        <w:rPr>
          <w:rFonts w:asciiTheme="majorHAnsi" w:hAnsiTheme="majorHAnsi"/>
          <w:color w:val="FFFFFF" w:themeColor="background1"/>
          <w:sz w:val="72"/>
          <w:szCs w:val="72"/>
        </w:rPr>
        <w:t>Umowa dotycząca Poziomu Usług Online Microsoft</w:t>
      </w:r>
    </w:p>
    <w:p w14:paraId="791F7AAF" w14:textId="1CC8F28F" w:rsidR="002A586E" w:rsidRPr="00EF7CF9" w:rsidRDefault="008822E1" w:rsidP="00C84B0F">
      <w:pPr>
        <w:pStyle w:val="ProductList-Body"/>
        <w:tabs>
          <w:tab w:val="clear" w:pos="360"/>
          <w:tab w:val="clear" w:pos="720"/>
          <w:tab w:val="clear" w:pos="1080"/>
        </w:tabs>
        <w:ind w:left="360" w:right="1017"/>
        <w:jc w:val="both"/>
        <w:rPr>
          <w:rFonts w:asciiTheme="majorHAnsi" w:hAnsiTheme="majorHAnsi"/>
          <w:color w:val="FFFFFF" w:themeColor="background1"/>
          <w:sz w:val="72"/>
          <w:szCs w:val="72"/>
        </w:rPr>
      </w:pPr>
      <w:r>
        <w:rPr>
          <w:rFonts w:ascii="Calibri Light" w:hAnsi="Calibri Light" w:cs="Calibri Light"/>
          <w:color w:val="FFFFFF" w:themeColor="background1"/>
          <w:sz w:val="72"/>
          <w:szCs w:val="72"/>
        </w:rPr>
        <w:t>1</w:t>
      </w:r>
      <w:r w:rsidR="00B868AD" w:rsidRPr="00B868AD">
        <w:rPr>
          <w:rFonts w:ascii="Calibri Light" w:hAnsi="Calibri Light" w:cs="Calibri Light"/>
          <w:color w:val="FFFFFF" w:themeColor="background1"/>
          <w:sz w:val="72"/>
          <w:szCs w:val="72"/>
        </w:rPr>
        <w:t xml:space="preserve"> </w:t>
      </w:r>
      <w:r w:rsidR="00B868AD">
        <w:rPr>
          <w:rFonts w:ascii="Calibri Light" w:hAnsi="Calibri Light" w:cs="Calibri Light"/>
          <w:color w:val="FFFFFF" w:themeColor="background1"/>
          <w:sz w:val="72"/>
          <w:szCs w:val="72"/>
        </w:rPr>
        <w:t>września</w:t>
      </w:r>
      <w:r w:rsidR="00B868AD" w:rsidRPr="00575A0D">
        <w:rPr>
          <w:rFonts w:ascii="Calibri Light" w:hAnsi="Calibri Light" w:cs="Calibri Light"/>
          <w:color w:val="FFFFFF" w:themeColor="background1"/>
          <w:sz w:val="72"/>
          <w:szCs w:val="72"/>
        </w:rPr>
        <w:t xml:space="preserve"> </w:t>
      </w:r>
      <w:r w:rsidR="008E3CE2" w:rsidRPr="00575A0D">
        <w:rPr>
          <w:rFonts w:ascii="Calibri Light" w:hAnsi="Calibri Light" w:cs="Calibri Light"/>
          <w:color w:val="FFFFFF" w:themeColor="background1"/>
          <w:sz w:val="72"/>
          <w:szCs w:val="72"/>
        </w:rPr>
        <w:t>202</w:t>
      </w:r>
      <w:r w:rsidR="008B556C">
        <w:rPr>
          <w:rFonts w:ascii="Calibri Light" w:hAnsi="Calibri Light" w:cs="Calibri Light"/>
          <w:color w:val="FFFFFF" w:themeColor="background1"/>
          <w:sz w:val="72"/>
          <w:szCs w:val="72"/>
        </w:rPr>
        <w:t>6</w:t>
      </w:r>
      <w:r w:rsidR="008E3CE2">
        <w:rPr>
          <w:rFonts w:ascii="Calibri" w:hAnsi="Calibri" w:cs="Calibri"/>
          <w:color w:val="FFFFFF" w:themeColor="background1"/>
          <w:sz w:val="72"/>
          <w:szCs w:val="72"/>
        </w:rPr>
        <w:t xml:space="preserve"> </w:t>
      </w:r>
      <w:r w:rsidR="00126DC2">
        <w:rPr>
          <w:rFonts w:asciiTheme="majorHAnsi" w:hAnsiTheme="majorHAnsi"/>
          <w:color w:val="FFFFFF" w:themeColor="background1"/>
          <w:sz w:val="72"/>
          <w:szCs w:val="72"/>
        </w:rPr>
        <w:t>r.</w:t>
      </w:r>
    </w:p>
    <w:p w14:paraId="07F7DEEF" w14:textId="3FEB413B" w:rsidR="00807C36" w:rsidRPr="00EF7CF9" w:rsidRDefault="00807C36" w:rsidP="00C84B0F">
      <w:pPr>
        <w:pStyle w:val="ProductList-Body"/>
        <w:tabs>
          <w:tab w:val="clear" w:pos="360"/>
          <w:tab w:val="clear" w:pos="720"/>
          <w:tab w:val="clear" w:pos="1080"/>
        </w:tabs>
        <w:ind w:left="360" w:right="1017"/>
        <w:rPr>
          <w:rFonts w:asciiTheme="majorHAnsi" w:hAnsiTheme="majorHAnsi"/>
          <w:color w:val="FFFFFF" w:themeColor="background1"/>
          <w:sz w:val="48"/>
          <w:szCs w:val="48"/>
        </w:rPr>
      </w:pPr>
    </w:p>
    <w:p w14:paraId="4B30383C" w14:textId="40761308" w:rsidR="00807C36" w:rsidRPr="00EF7CF9" w:rsidRDefault="00807C36" w:rsidP="002024BF">
      <w:pPr>
        <w:pStyle w:val="ProductList-Body"/>
        <w:tabs>
          <w:tab w:val="clear" w:pos="360"/>
          <w:tab w:val="clear" w:pos="720"/>
          <w:tab w:val="clear" w:pos="1080"/>
        </w:tabs>
      </w:pPr>
    </w:p>
    <w:p w14:paraId="60B096E1" w14:textId="77777777" w:rsidR="004D0EF2" w:rsidRPr="004D0EF2" w:rsidRDefault="004D0EF2" w:rsidP="00544654">
      <w:pPr>
        <w:tabs>
          <w:tab w:val="left" w:pos="3840"/>
        </w:tabs>
        <w:rPr>
          <w:sz w:val="18"/>
          <w:szCs w:val="18"/>
        </w:rPr>
        <w:sectPr w:rsidR="004D0EF2" w:rsidRPr="004D0EF2" w:rsidSect="00553DA3">
          <w:headerReference w:type="default" r:id="rId12"/>
          <w:footerReference w:type="first" r:id="rId13"/>
          <w:type w:val="continuous"/>
          <w:pgSz w:w="12240" w:h="15840"/>
          <w:pgMar w:top="1440" w:right="720" w:bottom="1440" w:left="720" w:header="720" w:footer="720" w:gutter="0"/>
          <w:cols w:space="720"/>
          <w:titlePg/>
          <w:docGrid w:linePitch="360"/>
        </w:sectPr>
      </w:pPr>
    </w:p>
    <w:p w14:paraId="517A1A8C" w14:textId="77777777" w:rsidR="00E03E25" w:rsidRPr="00EF7CF9" w:rsidRDefault="00E03E25" w:rsidP="005C601C">
      <w:pPr>
        <w:pStyle w:val="ProductList-SectionHeading"/>
        <w:tabs>
          <w:tab w:val="clear" w:pos="360"/>
          <w:tab w:val="clear" w:pos="720"/>
          <w:tab w:val="clear" w:pos="1080"/>
        </w:tabs>
        <w:spacing w:after="60"/>
        <w:outlineLvl w:val="0"/>
        <w:sectPr w:rsidR="00E03E25" w:rsidRPr="00EF7CF9" w:rsidSect="00553DA3">
          <w:headerReference w:type="first" r:id="rId14"/>
          <w:footerReference w:type="first" r:id="rId15"/>
          <w:pgSz w:w="12240" w:h="15840"/>
          <w:pgMar w:top="1440" w:right="720" w:bottom="1440" w:left="720" w:header="720" w:footer="720" w:gutter="0"/>
          <w:cols w:space="720"/>
          <w:titlePg/>
          <w:docGrid w:linePitch="360"/>
        </w:sectPr>
      </w:pPr>
      <w:bookmarkStart w:id="0" w:name="TOC"/>
      <w:bookmarkStart w:id="1" w:name="_Toc457821499"/>
      <w:bookmarkStart w:id="2" w:name="_Toc464226260"/>
      <w:bookmarkStart w:id="3" w:name="_Toc465333681"/>
      <w:bookmarkStart w:id="4" w:name="_Toc239174914"/>
      <w:r>
        <w:lastRenderedPageBreak/>
        <w:t>Spis treści</w:t>
      </w:r>
      <w:bookmarkEnd w:id="0"/>
      <w:bookmarkEnd w:id="1"/>
      <w:bookmarkEnd w:id="2"/>
      <w:bookmarkEnd w:id="3"/>
      <w:bookmarkEnd w:id="4"/>
    </w:p>
    <w:p w14:paraId="23CCFD8D" w14:textId="57B9EBDF" w:rsidR="00A93882" w:rsidRDefault="00AD5C31">
      <w:pPr>
        <w:pStyle w:val="TOC1"/>
        <w:rPr>
          <w:rFonts w:eastAsiaTheme="minorEastAsia"/>
          <w:b w:val="0"/>
          <w:caps w:val="0"/>
          <w:noProof/>
          <w:kern w:val="2"/>
          <w:sz w:val="24"/>
          <w:szCs w:val="24"/>
          <w:lang w:val="en-US" w:eastAsia="zh-CN" w:bidi="he-IL"/>
          <w14:ligatures w14:val="standardContextual"/>
        </w:rPr>
      </w:pPr>
      <w:r>
        <w:fldChar w:fldCharType="begin"/>
      </w:r>
      <w:r w:rsidRPr="00544654">
        <w:instrText xml:space="preserve"> TOC \h \z \t "Product List - Section Heading,1,Product List - Offering Group Heading,2,Product List - Offering 1,5,Product List - Offering 1 Heading,3,Product List - Offering 2 Heading,4,Product List - Offering 2,6,Product List - SubSubSection Heading,5" </w:instrText>
      </w:r>
      <w:r>
        <w:fldChar w:fldCharType="separate"/>
      </w:r>
      <w:hyperlink w:anchor="_Toc239174914" w:history="1">
        <w:r w:rsidR="00A93882" w:rsidRPr="000556C1">
          <w:rPr>
            <w:rStyle w:val="Hyperlink"/>
            <w:noProof/>
          </w:rPr>
          <w:t>Spis treści</w:t>
        </w:r>
        <w:r w:rsidR="00A93882">
          <w:rPr>
            <w:noProof/>
            <w:webHidden/>
          </w:rPr>
          <w:tab/>
        </w:r>
        <w:r w:rsidR="00A93882">
          <w:rPr>
            <w:noProof/>
            <w:webHidden/>
          </w:rPr>
          <w:fldChar w:fldCharType="begin"/>
        </w:r>
        <w:r w:rsidR="00A93882">
          <w:rPr>
            <w:noProof/>
            <w:webHidden/>
          </w:rPr>
          <w:instrText xml:space="preserve"> PAGEREF _Toc239174914 \h </w:instrText>
        </w:r>
        <w:r w:rsidR="00A93882">
          <w:rPr>
            <w:noProof/>
            <w:webHidden/>
          </w:rPr>
        </w:r>
        <w:r w:rsidR="00A93882">
          <w:rPr>
            <w:noProof/>
            <w:webHidden/>
          </w:rPr>
          <w:fldChar w:fldCharType="separate"/>
        </w:r>
        <w:r w:rsidR="00A93882">
          <w:rPr>
            <w:noProof/>
            <w:webHidden/>
          </w:rPr>
          <w:t>2</w:t>
        </w:r>
        <w:r w:rsidR="00A93882">
          <w:rPr>
            <w:noProof/>
            <w:webHidden/>
          </w:rPr>
          <w:fldChar w:fldCharType="end"/>
        </w:r>
      </w:hyperlink>
    </w:p>
    <w:p w14:paraId="0A27CF63" w14:textId="5324E181" w:rsidR="00A93882" w:rsidRDefault="00A93882">
      <w:pPr>
        <w:pStyle w:val="TOC1"/>
        <w:rPr>
          <w:rFonts w:eastAsiaTheme="minorEastAsia"/>
          <w:b w:val="0"/>
          <w:caps w:val="0"/>
          <w:noProof/>
          <w:kern w:val="2"/>
          <w:sz w:val="24"/>
          <w:szCs w:val="24"/>
          <w:lang w:val="en-US" w:eastAsia="zh-CN" w:bidi="he-IL"/>
          <w14:ligatures w14:val="standardContextual"/>
        </w:rPr>
      </w:pPr>
      <w:hyperlink w:anchor="_Toc239174915" w:history="1">
        <w:r w:rsidRPr="000556C1">
          <w:rPr>
            <w:rStyle w:val="Hyperlink"/>
            <w:noProof/>
          </w:rPr>
          <w:t>Wprowadzenie</w:t>
        </w:r>
        <w:r>
          <w:rPr>
            <w:noProof/>
            <w:webHidden/>
          </w:rPr>
          <w:tab/>
        </w:r>
        <w:r>
          <w:rPr>
            <w:noProof/>
            <w:webHidden/>
          </w:rPr>
          <w:fldChar w:fldCharType="begin"/>
        </w:r>
        <w:r>
          <w:rPr>
            <w:noProof/>
            <w:webHidden/>
          </w:rPr>
          <w:instrText xml:space="preserve"> PAGEREF _Toc239174915 \h </w:instrText>
        </w:r>
        <w:r>
          <w:rPr>
            <w:noProof/>
            <w:webHidden/>
          </w:rPr>
        </w:r>
        <w:r>
          <w:rPr>
            <w:noProof/>
            <w:webHidden/>
          </w:rPr>
          <w:fldChar w:fldCharType="separate"/>
        </w:r>
        <w:r>
          <w:rPr>
            <w:noProof/>
            <w:webHidden/>
          </w:rPr>
          <w:t>4</w:t>
        </w:r>
        <w:r>
          <w:rPr>
            <w:noProof/>
            <w:webHidden/>
          </w:rPr>
          <w:fldChar w:fldCharType="end"/>
        </w:r>
      </w:hyperlink>
    </w:p>
    <w:p w14:paraId="344BAF2E" w14:textId="1C373BA7" w:rsidR="00A93882" w:rsidRDefault="00A93882">
      <w:pPr>
        <w:pStyle w:val="TOC1"/>
        <w:rPr>
          <w:rFonts w:eastAsiaTheme="minorEastAsia"/>
          <w:b w:val="0"/>
          <w:caps w:val="0"/>
          <w:noProof/>
          <w:kern w:val="2"/>
          <w:sz w:val="24"/>
          <w:szCs w:val="24"/>
          <w:lang w:val="en-US" w:eastAsia="zh-CN" w:bidi="he-IL"/>
          <w14:ligatures w14:val="standardContextual"/>
        </w:rPr>
      </w:pPr>
      <w:hyperlink w:anchor="_Toc239174916" w:history="1">
        <w:r w:rsidRPr="000556C1">
          <w:rPr>
            <w:rStyle w:val="Hyperlink"/>
            <w:noProof/>
          </w:rPr>
          <w:t>Postanowienia ogólne</w:t>
        </w:r>
        <w:r>
          <w:rPr>
            <w:noProof/>
            <w:webHidden/>
          </w:rPr>
          <w:tab/>
        </w:r>
        <w:r>
          <w:rPr>
            <w:noProof/>
            <w:webHidden/>
          </w:rPr>
          <w:fldChar w:fldCharType="begin"/>
        </w:r>
        <w:r>
          <w:rPr>
            <w:noProof/>
            <w:webHidden/>
          </w:rPr>
          <w:instrText xml:space="preserve"> PAGEREF _Toc239174916 \h </w:instrText>
        </w:r>
        <w:r>
          <w:rPr>
            <w:noProof/>
            <w:webHidden/>
          </w:rPr>
        </w:r>
        <w:r>
          <w:rPr>
            <w:noProof/>
            <w:webHidden/>
          </w:rPr>
          <w:fldChar w:fldCharType="separate"/>
        </w:r>
        <w:r>
          <w:rPr>
            <w:noProof/>
            <w:webHidden/>
          </w:rPr>
          <w:t>5</w:t>
        </w:r>
        <w:r>
          <w:rPr>
            <w:noProof/>
            <w:webHidden/>
          </w:rPr>
          <w:fldChar w:fldCharType="end"/>
        </w:r>
      </w:hyperlink>
    </w:p>
    <w:p w14:paraId="568C439D" w14:textId="07BEDA8B" w:rsidR="00A93882" w:rsidRDefault="00A93882">
      <w:pPr>
        <w:pStyle w:val="TOC1"/>
        <w:rPr>
          <w:rFonts w:eastAsiaTheme="minorEastAsia"/>
          <w:b w:val="0"/>
          <w:caps w:val="0"/>
          <w:noProof/>
          <w:kern w:val="2"/>
          <w:sz w:val="24"/>
          <w:szCs w:val="24"/>
          <w:lang w:val="en-US" w:eastAsia="zh-CN" w:bidi="he-IL"/>
          <w14:ligatures w14:val="standardContextual"/>
        </w:rPr>
      </w:pPr>
      <w:hyperlink w:anchor="_Toc239174917" w:history="1">
        <w:r w:rsidRPr="000556C1">
          <w:rPr>
            <w:rStyle w:val="Hyperlink"/>
            <w:noProof/>
          </w:rPr>
          <w:t>Szczególne Warunki Usługi</w:t>
        </w:r>
        <w:r>
          <w:rPr>
            <w:noProof/>
            <w:webHidden/>
          </w:rPr>
          <w:tab/>
        </w:r>
        <w:r>
          <w:rPr>
            <w:noProof/>
            <w:webHidden/>
          </w:rPr>
          <w:fldChar w:fldCharType="begin"/>
        </w:r>
        <w:r>
          <w:rPr>
            <w:noProof/>
            <w:webHidden/>
          </w:rPr>
          <w:instrText xml:space="preserve"> PAGEREF _Toc239174917 \h </w:instrText>
        </w:r>
        <w:r>
          <w:rPr>
            <w:noProof/>
            <w:webHidden/>
          </w:rPr>
        </w:r>
        <w:r>
          <w:rPr>
            <w:noProof/>
            <w:webHidden/>
          </w:rPr>
          <w:fldChar w:fldCharType="separate"/>
        </w:r>
        <w:r>
          <w:rPr>
            <w:noProof/>
            <w:webHidden/>
          </w:rPr>
          <w:t>7</w:t>
        </w:r>
        <w:r>
          <w:rPr>
            <w:noProof/>
            <w:webHidden/>
          </w:rPr>
          <w:fldChar w:fldCharType="end"/>
        </w:r>
      </w:hyperlink>
    </w:p>
    <w:p w14:paraId="5E0AB7F3" w14:textId="12E1CF5F" w:rsidR="00A93882" w:rsidRDefault="00A93882">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4918" w:history="1">
        <w:r w:rsidRPr="000556C1">
          <w:rPr>
            <w:rStyle w:val="Hyperlink"/>
            <w:noProof/>
          </w:rPr>
          <w:t>Microsoft Dynamics 365</w:t>
        </w:r>
        <w:r>
          <w:rPr>
            <w:noProof/>
            <w:webHidden/>
          </w:rPr>
          <w:tab/>
        </w:r>
        <w:r>
          <w:rPr>
            <w:noProof/>
            <w:webHidden/>
          </w:rPr>
          <w:fldChar w:fldCharType="begin"/>
        </w:r>
        <w:r>
          <w:rPr>
            <w:noProof/>
            <w:webHidden/>
          </w:rPr>
          <w:instrText xml:space="preserve"> PAGEREF _Toc239174918 \h </w:instrText>
        </w:r>
        <w:r>
          <w:rPr>
            <w:noProof/>
            <w:webHidden/>
          </w:rPr>
        </w:r>
        <w:r>
          <w:rPr>
            <w:noProof/>
            <w:webHidden/>
          </w:rPr>
          <w:fldChar w:fldCharType="separate"/>
        </w:r>
        <w:r>
          <w:rPr>
            <w:noProof/>
            <w:webHidden/>
          </w:rPr>
          <w:t>7</w:t>
        </w:r>
        <w:r>
          <w:rPr>
            <w:noProof/>
            <w:webHidden/>
          </w:rPr>
          <w:fldChar w:fldCharType="end"/>
        </w:r>
      </w:hyperlink>
    </w:p>
    <w:p w14:paraId="5C3FBDEB" w14:textId="70B331A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19" w:history="1">
        <w:r w:rsidRPr="000556C1">
          <w:rPr>
            <w:rStyle w:val="Hyperlink"/>
            <w:noProof/>
          </w:rPr>
          <w:t>Dynamics 365 Business Central</w:t>
        </w:r>
        <w:r>
          <w:rPr>
            <w:noProof/>
            <w:webHidden/>
          </w:rPr>
          <w:tab/>
        </w:r>
        <w:r>
          <w:rPr>
            <w:noProof/>
            <w:webHidden/>
          </w:rPr>
          <w:fldChar w:fldCharType="begin"/>
        </w:r>
        <w:r>
          <w:rPr>
            <w:noProof/>
            <w:webHidden/>
          </w:rPr>
          <w:instrText xml:space="preserve"> PAGEREF _Toc239174919 \h </w:instrText>
        </w:r>
        <w:r>
          <w:rPr>
            <w:noProof/>
            <w:webHidden/>
          </w:rPr>
        </w:r>
        <w:r>
          <w:rPr>
            <w:noProof/>
            <w:webHidden/>
          </w:rPr>
          <w:fldChar w:fldCharType="separate"/>
        </w:r>
        <w:r>
          <w:rPr>
            <w:noProof/>
            <w:webHidden/>
          </w:rPr>
          <w:t>7</w:t>
        </w:r>
        <w:r>
          <w:rPr>
            <w:noProof/>
            <w:webHidden/>
          </w:rPr>
          <w:fldChar w:fldCharType="end"/>
        </w:r>
      </w:hyperlink>
    </w:p>
    <w:p w14:paraId="1465B5A4" w14:textId="4C3AAAFC"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0" w:history="1">
        <w:r w:rsidRPr="000556C1">
          <w:rPr>
            <w:rStyle w:val="Hyperlink"/>
            <w:noProof/>
          </w:rPr>
          <w:t>Dynamics 365 Commerce</w:t>
        </w:r>
        <w:r>
          <w:rPr>
            <w:noProof/>
            <w:webHidden/>
          </w:rPr>
          <w:tab/>
        </w:r>
        <w:r>
          <w:rPr>
            <w:noProof/>
            <w:webHidden/>
          </w:rPr>
          <w:fldChar w:fldCharType="begin"/>
        </w:r>
        <w:r>
          <w:rPr>
            <w:noProof/>
            <w:webHidden/>
          </w:rPr>
          <w:instrText xml:space="preserve"> PAGEREF _Toc239174920 \h </w:instrText>
        </w:r>
        <w:r>
          <w:rPr>
            <w:noProof/>
            <w:webHidden/>
          </w:rPr>
        </w:r>
        <w:r>
          <w:rPr>
            <w:noProof/>
            <w:webHidden/>
          </w:rPr>
          <w:fldChar w:fldCharType="separate"/>
        </w:r>
        <w:r>
          <w:rPr>
            <w:noProof/>
            <w:webHidden/>
          </w:rPr>
          <w:t>7</w:t>
        </w:r>
        <w:r>
          <w:rPr>
            <w:noProof/>
            <w:webHidden/>
          </w:rPr>
          <w:fldChar w:fldCharType="end"/>
        </w:r>
      </w:hyperlink>
    </w:p>
    <w:p w14:paraId="1CF6232E" w14:textId="0110371D"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1" w:history="1">
        <w:r w:rsidRPr="000556C1">
          <w:rPr>
            <w:rStyle w:val="Hyperlink"/>
            <w:noProof/>
          </w:rPr>
          <w:t>Dynamics 365 Contact Center</w:t>
        </w:r>
        <w:r>
          <w:rPr>
            <w:noProof/>
            <w:webHidden/>
          </w:rPr>
          <w:tab/>
        </w:r>
        <w:r>
          <w:rPr>
            <w:noProof/>
            <w:webHidden/>
          </w:rPr>
          <w:fldChar w:fldCharType="begin"/>
        </w:r>
        <w:r>
          <w:rPr>
            <w:noProof/>
            <w:webHidden/>
          </w:rPr>
          <w:instrText xml:space="preserve"> PAGEREF _Toc239174921 \h </w:instrText>
        </w:r>
        <w:r>
          <w:rPr>
            <w:noProof/>
            <w:webHidden/>
          </w:rPr>
        </w:r>
        <w:r>
          <w:rPr>
            <w:noProof/>
            <w:webHidden/>
          </w:rPr>
          <w:fldChar w:fldCharType="separate"/>
        </w:r>
        <w:r>
          <w:rPr>
            <w:noProof/>
            <w:webHidden/>
          </w:rPr>
          <w:t>8</w:t>
        </w:r>
        <w:r>
          <w:rPr>
            <w:noProof/>
            <w:webHidden/>
          </w:rPr>
          <w:fldChar w:fldCharType="end"/>
        </w:r>
      </w:hyperlink>
    </w:p>
    <w:p w14:paraId="29B063F2" w14:textId="4E06D626"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2" w:history="1">
        <w:r w:rsidRPr="000556C1">
          <w:rPr>
            <w:rStyle w:val="Hyperlink"/>
            <w:noProof/>
          </w:rPr>
          <w:t>Dynamics 365 Customer Insights</w:t>
        </w:r>
        <w:r>
          <w:rPr>
            <w:noProof/>
            <w:webHidden/>
          </w:rPr>
          <w:tab/>
        </w:r>
        <w:r>
          <w:rPr>
            <w:noProof/>
            <w:webHidden/>
          </w:rPr>
          <w:fldChar w:fldCharType="begin"/>
        </w:r>
        <w:r>
          <w:rPr>
            <w:noProof/>
            <w:webHidden/>
          </w:rPr>
          <w:instrText xml:space="preserve"> PAGEREF _Toc239174922 \h </w:instrText>
        </w:r>
        <w:r>
          <w:rPr>
            <w:noProof/>
            <w:webHidden/>
          </w:rPr>
        </w:r>
        <w:r>
          <w:rPr>
            <w:noProof/>
            <w:webHidden/>
          </w:rPr>
          <w:fldChar w:fldCharType="separate"/>
        </w:r>
        <w:r>
          <w:rPr>
            <w:noProof/>
            <w:webHidden/>
          </w:rPr>
          <w:t>8</w:t>
        </w:r>
        <w:r>
          <w:rPr>
            <w:noProof/>
            <w:webHidden/>
          </w:rPr>
          <w:fldChar w:fldCharType="end"/>
        </w:r>
      </w:hyperlink>
    </w:p>
    <w:p w14:paraId="6EF6F249" w14:textId="2B16AE2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3" w:history="1">
        <w:r w:rsidRPr="000556C1">
          <w:rPr>
            <w:rStyle w:val="Hyperlink"/>
            <w:noProof/>
            <w:lang w:val="en-US"/>
          </w:rPr>
          <w:t>Dynamics 365 Customer Service Enterprise; Dynamics 365 Customer Service Professional; Dynamics 365 Customer Service Insights; Dynamics 365 Field Service; Dynamics 365 Marketing</w:t>
        </w:r>
        <w:r>
          <w:rPr>
            <w:noProof/>
            <w:webHidden/>
          </w:rPr>
          <w:tab/>
        </w:r>
        <w:r>
          <w:rPr>
            <w:noProof/>
            <w:webHidden/>
          </w:rPr>
          <w:fldChar w:fldCharType="begin"/>
        </w:r>
        <w:r>
          <w:rPr>
            <w:noProof/>
            <w:webHidden/>
          </w:rPr>
          <w:instrText xml:space="preserve"> PAGEREF _Toc239174923 \h </w:instrText>
        </w:r>
        <w:r>
          <w:rPr>
            <w:noProof/>
            <w:webHidden/>
          </w:rPr>
        </w:r>
        <w:r>
          <w:rPr>
            <w:noProof/>
            <w:webHidden/>
          </w:rPr>
          <w:fldChar w:fldCharType="separate"/>
        </w:r>
        <w:r>
          <w:rPr>
            <w:noProof/>
            <w:webHidden/>
          </w:rPr>
          <w:t>9</w:t>
        </w:r>
        <w:r>
          <w:rPr>
            <w:noProof/>
            <w:webHidden/>
          </w:rPr>
          <w:fldChar w:fldCharType="end"/>
        </w:r>
      </w:hyperlink>
    </w:p>
    <w:p w14:paraId="12B9BD47" w14:textId="21FD678C"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4" w:history="1">
        <w:r w:rsidRPr="000556C1">
          <w:rPr>
            <w:rStyle w:val="Hyperlink"/>
            <w:noProof/>
          </w:rPr>
          <w:t>Dynamics 365 Guides</w:t>
        </w:r>
        <w:r>
          <w:rPr>
            <w:noProof/>
            <w:webHidden/>
          </w:rPr>
          <w:tab/>
        </w:r>
        <w:r>
          <w:rPr>
            <w:noProof/>
            <w:webHidden/>
          </w:rPr>
          <w:fldChar w:fldCharType="begin"/>
        </w:r>
        <w:r>
          <w:rPr>
            <w:noProof/>
            <w:webHidden/>
          </w:rPr>
          <w:instrText xml:space="preserve"> PAGEREF _Toc239174924 \h </w:instrText>
        </w:r>
        <w:r>
          <w:rPr>
            <w:noProof/>
            <w:webHidden/>
          </w:rPr>
        </w:r>
        <w:r>
          <w:rPr>
            <w:noProof/>
            <w:webHidden/>
          </w:rPr>
          <w:fldChar w:fldCharType="separate"/>
        </w:r>
        <w:r>
          <w:rPr>
            <w:noProof/>
            <w:webHidden/>
          </w:rPr>
          <w:t>9</w:t>
        </w:r>
        <w:r>
          <w:rPr>
            <w:noProof/>
            <w:webHidden/>
          </w:rPr>
          <w:fldChar w:fldCharType="end"/>
        </w:r>
      </w:hyperlink>
    </w:p>
    <w:p w14:paraId="7A9F0FDA" w14:textId="18A8963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5" w:history="1">
        <w:r w:rsidRPr="000556C1">
          <w:rPr>
            <w:rStyle w:val="Hyperlink"/>
            <w:noProof/>
          </w:rPr>
          <w:t>Dynamics 365 Human Resources</w:t>
        </w:r>
        <w:r>
          <w:rPr>
            <w:noProof/>
            <w:webHidden/>
          </w:rPr>
          <w:tab/>
        </w:r>
        <w:r>
          <w:rPr>
            <w:noProof/>
            <w:webHidden/>
          </w:rPr>
          <w:fldChar w:fldCharType="begin"/>
        </w:r>
        <w:r>
          <w:rPr>
            <w:noProof/>
            <w:webHidden/>
          </w:rPr>
          <w:instrText xml:space="preserve"> PAGEREF _Toc239174925 \h </w:instrText>
        </w:r>
        <w:r>
          <w:rPr>
            <w:noProof/>
            <w:webHidden/>
          </w:rPr>
        </w:r>
        <w:r>
          <w:rPr>
            <w:noProof/>
            <w:webHidden/>
          </w:rPr>
          <w:fldChar w:fldCharType="separate"/>
        </w:r>
        <w:r>
          <w:rPr>
            <w:noProof/>
            <w:webHidden/>
          </w:rPr>
          <w:t>9</w:t>
        </w:r>
        <w:r>
          <w:rPr>
            <w:noProof/>
            <w:webHidden/>
          </w:rPr>
          <w:fldChar w:fldCharType="end"/>
        </w:r>
      </w:hyperlink>
    </w:p>
    <w:p w14:paraId="43300DD7" w14:textId="227A3B63"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6" w:history="1">
        <w:r w:rsidRPr="000556C1">
          <w:rPr>
            <w:rStyle w:val="Hyperlink"/>
            <w:noProof/>
          </w:rPr>
          <w:t>Dynamics 365 Intelligent Order Management</w:t>
        </w:r>
        <w:r>
          <w:rPr>
            <w:noProof/>
            <w:webHidden/>
          </w:rPr>
          <w:tab/>
        </w:r>
        <w:r>
          <w:rPr>
            <w:noProof/>
            <w:webHidden/>
          </w:rPr>
          <w:fldChar w:fldCharType="begin"/>
        </w:r>
        <w:r>
          <w:rPr>
            <w:noProof/>
            <w:webHidden/>
          </w:rPr>
          <w:instrText xml:space="preserve"> PAGEREF _Toc239174926 \h </w:instrText>
        </w:r>
        <w:r>
          <w:rPr>
            <w:noProof/>
            <w:webHidden/>
          </w:rPr>
        </w:r>
        <w:r>
          <w:rPr>
            <w:noProof/>
            <w:webHidden/>
          </w:rPr>
          <w:fldChar w:fldCharType="separate"/>
        </w:r>
        <w:r>
          <w:rPr>
            <w:noProof/>
            <w:webHidden/>
          </w:rPr>
          <w:t>10</w:t>
        </w:r>
        <w:r>
          <w:rPr>
            <w:noProof/>
            <w:webHidden/>
          </w:rPr>
          <w:fldChar w:fldCharType="end"/>
        </w:r>
      </w:hyperlink>
    </w:p>
    <w:p w14:paraId="258FBD76" w14:textId="643D1C32"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7" w:history="1">
        <w:r w:rsidRPr="000556C1">
          <w:rPr>
            <w:rStyle w:val="Hyperlink"/>
            <w:noProof/>
          </w:rPr>
          <w:t>Dynamics 365 Remote Assist</w:t>
        </w:r>
        <w:r>
          <w:rPr>
            <w:noProof/>
            <w:webHidden/>
          </w:rPr>
          <w:tab/>
        </w:r>
        <w:r>
          <w:rPr>
            <w:noProof/>
            <w:webHidden/>
          </w:rPr>
          <w:fldChar w:fldCharType="begin"/>
        </w:r>
        <w:r>
          <w:rPr>
            <w:noProof/>
            <w:webHidden/>
          </w:rPr>
          <w:instrText xml:space="preserve"> PAGEREF _Toc239174927 \h </w:instrText>
        </w:r>
        <w:r>
          <w:rPr>
            <w:noProof/>
            <w:webHidden/>
          </w:rPr>
        </w:r>
        <w:r>
          <w:rPr>
            <w:noProof/>
            <w:webHidden/>
          </w:rPr>
          <w:fldChar w:fldCharType="separate"/>
        </w:r>
        <w:r>
          <w:rPr>
            <w:noProof/>
            <w:webHidden/>
          </w:rPr>
          <w:t>10</w:t>
        </w:r>
        <w:r>
          <w:rPr>
            <w:noProof/>
            <w:webHidden/>
          </w:rPr>
          <w:fldChar w:fldCharType="end"/>
        </w:r>
      </w:hyperlink>
    </w:p>
    <w:p w14:paraId="16640EDE" w14:textId="3043FCB4"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8" w:history="1">
        <w:r w:rsidRPr="000556C1">
          <w:rPr>
            <w:rStyle w:val="Hyperlink"/>
            <w:noProof/>
          </w:rPr>
          <w:t>Dynamics 365 Sales Enterprise; Dynamics 365 Sales Professional</w:t>
        </w:r>
        <w:r>
          <w:rPr>
            <w:noProof/>
            <w:webHidden/>
          </w:rPr>
          <w:tab/>
        </w:r>
        <w:r>
          <w:rPr>
            <w:noProof/>
            <w:webHidden/>
          </w:rPr>
          <w:fldChar w:fldCharType="begin"/>
        </w:r>
        <w:r>
          <w:rPr>
            <w:noProof/>
            <w:webHidden/>
          </w:rPr>
          <w:instrText xml:space="preserve"> PAGEREF _Toc239174928 \h </w:instrText>
        </w:r>
        <w:r>
          <w:rPr>
            <w:noProof/>
            <w:webHidden/>
          </w:rPr>
        </w:r>
        <w:r>
          <w:rPr>
            <w:noProof/>
            <w:webHidden/>
          </w:rPr>
          <w:fldChar w:fldCharType="separate"/>
        </w:r>
        <w:r>
          <w:rPr>
            <w:noProof/>
            <w:webHidden/>
          </w:rPr>
          <w:t>10</w:t>
        </w:r>
        <w:r>
          <w:rPr>
            <w:noProof/>
            <w:webHidden/>
          </w:rPr>
          <w:fldChar w:fldCharType="end"/>
        </w:r>
      </w:hyperlink>
    </w:p>
    <w:p w14:paraId="179B1A91" w14:textId="7A6941D4" w:rsidR="00A93882" w:rsidRDefault="00A93882">
      <w:pPr>
        <w:pStyle w:val="TOC4"/>
        <w:rPr>
          <w:rFonts w:eastAsiaTheme="minorEastAsia"/>
          <w:smallCaps w:val="0"/>
          <w:noProof/>
          <w:kern w:val="2"/>
          <w:sz w:val="24"/>
          <w:szCs w:val="24"/>
          <w:lang w:val="en-US" w:eastAsia="zh-CN" w:bidi="he-IL"/>
          <w14:ligatures w14:val="standardContextual"/>
        </w:rPr>
      </w:pPr>
      <w:hyperlink w:anchor="_Toc239174929" w:history="1">
        <w:r w:rsidRPr="000556C1">
          <w:rPr>
            <w:rStyle w:val="Hyperlink"/>
            <w:noProof/>
          </w:rPr>
          <w:t>Dynamics 365 Supply Chain Management; Dynamics 365 Finance; Dynamics 365 Project Operations</w:t>
        </w:r>
        <w:r>
          <w:rPr>
            <w:noProof/>
            <w:webHidden/>
          </w:rPr>
          <w:tab/>
        </w:r>
        <w:r>
          <w:rPr>
            <w:noProof/>
            <w:webHidden/>
          </w:rPr>
          <w:fldChar w:fldCharType="begin"/>
        </w:r>
        <w:r>
          <w:rPr>
            <w:noProof/>
            <w:webHidden/>
          </w:rPr>
          <w:instrText xml:space="preserve"> PAGEREF _Toc239174929 \h </w:instrText>
        </w:r>
        <w:r>
          <w:rPr>
            <w:noProof/>
            <w:webHidden/>
          </w:rPr>
        </w:r>
        <w:r>
          <w:rPr>
            <w:noProof/>
            <w:webHidden/>
          </w:rPr>
          <w:fldChar w:fldCharType="separate"/>
        </w:r>
        <w:r>
          <w:rPr>
            <w:noProof/>
            <w:webHidden/>
          </w:rPr>
          <w:t>11</w:t>
        </w:r>
        <w:r>
          <w:rPr>
            <w:noProof/>
            <w:webHidden/>
          </w:rPr>
          <w:fldChar w:fldCharType="end"/>
        </w:r>
      </w:hyperlink>
    </w:p>
    <w:p w14:paraId="3456DDD4" w14:textId="706B8DC3" w:rsidR="00A93882" w:rsidRDefault="00A93882">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4930" w:history="1">
        <w:r w:rsidRPr="000556C1">
          <w:rPr>
            <w:rStyle w:val="Hyperlink"/>
            <w:noProof/>
          </w:rPr>
          <w:t>Usługi Office 365</w:t>
        </w:r>
        <w:r>
          <w:rPr>
            <w:noProof/>
            <w:webHidden/>
          </w:rPr>
          <w:tab/>
        </w:r>
        <w:r>
          <w:rPr>
            <w:noProof/>
            <w:webHidden/>
          </w:rPr>
          <w:fldChar w:fldCharType="begin"/>
        </w:r>
        <w:r>
          <w:rPr>
            <w:noProof/>
            <w:webHidden/>
          </w:rPr>
          <w:instrText xml:space="preserve"> PAGEREF _Toc239174930 \h </w:instrText>
        </w:r>
        <w:r>
          <w:rPr>
            <w:noProof/>
            <w:webHidden/>
          </w:rPr>
        </w:r>
        <w:r>
          <w:rPr>
            <w:noProof/>
            <w:webHidden/>
          </w:rPr>
          <w:fldChar w:fldCharType="separate"/>
        </w:r>
        <w:r>
          <w:rPr>
            <w:noProof/>
            <w:webHidden/>
          </w:rPr>
          <w:t>11</w:t>
        </w:r>
        <w:r>
          <w:rPr>
            <w:noProof/>
            <w:webHidden/>
          </w:rPr>
          <w:fldChar w:fldCharType="end"/>
        </w:r>
      </w:hyperlink>
    </w:p>
    <w:p w14:paraId="0388EDDA" w14:textId="1801F43D"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1" w:history="1">
        <w:r w:rsidRPr="000556C1">
          <w:rPr>
            <w:rStyle w:val="Hyperlink"/>
            <w:noProof/>
          </w:rPr>
          <w:t>Duet Enterprise Online</w:t>
        </w:r>
        <w:r>
          <w:rPr>
            <w:noProof/>
            <w:webHidden/>
          </w:rPr>
          <w:tab/>
        </w:r>
        <w:r>
          <w:rPr>
            <w:noProof/>
            <w:webHidden/>
          </w:rPr>
          <w:fldChar w:fldCharType="begin"/>
        </w:r>
        <w:r>
          <w:rPr>
            <w:noProof/>
            <w:webHidden/>
          </w:rPr>
          <w:instrText xml:space="preserve"> PAGEREF _Toc239174931 \h </w:instrText>
        </w:r>
        <w:r>
          <w:rPr>
            <w:noProof/>
            <w:webHidden/>
          </w:rPr>
        </w:r>
        <w:r>
          <w:rPr>
            <w:noProof/>
            <w:webHidden/>
          </w:rPr>
          <w:fldChar w:fldCharType="separate"/>
        </w:r>
        <w:r>
          <w:rPr>
            <w:noProof/>
            <w:webHidden/>
          </w:rPr>
          <w:t>11</w:t>
        </w:r>
        <w:r>
          <w:rPr>
            <w:noProof/>
            <w:webHidden/>
          </w:rPr>
          <w:fldChar w:fldCharType="end"/>
        </w:r>
      </w:hyperlink>
    </w:p>
    <w:p w14:paraId="371983E3" w14:textId="069C8E8A"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2" w:history="1">
        <w:r w:rsidRPr="000556C1">
          <w:rPr>
            <w:rStyle w:val="Hyperlink"/>
            <w:noProof/>
          </w:rPr>
          <w:t>Exchange Online</w:t>
        </w:r>
        <w:r>
          <w:rPr>
            <w:noProof/>
            <w:webHidden/>
          </w:rPr>
          <w:tab/>
        </w:r>
        <w:r>
          <w:rPr>
            <w:noProof/>
            <w:webHidden/>
          </w:rPr>
          <w:fldChar w:fldCharType="begin"/>
        </w:r>
        <w:r>
          <w:rPr>
            <w:noProof/>
            <w:webHidden/>
          </w:rPr>
          <w:instrText xml:space="preserve"> PAGEREF _Toc239174932 \h </w:instrText>
        </w:r>
        <w:r>
          <w:rPr>
            <w:noProof/>
            <w:webHidden/>
          </w:rPr>
        </w:r>
        <w:r>
          <w:rPr>
            <w:noProof/>
            <w:webHidden/>
          </w:rPr>
          <w:fldChar w:fldCharType="separate"/>
        </w:r>
        <w:r>
          <w:rPr>
            <w:noProof/>
            <w:webHidden/>
          </w:rPr>
          <w:t>12</w:t>
        </w:r>
        <w:r>
          <w:rPr>
            <w:noProof/>
            <w:webHidden/>
          </w:rPr>
          <w:fldChar w:fldCharType="end"/>
        </w:r>
      </w:hyperlink>
    </w:p>
    <w:p w14:paraId="68E55E13" w14:textId="1FB16CC6"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3" w:history="1">
        <w:r w:rsidRPr="000556C1">
          <w:rPr>
            <w:rStyle w:val="Hyperlink"/>
            <w:noProof/>
          </w:rPr>
          <w:t>Exchange Online Archiving</w:t>
        </w:r>
        <w:r>
          <w:rPr>
            <w:noProof/>
            <w:webHidden/>
          </w:rPr>
          <w:tab/>
        </w:r>
        <w:r>
          <w:rPr>
            <w:noProof/>
            <w:webHidden/>
          </w:rPr>
          <w:fldChar w:fldCharType="begin"/>
        </w:r>
        <w:r>
          <w:rPr>
            <w:noProof/>
            <w:webHidden/>
          </w:rPr>
          <w:instrText xml:space="preserve"> PAGEREF _Toc239174933 \h </w:instrText>
        </w:r>
        <w:r>
          <w:rPr>
            <w:noProof/>
            <w:webHidden/>
          </w:rPr>
        </w:r>
        <w:r>
          <w:rPr>
            <w:noProof/>
            <w:webHidden/>
          </w:rPr>
          <w:fldChar w:fldCharType="separate"/>
        </w:r>
        <w:r>
          <w:rPr>
            <w:noProof/>
            <w:webHidden/>
          </w:rPr>
          <w:t>14</w:t>
        </w:r>
        <w:r>
          <w:rPr>
            <w:noProof/>
            <w:webHidden/>
          </w:rPr>
          <w:fldChar w:fldCharType="end"/>
        </w:r>
      </w:hyperlink>
    </w:p>
    <w:p w14:paraId="4256EB19" w14:textId="372BD06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4" w:history="1">
        <w:r w:rsidRPr="000556C1">
          <w:rPr>
            <w:rStyle w:val="Hyperlink"/>
            <w:noProof/>
          </w:rPr>
          <w:t>Exchange Online Protection</w:t>
        </w:r>
        <w:r>
          <w:rPr>
            <w:noProof/>
            <w:webHidden/>
          </w:rPr>
          <w:tab/>
        </w:r>
        <w:r>
          <w:rPr>
            <w:noProof/>
            <w:webHidden/>
          </w:rPr>
          <w:fldChar w:fldCharType="begin"/>
        </w:r>
        <w:r>
          <w:rPr>
            <w:noProof/>
            <w:webHidden/>
          </w:rPr>
          <w:instrText xml:space="preserve"> PAGEREF _Toc239174934 \h </w:instrText>
        </w:r>
        <w:r>
          <w:rPr>
            <w:noProof/>
            <w:webHidden/>
          </w:rPr>
        </w:r>
        <w:r>
          <w:rPr>
            <w:noProof/>
            <w:webHidden/>
          </w:rPr>
          <w:fldChar w:fldCharType="separate"/>
        </w:r>
        <w:r>
          <w:rPr>
            <w:noProof/>
            <w:webHidden/>
          </w:rPr>
          <w:t>15</w:t>
        </w:r>
        <w:r>
          <w:rPr>
            <w:noProof/>
            <w:webHidden/>
          </w:rPr>
          <w:fldChar w:fldCharType="end"/>
        </w:r>
      </w:hyperlink>
    </w:p>
    <w:p w14:paraId="1B860303" w14:textId="58951E0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5" w:history="1">
        <w:r w:rsidRPr="000556C1">
          <w:rPr>
            <w:rStyle w:val="Hyperlink"/>
            <w:noProof/>
          </w:rPr>
          <w:t>Microsoft MyAnalytics</w:t>
        </w:r>
        <w:r>
          <w:rPr>
            <w:noProof/>
            <w:webHidden/>
          </w:rPr>
          <w:tab/>
        </w:r>
        <w:r>
          <w:rPr>
            <w:noProof/>
            <w:webHidden/>
          </w:rPr>
          <w:fldChar w:fldCharType="begin"/>
        </w:r>
        <w:r>
          <w:rPr>
            <w:noProof/>
            <w:webHidden/>
          </w:rPr>
          <w:instrText xml:space="preserve"> PAGEREF _Toc239174935 \h </w:instrText>
        </w:r>
        <w:r>
          <w:rPr>
            <w:noProof/>
            <w:webHidden/>
          </w:rPr>
        </w:r>
        <w:r>
          <w:rPr>
            <w:noProof/>
            <w:webHidden/>
          </w:rPr>
          <w:fldChar w:fldCharType="separate"/>
        </w:r>
        <w:r>
          <w:rPr>
            <w:noProof/>
            <w:webHidden/>
          </w:rPr>
          <w:t>16</w:t>
        </w:r>
        <w:r>
          <w:rPr>
            <w:noProof/>
            <w:webHidden/>
          </w:rPr>
          <w:fldChar w:fldCharType="end"/>
        </w:r>
      </w:hyperlink>
    </w:p>
    <w:p w14:paraId="7F2E5743" w14:textId="0C7CCD1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6" w:history="1">
        <w:r w:rsidRPr="000556C1">
          <w:rPr>
            <w:rStyle w:val="Hyperlink"/>
            <w:noProof/>
          </w:rPr>
          <w:t>Microsoft Stream (wersja klasyczna)</w:t>
        </w:r>
        <w:r>
          <w:rPr>
            <w:noProof/>
            <w:webHidden/>
          </w:rPr>
          <w:tab/>
        </w:r>
        <w:r>
          <w:rPr>
            <w:noProof/>
            <w:webHidden/>
          </w:rPr>
          <w:fldChar w:fldCharType="begin"/>
        </w:r>
        <w:r>
          <w:rPr>
            <w:noProof/>
            <w:webHidden/>
          </w:rPr>
          <w:instrText xml:space="preserve"> PAGEREF _Toc239174936 \h </w:instrText>
        </w:r>
        <w:r>
          <w:rPr>
            <w:noProof/>
            <w:webHidden/>
          </w:rPr>
        </w:r>
        <w:r>
          <w:rPr>
            <w:noProof/>
            <w:webHidden/>
          </w:rPr>
          <w:fldChar w:fldCharType="separate"/>
        </w:r>
        <w:r>
          <w:rPr>
            <w:noProof/>
            <w:webHidden/>
          </w:rPr>
          <w:t>16</w:t>
        </w:r>
        <w:r>
          <w:rPr>
            <w:noProof/>
            <w:webHidden/>
          </w:rPr>
          <w:fldChar w:fldCharType="end"/>
        </w:r>
      </w:hyperlink>
    </w:p>
    <w:p w14:paraId="2FD6A8FD" w14:textId="41DCC6F9"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7" w:history="1">
        <w:r w:rsidRPr="000556C1">
          <w:rPr>
            <w:rStyle w:val="Hyperlink"/>
            <w:noProof/>
          </w:rPr>
          <w:t>Microsoft Teams</w:t>
        </w:r>
        <w:r>
          <w:rPr>
            <w:noProof/>
            <w:webHidden/>
          </w:rPr>
          <w:tab/>
        </w:r>
        <w:r>
          <w:rPr>
            <w:noProof/>
            <w:webHidden/>
          </w:rPr>
          <w:fldChar w:fldCharType="begin"/>
        </w:r>
        <w:r>
          <w:rPr>
            <w:noProof/>
            <w:webHidden/>
          </w:rPr>
          <w:instrText xml:space="preserve"> PAGEREF _Toc239174937 \h </w:instrText>
        </w:r>
        <w:r>
          <w:rPr>
            <w:noProof/>
            <w:webHidden/>
          </w:rPr>
        </w:r>
        <w:r>
          <w:rPr>
            <w:noProof/>
            <w:webHidden/>
          </w:rPr>
          <w:fldChar w:fldCharType="separate"/>
        </w:r>
        <w:r>
          <w:rPr>
            <w:noProof/>
            <w:webHidden/>
          </w:rPr>
          <w:t>16</w:t>
        </w:r>
        <w:r>
          <w:rPr>
            <w:noProof/>
            <w:webHidden/>
          </w:rPr>
          <w:fldChar w:fldCharType="end"/>
        </w:r>
      </w:hyperlink>
    </w:p>
    <w:p w14:paraId="591DD14B" w14:textId="5A38CE2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8" w:history="1">
        <w:r w:rsidRPr="000556C1">
          <w:rPr>
            <w:rStyle w:val="Hyperlink"/>
            <w:noProof/>
          </w:rPr>
          <w:t>Aplikacje Microsoft 365 dla firm</w:t>
        </w:r>
        <w:r>
          <w:rPr>
            <w:noProof/>
            <w:webHidden/>
          </w:rPr>
          <w:tab/>
        </w:r>
        <w:r>
          <w:rPr>
            <w:noProof/>
            <w:webHidden/>
          </w:rPr>
          <w:fldChar w:fldCharType="begin"/>
        </w:r>
        <w:r>
          <w:rPr>
            <w:noProof/>
            <w:webHidden/>
          </w:rPr>
          <w:instrText xml:space="preserve"> PAGEREF _Toc239174938 \h </w:instrText>
        </w:r>
        <w:r>
          <w:rPr>
            <w:noProof/>
            <w:webHidden/>
          </w:rPr>
        </w:r>
        <w:r>
          <w:rPr>
            <w:noProof/>
            <w:webHidden/>
          </w:rPr>
          <w:fldChar w:fldCharType="separate"/>
        </w:r>
        <w:r>
          <w:rPr>
            <w:noProof/>
            <w:webHidden/>
          </w:rPr>
          <w:t>17</w:t>
        </w:r>
        <w:r>
          <w:rPr>
            <w:noProof/>
            <w:webHidden/>
          </w:rPr>
          <w:fldChar w:fldCharType="end"/>
        </w:r>
      </w:hyperlink>
    </w:p>
    <w:p w14:paraId="67F30CDA" w14:textId="0F078196" w:rsidR="00A93882" w:rsidRDefault="00A93882">
      <w:pPr>
        <w:pStyle w:val="TOC4"/>
        <w:rPr>
          <w:rFonts w:eastAsiaTheme="minorEastAsia"/>
          <w:smallCaps w:val="0"/>
          <w:noProof/>
          <w:kern w:val="2"/>
          <w:sz w:val="24"/>
          <w:szCs w:val="24"/>
          <w:lang w:val="en-US" w:eastAsia="zh-CN" w:bidi="he-IL"/>
          <w14:ligatures w14:val="standardContextual"/>
        </w:rPr>
      </w:pPr>
      <w:hyperlink w:anchor="_Toc239174939" w:history="1">
        <w:r w:rsidRPr="000556C1">
          <w:rPr>
            <w:rStyle w:val="Hyperlink"/>
            <w:noProof/>
          </w:rPr>
          <w:t>Aplikacje Microsoft 365 dla przedsiębiorstw</w:t>
        </w:r>
        <w:r>
          <w:rPr>
            <w:noProof/>
            <w:webHidden/>
          </w:rPr>
          <w:tab/>
        </w:r>
        <w:r>
          <w:rPr>
            <w:noProof/>
            <w:webHidden/>
          </w:rPr>
          <w:fldChar w:fldCharType="begin"/>
        </w:r>
        <w:r>
          <w:rPr>
            <w:noProof/>
            <w:webHidden/>
          </w:rPr>
          <w:instrText xml:space="preserve"> PAGEREF _Toc239174939 \h </w:instrText>
        </w:r>
        <w:r>
          <w:rPr>
            <w:noProof/>
            <w:webHidden/>
          </w:rPr>
        </w:r>
        <w:r>
          <w:rPr>
            <w:noProof/>
            <w:webHidden/>
          </w:rPr>
          <w:fldChar w:fldCharType="separate"/>
        </w:r>
        <w:r>
          <w:rPr>
            <w:noProof/>
            <w:webHidden/>
          </w:rPr>
          <w:t>17</w:t>
        </w:r>
        <w:r>
          <w:rPr>
            <w:noProof/>
            <w:webHidden/>
          </w:rPr>
          <w:fldChar w:fldCharType="end"/>
        </w:r>
      </w:hyperlink>
    </w:p>
    <w:p w14:paraId="7240E288" w14:textId="457DE12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0" w:history="1">
        <w:r w:rsidRPr="000556C1">
          <w:rPr>
            <w:rStyle w:val="Hyperlink"/>
            <w:rFonts w:ascii="Calibri Light" w:hAnsi="Calibri Light" w:cs="Calibri Light"/>
            <w:noProof/>
          </w:rPr>
          <w:t>Microsoft 365 Copilot</w:t>
        </w:r>
        <w:r>
          <w:rPr>
            <w:noProof/>
            <w:webHidden/>
          </w:rPr>
          <w:tab/>
        </w:r>
        <w:r>
          <w:rPr>
            <w:noProof/>
            <w:webHidden/>
          </w:rPr>
          <w:fldChar w:fldCharType="begin"/>
        </w:r>
        <w:r>
          <w:rPr>
            <w:noProof/>
            <w:webHidden/>
          </w:rPr>
          <w:instrText xml:space="preserve"> PAGEREF _Toc239174940 \h </w:instrText>
        </w:r>
        <w:r>
          <w:rPr>
            <w:noProof/>
            <w:webHidden/>
          </w:rPr>
        </w:r>
        <w:r>
          <w:rPr>
            <w:noProof/>
            <w:webHidden/>
          </w:rPr>
          <w:fldChar w:fldCharType="separate"/>
        </w:r>
        <w:r>
          <w:rPr>
            <w:noProof/>
            <w:webHidden/>
          </w:rPr>
          <w:t>17</w:t>
        </w:r>
        <w:r>
          <w:rPr>
            <w:noProof/>
            <w:webHidden/>
          </w:rPr>
          <w:fldChar w:fldCharType="end"/>
        </w:r>
      </w:hyperlink>
    </w:p>
    <w:p w14:paraId="3E3F655B" w14:textId="71760D2B"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1" w:history="1">
        <w:r w:rsidRPr="000556C1">
          <w:rPr>
            <w:rStyle w:val="Hyperlink"/>
            <w:noProof/>
          </w:rPr>
          <w:t>Office 365 Advanced Compliance</w:t>
        </w:r>
        <w:r>
          <w:rPr>
            <w:noProof/>
            <w:webHidden/>
          </w:rPr>
          <w:tab/>
        </w:r>
        <w:r>
          <w:rPr>
            <w:noProof/>
            <w:webHidden/>
          </w:rPr>
          <w:fldChar w:fldCharType="begin"/>
        </w:r>
        <w:r>
          <w:rPr>
            <w:noProof/>
            <w:webHidden/>
          </w:rPr>
          <w:instrText xml:space="preserve"> PAGEREF _Toc239174941 \h </w:instrText>
        </w:r>
        <w:r>
          <w:rPr>
            <w:noProof/>
            <w:webHidden/>
          </w:rPr>
        </w:r>
        <w:r>
          <w:rPr>
            <w:noProof/>
            <w:webHidden/>
          </w:rPr>
          <w:fldChar w:fldCharType="separate"/>
        </w:r>
        <w:r>
          <w:rPr>
            <w:noProof/>
            <w:webHidden/>
          </w:rPr>
          <w:t>18</w:t>
        </w:r>
        <w:r>
          <w:rPr>
            <w:noProof/>
            <w:webHidden/>
          </w:rPr>
          <w:fldChar w:fldCharType="end"/>
        </w:r>
      </w:hyperlink>
    </w:p>
    <w:p w14:paraId="212027E8" w14:textId="4468711B"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2" w:history="1">
        <w:r w:rsidRPr="000556C1">
          <w:rPr>
            <w:rStyle w:val="Hyperlink"/>
            <w:noProof/>
          </w:rPr>
          <w:t>Office Online</w:t>
        </w:r>
        <w:r>
          <w:rPr>
            <w:noProof/>
            <w:webHidden/>
          </w:rPr>
          <w:tab/>
        </w:r>
        <w:r>
          <w:rPr>
            <w:noProof/>
            <w:webHidden/>
          </w:rPr>
          <w:fldChar w:fldCharType="begin"/>
        </w:r>
        <w:r>
          <w:rPr>
            <w:noProof/>
            <w:webHidden/>
          </w:rPr>
          <w:instrText xml:space="preserve"> PAGEREF _Toc239174942 \h </w:instrText>
        </w:r>
        <w:r>
          <w:rPr>
            <w:noProof/>
            <w:webHidden/>
          </w:rPr>
        </w:r>
        <w:r>
          <w:rPr>
            <w:noProof/>
            <w:webHidden/>
          </w:rPr>
          <w:fldChar w:fldCharType="separate"/>
        </w:r>
        <w:r>
          <w:rPr>
            <w:noProof/>
            <w:webHidden/>
          </w:rPr>
          <w:t>18</w:t>
        </w:r>
        <w:r>
          <w:rPr>
            <w:noProof/>
            <w:webHidden/>
          </w:rPr>
          <w:fldChar w:fldCharType="end"/>
        </w:r>
      </w:hyperlink>
    </w:p>
    <w:p w14:paraId="69A7AC92" w14:textId="134175A5"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3" w:history="1">
        <w:r w:rsidRPr="000556C1">
          <w:rPr>
            <w:rStyle w:val="Hyperlink"/>
            <w:noProof/>
          </w:rPr>
          <w:t>Office 365 Video</w:t>
        </w:r>
        <w:r>
          <w:rPr>
            <w:noProof/>
            <w:webHidden/>
          </w:rPr>
          <w:tab/>
        </w:r>
        <w:r>
          <w:rPr>
            <w:noProof/>
            <w:webHidden/>
          </w:rPr>
          <w:fldChar w:fldCharType="begin"/>
        </w:r>
        <w:r>
          <w:rPr>
            <w:noProof/>
            <w:webHidden/>
          </w:rPr>
          <w:instrText xml:space="preserve"> PAGEREF _Toc239174943 \h </w:instrText>
        </w:r>
        <w:r>
          <w:rPr>
            <w:noProof/>
            <w:webHidden/>
          </w:rPr>
        </w:r>
        <w:r>
          <w:rPr>
            <w:noProof/>
            <w:webHidden/>
          </w:rPr>
          <w:fldChar w:fldCharType="separate"/>
        </w:r>
        <w:r>
          <w:rPr>
            <w:noProof/>
            <w:webHidden/>
          </w:rPr>
          <w:t>18</w:t>
        </w:r>
        <w:r>
          <w:rPr>
            <w:noProof/>
            <w:webHidden/>
          </w:rPr>
          <w:fldChar w:fldCharType="end"/>
        </w:r>
      </w:hyperlink>
    </w:p>
    <w:p w14:paraId="60944D34" w14:textId="4116E2A6"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4" w:history="1">
        <w:r w:rsidRPr="000556C1">
          <w:rPr>
            <w:rStyle w:val="Hyperlink"/>
            <w:noProof/>
          </w:rPr>
          <w:t>OneDrive praca lub szkota</w:t>
        </w:r>
        <w:r>
          <w:rPr>
            <w:noProof/>
            <w:webHidden/>
          </w:rPr>
          <w:tab/>
        </w:r>
        <w:r>
          <w:rPr>
            <w:noProof/>
            <w:webHidden/>
          </w:rPr>
          <w:fldChar w:fldCharType="begin"/>
        </w:r>
        <w:r>
          <w:rPr>
            <w:noProof/>
            <w:webHidden/>
          </w:rPr>
          <w:instrText xml:space="preserve"> PAGEREF _Toc239174944 \h </w:instrText>
        </w:r>
        <w:r>
          <w:rPr>
            <w:noProof/>
            <w:webHidden/>
          </w:rPr>
        </w:r>
        <w:r>
          <w:rPr>
            <w:noProof/>
            <w:webHidden/>
          </w:rPr>
          <w:fldChar w:fldCharType="separate"/>
        </w:r>
        <w:r>
          <w:rPr>
            <w:noProof/>
            <w:webHidden/>
          </w:rPr>
          <w:t>19</w:t>
        </w:r>
        <w:r>
          <w:rPr>
            <w:noProof/>
            <w:webHidden/>
          </w:rPr>
          <w:fldChar w:fldCharType="end"/>
        </w:r>
      </w:hyperlink>
    </w:p>
    <w:p w14:paraId="3462C0DF" w14:textId="2F5C9F4E"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5" w:history="1">
        <w:r w:rsidRPr="000556C1">
          <w:rPr>
            <w:rStyle w:val="Hyperlink"/>
            <w:noProof/>
          </w:rPr>
          <w:t>Project</w:t>
        </w:r>
        <w:r>
          <w:rPr>
            <w:noProof/>
            <w:webHidden/>
          </w:rPr>
          <w:tab/>
        </w:r>
        <w:r>
          <w:rPr>
            <w:noProof/>
            <w:webHidden/>
          </w:rPr>
          <w:fldChar w:fldCharType="begin"/>
        </w:r>
        <w:r>
          <w:rPr>
            <w:noProof/>
            <w:webHidden/>
          </w:rPr>
          <w:instrText xml:space="preserve"> PAGEREF _Toc239174945 \h </w:instrText>
        </w:r>
        <w:r>
          <w:rPr>
            <w:noProof/>
            <w:webHidden/>
          </w:rPr>
        </w:r>
        <w:r>
          <w:rPr>
            <w:noProof/>
            <w:webHidden/>
          </w:rPr>
          <w:fldChar w:fldCharType="separate"/>
        </w:r>
        <w:r>
          <w:rPr>
            <w:noProof/>
            <w:webHidden/>
          </w:rPr>
          <w:t>19</w:t>
        </w:r>
        <w:r>
          <w:rPr>
            <w:noProof/>
            <w:webHidden/>
          </w:rPr>
          <w:fldChar w:fldCharType="end"/>
        </w:r>
      </w:hyperlink>
    </w:p>
    <w:p w14:paraId="4B8E03F4" w14:textId="469EAB29"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6" w:history="1">
        <w:r w:rsidRPr="000556C1">
          <w:rPr>
            <w:rStyle w:val="Hyperlink"/>
            <w:noProof/>
          </w:rPr>
          <w:t>SharePoint Online</w:t>
        </w:r>
        <w:r>
          <w:rPr>
            <w:noProof/>
            <w:webHidden/>
          </w:rPr>
          <w:tab/>
        </w:r>
        <w:r>
          <w:rPr>
            <w:noProof/>
            <w:webHidden/>
          </w:rPr>
          <w:fldChar w:fldCharType="begin"/>
        </w:r>
        <w:r>
          <w:rPr>
            <w:noProof/>
            <w:webHidden/>
          </w:rPr>
          <w:instrText xml:space="preserve"> PAGEREF _Toc239174946 \h </w:instrText>
        </w:r>
        <w:r>
          <w:rPr>
            <w:noProof/>
            <w:webHidden/>
          </w:rPr>
        </w:r>
        <w:r>
          <w:rPr>
            <w:noProof/>
            <w:webHidden/>
          </w:rPr>
          <w:fldChar w:fldCharType="separate"/>
        </w:r>
        <w:r>
          <w:rPr>
            <w:noProof/>
            <w:webHidden/>
          </w:rPr>
          <w:t>19</w:t>
        </w:r>
        <w:r>
          <w:rPr>
            <w:noProof/>
            <w:webHidden/>
          </w:rPr>
          <w:fldChar w:fldCharType="end"/>
        </w:r>
      </w:hyperlink>
    </w:p>
    <w:p w14:paraId="223A726C" w14:textId="70962FF2"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7" w:history="1">
        <w:r w:rsidRPr="000556C1">
          <w:rPr>
            <w:rStyle w:val="Hyperlink"/>
            <w:noProof/>
          </w:rPr>
          <w:t>Microsoft Teams – Plany telefoniczne, Telefon w Teams i Konferencje głosowe</w:t>
        </w:r>
        <w:r>
          <w:rPr>
            <w:noProof/>
            <w:webHidden/>
          </w:rPr>
          <w:tab/>
        </w:r>
        <w:r>
          <w:rPr>
            <w:noProof/>
            <w:webHidden/>
          </w:rPr>
          <w:fldChar w:fldCharType="begin"/>
        </w:r>
        <w:r>
          <w:rPr>
            <w:noProof/>
            <w:webHidden/>
          </w:rPr>
          <w:instrText xml:space="preserve"> PAGEREF _Toc239174947 \h </w:instrText>
        </w:r>
        <w:r>
          <w:rPr>
            <w:noProof/>
            <w:webHidden/>
          </w:rPr>
        </w:r>
        <w:r>
          <w:rPr>
            <w:noProof/>
            <w:webHidden/>
          </w:rPr>
          <w:fldChar w:fldCharType="separate"/>
        </w:r>
        <w:r>
          <w:rPr>
            <w:noProof/>
            <w:webHidden/>
          </w:rPr>
          <w:t>20</w:t>
        </w:r>
        <w:r>
          <w:rPr>
            <w:noProof/>
            <w:webHidden/>
          </w:rPr>
          <w:fldChar w:fldCharType="end"/>
        </w:r>
      </w:hyperlink>
    </w:p>
    <w:p w14:paraId="3744575A" w14:textId="22E9747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8" w:history="1">
        <w:r w:rsidRPr="000556C1">
          <w:rPr>
            <w:rStyle w:val="Hyperlink"/>
            <w:noProof/>
          </w:rPr>
          <w:t>Microsoft Teams – jakość głosu</w:t>
        </w:r>
        <w:r>
          <w:rPr>
            <w:noProof/>
            <w:webHidden/>
          </w:rPr>
          <w:tab/>
        </w:r>
        <w:r>
          <w:rPr>
            <w:noProof/>
            <w:webHidden/>
          </w:rPr>
          <w:fldChar w:fldCharType="begin"/>
        </w:r>
        <w:r>
          <w:rPr>
            <w:noProof/>
            <w:webHidden/>
          </w:rPr>
          <w:instrText xml:space="preserve"> PAGEREF _Toc239174948 \h </w:instrText>
        </w:r>
        <w:r>
          <w:rPr>
            <w:noProof/>
            <w:webHidden/>
          </w:rPr>
        </w:r>
        <w:r>
          <w:rPr>
            <w:noProof/>
            <w:webHidden/>
          </w:rPr>
          <w:fldChar w:fldCharType="separate"/>
        </w:r>
        <w:r>
          <w:rPr>
            <w:noProof/>
            <w:webHidden/>
          </w:rPr>
          <w:t>20</w:t>
        </w:r>
        <w:r>
          <w:rPr>
            <w:noProof/>
            <w:webHidden/>
          </w:rPr>
          <w:fldChar w:fldCharType="end"/>
        </w:r>
      </w:hyperlink>
    </w:p>
    <w:p w14:paraId="53D7E16D" w14:textId="2D9B7B4A" w:rsidR="00A93882" w:rsidRDefault="00A93882">
      <w:pPr>
        <w:pStyle w:val="TOC4"/>
        <w:rPr>
          <w:rFonts w:eastAsiaTheme="minorEastAsia"/>
          <w:smallCaps w:val="0"/>
          <w:noProof/>
          <w:kern w:val="2"/>
          <w:sz w:val="24"/>
          <w:szCs w:val="24"/>
          <w:lang w:val="en-US" w:eastAsia="zh-CN" w:bidi="he-IL"/>
          <w14:ligatures w14:val="standardContextual"/>
        </w:rPr>
      </w:pPr>
      <w:hyperlink w:anchor="_Toc239174949" w:history="1">
        <w:r w:rsidRPr="000556C1">
          <w:rPr>
            <w:rStyle w:val="Hyperlink"/>
            <w:noProof/>
          </w:rPr>
          <w:t>Workplace Analytics</w:t>
        </w:r>
        <w:r>
          <w:rPr>
            <w:noProof/>
            <w:webHidden/>
          </w:rPr>
          <w:tab/>
        </w:r>
        <w:r>
          <w:rPr>
            <w:noProof/>
            <w:webHidden/>
          </w:rPr>
          <w:fldChar w:fldCharType="begin"/>
        </w:r>
        <w:r>
          <w:rPr>
            <w:noProof/>
            <w:webHidden/>
          </w:rPr>
          <w:instrText xml:space="preserve"> PAGEREF _Toc239174949 \h </w:instrText>
        </w:r>
        <w:r>
          <w:rPr>
            <w:noProof/>
            <w:webHidden/>
          </w:rPr>
        </w:r>
        <w:r>
          <w:rPr>
            <w:noProof/>
            <w:webHidden/>
          </w:rPr>
          <w:fldChar w:fldCharType="separate"/>
        </w:r>
        <w:r>
          <w:rPr>
            <w:noProof/>
            <w:webHidden/>
          </w:rPr>
          <w:t>20</w:t>
        </w:r>
        <w:r>
          <w:rPr>
            <w:noProof/>
            <w:webHidden/>
          </w:rPr>
          <w:fldChar w:fldCharType="end"/>
        </w:r>
      </w:hyperlink>
    </w:p>
    <w:p w14:paraId="1BEFE240" w14:textId="5DB6956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0" w:history="1">
        <w:r w:rsidRPr="000556C1">
          <w:rPr>
            <w:rStyle w:val="Hyperlink"/>
            <w:noProof/>
          </w:rPr>
          <w:t>Viva Engage</w:t>
        </w:r>
        <w:r>
          <w:rPr>
            <w:noProof/>
            <w:webHidden/>
          </w:rPr>
          <w:tab/>
        </w:r>
        <w:r>
          <w:rPr>
            <w:noProof/>
            <w:webHidden/>
          </w:rPr>
          <w:fldChar w:fldCharType="begin"/>
        </w:r>
        <w:r>
          <w:rPr>
            <w:noProof/>
            <w:webHidden/>
          </w:rPr>
          <w:instrText xml:space="preserve"> PAGEREF _Toc239174950 \h </w:instrText>
        </w:r>
        <w:r>
          <w:rPr>
            <w:noProof/>
            <w:webHidden/>
          </w:rPr>
        </w:r>
        <w:r>
          <w:rPr>
            <w:noProof/>
            <w:webHidden/>
          </w:rPr>
          <w:fldChar w:fldCharType="separate"/>
        </w:r>
        <w:r>
          <w:rPr>
            <w:noProof/>
            <w:webHidden/>
          </w:rPr>
          <w:t>21</w:t>
        </w:r>
        <w:r>
          <w:rPr>
            <w:noProof/>
            <w:webHidden/>
          </w:rPr>
          <w:fldChar w:fldCharType="end"/>
        </w:r>
      </w:hyperlink>
    </w:p>
    <w:p w14:paraId="5CC767F2" w14:textId="1152B675" w:rsidR="00A93882" w:rsidRDefault="00A93882">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4951" w:history="1">
        <w:r w:rsidRPr="000556C1">
          <w:rPr>
            <w:rStyle w:val="Hyperlink"/>
            <w:noProof/>
          </w:rPr>
          <w:t>Microsoft Azure Usługi i Plany</w:t>
        </w:r>
        <w:r>
          <w:rPr>
            <w:noProof/>
            <w:webHidden/>
          </w:rPr>
          <w:tab/>
        </w:r>
        <w:r>
          <w:rPr>
            <w:noProof/>
            <w:webHidden/>
          </w:rPr>
          <w:fldChar w:fldCharType="begin"/>
        </w:r>
        <w:r>
          <w:rPr>
            <w:noProof/>
            <w:webHidden/>
          </w:rPr>
          <w:instrText xml:space="preserve"> PAGEREF _Toc239174951 \h </w:instrText>
        </w:r>
        <w:r>
          <w:rPr>
            <w:noProof/>
            <w:webHidden/>
          </w:rPr>
        </w:r>
        <w:r>
          <w:rPr>
            <w:noProof/>
            <w:webHidden/>
          </w:rPr>
          <w:fldChar w:fldCharType="separate"/>
        </w:r>
        <w:r>
          <w:rPr>
            <w:noProof/>
            <w:webHidden/>
          </w:rPr>
          <w:t>21</w:t>
        </w:r>
        <w:r>
          <w:rPr>
            <w:noProof/>
            <w:webHidden/>
          </w:rPr>
          <w:fldChar w:fldCharType="end"/>
        </w:r>
      </w:hyperlink>
    </w:p>
    <w:p w14:paraId="68EB9FAE" w14:textId="65FF86B3"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2" w:history="1">
        <w:r w:rsidRPr="000556C1">
          <w:rPr>
            <w:rStyle w:val="Hyperlink"/>
            <w:noProof/>
            <w:lang w:val="en-US"/>
          </w:rPr>
          <w:t>Microsoft Entra ID</w:t>
        </w:r>
        <w:r>
          <w:rPr>
            <w:noProof/>
            <w:webHidden/>
          </w:rPr>
          <w:tab/>
        </w:r>
        <w:r>
          <w:rPr>
            <w:noProof/>
            <w:webHidden/>
          </w:rPr>
          <w:fldChar w:fldCharType="begin"/>
        </w:r>
        <w:r>
          <w:rPr>
            <w:noProof/>
            <w:webHidden/>
          </w:rPr>
          <w:instrText xml:space="preserve"> PAGEREF _Toc239174952 \h </w:instrText>
        </w:r>
        <w:r>
          <w:rPr>
            <w:noProof/>
            <w:webHidden/>
          </w:rPr>
        </w:r>
        <w:r>
          <w:rPr>
            <w:noProof/>
            <w:webHidden/>
          </w:rPr>
          <w:fldChar w:fldCharType="separate"/>
        </w:r>
        <w:r>
          <w:rPr>
            <w:noProof/>
            <w:webHidden/>
          </w:rPr>
          <w:t>21</w:t>
        </w:r>
        <w:r>
          <w:rPr>
            <w:noProof/>
            <w:webHidden/>
          </w:rPr>
          <w:fldChar w:fldCharType="end"/>
        </w:r>
      </w:hyperlink>
    </w:p>
    <w:p w14:paraId="3259BE36" w14:textId="13B3310B"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3" w:history="1">
        <w:r w:rsidRPr="000556C1">
          <w:rPr>
            <w:rStyle w:val="Hyperlink"/>
            <w:noProof/>
          </w:rPr>
          <w:t>Azure Active Directory B2C</w:t>
        </w:r>
        <w:r>
          <w:rPr>
            <w:noProof/>
            <w:webHidden/>
          </w:rPr>
          <w:tab/>
        </w:r>
        <w:r>
          <w:rPr>
            <w:noProof/>
            <w:webHidden/>
          </w:rPr>
          <w:fldChar w:fldCharType="begin"/>
        </w:r>
        <w:r>
          <w:rPr>
            <w:noProof/>
            <w:webHidden/>
          </w:rPr>
          <w:instrText xml:space="preserve"> PAGEREF _Toc239174953 \h </w:instrText>
        </w:r>
        <w:r>
          <w:rPr>
            <w:noProof/>
            <w:webHidden/>
          </w:rPr>
        </w:r>
        <w:r>
          <w:rPr>
            <w:noProof/>
            <w:webHidden/>
          </w:rPr>
          <w:fldChar w:fldCharType="separate"/>
        </w:r>
        <w:r>
          <w:rPr>
            <w:noProof/>
            <w:webHidden/>
          </w:rPr>
          <w:t>21</w:t>
        </w:r>
        <w:r>
          <w:rPr>
            <w:noProof/>
            <w:webHidden/>
          </w:rPr>
          <w:fldChar w:fldCharType="end"/>
        </w:r>
      </w:hyperlink>
    </w:p>
    <w:p w14:paraId="37E2FBF4" w14:textId="6629D66F"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4" w:history="1">
        <w:r w:rsidRPr="000556C1">
          <w:rPr>
            <w:rStyle w:val="Hyperlink"/>
            <w:noProof/>
          </w:rPr>
          <w:t>Usługi domeny Microsoft Entra</w:t>
        </w:r>
        <w:r>
          <w:rPr>
            <w:noProof/>
            <w:webHidden/>
          </w:rPr>
          <w:tab/>
        </w:r>
        <w:r>
          <w:rPr>
            <w:noProof/>
            <w:webHidden/>
          </w:rPr>
          <w:fldChar w:fldCharType="begin"/>
        </w:r>
        <w:r>
          <w:rPr>
            <w:noProof/>
            <w:webHidden/>
          </w:rPr>
          <w:instrText xml:space="preserve"> PAGEREF _Toc239174954 \h </w:instrText>
        </w:r>
        <w:r>
          <w:rPr>
            <w:noProof/>
            <w:webHidden/>
          </w:rPr>
        </w:r>
        <w:r>
          <w:rPr>
            <w:noProof/>
            <w:webHidden/>
          </w:rPr>
          <w:fldChar w:fldCharType="separate"/>
        </w:r>
        <w:r>
          <w:rPr>
            <w:noProof/>
            <w:webHidden/>
          </w:rPr>
          <w:t>22</w:t>
        </w:r>
        <w:r>
          <w:rPr>
            <w:noProof/>
            <w:webHidden/>
          </w:rPr>
          <w:fldChar w:fldCharType="end"/>
        </w:r>
      </w:hyperlink>
    </w:p>
    <w:p w14:paraId="19E88D6B" w14:textId="19A927B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5" w:history="1">
        <w:r w:rsidRPr="000556C1">
          <w:rPr>
            <w:rStyle w:val="Hyperlink"/>
            <w:noProof/>
          </w:rPr>
          <w:t>Analysis Services</w:t>
        </w:r>
        <w:r>
          <w:rPr>
            <w:noProof/>
            <w:webHidden/>
          </w:rPr>
          <w:tab/>
        </w:r>
        <w:r>
          <w:rPr>
            <w:noProof/>
            <w:webHidden/>
          </w:rPr>
          <w:fldChar w:fldCharType="begin"/>
        </w:r>
        <w:r>
          <w:rPr>
            <w:noProof/>
            <w:webHidden/>
          </w:rPr>
          <w:instrText xml:space="preserve"> PAGEREF _Toc239174955 \h </w:instrText>
        </w:r>
        <w:r>
          <w:rPr>
            <w:noProof/>
            <w:webHidden/>
          </w:rPr>
        </w:r>
        <w:r>
          <w:rPr>
            <w:noProof/>
            <w:webHidden/>
          </w:rPr>
          <w:fldChar w:fldCharType="separate"/>
        </w:r>
        <w:r>
          <w:rPr>
            <w:noProof/>
            <w:webHidden/>
          </w:rPr>
          <w:t>22</w:t>
        </w:r>
        <w:r>
          <w:rPr>
            <w:noProof/>
            <w:webHidden/>
          </w:rPr>
          <w:fldChar w:fldCharType="end"/>
        </w:r>
      </w:hyperlink>
    </w:p>
    <w:p w14:paraId="09860A2E" w14:textId="6B587984"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6" w:history="1">
        <w:r w:rsidRPr="000556C1">
          <w:rPr>
            <w:rStyle w:val="Hyperlink"/>
            <w:noProof/>
          </w:rPr>
          <w:t>Interfejs API platformy Azure dla standardu FHIR</w:t>
        </w:r>
        <w:r>
          <w:rPr>
            <w:noProof/>
            <w:webHidden/>
          </w:rPr>
          <w:tab/>
        </w:r>
        <w:r>
          <w:rPr>
            <w:noProof/>
            <w:webHidden/>
          </w:rPr>
          <w:fldChar w:fldCharType="begin"/>
        </w:r>
        <w:r>
          <w:rPr>
            <w:noProof/>
            <w:webHidden/>
          </w:rPr>
          <w:instrText xml:space="preserve"> PAGEREF _Toc239174956 \h </w:instrText>
        </w:r>
        <w:r>
          <w:rPr>
            <w:noProof/>
            <w:webHidden/>
          </w:rPr>
        </w:r>
        <w:r>
          <w:rPr>
            <w:noProof/>
            <w:webHidden/>
          </w:rPr>
          <w:fldChar w:fldCharType="separate"/>
        </w:r>
        <w:r>
          <w:rPr>
            <w:noProof/>
            <w:webHidden/>
          </w:rPr>
          <w:t>23</w:t>
        </w:r>
        <w:r>
          <w:rPr>
            <w:noProof/>
            <w:webHidden/>
          </w:rPr>
          <w:fldChar w:fldCharType="end"/>
        </w:r>
      </w:hyperlink>
    </w:p>
    <w:p w14:paraId="7641450C" w14:textId="304FE92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7" w:history="1">
        <w:r w:rsidRPr="000556C1">
          <w:rPr>
            <w:rStyle w:val="Hyperlink"/>
            <w:noProof/>
          </w:rPr>
          <w:t>Usługi Centrum API</w:t>
        </w:r>
        <w:r>
          <w:rPr>
            <w:noProof/>
            <w:webHidden/>
          </w:rPr>
          <w:tab/>
        </w:r>
        <w:r>
          <w:rPr>
            <w:noProof/>
            <w:webHidden/>
          </w:rPr>
          <w:fldChar w:fldCharType="begin"/>
        </w:r>
        <w:r>
          <w:rPr>
            <w:noProof/>
            <w:webHidden/>
          </w:rPr>
          <w:instrText xml:space="preserve"> PAGEREF _Toc239174957 \h </w:instrText>
        </w:r>
        <w:r>
          <w:rPr>
            <w:noProof/>
            <w:webHidden/>
          </w:rPr>
        </w:r>
        <w:r>
          <w:rPr>
            <w:noProof/>
            <w:webHidden/>
          </w:rPr>
          <w:fldChar w:fldCharType="separate"/>
        </w:r>
        <w:r>
          <w:rPr>
            <w:noProof/>
            <w:webHidden/>
          </w:rPr>
          <w:t>23</w:t>
        </w:r>
        <w:r>
          <w:rPr>
            <w:noProof/>
            <w:webHidden/>
          </w:rPr>
          <w:fldChar w:fldCharType="end"/>
        </w:r>
      </w:hyperlink>
    </w:p>
    <w:p w14:paraId="4102E25B" w14:textId="590CAC3F"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8" w:history="1">
        <w:r w:rsidRPr="000556C1">
          <w:rPr>
            <w:rStyle w:val="Hyperlink"/>
            <w:noProof/>
          </w:rPr>
          <w:t>Usługi API Management</w:t>
        </w:r>
        <w:r>
          <w:rPr>
            <w:noProof/>
            <w:webHidden/>
          </w:rPr>
          <w:tab/>
        </w:r>
        <w:r>
          <w:rPr>
            <w:noProof/>
            <w:webHidden/>
          </w:rPr>
          <w:fldChar w:fldCharType="begin"/>
        </w:r>
        <w:r>
          <w:rPr>
            <w:noProof/>
            <w:webHidden/>
          </w:rPr>
          <w:instrText xml:space="preserve"> PAGEREF _Toc239174958 \h </w:instrText>
        </w:r>
        <w:r>
          <w:rPr>
            <w:noProof/>
            <w:webHidden/>
          </w:rPr>
        </w:r>
        <w:r>
          <w:rPr>
            <w:noProof/>
            <w:webHidden/>
          </w:rPr>
          <w:fldChar w:fldCharType="separate"/>
        </w:r>
        <w:r>
          <w:rPr>
            <w:noProof/>
            <w:webHidden/>
          </w:rPr>
          <w:t>23</w:t>
        </w:r>
        <w:r>
          <w:rPr>
            <w:noProof/>
            <w:webHidden/>
          </w:rPr>
          <w:fldChar w:fldCharType="end"/>
        </w:r>
      </w:hyperlink>
    </w:p>
    <w:p w14:paraId="26B2A6C9" w14:textId="5EAA9705" w:rsidR="00A93882" w:rsidRDefault="00A93882">
      <w:pPr>
        <w:pStyle w:val="TOC4"/>
        <w:rPr>
          <w:rFonts w:eastAsiaTheme="minorEastAsia"/>
          <w:smallCaps w:val="0"/>
          <w:noProof/>
          <w:kern w:val="2"/>
          <w:sz w:val="24"/>
          <w:szCs w:val="24"/>
          <w:lang w:val="en-US" w:eastAsia="zh-CN" w:bidi="he-IL"/>
          <w14:ligatures w14:val="standardContextual"/>
        </w:rPr>
      </w:pPr>
      <w:hyperlink w:anchor="_Toc239174959" w:history="1">
        <w:r w:rsidRPr="000556C1">
          <w:rPr>
            <w:rStyle w:val="Hyperlink"/>
            <w:noProof/>
          </w:rPr>
          <w:t>App Center</w:t>
        </w:r>
        <w:r>
          <w:rPr>
            <w:noProof/>
            <w:webHidden/>
          </w:rPr>
          <w:tab/>
        </w:r>
        <w:r>
          <w:rPr>
            <w:noProof/>
            <w:webHidden/>
          </w:rPr>
          <w:fldChar w:fldCharType="begin"/>
        </w:r>
        <w:r>
          <w:rPr>
            <w:noProof/>
            <w:webHidden/>
          </w:rPr>
          <w:instrText xml:space="preserve"> PAGEREF _Toc239174959 \h </w:instrText>
        </w:r>
        <w:r>
          <w:rPr>
            <w:noProof/>
            <w:webHidden/>
          </w:rPr>
        </w:r>
        <w:r>
          <w:rPr>
            <w:noProof/>
            <w:webHidden/>
          </w:rPr>
          <w:fldChar w:fldCharType="separate"/>
        </w:r>
        <w:r>
          <w:rPr>
            <w:noProof/>
            <w:webHidden/>
          </w:rPr>
          <w:t>24</w:t>
        </w:r>
        <w:r>
          <w:rPr>
            <w:noProof/>
            <w:webHidden/>
          </w:rPr>
          <w:fldChar w:fldCharType="end"/>
        </w:r>
      </w:hyperlink>
    </w:p>
    <w:p w14:paraId="2EB52BD0" w14:textId="658DDC4B"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0" w:history="1">
        <w:r w:rsidRPr="000556C1">
          <w:rPr>
            <w:rStyle w:val="Hyperlink"/>
            <w:noProof/>
          </w:rPr>
          <w:t>Konfiguracja aplikacji</w:t>
        </w:r>
        <w:r>
          <w:rPr>
            <w:noProof/>
            <w:webHidden/>
          </w:rPr>
          <w:tab/>
        </w:r>
        <w:r>
          <w:rPr>
            <w:noProof/>
            <w:webHidden/>
          </w:rPr>
          <w:fldChar w:fldCharType="begin"/>
        </w:r>
        <w:r>
          <w:rPr>
            <w:noProof/>
            <w:webHidden/>
          </w:rPr>
          <w:instrText xml:space="preserve"> PAGEREF _Toc239174960 \h </w:instrText>
        </w:r>
        <w:r>
          <w:rPr>
            <w:noProof/>
            <w:webHidden/>
          </w:rPr>
        </w:r>
        <w:r>
          <w:rPr>
            <w:noProof/>
            <w:webHidden/>
          </w:rPr>
          <w:fldChar w:fldCharType="separate"/>
        </w:r>
        <w:r>
          <w:rPr>
            <w:noProof/>
            <w:webHidden/>
          </w:rPr>
          <w:t>25</w:t>
        </w:r>
        <w:r>
          <w:rPr>
            <w:noProof/>
            <w:webHidden/>
          </w:rPr>
          <w:fldChar w:fldCharType="end"/>
        </w:r>
      </w:hyperlink>
    </w:p>
    <w:p w14:paraId="775E8647" w14:textId="2283CF1B"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1" w:history="1">
        <w:r w:rsidRPr="000556C1">
          <w:rPr>
            <w:rStyle w:val="Hyperlink"/>
            <w:noProof/>
          </w:rPr>
          <w:t>App Service</w:t>
        </w:r>
        <w:r>
          <w:rPr>
            <w:noProof/>
            <w:webHidden/>
          </w:rPr>
          <w:tab/>
        </w:r>
        <w:r>
          <w:rPr>
            <w:noProof/>
            <w:webHidden/>
          </w:rPr>
          <w:fldChar w:fldCharType="begin"/>
        </w:r>
        <w:r>
          <w:rPr>
            <w:noProof/>
            <w:webHidden/>
          </w:rPr>
          <w:instrText xml:space="preserve"> PAGEREF _Toc239174961 \h </w:instrText>
        </w:r>
        <w:r>
          <w:rPr>
            <w:noProof/>
            <w:webHidden/>
          </w:rPr>
        </w:r>
        <w:r>
          <w:rPr>
            <w:noProof/>
            <w:webHidden/>
          </w:rPr>
          <w:fldChar w:fldCharType="separate"/>
        </w:r>
        <w:r>
          <w:rPr>
            <w:noProof/>
            <w:webHidden/>
          </w:rPr>
          <w:t>26</w:t>
        </w:r>
        <w:r>
          <w:rPr>
            <w:noProof/>
            <w:webHidden/>
          </w:rPr>
          <w:fldChar w:fldCharType="end"/>
        </w:r>
      </w:hyperlink>
    </w:p>
    <w:p w14:paraId="00524915" w14:textId="48F6F3C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2" w:history="1">
        <w:r w:rsidRPr="000556C1">
          <w:rPr>
            <w:rStyle w:val="Hyperlink"/>
            <w:noProof/>
          </w:rPr>
          <w:t>Application Gateway</w:t>
        </w:r>
        <w:r>
          <w:rPr>
            <w:noProof/>
            <w:webHidden/>
          </w:rPr>
          <w:tab/>
        </w:r>
        <w:r>
          <w:rPr>
            <w:noProof/>
            <w:webHidden/>
          </w:rPr>
          <w:fldChar w:fldCharType="begin"/>
        </w:r>
        <w:r>
          <w:rPr>
            <w:noProof/>
            <w:webHidden/>
          </w:rPr>
          <w:instrText xml:space="preserve"> PAGEREF _Toc239174962 \h </w:instrText>
        </w:r>
        <w:r>
          <w:rPr>
            <w:noProof/>
            <w:webHidden/>
          </w:rPr>
        </w:r>
        <w:r>
          <w:rPr>
            <w:noProof/>
            <w:webHidden/>
          </w:rPr>
          <w:fldChar w:fldCharType="separate"/>
        </w:r>
        <w:r>
          <w:rPr>
            <w:noProof/>
            <w:webHidden/>
          </w:rPr>
          <w:t>27</w:t>
        </w:r>
        <w:r>
          <w:rPr>
            <w:noProof/>
            <w:webHidden/>
          </w:rPr>
          <w:fldChar w:fldCharType="end"/>
        </w:r>
      </w:hyperlink>
    </w:p>
    <w:p w14:paraId="6FCA64B2" w14:textId="0D59355A"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3" w:history="1">
        <w:r w:rsidRPr="000556C1">
          <w:rPr>
            <w:rStyle w:val="Hyperlink"/>
            <w:noProof/>
          </w:rPr>
          <w:t>Application Gateway for Containers</w:t>
        </w:r>
        <w:r>
          <w:rPr>
            <w:noProof/>
            <w:webHidden/>
          </w:rPr>
          <w:tab/>
        </w:r>
        <w:r>
          <w:rPr>
            <w:noProof/>
            <w:webHidden/>
          </w:rPr>
          <w:fldChar w:fldCharType="begin"/>
        </w:r>
        <w:r>
          <w:rPr>
            <w:noProof/>
            <w:webHidden/>
          </w:rPr>
          <w:instrText xml:space="preserve"> PAGEREF _Toc239174963 \h </w:instrText>
        </w:r>
        <w:r>
          <w:rPr>
            <w:noProof/>
            <w:webHidden/>
          </w:rPr>
        </w:r>
        <w:r>
          <w:rPr>
            <w:noProof/>
            <w:webHidden/>
          </w:rPr>
          <w:fldChar w:fldCharType="separate"/>
        </w:r>
        <w:r>
          <w:rPr>
            <w:noProof/>
            <w:webHidden/>
          </w:rPr>
          <w:t>27</w:t>
        </w:r>
        <w:r>
          <w:rPr>
            <w:noProof/>
            <w:webHidden/>
          </w:rPr>
          <w:fldChar w:fldCharType="end"/>
        </w:r>
      </w:hyperlink>
    </w:p>
    <w:p w14:paraId="4285F81A" w14:textId="3A8343E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4" w:history="1">
        <w:r w:rsidRPr="000556C1">
          <w:rPr>
            <w:rStyle w:val="Hyperlink"/>
            <w:noProof/>
          </w:rPr>
          <w:t>Application Insights</w:t>
        </w:r>
        <w:r>
          <w:rPr>
            <w:noProof/>
            <w:webHidden/>
          </w:rPr>
          <w:tab/>
        </w:r>
        <w:r>
          <w:rPr>
            <w:noProof/>
            <w:webHidden/>
          </w:rPr>
          <w:fldChar w:fldCharType="begin"/>
        </w:r>
        <w:r>
          <w:rPr>
            <w:noProof/>
            <w:webHidden/>
          </w:rPr>
          <w:instrText xml:space="preserve"> PAGEREF _Toc239174964 \h </w:instrText>
        </w:r>
        <w:r>
          <w:rPr>
            <w:noProof/>
            <w:webHidden/>
          </w:rPr>
        </w:r>
        <w:r>
          <w:rPr>
            <w:noProof/>
            <w:webHidden/>
          </w:rPr>
          <w:fldChar w:fldCharType="separate"/>
        </w:r>
        <w:r>
          <w:rPr>
            <w:noProof/>
            <w:webHidden/>
          </w:rPr>
          <w:t>27</w:t>
        </w:r>
        <w:r>
          <w:rPr>
            <w:noProof/>
            <w:webHidden/>
          </w:rPr>
          <w:fldChar w:fldCharType="end"/>
        </w:r>
      </w:hyperlink>
    </w:p>
    <w:p w14:paraId="288BD3D7" w14:textId="5FF73EDC"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5" w:history="1">
        <w:r w:rsidRPr="000556C1">
          <w:rPr>
            <w:rStyle w:val="Hyperlink"/>
            <w:noProof/>
          </w:rPr>
          <w:t>Azure Arc</w:t>
        </w:r>
        <w:r>
          <w:rPr>
            <w:noProof/>
            <w:webHidden/>
          </w:rPr>
          <w:tab/>
        </w:r>
        <w:r>
          <w:rPr>
            <w:noProof/>
            <w:webHidden/>
          </w:rPr>
          <w:fldChar w:fldCharType="begin"/>
        </w:r>
        <w:r>
          <w:rPr>
            <w:noProof/>
            <w:webHidden/>
          </w:rPr>
          <w:instrText xml:space="preserve"> PAGEREF _Toc239174965 \h </w:instrText>
        </w:r>
        <w:r>
          <w:rPr>
            <w:noProof/>
            <w:webHidden/>
          </w:rPr>
        </w:r>
        <w:r>
          <w:rPr>
            <w:noProof/>
            <w:webHidden/>
          </w:rPr>
          <w:fldChar w:fldCharType="separate"/>
        </w:r>
        <w:r>
          <w:rPr>
            <w:noProof/>
            <w:webHidden/>
          </w:rPr>
          <w:t>28</w:t>
        </w:r>
        <w:r>
          <w:rPr>
            <w:noProof/>
            <w:webHidden/>
          </w:rPr>
          <w:fldChar w:fldCharType="end"/>
        </w:r>
      </w:hyperlink>
    </w:p>
    <w:p w14:paraId="174AA325" w14:textId="6D94F02C"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6" w:history="1">
        <w:r w:rsidRPr="000556C1">
          <w:rPr>
            <w:rStyle w:val="Hyperlink"/>
            <w:noProof/>
          </w:rPr>
          <w:t>Automation</w:t>
        </w:r>
        <w:r>
          <w:rPr>
            <w:noProof/>
            <w:webHidden/>
          </w:rPr>
          <w:tab/>
        </w:r>
        <w:r>
          <w:rPr>
            <w:noProof/>
            <w:webHidden/>
          </w:rPr>
          <w:fldChar w:fldCharType="begin"/>
        </w:r>
        <w:r>
          <w:rPr>
            <w:noProof/>
            <w:webHidden/>
          </w:rPr>
          <w:instrText xml:space="preserve"> PAGEREF _Toc239174966 \h </w:instrText>
        </w:r>
        <w:r>
          <w:rPr>
            <w:noProof/>
            <w:webHidden/>
          </w:rPr>
        </w:r>
        <w:r>
          <w:rPr>
            <w:noProof/>
            <w:webHidden/>
          </w:rPr>
          <w:fldChar w:fldCharType="separate"/>
        </w:r>
        <w:r>
          <w:rPr>
            <w:noProof/>
            <w:webHidden/>
          </w:rPr>
          <w:t>28</w:t>
        </w:r>
        <w:r>
          <w:rPr>
            <w:noProof/>
            <w:webHidden/>
          </w:rPr>
          <w:fldChar w:fldCharType="end"/>
        </w:r>
      </w:hyperlink>
    </w:p>
    <w:p w14:paraId="25617339" w14:textId="64A6FC03"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7" w:history="1">
        <w:r w:rsidRPr="000556C1">
          <w:rPr>
            <w:rStyle w:val="Hyperlink"/>
            <w:noProof/>
          </w:rPr>
          <w:t>Tworzenie Kopii Zapasowej na platformie Azure</w:t>
        </w:r>
        <w:r>
          <w:rPr>
            <w:noProof/>
            <w:webHidden/>
          </w:rPr>
          <w:tab/>
        </w:r>
        <w:r>
          <w:rPr>
            <w:noProof/>
            <w:webHidden/>
          </w:rPr>
          <w:fldChar w:fldCharType="begin"/>
        </w:r>
        <w:r>
          <w:rPr>
            <w:noProof/>
            <w:webHidden/>
          </w:rPr>
          <w:instrText xml:space="preserve"> PAGEREF _Toc239174967 \h </w:instrText>
        </w:r>
        <w:r>
          <w:rPr>
            <w:noProof/>
            <w:webHidden/>
          </w:rPr>
        </w:r>
        <w:r>
          <w:rPr>
            <w:noProof/>
            <w:webHidden/>
          </w:rPr>
          <w:fldChar w:fldCharType="separate"/>
        </w:r>
        <w:r>
          <w:rPr>
            <w:noProof/>
            <w:webHidden/>
          </w:rPr>
          <w:t>29</w:t>
        </w:r>
        <w:r>
          <w:rPr>
            <w:noProof/>
            <w:webHidden/>
          </w:rPr>
          <w:fldChar w:fldCharType="end"/>
        </w:r>
      </w:hyperlink>
    </w:p>
    <w:p w14:paraId="268E0EB3" w14:textId="40575BE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8" w:history="1">
        <w:r w:rsidRPr="000556C1">
          <w:rPr>
            <w:rStyle w:val="Hyperlink"/>
            <w:noProof/>
          </w:rPr>
          <w:t>Azure Bastion</w:t>
        </w:r>
        <w:r>
          <w:rPr>
            <w:noProof/>
            <w:webHidden/>
          </w:rPr>
          <w:tab/>
        </w:r>
        <w:r>
          <w:rPr>
            <w:noProof/>
            <w:webHidden/>
          </w:rPr>
          <w:fldChar w:fldCharType="begin"/>
        </w:r>
        <w:r>
          <w:rPr>
            <w:noProof/>
            <w:webHidden/>
          </w:rPr>
          <w:instrText xml:space="preserve"> PAGEREF _Toc239174968 \h </w:instrText>
        </w:r>
        <w:r>
          <w:rPr>
            <w:noProof/>
            <w:webHidden/>
          </w:rPr>
        </w:r>
        <w:r>
          <w:rPr>
            <w:noProof/>
            <w:webHidden/>
          </w:rPr>
          <w:fldChar w:fldCharType="separate"/>
        </w:r>
        <w:r>
          <w:rPr>
            <w:noProof/>
            <w:webHidden/>
          </w:rPr>
          <w:t>30</w:t>
        </w:r>
        <w:r>
          <w:rPr>
            <w:noProof/>
            <w:webHidden/>
          </w:rPr>
          <w:fldChar w:fldCharType="end"/>
        </w:r>
      </w:hyperlink>
    </w:p>
    <w:p w14:paraId="32D6BD53" w14:textId="481A9053" w:rsidR="00A93882" w:rsidRDefault="00A93882">
      <w:pPr>
        <w:pStyle w:val="TOC4"/>
        <w:rPr>
          <w:rFonts w:eastAsiaTheme="minorEastAsia"/>
          <w:smallCaps w:val="0"/>
          <w:noProof/>
          <w:kern w:val="2"/>
          <w:sz w:val="24"/>
          <w:szCs w:val="24"/>
          <w:lang w:val="en-US" w:eastAsia="zh-CN" w:bidi="he-IL"/>
          <w14:ligatures w14:val="standardContextual"/>
        </w:rPr>
      </w:pPr>
      <w:hyperlink w:anchor="_Toc239174969" w:history="1">
        <w:r w:rsidRPr="000556C1">
          <w:rPr>
            <w:rStyle w:val="Hyperlink"/>
            <w:noProof/>
          </w:rPr>
          <w:t>Wsad</w:t>
        </w:r>
        <w:r>
          <w:rPr>
            <w:noProof/>
            <w:webHidden/>
          </w:rPr>
          <w:tab/>
        </w:r>
        <w:r>
          <w:rPr>
            <w:noProof/>
            <w:webHidden/>
          </w:rPr>
          <w:fldChar w:fldCharType="begin"/>
        </w:r>
        <w:r>
          <w:rPr>
            <w:noProof/>
            <w:webHidden/>
          </w:rPr>
          <w:instrText xml:space="preserve"> PAGEREF _Toc239174969 \h </w:instrText>
        </w:r>
        <w:r>
          <w:rPr>
            <w:noProof/>
            <w:webHidden/>
          </w:rPr>
        </w:r>
        <w:r>
          <w:rPr>
            <w:noProof/>
            <w:webHidden/>
          </w:rPr>
          <w:fldChar w:fldCharType="separate"/>
        </w:r>
        <w:r>
          <w:rPr>
            <w:noProof/>
            <w:webHidden/>
          </w:rPr>
          <w:t>30</w:t>
        </w:r>
        <w:r>
          <w:rPr>
            <w:noProof/>
            <w:webHidden/>
          </w:rPr>
          <w:fldChar w:fldCharType="end"/>
        </w:r>
      </w:hyperlink>
    </w:p>
    <w:p w14:paraId="7329D9E3" w14:textId="5B0D91D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0" w:history="1">
        <w:r w:rsidRPr="000556C1">
          <w:rPr>
            <w:rStyle w:val="Hyperlink"/>
            <w:noProof/>
          </w:rPr>
          <w:t>BizTalk Services</w:t>
        </w:r>
        <w:r>
          <w:rPr>
            <w:noProof/>
            <w:webHidden/>
          </w:rPr>
          <w:tab/>
        </w:r>
        <w:r>
          <w:rPr>
            <w:noProof/>
            <w:webHidden/>
          </w:rPr>
          <w:fldChar w:fldCharType="begin"/>
        </w:r>
        <w:r>
          <w:rPr>
            <w:noProof/>
            <w:webHidden/>
          </w:rPr>
          <w:instrText xml:space="preserve"> PAGEREF _Toc239174970 \h </w:instrText>
        </w:r>
        <w:r>
          <w:rPr>
            <w:noProof/>
            <w:webHidden/>
          </w:rPr>
        </w:r>
        <w:r>
          <w:rPr>
            <w:noProof/>
            <w:webHidden/>
          </w:rPr>
          <w:fldChar w:fldCharType="separate"/>
        </w:r>
        <w:r>
          <w:rPr>
            <w:noProof/>
            <w:webHidden/>
          </w:rPr>
          <w:t>31</w:t>
        </w:r>
        <w:r>
          <w:rPr>
            <w:noProof/>
            <w:webHidden/>
          </w:rPr>
          <w:fldChar w:fldCharType="end"/>
        </w:r>
      </w:hyperlink>
    </w:p>
    <w:p w14:paraId="2798D745" w14:textId="63728362"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1" w:history="1">
        <w:r w:rsidRPr="000556C1">
          <w:rPr>
            <w:rStyle w:val="Hyperlink"/>
            <w:noProof/>
          </w:rPr>
          <w:t>Usługa Azure Bot</w:t>
        </w:r>
        <w:r>
          <w:rPr>
            <w:noProof/>
            <w:webHidden/>
          </w:rPr>
          <w:tab/>
        </w:r>
        <w:r>
          <w:rPr>
            <w:noProof/>
            <w:webHidden/>
          </w:rPr>
          <w:fldChar w:fldCharType="begin"/>
        </w:r>
        <w:r>
          <w:rPr>
            <w:noProof/>
            <w:webHidden/>
          </w:rPr>
          <w:instrText xml:space="preserve"> PAGEREF _Toc239174971 \h </w:instrText>
        </w:r>
        <w:r>
          <w:rPr>
            <w:noProof/>
            <w:webHidden/>
          </w:rPr>
        </w:r>
        <w:r>
          <w:rPr>
            <w:noProof/>
            <w:webHidden/>
          </w:rPr>
          <w:fldChar w:fldCharType="separate"/>
        </w:r>
        <w:r>
          <w:rPr>
            <w:noProof/>
            <w:webHidden/>
          </w:rPr>
          <w:t>31</w:t>
        </w:r>
        <w:r>
          <w:rPr>
            <w:noProof/>
            <w:webHidden/>
          </w:rPr>
          <w:fldChar w:fldCharType="end"/>
        </w:r>
      </w:hyperlink>
    </w:p>
    <w:p w14:paraId="2D874B02" w14:textId="6B41B09C"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2" w:history="1">
        <w:r w:rsidRPr="000556C1">
          <w:rPr>
            <w:rStyle w:val="Hyperlink"/>
            <w:noProof/>
          </w:rPr>
          <w:t>Azure Cache for Redis</w:t>
        </w:r>
        <w:r>
          <w:rPr>
            <w:noProof/>
            <w:webHidden/>
          </w:rPr>
          <w:tab/>
        </w:r>
        <w:r>
          <w:rPr>
            <w:noProof/>
            <w:webHidden/>
          </w:rPr>
          <w:fldChar w:fldCharType="begin"/>
        </w:r>
        <w:r>
          <w:rPr>
            <w:noProof/>
            <w:webHidden/>
          </w:rPr>
          <w:instrText xml:space="preserve"> PAGEREF _Toc239174972 \h </w:instrText>
        </w:r>
        <w:r>
          <w:rPr>
            <w:noProof/>
            <w:webHidden/>
          </w:rPr>
        </w:r>
        <w:r>
          <w:rPr>
            <w:noProof/>
            <w:webHidden/>
          </w:rPr>
          <w:fldChar w:fldCharType="separate"/>
        </w:r>
        <w:r>
          <w:rPr>
            <w:noProof/>
            <w:webHidden/>
          </w:rPr>
          <w:t>32</w:t>
        </w:r>
        <w:r>
          <w:rPr>
            <w:noProof/>
            <w:webHidden/>
          </w:rPr>
          <w:fldChar w:fldCharType="end"/>
        </w:r>
      </w:hyperlink>
    </w:p>
    <w:p w14:paraId="3A555681" w14:textId="6350B14F"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3" w:history="1">
        <w:r w:rsidRPr="000556C1">
          <w:rPr>
            <w:rStyle w:val="Hyperlink"/>
            <w:rFonts w:ascii="Calibri Light" w:hAnsi="Calibri Light" w:cs="Calibri Light"/>
            <w:noProof/>
          </w:rPr>
          <w:t>Rezerwacje Mocy Obliczeniowej</w:t>
        </w:r>
        <w:r>
          <w:rPr>
            <w:noProof/>
            <w:webHidden/>
          </w:rPr>
          <w:tab/>
        </w:r>
        <w:r>
          <w:rPr>
            <w:noProof/>
            <w:webHidden/>
          </w:rPr>
          <w:fldChar w:fldCharType="begin"/>
        </w:r>
        <w:r>
          <w:rPr>
            <w:noProof/>
            <w:webHidden/>
          </w:rPr>
          <w:instrText xml:space="preserve"> PAGEREF _Toc239174973 \h </w:instrText>
        </w:r>
        <w:r>
          <w:rPr>
            <w:noProof/>
            <w:webHidden/>
          </w:rPr>
        </w:r>
        <w:r>
          <w:rPr>
            <w:noProof/>
            <w:webHidden/>
          </w:rPr>
          <w:fldChar w:fldCharType="separate"/>
        </w:r>
        <w:r>
          <w:rPr>
            <w:noProof/>
            <w:webHidden/>
          </w:rPr>
          <w:t>33</w:t>
        </w:r>
        <w:r>
          <w:rPr>
            <w:noProof/>
            <w:webHidden/>
          </w:rPr>
          <w:fldChar w:fldCharType="end"/>
        </w:r>
      </w:hyperlink>
    </w:p>
    <w:p w14:paraId="76E47757" w14:textId="3D159CB4"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4" w:history="1">
        <w:r w:rsidRPr="000556C1">
          <w:rPr>
            <w:rStyle w:val="Hyperlink"/>
            <w:noProof/>
          </w:rPr>
          <w:t>Usługa Azure Managed Redis</w:t>
        </w:r>
        <w:r>
          <w:rPr>
            <w:noProof/>
            <w:webHidden/>
          </w:rPr>
          <w:tab/>
        </w:r>
        <w:r>
          <w:rPr>
            <w:noProof/>
            <w:webHidden/>
          </w:rPr>
          <w:fldChar w:fldCharType="begin"/>
        </w:r>
        <w:r>
          <w:rPr>
            <w:noProof/>
            <w:webHidden/>
          </w:rPr>
          <w:instrText xml:space="preserve"> PAGEREF _Toc239174974 \h </w:instrText>
        </w:r>
        <w:r>
          <w:rPr>
            <w:noProof/>
            <w:webHidden/>
          </w:rPr>
        </w:r>
        <w:r>
          <w:rPr>
            <w:noProof/>
            <w:webHidden/>
          </w:rPr>
          <w:fldChar w:fldCharType="separate"/>
        </w:r>
        <w:r>
          <w:rPr>
            <w:noProof/>
            <w:webHidden/>
          </w:rPr>
          <w:t>34</w:t>
        </w:r>
        <w:r>
          <w:rPr>
            <w:noProof/>
            <w:webHidden/>
          </w:rPr>
          <w:fldChar w:fldCharType="end"/>
        </w:r>
      </w:hyperlink>
    </w:p>
    <w:p w14:paraId="35C334B3" w14:textId="3210D47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5" w:history="1">
        <w:r w:rsidRPr="000556C1">
          <w:rPr>
            <w:rStyle w:val="Hyperlink"/>
            <w:noProof/>
          </w:rPr>
          <w:t>Azure Chaos Studio</w:t>
        </w:r>
        <w:r>
          <w:rPr>
            <w:noProof/>
            <w:webHidden/>
          </w:rPr>
          <w:tab/>
        </w:r>
        <w:r>
          <w:rPr>
            <w:noProof/>
            <w:webHidden/>
          </w:rPr>
          <w:fldChar w:fldCharType="begin"/>
        </w:r>
        <w:r>
          <w:rPr>
            <w:noProof/>
            <w:webHidden/>
          </w:rPr>
          <w:instrText xml:space="preserve"> PAGEREF _Toc239174975 \h </w:instrText>
        </w:r>
        <w:r>
          <w:rPr>
            <w:noProof/>
            <w:webHidden/>
          </w:rPr>
        </w:r>
        <w:r>
          <w:rPr>
            <w:noProof/>
            <w:webHidden/>
          </w:rPr>
          <w:fldChar w:fldCharType="separate"/>
        </w:r>
        <w:r>
          <w:rPr>
            <w:noProof/>
            <w:webHidden/>
          </w:rPr>
          <w:t>35</w:t>
        </w:r>
        <w:r>
          <w:rPr>
            <w:noProof/>
            <w:webHidden/>
          </w:rPr>
          <w:fldChar w:fldCharType="end"/>
        </w:r>
      </w:hyperlink>
    </w:p>
    <w:p w14:paraId="1CC986AE" w14:textId="4491305C"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6" w:history="1">
        <w:r w:rsidRPr="000556C1">
          <w:rPr>
            <w:rStyle w:val="Hyperlink"/>
            <w:noProof/>
          </w:rPr>
          <w:t>Azure Cloud HSM</w:t>
        </w:r>
        <w:r>
          <w:rPr>
            <w:noProof/>
            <w:webHidden/>
          </w:rPr>
          <w:tab/>
        </w:r>
        <w:r>
          <w:rPr>
            <w:noProof/>
            <w:webHidden/>
          </w:rPr>
          <w:fldChar w:fldCharType="begin"/>
        </w:r>
        <w:r>
          <w:rPr>
            <w:noProof/>
            <w:webHidden/>
          </w:rPr>
          <w:instrText xml:space="preserve"> PAGEREF _Toc239174976 \h </w:instrText>
        </w:r>
        <w:r>
          <w:rPr>
            <w:noProof/>
            <w:webHidden/>
          </w:rPr>
        </w:r>
        <w:r>
          <w:rPr>
            <w:noProof/>
            <w:webHidden/>
          </w:rPr>
          <w:fldChar w:fldCharType="separate"/>
        </w:r>
        <w:r>
          <w:rPr>
            <w:noProof/>
            <w:webHidden/>
          </w:rPr>
          <w:t>35</w:t>
        </w:r>
        <w:r>
          <w:rPr>
            <w:noProof/>
            <w:webHidden/>
          </w:rPr>
          <w:fldChar w:fldCharType="end"/>
        </w:r>
      </w:hyperlink>
    </w:p>
    <w:p w14:paraId="7A4077E8" w14:textId="3FA3D4A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7" w:history="1">
        <w:r w:rsidRPr="000556C1">
          <w:rPr>
            <w:rStyle w:val="Hyperlink"/>
            <w:noProof/>
          </w:rPr>
          <w:t>Usługi Chmurowe</w:t>
        </w:r>
        <w:r>
          <w:rPr>
            <w:noProof/>
            <w:webHidden/>
          </w:rPr>
          <w:tab/>
        </w:r>
        <w:r>
          <w:rPr>
            <w:noProof/>
            <w:webHidden/>
          </w:rPr>
          <w:fldChar w:fldCharType="begin"/>
        </w:r>
        <w:r>
          <w:rPr>
            <w:noProof/>
            <w:webHidden/>
          </w:rPr>
          <w:instrText xml:space="preserve"> PAGEREF _Toc239174977 \h </w:instrText>
        </w:r>
        <w:r>
          <w:rPr>
            <w:noProof/>
            <w:webHidden/>
          </w:rPr>
        </w:r>
        <w:r>
          <w:rPr>
            <w:noProof/>
            <w:webHidden/>
          </w:rPr>
          <w:fldChar w:fldCharType="separate"/>
        </w:r>
        <w:r>
          <w:rPr>
            <w:noProof/>
            <w:webHidden/>
          </w:rPr>
          <w:t>36</w:t>
        </w:r>
        <w:r>
          <w:rPr>
            <w:noProof/>
            <w:webHidden/>
          </w:rPr>
          <w:fldChar w:fldCharType="end"/>
        </w:r>
      </w:hyperlink>
    </w:p>
    <w:p w14:paraId="1644F00D" w14:textId="3466BA6B"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8" w:history="1">
        <w:r w:rsidRPr="000556C1">
          <w:rPr>
            <w:rStyle w:val="Hyperlink"/>
            <w:noProof/>
          </w:rPr>
          <w:t>Azure AI Search</w:t>
        </w:r>
        <w:r>
          <w:rPr>
            <w:noProof/>
            <w:webHidden/>
          </w:rPr>
          <w:tab/>
        </w:r>
        <w:r>
          <w:rPr>
            <w:noProof/>
            <w:webHidden/>
          </w:rPr>
          <w:fldChar w:fldCharType="begin"/>
        </w:r>
        <w:r>
          <w:rPr>
            <w:noProof/>
            <w:webHidden/>
          </w:rPr>
          <w:instrText xml:space="preserve"> PAGEREF _Toc239174978 \h </w:instrText>
        </w:r>
        <w:r>
          <w:rPr>
            <w:noProof/>
            <w:webHidden/>
          </w:rPr>
        </w:r>
        <w:r>
          <w:rPr>
            <w:noProof/>
            <w:webHidden/>
          </w:rPr>
          <w:fldChar w:fldCharType="separate"/>
        </w:r>
        <w:r>
          <w:rPr>
            <w:noProof/>
            <w:webHidden/>
          </w:rPr>
          <w:t>36</w:t>
        </w:r>
        <w:r>
          <w:rPr>
            <w:noProof/>
            <w:webHidden/>
          </w:rPr>
          <w:fldChar w:fldCharType="end"/>
        </w:r>
      </w:hyperlink>
    </w:p>
    <w:p w14:paraId="6DB9E46F" w14:textId="7CF900A5" w:rsidR="00A93882" w:rsidRDefault="00A93882">
      <w:pPr>
        <w:pStyle w:val="TOC4"/>
        <w:rPr>
          <w:rFonts w:eastAsiaTheme="minorEastAsia"/>
          <w:smallCaps w:val="0"/>
          <w:noProof/>
          <w:kern w:val="2"/>
          <w:sz w:val="24"/>
          <w:szCs w:val="24"/>
          <w:lang w:val="en-US" w:eastAsia="zh-CN" w:bidi="he-IL"/>
          <w14:ligatures w14:val="standardContextual"/>
        </w:rPr>
      </w:pPr>
      <w:hyperlink w:anchor="_Toc239174979" w:history="1">
        <w:r w:rsidRPr="000556C1">
          <w:rPr>
            <w:rStyle w:val="Hyperlink"/>
            <w:rFonts w:ascii="Calibri Light" w:hAnsi="Calibri Light" w:cs="Calibri Light"/>
            <w:noProof/>
          </w:rPr>
          <w:t>Usługi Azure AI Services</w:t>
        </w:r>
        <w:r>
          <w:rPr>
            <w:noProof/>
            <w:webHidden/>
          </w:rPr>
          <w:tab/>
        </w:r>
        <w:r>
          <w:rPr>
            <w:noProof/>
            <w:webHidden/>
          </w:rPr>
          <w:fldChar w:fldCharType="begin"/>
        </w:r>
        <w:r>
          <w:rPr>
            <w:noProof/>
            <w:webHidden/>
          </w:rPr>
          <w:instrText xml:space="preserve"> PAGEREF _Toc239174979 \h </w:instrText>
        </w:r>
        <w:r>
          <w:rPr>
            <w:noProof/>
            <w:webHidden/>
          </w:rPr>
        </w:r>
        <w:r>
          <w:rPr>
            <w:noProof/>
            <w:webHidden/>
          </w:rPr>
          <w:fldChar w:fldCharType="separate"/>
        </w:r>
        <w:r>
          <w:rPr>
            <w:noProof/>
            <w:webHidden/>
          </w:rPr>
          <w:t>37</w:t>
        </w:r>
        <w:r>
          <w:rPr>
            <w:noProof/>
            <w:webHidden/>
          </w:rPr>
          <w:fldChar w:fldCharType="end"/>
        </w:r>
      </w:hyperlink>
    </w:p>
    <w:p w14:paraId="0F7D5BA1" w14:textId="039C695F"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0" w:history="1">
        <w:r w:rsidRPr="000556C1">
          <w:rPr>
            <w:rStyle w:val="Hyperlink"/>
            <w:noProof/>
          </w:rPr>
          <w:t>Azure Communication Gateway</w:t>
        </w:r>
        <w:r>
          <w:rPr>
            <w:noProof/>
            <w:webHidden/>
          </w:rPr>
          <w:tab/>
        </w:r>
        <w:r>
          <w:rPr>
            <w:noProof/>
            <w:webHidden/>
          </w:rPr>
          <w:fldChar w:fldCharType="begin"/>
        </w:r>
        <w:r>
          <w:rPr>
            <w:noProof/>
            <w:webHidden/>
          </w:rPr>
          <w:instrText xml:space="preserve"> PAGEREF _Toc239174980 \h </w:instrText>
        </w:r>
        <w:r>
          <w:rPr>
            <w:noProof/>
            <w:webHidden/>
          </w:rPr>
        </w:r>
        <w:r>
          <w:rPr>
            <w:noProof/>
            <w:webHidden/>
          </w:rPr>
          <w:fldChar w:fldCharType="separate"/>
        </w:r>
        <w:r>
          <w:rPr>
            <w:noProof/>
            <w:webHidden/>
          </w:rPr>
          <w:t>37</w:t>
        </w:r>
        <w:r>
          <w:rPr>
            <w:noProof/>
            <w:webHidden/>
          </w:rPr>
          <w:fldChar w:fldCharType="end"/>
        </w:r>
      </w:hyperlink>
    </w:p>
    <w:p w14:paraId="5730F924" w14:textId="189E0D09"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1" w:history="1">
        <w:r w:rsidRPr="000556C1">
          <w:rPr>
            <w:rStyle w:val="Hyperlink"/>
            <w:noProof/>
          </w:rPr>
          <w:t>Usługi Komunikacyjne Azure</w:t>
        </w:r>
        <w:r>
          <w:rPr>
            <w:noProof/>
            <w:webHidden/>
          </w:rPr>
          <w:tab/>
        </w:r>
        <w:r>
          <w:rPr>
            <w:noProof/>
            <w:webHidden/>
          </w:rPr>
          <w:fldChar w:fldCharType="begin"/>
        </w:r>
        <w:r>
          <w:rPr>
            <w:noProof/>
            <w:webHidden/>
          </w:rPr>
          <w:instrText xml:space="preserve"> PAGEREF _Toc239174981 \h </w:instrText>
        </w:r>
        <w:r>
          <w:rPr>
            <w:noProof/>
            <w:webHidden/>
          </w:rPr>
        </w:r>
        <w:r>
          <w:rPr>
            <w:noProof/>
            <w:webHidden/>
          </w:rPr>
          <w:fldChar w:fldCharType="separate"/>
        </w:r>
        <w:r>
          <w:rPr>
            <w:noProof/>
            <w:webHidden/>
          </w:rPr>
          <w:t>38</w:t>
        </w:r>
        <w:r>
          <w:rPr>
            <w:noProof/>
            <w:webHidden/>
          </w:rPr>
          <w:fldChar w:fldCharType="end"/>
        </w:r>
      </w:hyperlink>
    </w:p>
    <w:p w14:paraId="0CD2C920" w14:textId="3CA8B774"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2" w:history="1">
        <w:r w:rsidRPr="000556C1">
          <w:rPr>
            <w:rStyle w:val="Hyperlink"/>
            <w:noProof/>
          </w:rPr>
          <w:t>Azure Confidential Ledger</w:t>
        </w:r>
        <w:r>
          <w:rPr>
            <w:noProof/>
            <w:webHidden/>
          </w:rPr>
          <w:tab/>
        </w:r>
        <w:r>
          <w:rPr>
            <w:noProof/>
            <w:webHidden/>
          </w:rPr>
          <w:fldChar w:fldCharType="begin"/>
        </w:r>
        <w:r>
          <w:rPr>
            <w:noProof/>
            <w:webHidden/>
          </w:rPr>
          <w:instrText xml:space="preserve"> PAGEREF _Toc239174982 \h </w:instrText>
        </w:r>
        <w:r>
          <w:rPr>
            <w:noProof/>
            <w:webHidden/>
          </w:rPr>
        </w:r>
        <w:r>
          <w:rPr>
            <w:noProof/>
            <w:webHidden/>
          </w:rPr>
          <w:fldChar w:fldCharType="separate"/>
        </w:r>
        <w:r>
          <w:rPr>
            <w:noProof/>
            <w:webHidden/>
          </w:rPr>
          <w:t>38</w:t>
        </w:r>
        <w:r>
          <w:rPr>
            <w:noProof/>
            <w:webHidden/>
          </w:rPr>
          <w:fldChar w:fldCharType="end"/>
        </w:r>
      </w:hyperlink>
    </w:p>
    <w:p w14:paraId="0D7A8B72" w14:textId="2B8B17F6"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3" w:history="1">
        <w:r w:rsidRPr="000556C1">
          <w:rPr>
            <w:rStyle w:val="Hyperlink"/>
            <w:noProof/>
          </w:rPr>
          <w:t>Azure Container Apps</w:t>
        </w:r>
        <w:r>
          <w:rPr>
            <w:noProof/>
            <w:webHidden/>
          </w:rPr>
          <w:tab/>
        </w:r>
        <w:r>
          <w:rPr>
            <w:noProof/>
            <w:webHidden/>
          </w:rPr>
          <w:fldChar w:fldCharType="begin"/>
        </w:r>
        <w:r>
          <w:rPr>
            <w:noProof/>
            <w:webHidden/>
          </w:rPr>
          <w:instrText xml:space="preserve"> PAGEREF _Toc239174983 \h </w:instrText>
        </w:r>
        <w:r>
          <w:rPr>
            <w:noProof/>
            <w:webHidden/>
          </w:rPr>
        </w:r>
        <w:r>
          <w:rPr>
            <w:noProof/>
            <w:webHidden/>
          </w:rPr>
          <w:fldChar w:fldCharType="separate"/>
        </w:r>
        <w:r>
          <w:rPr>
            <w:noProof/>
            <w:webHidden/>
          </w:rPr>
          <w:t>38</w:t>
        </w:r>
        <w:r>
          <w:rPr>
            <w:noProof/>
            <w:webHidden/>
          </w:rPr>
          <w:fldChar w:fldCharType="end"/>
        </w:r>
      </w:hyperlink>
    </w:p>
    <w:p w14:paraId="31445E72" w14:textId="65BDB597"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4" w:history="1">
        <w:r w:rsidRPr="000556C1">
          <w:rPr>
            <w:rStyle w:val="Hyperlink"/>
            <w:noProof/>
          </w:rPr>
          <w:t>Azure Container Instances</w:t>
        </w:r>
        <w:r>
          <w:rPr>
            <w:noProof/>
            <w:webHidden/>
          </w:rPr>
          <w:tab/>
        </w:r>
        <w:r>
          <w:rPr>
            <w:noProof/>
            <w:webHidden/>
          </w:rPr>
          <w:fldChar w:fldCharType="begin"/>
        </w:r>
        <w:r>
          <w:rPr>
            <w:noProof/>
            <w:webHidden/>
          </w:rPr>
          <w:instrText xml:space="preserve"> PAGEREF _Toc239174984 \h </w:instrText>
        </w:r>
        <w:r>
          <w:rPr>
            <w:noProof/>
            <w:webHidden/>
          </w:rPr>
        </w:r>
        <w:r>
          <w:rPr>
            <w:noProof/>
            <w:webHidden/>
          </w:rPr>
          <w:fldChar w:fldCharType="separate"/>
        </w:r>
        <w:r>
          <w:rPr>
            <w:noProof/>
            <w:webHidden/>
          </w:rPr>
          <w:t>39</w:t>
        </w:r>
        <w:r>
          <w:rPr>
            <w:noProof/>
            <w:webHidden/>
          </w:rPr>
          <w:fldChar w:fldCharType="end"/>
        </w:r>
      </w:hyperlink>
    </w:p>
    <w:p w14:paraId="26E80093" w14:textId="37CC010D"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5" w:history="1">
        <w:r w:rsidRPr="000556C1">
          <w:rPr>
            <w:rStyle w:val="Hyperlink"/>
            <w:noProof/>
          </w:rPr>
          <w:t>Azure Container Registry</w:t>
        </w:r>
        <w:r>
          <w:rPr>
            <w:noProof/>
            <w:webHidden/>
          </w:rPr>
          <w:tab/>
        </w:r>
        <w:r>
          <w:rPr>
            <w:noProof/>
            <w:webHidden/>
          </w:rPr>
          <w:fldChar w:fldCharType="begin"/>
        </w:r>
        <w:r>
          <w:rPr>
            <w:noProof/>
            <w:webHidden/>
          </w:rPr>
          <w:instrText xml:space="preserve"> PAGEREF _Toc239174985 \h </w:instrText>
        </w:r>
        <w:r>
          <w:rPr>
            <w:noProof/>
            <w:webHidden/>
          </w:rPr>
        </w:r>
        <w:r>
          <w:rPr>
            <w:noProof/>
            <w:webHidden/>
          </w:rPr>
          <w:fldChar w:fldCharType="separate"/>
        </w:r>
        <w:r>
          <w:rPr>
            <w:noProof/>
            <w:webHidden/>
          </w:rPr>
          <w:t>39</w:t>
        </w:r>
        <w:r>
          <w:rPr>
            <w:noProof/>
            <w:webHidden/>
          </w:rPr>
          <w:fldChar w:fldCharType="end"/>
        </w:r>
      </w:hyperlink>
    </w:p>
    <w:p w14:paraId="2D6AD3FB" w14:textId="4B753957"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6" w:history="1">
        <w:r w:rsidRPr="000556C1">
          <w:rPr>
            <w:rStyle w:val="Hyperlink"/>
            <w:noProof/>
          </w:rPr>
          <w:t>Content Delivery Network (CDN)</w:t>
        </w:r>
        <w:r>
          <w:rPr>
            <w:noProof/>
            <w:webHidden/>
          </w:rPr>
          <w:tab/>
        </w:r>
        <w:r>
          <w:rPr>
            <w:noProof/>
            <w:webHidden/>
          </w:rPr>
          <w:fldChar w:fldCharType="begin"/>
        </w:r>
        <w:r>
          <w:rPr>
            <w:noProof/>
            <w:webHidden/>
          </w:rPr>
          <w:instrText xml:space="preserve"> PAGEREF _Toc239174986 \h </w:instrText>
        </w:r>
        <w:r>
          <w:rPr>
            <w:noProof/>
            <w:webHidden/>
          </w:rPr>
        </w:r>
        <w:r>
          <w:rPr>
            <w:noProof/>
            <w:webHidden/>
          </w:rPr>
          <w:fldChar w:fldCharType="separate"/>
        </w:r>
        <w:r>
          <w:rPr>
            <w:noProof/>
            <w:webHidden/>
          </w:rPr>
          <w:t>40</w:t>
        </w:r>
        <w:r>
          <w:rPr>
            <w:noProof/>
            <w:webHidden/>
          </w:rPr>
          <w:fldChar w:fldCharType="end"/>
        </w:r>
      </w:hyperlink>
    </w:p>
    <w:p w14:paraId="76531015" w14:textId="1BD4C4E8"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7" w:history="1">
        <w:r w:rsidRPr="000556C1">
          <w:rPr>
            <w:rStyle w:val="Hyperlink"/>
            <w:noProof/>
          </w:rPr>
          <w:t>Azure Cosmos DB</w:t>
        </w:r>
        <w:r>
          <w:rPr>
            <w:noProof/>
            <w:webHidden/>
          </w:rPr>
          <w:tab/>
        </w:r>
        <w:r>
          <w:rPr>
            <w:noProof/>
            <w:webHidden/>
          </w:rPr>
          <w:fldChar w:fldCharType="begin"/>
        </w:r>
        <w:r>
          <w:rPr>
            <w:noProof/>
            <w:webHidden/>
          </w:rPr>
          <w:instrText xml:space="preserve"> PAGEREF _Toc239174987 \h </w:instrText>
        </w:r>
        <w:r>
          <w:rPr>
            <w:noProof/>
            <w:webHidden/>
          </w:rPr>
        </w:r>
        <w:r>
          <w:rPr>
            <w:noProof/>
            <w:webHidden/>
          </w:rPr>
          <w:fldChar w:fldCharType="separate"/>
        </w:r>
        <w:r>
          <w:rPr>
            <w:noProof/>
            <w:webHidden/>
          </w:rPr>
          <w:t>40</w:t>
        </w:r>
        <w:r>
          <w:rPr>
            <w:noProof/>
            <w:webHidden/>
          </w:rPr>
          <w:fldChar w:fldCharType="end"/>
        </w:r>
      </w:hyperlink>
    </w:p>
    <w:p w14:paraId="6B9CF5E7" w14:textId="36910C93"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8" w:history="1">
        <w:r w:rsidRPr="000556C1">
          <w:rPr>
            <w:rStyle w:val="Hyperlink"/>
            <w:noProof/>
          </w:rPr>
          <w:t>Data Catalog</w:t>
        </w:r>
        <w:r>
          <w:rPr>
            <w:noProof/>
            <w:webHidden/>
          </w:rPr>
          <w:tab/>
        </w:r>
        <w:r>
          <w:rPr>
            <w:noProof/>
            <w:webHidden/>
          </w:rPr>
          <w:fldChar w:fldCharType="begin"/>
        </w:r>
        <w:r>
          <w:rPr>
            <w:noProof/>
            <w:webHidden/>
          </w:rPr>
          <w:instrText xml:space="preserve"> PAGEREF _Toc239174988 \h </w:instrText>
        </w:r>
        <w:r>
          <w:rPr>
            <w:noProof/>
            <w:webHidden/>
          </w:rPr>
        </w:r>
        <w:r>
          <w:rPr>
            <w:noProof/>
            <w:webHidden/>
          </w:rPr>
          <w:fldChar w:fldCharType="separate"/>
        </w:r>
        <w:r>
          <w:rPr>
            <w:noProof/>
            <w:webHidden/>
          </w:rPr>
          <w:t>44</w:t>
        </w:r>
        <w:r>
          <w:rPr>
            <w:noProof/>
            <w:webHidden/>
          </w:rPr>
          <w:fldChar w:fldCharType="end"/>
        </w:r>
      </w:hyperlink>
    </w:p>
    <w:p w14:paraId="7F929DEB" w14:textId="03EC5BF6" w:rsidR="00A93882" w:rsidRDefault="00A93882">
      <w:pPr>
        <w:pStyle w:val="TOC4"/>
        <w:rPr>
          <w:rFonts w:eastAsiaTheme="minorEastAsia"/>
          <w:smallCaps w:val="0"/>
          <w:noProof/>
          <w:kern w:val="2"/>
          <w:sz w:val="24"/>
          <w:szCs w:val="24"/>
          <w:lang w:val="en-US" w:eastAsia="zh-CN" w:bidi="he-IL"/>
          <w14:ligatures w14:val="standardContextual"/>
        </w:rPr>
      </w:pPr>
      <w:hyperlink w:anchor="_Toc239174989" w:history="1">
        <w:r w:rsidRPr="000556C1">
          <w:rPr>
            <w:rStyle w:val="Hyperlink"/>
            <w:noProof/>
          </w:rPr>
          <w:t>Azure Data Explorer (Kusto)</w:t>
        </w:r>
        <w:r>
          <w:rPr>
            <w:noProof/>
            <w:webHidden/>
          </w:rPr>
          <w:tab/>
        </w:r>
        <w:r>
          <w:rPr>
            <w:noProof/>
            <w:webHidden/>
          </w:rPr>
          <w:fldChar w:fldCharType="begin"/>
        </w:r>
        <w:r>
          <w:rPr>
            <w:noProof/>
            <w:webHidden/>
          </w:rPr>
          <w:instrText xml:space="preserve"> PAGEREF _Toc239174989 \h </w:instrText>
        </w:r>
        <w:r>
          <w:rPr>
            <w:noProof/>
            <w:webHidden/>
          </w:rPr>
        </w:r>
        <w:r>
          <w:rPr>
            <w:noProof/>
            <w:webHidden/>
          </w:rPr>
          <w:fldChar w:fldCharType="separate"/>
        </w:r>
        <w:r>
          <w:rPr>
            <w:noProof/>
            <w:webHidden/>
          </w:rPr>
          <w:t>44</w:t>
        </w:r>
        <w:r>
          <w:rPr>
            <w:noProof/>
            <w:webHidden/>
          </w:rPr>
          <w:fldChar w:fldCharType="end"/>
        </w:r>
      </w:hyperlink>
    </w:p>
    <w:p w14:paraId="36C13C14" w14:textId="4FBB79DD"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0" w:history="1">
        <w:r w:rsidRPr="000556C1">
          <w:rPr>
            <w:rStyle w:val="Hyperlink"/>
            <w:noProof/>
          </w:rPr>
          <w:t>Azure Data Factory</w:t>
        </w:r>
        <w:r>
          <w:rPr>
            <w:noProof/>
            <w:webHidden/>
          </w:rPr>
          <w:tab/>
        </w:r>
        <w:r>
          <w:rPr>
            <w:noProof/>
            <w:webHidden/>
          </w:rPr>
          <w:fldChar w:fldCharType="begin"/>
        </w:r>
        <w:r>
          <w:rPr>
            <w:noProof/>
            <w:webHidden/>
          </w:rPr>
          <w:instrText xml:space="preserve"> PAGEREF _Toc239174990 \h </w:instrText>
        </w:r>
        <w:r>
          <w:rPr>
            <w:noProof/>
            <w:webHidden/>
          </w:rPr>
        </w:r>
        <w:r>
          <w:rPr>
            <w:noProof/>
            <w:webHidden/>
          </w:rPr>
          <w:fldChar w:fldCharType="separate"/>
        </w:r>
        <w:r>
          <w:rPr>
            <w:noProof/>
            <w:webHidden/>
          </w:rPr>
          <w:t>45</w:t>
        </w:r>
        <w:r>
          <w:rPr>
            <w:noProof/>
            <w:webHidden/>
          </w:rPr>
          <w:fldChar w:fldCharType="end"/>
        </w:r>
      </w:hyperlink>
    </w:p>
    <w:p w14:paraId="2E2AA0E9" w14:textId="1A68D047"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1" w:history="1">
        <w:r w:rsidRPr="000556C1">
          <w:rPr>
            <w:rStyle w:val="Hyperlink"/>
            <w:noProof/>
          </w:rPr>
          <w:t>Data Lake Analytics</w:t>
        </w:r>
        <w:r>
          <w:rPr>
            <w:noProof/>
            <w:webHidden/>
          </w:rPr>
          <w:tab/>
        </w:r>
        <w:r>
          <w:rPr>
            <w:noProof/>
            <w:webHidden/>
          </w:rPr>
          <w:fldChar w:fldCharType="begin"/>
        </w:r>
        <w:r>
          <w:rPr>
            <w:noProof/>
            <w:webHidden/>
          </w:rPr>
          <w:instrText xml:space="preserve"> PAGEREF _Toc239174991 \h </w:instrText>
        </w:r>
        <w:r>
          <w:rPr>
            <w:noProof/>
            <w:webHidden/>
          </w:rPr>
        </w:r>
        <w:r>
          <w:rPr>
            <w:noProof/>
            <w:webHidden/>
          </w:rPr>
          <w:fldChar w:fldCharType="separate"/>
        </w:r>
        <w:r>
          <w:rPr>
            <w:noProof/>
            <w:webHidden/>
          </w:rPr>
          <w:t>46</w:t>
        </w:r>
        <w:r>
          <w:rPr>
            <w:noProof/>
            <w:webHidden/>
          </w:rPr>
          <w:fldChar w:fldCharType="end"/>
        </w:r>
      </w:hyperlink>
    </w:p>
    <w:p w14:paraId="346BD5B9" w14:textId="39ACF8D7"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2" w:history="1">
        <w:r w:rsidRPr="000556C1">
          <w:rPr>
            <w:rStyle w:val="Hyperlink"/>
            <w:noProof/>
          </w:rPr>
          <w:t>Data Lake Storage Gen1</w:t>
        </w:r>
        <w:r>
          <w:rPr>
            <w:noProof/>
            <w:webHidden/>
          </w:rPr>
          <w:tab/>
        </w:r>
        <w:r>
          <w:rPr>
            <w:noProof/>
            <w:webHidden/>
          </w:rPr>
          <w:fldChar w:fldCharType="begin"/>
        </w:r>
        <w:r>
          <w:rPr>
            <w:noProof/>
            <w:webHidden/>
          </w:rPr>
          <w:instrText xml:space="preserve"> PAGEREF _Toc239174992 \h </w:instrText>
        </w:r>
        <w:r>
          <w:rPr>
            <w:noProof/>
            <w:webHidden/>
          </w:rPr>
        </w:r>
        <w:r>
          <w:rPr>
            <w:noProof/>
            <w:webHidden/>
          </w:rPr>
          <w:fldChar w:fldCharType="separate"/>
        </w:r>
        <w:r>
          <w:rPr>
            <w:noProof/>
            <w:webHidden/>
          </w:rPr>
          <w:t>46</w:t>
        </w:r>
        <w:r>
          <w:rPr>
            <w:noProof/>
            <w:webHidden/>
          </w:rPr>
          <w:fldChar w:fldCharType="end"/>
        </w:r>
      </w:hyperlink>
    </w:p>
    <w:p w14:paraId="27F2F433" w14:textId="2CF1D22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3" w:history="1">
        <w:r w:rsidRPr="000556C1">
          <w:rPr>
            <w:rStyle w:val="Hyperlink"/>
            <w:noProof/>
          </w:rPr>
          <w:t>Azure Database for MariaDB</w:t>
        </w:r>
        <w:r>
          <w:rPr>
            <w:noProof/>
            <w:webHidden/>
          </w:rPr>
          <w:tab/>
        </w:r>
        <w:r>
          <w:rPr>
            <w:noProof/>
            <w:webHidden/>
          </w:rPr>
          <w:fldChar w:fldCharType="begin"/>
        </w:r>
        <w:r>
          <w:rPr>
            <w:noProof/>
            <w:webHidden/>
          </w:rPr>
          <w:instrText xml:space="preserve"> PAGEREF _Toc239174993 \h </w:instrText>
        </w:r>
        <w:r>
          <w:rPr>
            <w:noProof/>
            <w:webHidden/>
          </w:rPr>
        </w:r>
        <w:r>
          <w:rPr>
            <w:noProof/>
            <w:webHidden/>
          </w:rPr>
          <w:fldChar w:fldCharType="separate"/>
        </w:r>
        <w:r>
          <w:rPr>
            <w:noProof/>
            <w:webHidden/>
          </w:rPr>
          <w:t>46</w:t>
        </w:r>
        <w:r>
          <w:rPr>
            <w:noProof/>
            <w:webHidden/>
          </w:rPr>
          <w:fldChar w:fldCharType="end"/>
        </w:r>
      </w:hyperlink>
    </w:p>
    <w:p w14:paraId="2E8F01C6" w14:textId="0C47186D"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4" w:history="1">
        <w:r w:rsidRPr="000556C1">
          <w:rPr>
            <w:rStyle w:val="Hyperlink"/>
            <w:noProof/>
          </w:rPr>
          <w:t>Azure Database for MySQL</w:t>
        </w:r>
        <w:r>
          <w:rPr>
            <w:noProof/>
            <w:webHidden/>
          </w:rPr>
          <w:tab/>
        </w:r>
        <w:r>
          <w:rPr>
            <w:noProof/>
            <w:webHidden/>
          </w:rPr>
          <w:fldChar w:fldCharType="begin"/>
        </w:r>
        <w:r>
          <w:rPr>
            <w:noProof/>
            <w:webHidden/>
          </w:rPr>
          <w:instrText xml:space="preserve"> PAGEREF _Toc239174994 \h </w:instrText>
        </w:r>
        <w:r>
          <w:rPr>
            <w:noProof/>
            <w:webHidden/>
          </w:rPr>
        </w:r>
        <w:r>
          <w:rPr>
            <w:noProof/>
            <w:webHidden/>
          </w:rPr>
          <w:fldChar w:fldCharType="separate"/>
        </w:r>
        <w:r>
          <w:rPr>
            <w:noProof/>
            <w:webHidden/>
          </w:rPr>
          <w:t>47</w:t>
        </w:r>
        <w:r>
          <w:rPr>
            <w:noProof/>
            <w:webHidden/>
          </w:rPr>
          <w:fldChar w:fldCharType="end"/>
        </w:r>
      </w:hyperlink>
    </w:p>
    <w:p w14:paraId="3F43DA14" w14:textId="4E6FF112"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5" w:history="1">
        <w:r w:rsidRPr="000556C1">
          <w:rPr>
            <w:rStyle w:val="Hyperlink"/>
            <w:noProof/>
          </w:rPr>
          <w:t>Azure Database for PostgreSQL</w:t>
        </w:r>
        <w:r>
          <w:rPr>
            <w:noProof/>
            <w:webHidden/>
          </w:rPr>
          <w:tab/>
        </w:r>
        <w:r>
          <w:rPr>
            <w:noProof/>
            <w:webHidden/>
          </w:rPr>
          <w:fldChar w:fldCharType="begin"/>
        </w:r>
        <w:r>
          <w:rPr>
            <w:noProof/>
            <w:webHidden/>
          </w:rPr>
          <w:instrText xml:space="preserve"> PAGEREF _Toc239174995 \h </w:instrText>
        </w:r>
        <w:r>
          <w:rPr>
            <w:noProof/>
            <w:webHidden/>
          </w:rPr>
        </w:r>
        <w:r>
          <w:rPr>
            <w:noProof/>
            <w:webHidden/>
          </w:rPr>
          <w:fldChar w:fldCharType="separate"/>
        </w:r>
        <w:r>
          <w:rPr>
            <w:noProof/>
            <w:webHidden/>
          </w:rPr>
          <w:t>48</w:t>
        </w:r>
        <w:r>
          <w:rPr>
            <w:noProof/>
            <w:webHidden/>
          </w:rPr>
          <w:fldChar w:fldCharType="end"/>
        </w:r>
      </w:hyperlink>
    </w:p>
    <w:p w14:paraId="2912003E" w14:textId="4A0F5C4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6" w:history="1">
        <w:r w:rsidRPr="000556C1">
          <w:rPr>
            <w:rStyle w:val="Hyperlink"/>
            <w:noProof/>
          </w:rPr>
          <w:t>Azure Databricks</w:t>
        </w:r>
        <w:r>
          <w:rPr>
            <w:noProof/>
            <w:webHidden/>
          </w:rPr>
          <w:tab/>
        </w:r>
        <w:r>
          <w:rPr>
            <w:noProof/>
            <w:webHidden/>
          </w:rPr>
          <w:fldChar w:fldCharType="begin"/>
        </w:r>
        <w:r>
          <w:rPr>
            <w:noProof/>
            <w:webHidden/>
          </w:rPr>
          <w:instrText xml:space="preserve"> PAGEREF _Toc239174996 \h </w:instrText>
        </w:r>
        <w:r>
          <w:rPr>
            <w:noProof/>
            <w:webHidden/>
          </w:rPr>
        </w:r>
        <w:r>
          <w:rPr>
            <w:noProof/>
            <w:webHidden/>
          </w:rPr>
          <w:fldChar w:fldCharType="separate"/>
        </w:r>
        <w:r>
          <w:rPr>
            <w:noProof/>
            <w:webHidden/>
          </w:rPr>
          <w:t>49</w:t>
        </w:r>
        <w:r>
          <w:rPr>
            <w:noProof/>
            <w:webHidden/>
          </w:rPr>
          <w:fldChar w:fldCharType="end"/>
        </w:r>
      </w:hyperlink>
    </w:p>
    <w:p w14:paraId="32A00F3C" w14:textId="6BC42150"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7" w:history="1">
        <w:r w:rsidRPr="000556C1">
          <w:rPr>
            <w:rStyle w:val="Hyperlink"/>
            <w:noProof/>
          </w:rPr>
          <w:t>Azure Databricks Lakebase</w:t>
        </w:r>
        <w:r>
          <w:rPr>
            <w:noProof/>
            <w:webHidden/>
          </w:rPr>
          <w:tab/>
        </w:r>
        <w:r>
          <w:rPr>
            <w:noProof/>
            <w:webHidden/>
          </w:rPr>
          <w:fldChar w:fldCharType="begin"/>
        </w:r>
        <w:r>
          <w:rPr>
            <w:noProof/>
            <w:webHidden/>
          </w:rPr>
          <w:instrText xml:space="preserve"> PAGEREF _Toc239174997 \h </w:instrText>
        </w:r>
        <w:r>
          <w:rPr>
            <w:noProof/>
            <w:webHidden/>
          </w:rPr>
        </w:r>
        <w:r>
          <w:rPr>
            <w:noProof/>
            <w:webHidden/>
          </w:rPr>
          <w:fldChar w:fldCharType="separate"/>
        </w:r>
        <w:r>
          <w:rPr>
            <w:noProof/>
            <w:webHidden/>
          </w:rPr>
          <w:t>49</w:t>
        </w:r>
        <w:r>
          <w:rPr>
            <w:noProof/>
            <w:webHidden/>
          </w:rPr>
          <w:fldChar w:fldCharType="end"/>
        </w:r>
      </w:hyperlink>
    </w:p>
    <w:p w14:paraId="417539ED" w14:textId="2F3C69A9"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8" w:history="1">
        <w:r w:rsidRPr="000556C1">
          <w:rPr>
            <w:rStyle w:val="Hyperlink"/>
            <w:noProof/>
          </w:rPr>
          <w:t>Menedżer Danych Microsoft Azure for Energy</w:t>
        </w:r>
        <w:r>
          <w:rPr>
            <w:noProof/>
            <w:webHidden/>
          </w:rPr>
          <w:tab/>
        </w:r>
        <w:r>
          <w:rPr>
            <w:noProof/>
            <w:webHidden/>
          </w:rPr>
          <w:fldChar w:fldCharType="begin"/>
        </w:r>
        <w:r>
          <w:rPr>
            <w:noProof/>
            <w:webHidden/>
          </w:rPr>
          <w:instrText xml:space="preserve"> PAGEREF _Toc239174998 \h </w:instrText>
        </w:r>
        <w:r>
          <w:rPr>
            <w:noProof/>
            <w:webHidden/>
          </w:rPr>
        </w:r>
        <w:r>
          <w:rPr>
            <w:noProof/>
            <w:webHidden/>
          </w:rPr>
          <w:fldChar w:fldCharType="separate"/>
        </w:r>
        <w:r>
          <w:rPr>
            <w:noProof/>
            <w:webHidden/>
          </w:rPr>
          <w:t>50</w:t>
        </w:r>
        <w:r>
          <w:rPr>
            <w:noProof/>
            <w:webHidden/>
          </w:rPr>
          <w:fldChar w:fldCharType="end"/>
        </w:r>
      </w:hyperlink>
    </w:p>
    <w:p w14:paraId="493C1DBA" w14:textId="285C4791" w:rsidR="00A93882" w:rsidRDefault="00A93882">
      <w:pPr>
        <w:pStyle w:val="TOC4"/>
        <w:rPr>
          <w:rFonts w:eastAsiaTheme="minorEastAsia"/>
          <w:smallCaps w:val="0"/>
          <w:noProof/>
          <w:kern w:val="2"/>
          <w:sz w:val="24"/>
          <w:szCs w:val="24"/>
          <w:lang w:val="en-US" w:eastAsia="zh-CN" w:bidi="he-IL"/>
          <w14:ligatures w14:val="standardContextual"/>
        </w:rPr>
      </w:pPr>
      <w:hyperlink w:anchor="_Toc239174999" w:history="1">
        <w:r w:rsidRPr="000556C1">
          <w:rPr>
            <w:rStyle w:val="Hyperlink"/>
            <w:noProof/>
          </w:rPr>
          <w:t>Azure DDoS Protection</w:t>
        </w:r>
        <w:r>
          <w:rPr>
            <w:noProof/>
            <w:webHidden/>
          </w:rPr>
          <w:tab/>
        </w:r>
        <w:r>
          <w:rPr>
            <w:noProof/>
            <w:webHidden/>
          </w:rPr>
          <w:fldChar w:fldCharType="begin"/>
        </w:r>
        <w:r>
          <w:rPr>
            <w:noProof/>
            <w:webHidden/>
          </w:rPr>
          <w:instrText xml:space="preserve"> PAGEREF _Toc239174999 \h </w:instrText>
        </w:r>
        <w:r>
          <w:rPr>
            <w:noProof/>
            <w:webHidden/>
          </w:rPr>
        </w:r>
        <w:r>
          <w:rPr>
            <w:noProof/>
            <w:webHidden/>
          </w:rPr>
          <w:fldChar w:fldCharType="separate"/>
        </w:r>
        <w:r>
          <w:rPr>
            <w:noProof/>
            <w:webHidden/>
          </w:rPr>
          <w:t>51</w:t>
        </w:r>
        <w:r>
          <w:rPr>
            <w:noProof/>
            <w:webHidden/>
          </w:rPr>
          <w:fldChar w:fldCharType="end"/>
        </w:r>
      </w:hyperlink>
    </w:p>
    <w:p w14:paraId="224D403D" w14:textId="60C990A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0" w:history="1">
        <w:r w:rsidRPr="000556C1">
          <w:rPr>
            <w:rStyle w:val="Hyperlink"/>
            <w:noProof/>
          </w:rPr>
          <w:t>Azure Defender</w:t>
        </w:r>
        <w:r>
          <w:rPr>
            <w:noProof/>
            <w:webHidden/>
          </w:rPr>
          <w:tab/>
        </w:r>
        <w:r>
          <w:rPr>
            <w:noProof/>
            <w:webHidden/>
          </w:rPr>
          <w:fldChar w:fldCharType="begin"/>
        </w:r>
        <w:r>
          <w:rPr>
            <w:noProof/>
            <w:webHidden/>
          </w:rPr>
          <w:instrText xml:space="preserve"> PAGEREF _Toc239175000 \h </w:instrText>
        </w:r>
        <w:r>
          <w:rPr>
            <w:noProof/>
            <w:webHidden/>
          </w:rPr>
        </w:r>
        <w:r>
          <w:rPr>
            <w:noProof/>
            <w:webHidden/>
          </w:rPr>
          <w:fldChar w:fldCharType="separate"/>
        </w:r>
        <w:r>
          <w:rPr>
            <w:noProof/>
            <w:webHidden/>
          </w:rPr>
          <w:t>51</w:t>
        </w:r>
        <w:r>
          <w:rPr>
            <w:noProof/>
            <w:webHidden/>
          </w:rPr>
          <w:fldChar w:fldCharType="end"/>
        </w:r>
      </w:hyperlink>
    </w:p>
    <w:p w14:paraId="08A62B92" w14:textId="6F62899E"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1" w:history="1">
        <w:r w:rsidRPr="000556C1">
          <w:rPr>
            <w:rStyle w:val="Hyperlink"/>
            <w:noProof/>
          </w:rPr>
          <w:t>Defender External Attack Surface Management</w:t>
        </w:r>
        <w:r>
          <w:rPr>
            <w:noProof/>
            <w:webHidden/>
          </w:rPr>
          <w:tab/>
        </w:r>
        <w:r>
          <w:rPr>
            <w:noProof/>
            <w:webHidden/>
          </w:rPr>
          <w:fldChar w:fldCharType="begin"/>
        </w:r>
        <w:r>
          <w:rPr>
            <w:noProof/>
            <w:webHidden/>
          </w:rPr>
          <w:instrText xml:space="preserve"> PAGEREF _Toc239175001 \h </w:instrText>
        </w:r>
        <w:r>
          <w:rPr>
            <w:noProof/>
            <w:webHidden/>
          </w:rPr>
        </w:r>
        <w:r>
          <w:rPr>
            <w:noProof/>
            <w:webHidden/>
          </w:rPr>
          <w:fldChar w:fldCharType="separate"/>
        </w:r>
        <w:r>
          <w:rPr>
            <w:noProof/>
            <w:webHidden/>
          </w:rPr>
          <w:t>52</w:t>
        </w:r>
        <w:r>
          <w:rPr>
            <w:noProof/>
            <w:webHidden/>
          </w:rPr>
          <w:fldChar w:fldCharType="end"/>
        </w:r>
      </w:hyperlink>
    </w:p>
    <w:p w14:paraId="69E2377C" w14:textId="523D1FF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2" w:history="1">
        <w:r w:rsidRPr="000556C1">
          <w:rPr>
            <w:rStyle w:val="Hyperlink"/>
            <w:noProof/>
          </w:rPr>
          <w:t>Azure Dev Ops</w:t>
        </w:r>
        <w:r>
          <w:rPr>
            <w:noProof/>
            <w:webHidden/>
          </w:rPr>
          <w:tab/>
        </w:r>
        <w:r>
          <w:rPr>
            <w:noProof/>
            <w:webHidden/>
          </w:rPr>
          <w:fldChar w:fldCharType="begin"/>
        </w:r>
        <w:r>
          <w:rPr>
            <w:noProof/>
            <w:webHidden/>
          </w:rPr>
          <w:instrText xml:space="preserve"> PAGEREF _Toc239175002 \h </w:instrText>
        </w:r>
        <w:r>
          <w:rPr>
            <w:noProof/>
            <w:webHidden/>
          </w:rPr>
        </w:r>
        <w:r>
          <w:rPr>
            <w:noProof/>
            <w:webHidden/>
          </w:rPr>
          <w:fldChar w:fldCharType="separate"/>
        </w:r>
        <w:r>
          <w:rPr>
            <w:noProof/>
            <w:webHidden/>
          </w:rPr>
          <w:t>52</w:t>
        </w:r>
        <w:r>
          <w:rPr>
            <w:noProof/>
            <w:webHidden/>
          </w:rPr>
          <w:fldChar w:fldCharType="end"/>
        </w:r>
      </w:hyperlink>
    </w:p>
    <w:p w14:paraId="267779C6" w14:textId="56BAB8F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3" w:history="1">
        <w:r w:rsidRPr="000556C1">
          <w:rPr>
            <w:rStyle w:val="Hyperlink"/>
            <w:noProof/>
          </w:rPr>
          <w:t>Microsoft Dev Box</w:t>
        </w:r>
        <w:r>
          <w:rPr>
            <w:noProof/>
            <w:webHidden/>
          </w:rPr>
          <w:tab/>
        </w:r>
        <w:r>
          <w:rPr>
            <w:noProof/>
            <w:webHidden/>
          </w:rPr>
          <w:fldChar w:fldCharType="begin"/>
        </w:r>
        <w:r>
          <w:rPr>
            <w:noProof/>
            <w:webHidden/>
          </w:rPr>
          <w:instrText xml:space="preserve"> PAGEREF _Toc239175003 \h </w:instrText>
        </w:r>
        <w:r>
          <w:rPr>
            <w:noProof/>
            <w:webHidden/>
          </w:rPr>
        </w:r>
        <w:r>
          <w:rPr>
            <w:noProof/>
            <w:webHidden/>
          </w:rPr>
          <w:fldChar w:fldCharType="separate"/>
        </w:r>
        <w:r>
          <w:rPr>
            <w:noProof/>
            <w:webHidden/>
          </w:rPr>
          <w:t>53</w:t>
        </w:r>
        <w:r>
          <w:rPr>
            <w:noProof/>
            <w:webHidden/>
          </w:rPr>
          <w:fldChar w:fldCharType="end"/>
        </w:r>
      </w:hyperlink>
    </w:p>
    <w:p w14:paraId="50875FB8" w14:textId="07B50EBC"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4" w:history="1">
        <w:r w:rsidRPr="000556C1">
          <w:rPr>
            <w:rStyle w:val="Hyperlink"/>
            <w:noProof/>
          </w:rPr>
          <w:t>Azure Digital Twins</w:t>
        </w:r>
        <w:r>
          <w:rPr>
            <w:noProof/>
            <w:webHidden/>
          </w:rPr>
          <w:tab/>
        </w:r>
        <w:r>
          <w:rPr>
            <w:noProof/>
            <w:webHidden/>
          </w:rPr>
          <w:fldChar w:fldCharType="begin"/>
        </w:r>
        <w:r>
          <w:rPr>
            <w:noProof/>
            <w:webHidden/>
          </w:rPr>
          <w:instrText xml:space="preserve"> PAGEREF _Toc239175004 \h </w:instrText>
        </w:r>
        <w:r>
          <w:rPr>
            <w:noProof/>
            <w:webHidden/>
          </w:rPr>
        </w:r>
        <w:r>
          <w:rPr>
            <w:noProof/>
            <w:webHidden/>
          </w:rPr>
          <w:fldChar w:fldCharType="separate"/>
        </w:r>
        <w:r>
          <w:rPr>
            <w:noProof/>
            <w:webHidden/>
          </w:rPr>
          <w:t>53</w:t>
        </w:r>
        <w:r>
          <w:rPr>
            <w:noProof/>
            <w:webHidden/>
          </w:rPr>
          <w:fldChar w:fldCharType="end"/>
        </w:r>
      </w:hyperlink>
    </w:p>
    <w:p w14:paraId="746FF7EC" w14:textId="3772BDE2"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5" w:history="1">
        <w:r w:rsidRPr="000556C1">
          <w:rPr>
            <w:rStyle w:val="Hyperlink"/>
            <w:noProof/>
          </w:rPr>
          <w:t>Azure DNS</w:t>
        </w:r>
        <w:r>
          <w:rPr>
            <w:noProof/>
            <w:webHidden/>
          </w:rPr>
          <w:tab/>
        </w:r>
        <w:r>
          <w:rPr>
            <w:noProof/>
            <w:webHidden/>
          </w:rPr>
          <w:fldChar w:fldCharType="begin"/>
        </w:r>
        <w:r>
          <w:rPr>
            <w:noProof/>
            <w:webHidden/>
          </w:rPr>
          <w:instrText xml:space="preserve"> PAGEREF _Toc239175005 \h </w:instrText>
        </w:r>
        <w:r>
          <w:rPr>
            <w:noProof/>
            <w:webHidden/>
          </w:rPr>
        </w:r>
        <w:r>
          <w:rPr>
            <w:noProof/>
            <w:webHidden/>
          </w:rPr>
          <w:fldChar w:fldCharType="separate"/>
        </w:r>
        <w:r>
          <w:rPr>
            <w:noProof/>
            <w:webHidden/>
          </w:rPr>
          <w:t>54</w:t>
        </w:r>
        <w:r>
          <w:rPr>
            <w:noProof/>
            <w:webHidden/>
          </w:rPr>
          <w:fldChar w:fldCharType="end"/>
        </w:r>
      </w:hyperlink>
    </w:p>
    <w:p w14:paraId="06871006" w14:textId="2ADBFBC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6" w:history="1">
        <w:r w:rsidRPr="000556C1">
          <w:rPr>
            <w:rStyle w:val="Hyperlink"/>
            <w:noProof/>
          </w:rPr>
          <w:t>Azure DNS Private Resolver</w:t>
        </w:r>
        <w:r>
          <w:rPr>
            <w:noProof/>
            <w:webHidden/>
          </w:rPr>
          <w:tab/>
        </w:r>
        <w:r>
          <w:rPr>
            <w:noProof/>
            <w:webHidden/>
          </w:rPr>
          <w:fldChar w:fldCharType="begin"/>
        </w:r>
        <w:r>
          <w:rPr>
            <w:noProof/>
            <w:webHidden/>
          </w:rPr>
          <w:instrText xml:space="preserve"> PAGEREF _Toc239175006 \h </w:instrText>
        </w:r>
        <w:r>
          <w:rPr>
            <w:noProof/>
            <w:webHidden/>
          </w:rPr>
        </w:r>
        <w:r>
          <w:rPr>
            <w:noProof/>
            <w:webHidden/>
          </w:rPr>
          <w:fldChar w:fldCharType="separate"/>
        </w:r>
        <w:r>
          <w:rPr>
            <w:noProof/>
            <w:webHidden/>
          </w:rPr>
          <w:t>54</w:t>
        </w:r>
        <w:r>
          <w:rPr>
            <w:noProof/>
            <w:webHidden/>
          </w:rPr>
          <w:fldChar w:fldCharType="end"/>
        </w:r>
      </w:hyperlink>
    </w:p>
    <w:p w14:paraId="067E7041" w14:textId="143B04A4"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7" w:history="1">
        <w:r w:rsidRPr="000556C1">
          <w:rPr>
            <w:rStyle w:val="Hyperlink"/>
            <w:noProof/>
          </w:rPr>
          <w:t>Azure DocumentDB (zgodność z MongoDB)</w:t>
        </w:r>
        <w:r>
          <w:rPr>
            <w:noProof/>
            <w:webHidden/>
          </w:rPr>
          <w:tab/>
        </w:r>
        <w:r>
          <w:rPr>
            <w:noProof/>
            <w:webHidden/>
          </w:rPr>
          <w:fldChar w:fldCharType="begin"/>
        </w:r>
        <w:r>
          <w:rPr>
            <w:noProof/>
            <w:webHidden/>
          </w:rPr>
          <w:instrText xml:space="preserve"> PAGEREF _Toc239175007 \h </w:instrText>
        </w:r>
        <w:r>
          <w:rPr>
            <w:noProof/>
            <w:webHidden/>
          </w:rPr>
        </w:r>
        <w:r>
          <w:rPr>
            <w:noProof/>
            <w:webHidden/>
          </w:rPr>
          <w:fldChar w:fldCharType="separate"/>
        </w:r>
        <w:r>
          <w:rPr>
            <w:noProof/>
            <w:webHidden/>
          </w:rPr>
          <w:t>55</w:t>
        </w:r>
        <w:r>
          <w:rPr>
            <w:noProof/>
            <w:webHidden/>
          </w:rPr>
          <w:fldChar w:fldCharType="end"/>
        </w:r>
      </w:hyperlink>
    </w:p>
    <w:p w14:paraId="3BA51853" w14:textId="7384563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8" w:history="1">
        <w:r w:rsidRPr="000556C1">
          <w:rPr>
            <w:rStyle w:val="Hyperlink"/>
            <w:noProof/>
          </w:rPr>
          <w:t>Umowa SLA na Elastic San</w:t>
        </w:r>
        <w:r>
          <w:rPr>
            <w:noProof/>
            <w:webHidden/>
          </w:rPr>
          <w:tab/>
        </w:r>
        <w:r>
          <w:rPr>
            <w:noProof/>
            <w:webHidden/>
          </w:rPr>
          <w:fldChar w:fldCharType="begin"/>
        </w:r>
        <w:r>
          <w:rPr>
            <w:noProof/>
            <w:webHidden/>
          </w:rPr>
          <w:instrText xml:space="preserve"> PAGEREF _Toc239175008 \h </w:instrText>
        </w:r>
        <w:r>
          <w:rPr>
            <w:noProof/>
            <w:webHidden/>
          </w:rPr>
        </w:r>
        <w:r>
          <w:rPr>
            <w:noProof/>
            <w:webHidden/>
          </w:rPr>
          <w:fldChar w:fldCharType="separate"/>
        </w:r>
        <w:r>
          <w:rPr>
            <w:noProof/>
            <w:webHidden/>
          </w:rPr>
          <w:t>55</w:t>
        </w:r>
        <w:r>
          <w:rPr>
            <w:noProof/>
            <w:webHidden/>
          </w:rPr>
          <w:fldChar w:fldCharType="end"/>
        </w:r>
      </w:hyperlink>
    </w:p>
    <w:p w14:paraId="47A2F029" w14:textId="03B8FAA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09" w:history="1">
        <w:r w:rsidRPr="000556C1">
          <w:rPr>
            <w:rStyle w:val="Hyperlink"/>
            <w:noProof/>
          </w:rPr>
          <w:t>Event Grid</w:t>
        </w:r>
        <w:r>
          <w:rPr>
            <w:noProof/>
            <w:webHidden/>
          </w:rPr>
          <w:tab/>
        </w:r>
        <w:r>
          <w:rPr>
            <w:noProof/>
            <w:webHidden/>
          </w:rPr>
          <w:fldChar w:fldCharType="begin"/>
        </w:r>
        <w:r>
          <w:rPr>
            <w:noProof/>
            <w:webHidden/>
          </w:rPr>
          <w:instrText xml:space="preserve"> PAGEREF _Toc239175009 \h </w:instrText>
        </w:r>
        <w:r>
          <w:rPr>
            <w:noProof/>
            <w:webHidden/>
          </w:rPr>
        </w:r>
        <w:r>
          <w:rPr>
            <w:noProof/>
            <w:webHidden/>
          </w:rPr>
          <w:fldChar w:fldCharType="separate"/>
        </w:r>
        <w:r>
          <w:rPr>
            <w:noProof/>
            <w:webHidden/>
          </w:rPr>
          <w:t>56</w:t>
        </w:r>
        <w:r>
          <w:rPr>
            <w:noProof/>
            <w:webHidden/>
          </w:rPr>
          <w:fldChar w:fldCharType="end"/>
        </w:r>
      </w:hyperlink>
    </w:p>
    <w:p w14:paraId="50E41DB9" w14:textId="7F6E483C"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0" w:history="1">
        <w:r w:rsidRPr="000556C1">
          <w:rPr>
            <w:rStyle w:val="Hyperlink"/>
            <w:noProof/>
          </w:rPr>
          <w:t>Magazyn z Nadmiarem Geograficznym (GRS) - Replikacja Priorytetowa</w:t>
        </w:r>
        <w:r>
          <w:rPr>
            <w:noProof/>
            <w:webHidden/>
          </w:rPr>
          <w:tab/>
        </w:r>
        <w:r>
          <w:rPr>
            <w:noProof/>
            <w:webHidden/>
          </w:rPr>
          <w:fldChar w:fldCharType="begin"/>
        </w:r>
        <w:r>
          <w:rPr>
            <w:noProof/>
            <w:webHidden/>
          </w:rPr>
          <w:instrText xml:space="preserve"> PAGEREF _Toc239175010 \h </w:instrText>
        </w:r>
        <w:r>
          <w:rPr>
            <w:noProof/>
            <w:webHidden/>
          </w:rPr>
        </w:r>
        <w:r>
          <w:rPr>
            <w:noProof/>
            <w:webHidden/>
          </w:rPr>
          <w:fldChar w:fldCharType="separate"/>
        </w:r>
        <w:r>
          <w:rPr>
            <w:noProof/>
            <w:webHidden/>
          </w:rPr>
          <w:t>56</w:t>
        </w:r>
        <w:r>
          <w:rPr>
            <w:noProof/>
            <w:webHidden/>
          </w:rPr>
          <w:fldChar w:fldCharType="end"/>
        </w:r>
      </w:hyperlink>
    </w:p>
    <w:p w14:paraId="5A553153" w14:textId="64409968"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1" w:history="1">
        <w:r w:rsidRPr="000556C1">
          <w:rPr>
            <w:rStyle w:val="Hyperlink"/>
            <w:noProof/>
          </w:rPr>
          <w:t>Centra Zdarzeń</w:t>
        </w:r>
        <w:r>
          <w:rPr>
            <w:noProof/>
            <w:webHidden/>
          </w:rPr>
          <w:tab/>
        </w:r>
        <w:r>
          <w:rPr>
            <w:noProof/>
            <w:webHidden/>
          </w:rPr>
          <w:fldChar w:fldCharType="begin"/>
        </w:r>
        <w:r>
          <w:rPr>
            <w:noProof/>
            <w:webHidden/>
          </w:rPr>
          <w:instrText xml:space="preserve"> PAGEREF _Toc239175011 \h </w:instrText>
        </w:r>
        <w:r>
          <w:rPr>
            <w:noProof/>
            <w:webHidden/>
          </w:rPr>
        </w:r>
        <w:r>
          <w:rPr>
            <w:noProof/>
            <w:webHidden/>
          </w:rPr>
          <w:fldChar w:fldCharType="separate"/>
        </w:r>
        <w:r>
          <w:rPr>
            <w:noProof/>
            <w:webHidden/>
          </w:rPr>
          <w:t>57</w:t>
        </w:r>
        <w:r>
          <w:rPr>
            <w:noProof/>
            <w:webHidden/>
          </w:rPr>
          <w:fldChar w:fldCharType="end"/>
        </w:r>
      </w:hyperlink>
    </w:p>
    <w:p w14:paraId="1152254E" w14:textId="3DB9A14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2" w:history="1">
        <w:r w:rsidRPr="000556C1">
          <w:rPr>
            <w:rStyle w:val="Hyperlink"/>
            <w:noProof/>
          </w:rPr>
          <w:t>Azure ExpressRoute</w:t>
        </w:r>
        <w:r>
          <w:rPr>
            <w:noProof/>
            <w:webHidden/>
          </w:rPr>
          <w:tab/>
        </w:r>
        <w:r>
          <w:rPr>
            <w:noProof/>
            <w:webHidden/>
          </w:rPr>
          <w:fldChar w:fldCharType="begin"/>
        </w:r>
        <w:r>
          <w:rPr>
            <w:noProof/>
            <w:webHidden/>
          </w:rPr>
          <w:instrText xml:space="preserve"> PAGEREF _Toc239175012 \h </w:instrText>
        </w:r>
        <w:r>
          <w:rPr>
            <w:noProof/>
            <w:webHidden/>
          </w:rPr>
        </w:r>
        <w:r>
          <w:rPr>
            <w:noProof/>
            <w:webHidden/>
          </w:rPr>
          <w:fldChar w:fldCharType="separate"/>
        </w:r>
        <w:r>
          <w:rPr>
            <w:noProof/>
            <w:webHidden/>
          </w:rPr>
          <w:t>58</w:t>
        </w:r>
        <w:r>
          <w:rPr>
            <w:noProof/>
            <w:webHidden/>
          </w:rPr>
          <w:fldChar w:fldCharType="end"/>
        </w:r>
      </w:hyperlink>
    </w:p>
    <w:p w14:paraId="176DE73F" w14:textId="6807209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3" w:history="1">
        <w:r w:rsidRPr="000556C1">
          <w:rPr>
            <w:rStyle w:val="Hyperlink"/>
            <w:noProof/>
          </w:rPr>
          <w:t>Azure ExpressRoute Traffic Collector</w:t>
        </w:r>
        <w:r>
          <w:rPr>
            <w:noProof/>
            <w:webHidden/>
          </w:rPr>
          <w:tab/>
        </w:r>
        <w:r>
          <w:rPr>
            <w:noProof/>
            <w:webHidden/>
          </w:rPr>
          <w:fldChar w:fldCharType="begin"/>
        </w:r>
        <w:r>
          <w:rPr>
            <w:noProof/>
            <w:webHidden/>
          </w:rPr>
          <w:instrText xml:space="preserve"> PAGEREF _Toc239175013 \h </w:instrText>
        </w:r>
        <w:r>
          <w:rPr>
            <w:noProof/>
            <w:webHidden/>
          </w:rPr>
        </w:r>
        <w:r>
          <w:rPr>
            <w:noProof/>
            <w:webHidden/>
          </w:rPr>
          <w:fldChar w:fldCharType="separate"/>
        </w:r>
        <w:r>
          <w:rPr>
            <w:noProof/>
            <w:webHidden/>
          </w:rPr>
          <w:t>59</w:t>
        </w:r>
        <w:r>
          <w:rPr>
            <w:noProof/>
            <w:webHidden/>
          </w:rPr>
          <w:fldChar w:fldCharType="end"/>
        </w:r>
      </w:hyperlink>
    </w:p>
    <w:p w14:paraId="6E4D216B" w14:textId="3C0BDFB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4" w:history="1">
        <w:r w:rsidRPr="000556C1">
          <w:rPr>
            <w:rStyle w:val="Hyperlink"/>
            <w:noProof/>
          </w:rPr>
          <w:t xml:space="preserve">Warstwa Premium </w:t>
        </w:r>
        <w:r w:rsidRPr="000556C1">
          <w:rPr>
            <w:rStyle w:val="Hyperlink"/>
            <w:noProof/>
            <w:bdr w:val="none" w:sz="0" w:space="0" w:color="auto" w:frame="1"/>
          </w:rPr>
          <w:t>usługi Azure Files</w:t>
        </w:r>
        <w:r>
          <w:rPr>
            <w:noProof/>
            <w:webHidden/>
          </w:rPr>
          <w:tab/>
        </w:r>
        <w:r>
          <w:rPr>
            <w:noProof/>
            <w:webHidden/>
          </w:rPr>
          <w:fldChar w:fldCharType="begin"/>
        </w:r>
        <w:r>
          <w:rPr>
            <w:noProof/>
            <w:webHidden/>
          </w:rPr>
          <w:instrText xml:space="preserve"> PAGEREF _Toc239175014 \h </w:instrText>
        </w:r>
        <w:r>
          <w:rPr>
            <w:noProof/>
            <w:webHidden/>
          </w:rPr>
        </w:r>
        <w:r>
          <w:rPr>
            <w:noProof/>
            <w:webHidden/>
          </w:rPr>
          <w:fldChar w:fldCharType="separate"/>
        </w:r>
        <w:r>
          <w:rPr>
            <w:noProof/>
            <w:webHidden/>
          </w:rPr>
          <w:t>59</w:t>
        </w:r>
        <w:r>
          <w:rPr>
            <w:noProof/>
            <w:webHidden/>
          </w:rPr>
          <w:fldChar w:fldCharType="end"/>
        </w:r>
      </w:hyperlink>
    </w:p>
    <w:p w14:paraId="2007F54B" w14:textId="3365CFF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5" w:history="1">
        <w:r w:rsidRPr="000556C1">
          <w:rPr>
            <w:rStyle w:val="Hyperlink"/>
            <w:noProof/>
          </w:rPr>
          <w:t>Azure Firewall</w:t>
        </w:r>
        <w:r>
          <w:rPr>
            <w:noProof/>
            <w:webHidden/>
          </w:rPr>
          <w:tab/>
        </w:r>
        <w:r>
          <w:rPr>
            <w:noProof/>
            <w:webHidden/>
          </w:rPr>
          <w:fldChar w:fldCharType="begin"/>
        </w:r>
        <w:r>
          <w:rPr>
            <w:noProof/>
            <w:webHidden/>
          </w:rPr>
          <w:instrText xml:space="preserve"> PAGEREF _Toc239175015 \h </w:instrText>
        </w:r>
        <w:r>
          <w:rPr>
            <w:noProof/>
            <w:webHidden/>
          </w:rPr>
        </w:r>
        <w:r>
          <w:rPr>
            <w:noProof/>
            <w:webHidden/>
          </w:rPr>
          <w:fldChar w:fldCharType="separate"/>
        </w:r>
        <w:r>
          <w:rPr>
            <w:noProof/>
            <w:webHidden/>
          </w:rPr>
          <w:t>60</w:t>
        </w:r>
        <w:r>
          <w:rPr>
            <w:noProof/>
            <w:webHidden/>
          </w:rPr>
          <w:fldChar w:fldCharType="end"/>
        </w:r>
      </w:hyperlink>
    </w:p>
    <w:p w14:paraId="6C59F59E" w14:textId="33F0AB6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6" w:history="1">
        <w:r w:rsidRPr="000556C1">
          <w:rPr>
            <w:rStyle w:val="Hyperlink"/>
            <w:noProof/>
          </w:rPr>
          <w:t>Azure Fluid Relay</w:t>
        </w:r>
        <w:r>
          <w:rPr>
            <w:noProof/>
            <w:webHidden/>
          </w:rPr>
          <w:tab/>
        </w:r>
        <w:r>
          <w:rPr>
            <w:noProof/>
            <w:webHidden/>
          </w:rPr>
          <w:fldChar w:fldCharType="begin"/>
        </w:r>
        <w:r>
          <w:rPr>
            <w:noProof/>
            <w:webHidden/>
          </w:rPr>
          <w:instrText xml:space="preserve"> PAGEREF _Toc239175016 \h </w:instrText>
        </w:r>
        <w:r>
          <w:rPr>
            <w:noProof/>
            <w:webHidden/>
          </w:rPr>
        </w:r>
        <w:r>
          <w:rPr>
            <w:noProof/>
            <w:webHidden/>
          </w:rPr>
          <w:fldChar w:fldCharType="separate"/>
        </w:r>
        <w:r>
          <w:rPr>
            <w:noProof/>
            <w:webHidden/>
          </w:rPr>
          <w:t>60</w:t>
        </w:r>
        <w:r>
          <w:rPr>
            <w:noProof/>
            <w:webHidden/>
          </w:rPr>
          <w:fldChar w:fldCharType="end"/>
        </w:r>
      </w:hyperlink>
    </w:p>
    <w:p w14:paraId="52309127" w14:textId="4808C49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7" w:history="1">
        <w:r w:rsidRPr="000556C1">
          <w:rPr>
            <w:rStyle w:val="Hyperlink"/>
            <w:noProof/>
            <w:lang w:val="en-US"/>
          </w:rPr>
          <w:t>Azure Front Door i Azure Front Door (classic)</w:t>
        </w:r>
        <w:r>
          <w:rPr>
            <w:noProof/>
            <w:webHidden/>
          </w:rPr>
          <w:tab/>
        </w:r>
        <w:r>
          <w:rPr>
            <w:noProof/>
            <w:webHidden/>
          </w:rPr>
          <w:fldChar w:fldCharType="begin"/>
        </w:r>
        <w:r>
          <w:rPr>
            <w:noProof/>
            <w:webHidden/>
          </w:rPr>
          <w:instrText xml:space="preserve"> PAGEREF _Toc239175017 \h </w:instrText>
        </w:r>
        <w:r>
          <w:rPr>
            <w:noProof/>
            <w:webHidden/>
          </w:rPr>
        </w:r>
        <w:r>
          <w:rPr>
            <w:noProof/>
            <w:webHidden/>
          </w:rPr>
          <w:fldChar w:fldCharType="separate"/>
        </w:r>
        <w:r>
          <w:rPr>
            <w:noProof/>
            <w:webHidden/>
          </w:rPr>
          <w:t>61</w:t>
        </w:r>
        <w:r>
          <w:rPr>
            <w:noProof/>
            <w:webHidden/>
          </w:rPr>
          <w:fldChar w:fldCharType="end"/>
        </w:r>
      </w:hyperlink>
    </w:p>
    <w:p w14:paraId="2C3D6E98" w14:textId="5CC83B6A"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8" w:history="1">
        <w:r w:rsidRPr="000556C1">
          <w:rPr>
            <w:rStyle w:val="Hyperlink"/>
            <w:noProof/>
          </w:rPr>
          <w:t>Funkcje Azure</w:t>
        </w:r>
        <w:r>
          <w:rPr>
            <w:noProof/>
            <w:webHidden/>
          </w:rPr>
          <w:tab/>
        </w:r>
        <w:r>
          <w:rPr>
            <w:noProof/>
            <w:webHidden/>
          </w:rPr>
          <w:fldChar w:fldCharType="begin"/>
        </w:r>
        <w:r>
          <w:rPr>
            <w:noProof/>
            <w:webHidden/>
          </w:rPr>
          <w:instrText xml:space="preserve"> PAGEREF _Toc239175018 \h </w:instrText>
        </w:r>
        <w:r>
          <w:rPr>
            <w:noProof/>
            <w:webHidden/>
          </w:rPr>
        </w:r>
        <w:r>
          <w:rPr>
            <w:noProof/>
            <w:webHidden/>
          </w:rPr>
          <w:fldChar w:fldCharType="separate"/>
        </w:r>
        <w:r>
          <w:rPr>
            <w:noProof/>
            <w:webHidden/>
          </w:rPr>
          <w:t>61</w:t>
        </w:r>
        <w:r>
          <w:rPr>
            <w:noProof/>
            <w:webHidden/>
          </w:rPr>
          <w:fldChar w:fldCharType="end"/>
        </w:r>
      </w:hyperlink>
    </w:p>
    <w:p w14:paraId="4BC88680" w14:textId="6F004FE9" w:rsidR="00A93882" w:rsidRDefault="00A93882">
      <w:pPr>
        <w:pStyle w:val="TOC4"/>
        <w:rPr>
          <w:rFonts w:eastAsiaTheme="minorEastAsia"/>
          <w:smallCaps w:val="0"/>
          <w:noProof/>
          <w:kern w:val="2"/>
          <w:sz w:val="24"/>
          <w:szCs w:val="24"/>
          <w:lang w:val="en-US" w:eastAsia="zh-CN" w:bidi="he-IL"/>
          <w14:ligatures w14:val="standardContextual"/>
        </w:rPr>
      </w:pPr>
      <w:hyperlink w:anchor="_Toc239175019" w:history="1">
        <w:r w:rsidRPr="000556C1">
          <w:rPr>
            <w:rStyle w:val="Hyperlink"/>
            <w:noProof/>
          </w:rPr>
          <w:t>Globalny Bezpieczny Dostęp</w:t>
        </w:r>
        <w:r>
          <w:rPr>
            <w:noProof/>
            <w:webHidden/>
          </w:rPr>
          <w:tab/>
        </w:r>
        <w:r>
          <w:rPr>
            <w:noProof/>
            <w:webHidden/>
          </w:rPr>
          <w:fldChar w:fldCharType="begin"/>
        </w:r>
        <w:r>
          <w:rPr>
            <w:noProof/>
            <w:webHidden/>
          </w:rPr>
          <w:instrText xml:space="preserve"> PAGEREF _Toc239175019 \h </w:instrText>
        </w:r>
        <w:r>
          <w:rPr>
            <w:noProof/>
            <w:webHidden/>
          </w:rPr>
        </w:r>
        <w:r>
          <w:rPr>
            <w:noProof/>
            <w:webHidden/>
          </w:rPr>
          <w:fldChar w:fldCharType="separate"/>
        </w:r>
        <w:r>
          <w:rPr>
            <w:noProof/>
            <w:webHidden/>
          </w:rPr>
          <w:t>62</w:t>
        </w:r>
        <w:r>
          <w:rPr>
            <w:noProof/>
            <w:webHidden/>
          </w:rPr>
          <w:fldChar w:fldCharType="end"/>
        </w:r>
      </w:hyperlink>
    </w:p>
    <w:p w14:paraId="66DCA8B3" w14:textId="667012CA"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0" w:history="1">
        <w:r w:rsidRPr="000556C1">
          <w:rPr>
            <w:rStyle w:val="Hyperlink"/>
            <w:noProof/>
          </w:rPr>
          <w:t>HDInsight</w:t>
        </w:r>
        <w:r>
          <w:rPr>
            <w:noProof/>
            <w:webHidden/>
          </w:rPr>
          <w:tab/>
        </w:r>
        <w:r>
          <w:rPr>
            <w:noProof/>
            <w:webHidden/>
          </w:rPr>
          <w:fldChar w:fldCharType="begin"/>
        </w:r>
        <w:r>
          <w:rPr>
            <w:noProof/>
            <w:webHidden/>
          </w:rPr>
          <w:instrText xml:space="preserve"> PAGEREF _Toc239175020 \h </w:instrText>
        </w:r>
        <w:r>
          <w:rPr>
            <w:noProof/>
            <w:webHidden/>
          </w:rPr>
        </w:r>
        <w:r>
          <w:rPr>
            <w:noProof/>
            <w:webHidden/>
          </w:rPr>
          <w:fldChar w:fldCharType="separate"/>
        </w:r>
        <w:r>
          <w:rPr>
            <w:noProof/>
            <w:webHidden/>
          </w:rPr>
          <w:t>63</w:t>
        </w:r>
        <w:r>
          <w:rPr>
            <w:noProof/>
            <w:webHidden/>
          </w:rPr>
          <w:fldChar w:fldCharType="end"/>
        </w:r>
      </w:hyperlink>
    </w:p>
    <w:p w14:paraId="3A40D0D1" w14:textId="7DB8124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1" w:history="1">
        <w:r w:rsidRPr="000556C1">
          <w:rPr>
            <w:rStyle w:val="Hyperlink"/>
            <w:noProof/>
          </w:rPr>
          <w:t>Usługa Azure Health Data Services (z wyłączeniem usługi MedTech Service)</w:t>
        </w:r>
        <w:r>
          <w:rPr>
            <w:noProof/>
            <w:webHidden/>
          </w:rPr>
          <w:tab/>
        </w:r>
        <w:r>
          <w:rPr>
            <w:noProof/>
            <w:webHidden/>
          </w:rPr>
          <w:fldChar w:fldCharType="begin"/>
        </w:r>
        <w:r>
          <w:rPr>
            <w:noProof/>
            <w:webHidden/>
          </w:rPr>
          <w:instrText xml:space="preserve"> PAGEREF _Toc239175021 \h </w:instrText>
        </w:r>
        <w:r>
          <w:rPr>
            <w:noProof/>
            <w:webHidden/>
          </w:rPr>
        </w:r>
        <w:r>
          <w:rPr>
            <w:noProof/>
            <w:webHidden/>
          </w:rPr>
          <w:fldChar w:fldCharType="separate"/>
        </w:r>
        <w:r>
          <w:rPr>
            <w:noProof/>
            <w:webHidden/>
          </w:rPr>
          <w:t>63</w:t>
        </w:r>
        <w:r>
          <w:rPr>
            <w:noProof/>
            <w:webHidden/>
          </w:rPr>
          <w:fldChar w:fldCharType="end"/>
        </w:r>
      </w:hyperlink>
    </w:p>
    <w:p w14:paraId="6397AA14" w14:textId="1FA8DB57"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2" w:history="1">
        <w:r w:rsidRPr="000556C1">
          <w:rPr>
            <w:rStyle w:val="Hyperlink"/>
            <w:noProof/>
          </w:rPr>
          <w:t>Health Bot</w:t>
        </w:r>
        <w:r>
          <w:rPr>
            <w:noProof/>
            <w:webHidden/>
          </w:rPr>
          <w:tab/>
        </w:r>
        <w:r>
          <w:rPr>
            <w:noProof/>
            <w:webHidden/>
          </w:rPr>
          <w:fldChar w:fldCharType="begin"/>
        </w:r>
        <w:r>
          <w:rPr>
            <w:noProof/>
            <w:webHidden/>
          </w:rPr>
          <w:instrText xml:space="preserve"> PAGEREF _Toc239175022 \h </w:instrText>
        </w:r>
        <w:r>
          <w:rPr>
            <w:noProof/>
            <w:webHidden/>
          </w:rPr>
        </w:r>
        <w:r>
          <w:rPr>
            <w:noProof/>
            <w:webHidden/>
          </w:rPr>
          <w:fldChar w:fldCharType="separate"/>
        </w:r>
        <w:r>
          <w:rPr>
            <w:noProof/>
            <w:webHidden/>
          </w:rPr>
          <w:t>63</w:t>
        </w:r>
        <w:r>
          <w:rPr>
            <w:noProof/>
            <w:webHidden/>
          </w:rPr>
          <w:fldChar w:fldCharType="end"/>
        </w:r>
      </w:hyperlink>
    </w:p>
    <w:p w14:paraId="4C64BE65" w14:textId="30CBA704"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3" w:history="1">
        <w:r w:rsidRPr="000556C1">
          <w:rPr>
            <w:rStyle w:val="Hyperlink"/>
            <w:noProof/>
          </w:rPr>
          <w:t>Azure Information Protection</w:t>
        </w:r>
        <w:r>
          <w:rPr>
            <w:noProof/>
            <w:webHidden/>
          </w:rPr>
          <w:tab/>
        </w:r>
        <w:r>
          <w:rPr>
            <w:noProof/>
            <w:webHidden/>
          </w:rPr>
          <w:fldChar w:fldCharType="begin"/>
        </w:r>
        <w:r>
          <w:rPr>
            <w:noProof/>
            <w:webHidden/>
          </w:rPr>
          <w:instrText xml:space="preserve"> PAGEREF _Toc239175023 \h </w:instrText>
        </w:r>
        <w:r>
          <w:rPr>
            <w:noProof/>
            <w:webHidden/>
          </w:rPr>
        </w:r>
        <w:r>
          <w:rPr>
            <w:noProof/>
            <w:webHidden/>
          </w:rPr>
          <w:fldChar w:fldCharType="separate"/>
        </w:r>
        <w:r>
          <w:rPr>
            <w:noProof/>
            <w:webHidden/>
          </w:rPr>
          <w:t>64</w:t>
        </w:r>
        <w:r>
          <w:rPr>
            <w:noProof/>
            <w:webHidden/>
          </w:rPr>
          <w:fldChar w:fldCharType="end"/>
        </w:r>
      </w:hyperlink>
    </w:p>
    <w:p w14:paraId="4FE90F91" w14:textId="2FFEE346"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4" w:history="1">
        <w:r w:rsidRPr="000556C1">
          <w:rPr>
            <w:rStyle w:val="Hyperlink"/>
            <w:noProof/>
          </w:rPr>
          <w:t>Azure IoT Central</w:t>
        </w:r>
        <w:r>
          <w:rPr>
            <w:noProof/>
            <w:webHidden/>
          </w:rPr>
          <w:tab/>
        </w:r>
        <w:r>
          <w:rPr>
            <w:noProof/>
            <w:webHidden/>
          </w:rPr>
          <w:fldChar w:fldCharType="begin"/>
        </w:r>
        <w:r>
          <w:rPr>
            <w:noProof/>
            <w:webHidden/>
          </w:rPr>
          <w:instrText xml:space="preserve"> PAGEREF _Toc239175024 \h </w:instrText>
        </w:r>
        <w:r>
          <w:rPr>
            <w:noProof/>
            <w:webHidden/>
          </w:rPr>
        </w:r>
        <w:r>
          <w:rPr>
            <w:noProof/>
            <w:webHidden/>
          </w:rPr>
          <w:fldChar w:fldCharType="separate"/>
        </w:r>
        <w:r>
          <w:rPr>
            <w:noProof/>
            <w:webHidden/>
          </w:rPr>
          <w:t>64</w:t>
        </w:r>
        <w:r>
          <w:rPr>
            <w:noProof/>
            <w:webHidden/>
          </w:rPr>
          <w:fldChar w:fldCharType="end"/>
        </w:r>
      </w:hyperlink>
    </w:p>
    <w:p w14:paraId="3B071693" w14:textId="22B1A48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5" w:history="1">
        <w:r w:rsidRPr="000556C1">
          <w:rPr>
            <w:rStyle w:val="Hyperlink"/>
            <w:noProof/>
          </w:rPr>
          <w:t>Azure IoT Hub</w:t>
        </w:r>
        <w:r>
          <w:rPr>
            <w:noProof/>
            <w:webHidden/>
          </w:rPr>
          <w:tab/>
        </w:r>
        <w:r>
          <w:rPr>
            <w:noProof/>
            <w:webHidden/>
          </w:rPr>
          <w:fldChar w:fldCharType="begin"/>
        </w:r>
        <w:r>
          <w:rPr>
            <w:noProof/>
            <w:webHidden/>
          </w:rPr>
          <w:instrText xml:space="preserve"> PAGEREF _Toc239175025 \h </w:instrText>
        </w:r>
        <w:r>
          <w:rPr>
            <w:noProof/>
            <w:webHidden/>
          </w:rPr>
        </w:r>
        <w:r>
          <w:rPr>
            <w:noProof/>
            <w:webHidden/>
          </w:rPr>
          <w:fldChar w:fldCharType="separate"/>
        </w:r>
        <w:r>
          <w:rPr>
            <w:noProof/>
            <w:webHidden/>
          </w:rPr>
          <w:t>65</w:t>
        </w:r>
        <w:r>
          <w:rPr>
            <w:noProof/>
            <w:webHidden/>
          </w:rPr>
          <w:fldChar w:fldCharType="end"/>
        </w:r>
      </w:hyperlink>
    </w:p>
    <w:p w14:paraId="19F9EAA2" w14:textId="4BB111D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6" w:history="1">
        <w:r w:rsidRPr="000556C1">
          <w:rPr>
            <w:rStyle w:val="Hyperlink"/>
            <w:noProof/>
          </w:rPr>
          <w:t>Key Vault</w:t>
        </w:r>
        <w:r>
          <w:rPr>
            <w:noProof/>
            <w:webHidden/>
          </w:rPr>
          <w:tab/>
        </w:r>
        <w:r>
          <w:rPr>
            <w:noProof/>
            <w:webHidden/>
          </w:rPr>
          <w:fldChar w:fldCharType="begin"/>
        </w:r>
        <w:r>
          <w:rPr>
            <w:noProof/>
            <w:webHidden/>
          </w:rPr>
          <w:instrText xml:space="preserve"> PAGEREF _Toc239175026 \h </w:instrText>
        </w:r>
        <w:r>
          <w:rPr>
            <w:noProof/>
            <w:webHidden/>
          </w:rPr>
        </w:r>
        <w:r>
          <w:rPr>
            <w:noProof/>
            <w:webHidden/>
          </w:rPr>
          <w:fldChar w:fldCharType="separate"/>
        </w:r>
        <w:r>
          <w:rPr>
            <w:noProof/>
            <w:webHidden/>
          </w:rPr>
          <w:t>65</w:t>
        </w:r>
        <w:r>
          <w:rPr>
            <w:noProof/>
            <w:webHidden/>
          </w:rPr>
          <w:fldChar w:fldCharType="end"/>
        </w:r>
      </w:hyperlink>
    </w:p>
    <w:p w14:paraId="23AB0B8A" w14:textId="694ED417"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7" w:history="1">
        <w:r w:rsidRPr="000556C1">
          <w:rPr>
            <w:rStyle w:val="Hyperlink"/>
            <w:noProof/>
          </w:rPr>
          <w:t>Azure Key Vault Managed HSM</w:t>
        </w:r>
        <w:r>
          <w:rPr>
            <w:noProof/>
            <w:webHidden/>
          </w:rPr>
          <w:tab/>
        </w:r>
        <w:r>
          <w:rPr>
            <w:noProof/>
            <w:webHidden/>
          </w:rPr>
          <w:fldChar w:fldCharType="begin"/>
        </w:r>
        <w:r>
          <w:rPr>
            <w:noProof/>
            <w:webHidden/>
          </w:rPr>
          <w:instrText xml:space="preserve"> PAGEREF _Toc239175027 \h </w:instrText>
        </w:r>
        <w:r>
          <w:rPr>
            <w:noProof/>
            <w:webHidden/>
          </w:rPr>
        </w:r>
        <w:r>
          <w:rPr>
            <w:noProof/>
            <w:webHidden/>
          </w:rPr>
          <w:fldChar w:fldCharType="separate"/>
        </w:r>
        <w:r>
          <w:rPr>
            <w:noProof/>
            <w:webHidden/>
          </w:rPr>
          <w:t>66</w:t>
        </w:r>
        <w:r>
          <w:rPr>
            <w:noProof/>
            <w:webHidden/>
          </w:rPr>
          <w:fldChar w:fldCharType="end"/>
        </w:r>
      </w:hyperlink>
    </w:p>
    <w:p w14:paraId="73E679EE" w14:textId="6E5BFE86"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8" w:history="1">
        <w:r w:rsidRPr="000556C1">
          <w:rPr>
            <w:rStyle w:val="Hyperlink"/>
            <w:noProof/>
          </w:rPr>
          <w:t>Azure Kubernetes Service (AKS)</w:t>
        </w:r>
        <w:r>
          <w:rPr>
            <w:noProof/>
            <w:webHidden/>
          </w:rPr>
          <w:tab/>
        </w:r>
        <w:r>
          <w:rPr>
            <w:noProof/>
            <w:webHidden/>
          </w:rPr>
          <w:fldChar w:fldCharType="begin"/>
        </w:r>
        <w:r>
          <w:rPr>
            <w:noProof/>
            <w:webHidden/>
          </w:rPr>
          <w:instrText xml:space="preserve"> PAGEREF _Toc239175028 \h </w:instrText>
        </w:r>
        <w:r>
          <w:rPr>
            <w:noProof/>
            <w:webHidden/>
          </w:rPr>
        </w:r>
        <w:r>
          <w:rPr>
            <w:noProof/>
            <w:webHidden/>
          </w:rPr>
          <w:fldChar w:fldCharType="separate"/>
        </w:r>
        <w:r>
          <w:rPr>
            <w:noProof/>
            <w:webHidden/>
          </w:rPr>
          <w:t>66</w:t>
        </w:r>
        <w:r>
          <w:rPr>
            <w:noProof/>
            <w:webHidden/>
          </w:rPr>
          <w:fldChar w:fldCharType="end"/>
        </w:r>
      </w:hyperlink>
    </w:p>
    <w:p w14:paraId="6BE0A6A1" w14:textId="706D131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29" w:history="1">
        <w:r w:rsidRPr="000556C1">
          <w:rPr>
            <w:rStyle w:val="Hyperlink"/>
            <w:noProof/>
          </w:rPr>
          <w:t>Klastry Automatyczne Usługi Azure Kubernetes (AKS)</w:t>
        </w:r>
        <w:r>
          <w:rPr>
            <w:noProof/>
            <w:webHidden/>
          </w:rPr>
          <w:tab/>
        </w:r>
        <w:r>
          <w:rPr>
            <w:noProof/>
            <w:webHidden/>
          </w:rPr>
          <w:fldChar w:fldCharType="begin"/>
        </w:r>
        <w:r>
          <w:rPr>
            <w:noProof/>
            <w:webHidden/>
          </w:rPr>
          <w:instrText xml:space="preserve"> PAGEREF _Toc239175029 \h </w:instrText>
        </w:r>
        <w:r>
          <w:rPr>
            <w:noProof/>
            <w:webHidden/>
          </w:rPr>
        </w:r>
        <w:r>
          <w:rPr>
            <w:noProof/>
            <w:webHidden/>
          </w:rPr>
          <w:fldChar w:fldCharType="separate"/>
        </w:r>
        <w:r>
          <w:rPr>
            <w:noProof/>
            <w:webHidden/>
          </w:rPr>
          <w:t>67</w:t>
        </w:r>
        <w:r>
          <w:rPr>
            <w:noProof/>
            <w:webHidden/>
          </w:rPr>
          <w:fldChar w:fldCharType="end"/>
        </w:r>
      </w:hyperlink>
    </w:p>
    <w:p w14:paraId="24656268" w14:textId="069CBAF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0" w:history="1">
        <w:r w:rsidRPr="000556C1">
          <w:rPr>
            <w:rStyle w:val="Hyperlink"/>
            <w:noProof/>
          </w:rPr>
          <w:t>Usługi Azure Lab</w:t>
        </w:r>
        <w:r>
          <w:rPr>
            <w:noProof/>
            <w:webHidden/>
          </w:rPr>
          <w:tab/>
        </w:r>
        <w:r>
          <w:rPr>
            <w:noProof/>
            <w:webHidden/>
          </w:rPr>
          <w:fldChar w:fldCharType="begin"/>
        </w:r>
        <w:r>
          <w:rPr>
            <w:noProof/>
            <w:webHidden/>
          </w:rPr>
          <w:instrText xml:space="preserve"> PAGEREF _Toc239175030 \h </w:instrText>
        </w:r>
        <w:r>
          <w:rPr>
            <w:noProof/>
            <w:webHidden/>
          </w:rPr>
        </w:r>
        <w:r>
          <w:rPr>
            <w:noProof/>
            <w:webHidden/>
          </w:rPr>
          <w:fldChar w:fldCharType="separate"/>
        </w:r>
        <w:r>
          <w:rPr>
            <w:noProof/>
            <w:webHidden/>
          </w:rPr>
          <w:t>69</w:t>
        </w:r>
        <w:r>
          <w:rPr>
            <w:noProof/>
            <w:webHidden/>
          </w:rPr>
          <w:fldChar w:fldCharType="end"/>
        </w:r>
      </w:hyperlink>
    </w:p>
    <w:p w14:paraId="607CE341" w14:textId="21F7D032"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1" w:history="1">
        <w:r w:rsidRPr="000556C1">
          <w:rPr>
            <w:rStyle w:val="Hyperlink"/>
            <w:noProof/>
          </w:rPr>
          <w:t>Azure Load Balancer</w:t>
        </w:r>
        <w:r>
          <w:rPr>
            <w:noProof/>
            <w:webHidden/>
          </w:rPr>
          <w:tab/>
        </w:r>
        <w:r>
          <w:rPr>
            <w:noProof/>
            <w:webHidden/>
          </w:rPr>
          <w:fldChar w:fldCharType="begin"/>
        </w:r>
        <w:r>
          <w:rPr>
            <w:noProof/>
            <w:webHidden/>
          </w:rPr>
          <w:instrText xml:space="preserve"> PAGEREF _Toc239175031 \h </w:instrText>
        </w:r>
        <w:r>
          <w:rPr>
            <w:noProof/>
            <w:webHidden/>
          </w:rPr>
        </w:r>
        <w:r>
          <w:rPr>
            <w:noProof/>
            <w:webHidden/>
          </w:rPr>
          <w:fldChar w:fldCharType="separate"/>
        </w:r>
        <w:r>
          <w:rPr>
            <w:noProof/>
            <w:webHidden/>
          </w:rPr>
          <w:t>69</w:t>
        </w:r>
        <w:r>
          <w:rPr>
            <w:noProof/>
            <w:webHidden/>
          </w:rPr>
          <w:fldChar w:fldCharType="end"/>
        </w:r>
      </w:hyperlink>
    </w:p>
    <w:p w14:paraId="32272CA6" w14:textId="4489B838"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2" w:history="1">
        <w:r w:rsidRPr="000556C1">
          <w:rPr>
            <w:rStyle w:val="Hyperlink"/>
            <w:noProof/>
          </w:rPr>
          <w:t>Azure Load Testing</w:t>
        </w:r>
        <w:r>
          <w:rPr>
            <w:noProof/>
            <w:webHidden/>
          </w:rPr>
          <w:tab/>
        </w:r>
        <w:r>
          <w:rPr>
            <w:noProof/>
            <w:webHidden/>
          </w:rPr>
          <w:fldChar w:fldCharType="begin"/>
        </w:r>
        <w:r>
          <w:rPr>
            <w:noProof/>
            <w:webHidden/>
          </w:rPr>
          <w:instrText xml:space="preserve"> PAGEREF _Toc239175032 \h </w:instrText>
        </w:r>
        <w:r>
          <w:rPr>
            <w:noProof/>
            <w:webHidden/>
          </w:rPr>
        </w:r>
        <w:r>
          <w:rPr>
            <w:noProof/>
            <w:webHidden/>
          </w:rPr>
          <w:fldChar w:fldCharType="separate"/>
        </w:r>
        <w:r>
          <w:rPr>
            <w:noProof/>
            <w:webHidden/>
          </w:rPr>
          <w:t>70</w:t>
        </w:r>
        <w:r>
          <w:rPr>
            <w:noProof/>
            <w:webHidden/>
          </w:rPr>
          <w:fldChar w:fldCharType="end"/>
        </w:r>
      </w:hyperlink>
    </w:p>
    <w:p w14:paraId="23E8B5B2" w14:textId="5E68F5B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3" w:history="1">
        <w:r w:rsidRPr="000556C1">
          <w:rPr>
            <w:rStyle w:val="Hyperlink"/>
            <w:noProof/>
          </w:rPr>
          <w:t>Log Analytics (umowa SLA dotycząca Dostępności Zapytań)</w:t>
        </w:r>
        <w:r>
          <w:rPr>
            <w:noProof/>
            <w:webHidden/>
          </w:rPr>
          <w:tab/>
        </w:r>
        <w:r>
          <w:rPr>
            <w:noProof/>
            <w:webHidden/>
          </w:rPr>
          <w:fldChar w:fldCharType="begin"/>
        </w:r>
        <w:r>
          <w:rPr>
            <w:noProof/>
            <w:webHidden/>
          </w:rPr>
          <w:instrText xml:space="preserve"> PAGEREF _Toc239175033 \h </w:instrText>
        </w:r>
        <w:r>
          <w:rPr>
            <w:noProof/>
            <w:webHidden/>
          </w:rPr>
        </w:r>
        <w:r>
          <w:rPr>
            <w:noProof/>
            <w:webHidden/>
          </w:rPr>
          <w:fldChar w:fldCharType="separate"/>
        </w:r>
        <w:r>
          <w:rPr>
            <w:noProof/>
            <w:webHidden/>
          </w:rPr>
          <w:t>70</w:t>
        </w:r>
        <w:r>
          <w:rPr>
            <w:noProof/>
            <w:webHidden/>
          </w:rPr>
          <w:fldChar w:fldCharType="end"/>
        </w:r>
      </w:hyperlink>
    </w:p>
    <w:p w14:paraId="318F3BE4" w14:textId="49037A4C"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4" w:history="1">
        <w:r w:rsidRPr="000556C1">
          <w:rPr>
            <w:rStyle w:val="Hyperlink"/>
            <w:noProof/>
          </w:rPr>
          <w:t>Aplikacje Logiki</w:t>
        </w:r>
        <w:r>
          <w:rPr>
            <w:noProof/>
            <w:webHidden/>
          </w:rPr>
          <w:tab/>
        </w:r>
        <w:r>
          <w:rPr>
            <w:noProof/>
            <w:webHidden/>
          </w:rPr>
          <w:fldChar w:fldCharType="begin"/>
        </w:r>
        <w:r>
          <w:rPr>
            <w:noProof/>
            <w:webHidden/>
          </w:rPr>
          <w:instrText xml:space="preserve"> PAGEREF _Toc239175034 \h </w:instrText>
        </w:r>
        <w:r>
          <w:rPr>
            <w:noProof/>
            <w:webHidden/>
          </w:rPr>
        </w:r>
        <w:r>
          <w:rPr>
            <w:noProof/>
            <w:webHidden/>
          </w:rPr>
          <w:fldChar w:fldCharType="separate"/>
        </w:r>
        <w:r>
          <w:rPr>
            <w:noProof/>
            <w:webHidden/>
          </w:rPr>
          <w:t>70</w:t>
        </w:r>
        <w:r>
          <w:rPr>
            <w:noProof/>
            <w:webHidden/>
          </w:rPr>
          <w:fldChar w:fldCharType="end"/>
        </w:r>
      </w:hyperlink>
    </w:p>
    <w:p w14:paraId="5EF96594" w14:textId="7676841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5" w:history="1">
        <w:r w:rsidRPr="000556C1">
          <w:rPr>
            <w:rStyle w:val="Hyperlink"/>
            <w:noProof/>
          </w:rPr>
          <w:t>Azure Machine Learning</w:t>
        </w:r>
        <w:r>
          <w:rPr>
            <w:noProof/>
            <w:webHidden/>
          </w:rPr>
          <w:tab/>
        </w:r>
        <w:r>
          <w:rPr>
            <w:noProof/>
            <w:webHidden/>
          </w:rPr>
          <w:fldChar w:fldCharType="begin"/>
        </w:r>
        <w:r>
          <w:rPr>
            <w:noProof/>
            <w:webHidden/>
          </w:rPr>
          <w:instrText xml:space="preserve"> PAGEREF _Toc239175035 \h </w:instrText>
        </w:r>
        <w:r>
          <w:rPr>
            <w:noProof/>
            <w:webHidden/>
          </w:rPr>
        </w:r>
        <w:r>
          <w:rPr>
            <w:noProof/>
            <w:webHidden/>
          </w:rPr>
          <w:fldChar w:fldCharType="separate"/>
        </w:r>
        <w:r>
          <w:rPr>
            <w:noProof/>
            <w:webHidden/>
          </w:rPr>
          <w:t>71</w:t>
        </w:r>
        <w:r>
          <w:rPr>
            <w:noProof/>
            <w:webHidden/>
          </w:rPr>
          <w:fldChar w:fldCharType="end"/>
        </w:r>
      </w:hyperlink>
    </w:p>
    <w:p w14:paraId="20BAD11C" w14:textId="3D051B3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6" w:history="1">
        <w:r w:rsidRPr="000556C1">
          <w:rPr>
            <w:rStyle w:val="Hyperlink"/>
            <w:noProof/>
          </w:rPr>
          <w:t>Azure Managed Grafana</w:t>
        </w:r>
        <w:r>
          <w:rPr>
            <w:noProof/>
            <w:webHidden/>
          </w:rPr>
          <w:tab/>
        </w:r>
        <w:r>
          <w:rPr>
            <w:noProof/>
            <w:webHidden/>
          </w:rPr>
          <w:fldChar w:fldCharType="begin"/>
        </w:r>
        <w:r>
          <w:rPr>
            <w:noProof/>
            <w:webHidden/>
          </w:rPr>
          <w:instrText xml:space="preserve"> PAGEREF _Toc239175036 \h </w:instrText>
        </w:r>
        <w:r>
          <w:rPr>
            <w:noProof/>
            <w:webHidden/>
          </w:rPr>
        </w:r>
        <w:r>
          <w:rPr>
            <w:noProof/>
            <w:webHidden/>
          </w:rPr>
          <w:fldChar w:fldCharType="separate"/>
        </w:r>
        <w:r>
          <w:rPr>
            <w:noProof/>
            <w:webHidden/>
          </w:rPr>
          <w:t>71</w:t>
        </w:r>
        <w:r>
          <w:rPr>
            <w:noProof/>
            <w:webHidden/>
          </w:rPr>
          <w:fldChar w:fldCharType="end"/>
        </w:r>
      </w:hyperlink>
    </w:p>
    <w:p w14:paraId="39F4D9B1" w14:textId="10A54EFC"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7" w:history="1">
        <w:r w:rsidRPr="000556C1">
          <w:rPr>
            <w:rStyle w:val="Hyperlink"/>
            <w:noProof/>
            <w:lang w:val="en-US"/>
          </w:rPr>
          <w:t>Azure Managed Instance for Apache Cassandra</w:t>
        </w:r>
        <w:r>
          <w:rPr>
            <w:noProof/>
            <w:webHidden/>
          </w:rPr>
          <w:tab/>
        </w:r>
        <w:r>
          <w:rPr>
            <w:noProof/>
            <w:webHidden/>
          </w:rPr>
          <w:fldChar w:fldCharType="begin"/>
        </w:r>
        <w:r>
          <w:rPr>
            <w:noProof/>
            <w:webHidden/>
          </w:rPr>
          <w:instrText xml:space="preserve"> PAGEREF _Toc239175037 \h </w:instrText>
        </w:r>
        <w:r>
          <w:rPr>
            <w:noProof/>
            <w:webHidden/>
          </w:rPr>
        </w:r>
        <w:r>
          <w:rPr>
            <w:noProof/>
            <w:webHidden/>
          </w:rPr>
          <w:fldChar w:fldCharType="separate"/>
        </w:r>
        <w:r>
          <w:rPr>
            <w:noProof/>
            <w:webHidden/>
          </w:rPr>
          <w:t>72</w:t>
        </w:r>
        <w:r>
          <w:rPr>
            <w:noProof/>
            <w:webHidden/>
          </w:rPr>
          <w:fldChar w:fldCharType="end"/>
        </w:r>
      </w:hyperlink>
    </w:p>
    <w:p w14:paraId="01502FD3" w14:textId="476D5C5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8" w:history="1">
        <w:r w:rsidRPr="000556C1">
          <w:rPr>
            <w:rStyle w:val="Hyperlink"/>
            <w:noProof/>
          </w:rPr>
          <w:t>Azure Maps</w:t>
        </w:r>
        <w:r>
          <w:rPr>
            <w:noProof/>
            <w:webHidden/>
          </w:rPr>
          <w:tab/>
        </w:r>
        <w:r>
          <w:rPr>
            <w:noProof/>
            <w:webHidden/>
          </w:rPr>
          <w:fldChar w:fldCharType="begin"/>
        </w:r>
        <w:r>
          <w:rPr>
            <w:noProof/>
            <w:webHidden/>
          </w:rPr>
          <w:instrText xml:space="preserve"> PAGEREF _Toc239175038 \h </w:instrText>
        </w:r>
        <w:r>
          <w:rPr>
            <w:noProof/>
            <w:webHidden/>
          </w:rPr>
        </w:r>
        <w:r>
          <w:rPr>
            <w:noProof/>
            <w:webHidden/>
          </w:rPr>
          <w:fldChar w:fldCharType="separate"/>
        </w:r>
        <w:r>
          <w:rPr>
            <w:noProof/>
            <w:webHidden/>
          </w:rPr>
          <w:t>73</w:t>
        </w:r>
        <w:r>
          <w:rPr>
            <w:noProof/>
            <w:webHidden/>
          </w:rPr>
          <w:fldChar w:fldCharType="end"/>
        </w:r>
      </w:hyperlink>
    </w:p>
    <w:p w14:paraId="7C4760EE" w14:textId="60E70AA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39" w:history="1">
        <w:r w:rsidRPr="000556C1">
          <w:rPr>
            <w:rStyle w:val="Hyperlink"/>
            <w:noProof/>
          </w:rPr>
          <w:t>Media Services</w:t>
        </w:r>
        <w:r>
          <w:rPr>
            <w:noProof/>
            <w:webHidden/>
          </w:rPr>
          <w:tab/>
        </w:r>
        <w:r>
          <w:rPr>
            <w:noProof/>
            <w:webHidden/>
          </w:rPr>
          <w:fldChar w:fldCharType="begin"/>
        </w:r>
        <w:r>
          <w:rPr>
            <w:noProof/>
            <w:webHidden/>
          </w:rPr>
          <w:instrText xml:space="preserve"> PAGEREF _Toc239175039 \h </w:instrText>
        </w:r>
        <w:r>
          <w:rPr>
            <w:noProof/>
            <w:webHidden/>
          </w:rPr>
        </w:r>
        <w:r>
          <w:rPr>
            <w:noProof/>
            <w:webHidden/>
          </w:rPr>
          <w:fldChar w:fldCharType="separate"/>
        </w:r>
        <w:r>
          <w:rPr>
            <w:noProof/>
            <w:webHidden/>
          </w:rPr>
          <w:t>73</w:t>
        </w:r>
        <w:r>
          <w:rPr>
            <w:noProof/>
            <w:webHidden/>
          </w:rPr>
          <w:fldChar w:fldCharType="end"/>
        </w:r>
      </w:hyperlink>
    </w:p>
    <w:p w14:paraId="595E7BE7" w14:textId="5087E8E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0" w:history="1">
        <w:r w:rsidRPr="000556C1">
          <w:rPr>
            <w:rStyle w:val="Hyperlink"/>
            <w:noProof/>
          </w:rPr>
          <w:t>Usługa MedTech</w:t>
        </w:r>
        <w:r>
          <w:rPr>
            <w:noProof/>
            <w:webHidden/>
          </w:rPr>
          <w:tab/>
        </w:r>
        <w:r>
          <w:rPr>
            <w:noProof/>
            <w:webHidden/>
          </w:rPr>
          <w:fldChar w:fldCharType="begin"/>
        </w:r>
        <w:r>
          <w:rPr>
            <w:noProof/>
            <w:webHidden/>
          </w:rPr>
          <w:instrText xml:space="preserve"> PAGEREF _Toc239175040 \h </w:instrText>
        </w:r>
        <w:r>
          <w:rPr>
            <w:noProof/>
            <w:webHidden/>
          </w:rPr>
        </w:r>
        <w:r>
          <w:rPr>
            <w:noProof/>
            <w:webHidden/>
          </w:rPr>
          <w:fldChar w:fldCharType="separate"/>
        </w:r>
        <w:r>
          <w:rPr>
            <w:noProof/>
            <w:webHidden/>
          </w:rPr>
          <w:t>76</w:t>
        </w:r>
        <w:r>
          <w:rPr>
            <w:noProof/>
            <w:webHidden/>
          </w:rPr>
          <w:fldChar w:fldCharType="end"/>
        </w:r>
      </w:hyperlink>
    </w:p>
    <w:p w14:paraId="18C43273" w14:textId="1821BAB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1" w:history="1">
        <w:r w:rsidRPr="000556C1">
          <w:rPr>
            <w:rStyle w:val="Hyperlink"/>
            <w:rFonts w:ascii="Calibri Light" w:hAnsi="Calibri Light" w:cs="Calibri Light"/>
            <w:noProof/>
          </w:rPr>
          <w:t>Usługa Microsoft Discovery</w:t>
        </w:r>
        <w:r>
          <w:rPr>
            <w:noProof/>
            <w:webHidden/>
          </w:rPr>
          <w:tab/>
        </w:r>
        <w:r>
          <w:rPr>
            <w:noProof/>
            <w:webHidden/>
          </w:rPr>
          <w:fldChar w:fldCharType="begin"/>
        </w:r>
        <w:r>
          <w:rPr>
            <w:noProof/>
            <w:webHidden/>
          </w:rPr>
          <w:instrText xml:space="preserve"> PAGEREF _Toc239175041 \h </w:instrText>
        </w:r>
        <w:r>
          <w:rPr>
            <w:noProof/>
            <w:webHidden/>
          </w:rPr>
        </w:r>
        <w:r>
          <w:rPr>
            <w:noProof/>
            <w:webHidden/>
          </w:rPr>
          <w:fldChar w:fldCharType="separate"/>
        </w:r>
        <w:r>
          <w:rPr>
            <w:noProof/>
            <w:webHidden/>
          </w:rPr>
          <w:t>76</w:t>
        </w:r>
        <w:r>
          <w:rPr>
            <w:noProof/>
            <w:webHidden/>
          </w:rPr>
          <w:fldChar w:fldCharType="end"/>
        </w:r>
      </w:hyperlink>
    </w:p>
    <w:p w14:paraId="39D01DF9" w14:textId="399CEA4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2" w:history="1">
        <w:r w:rsidRPr="000556C1">
          <w:rPr>
            <w:rStyle w:val="Hyperlink"/>
            <w:noProof/>
          </w:rPr>
          <w:t>Microsoft Fabric</w:t>
        </w:r>
        <w:r>
          <w:rPr>
            <w:noProof/>
            <w:webHidden/>
          </w:rPr>
          <w:tab/>
        </w:r>
        <w:r>
          <w:rPr>
            <w:noProof/>
            <w:webHidden/>
          </w:rPr>
          <w:fldChar w:fldCharType="begin"/>
        </w:r>
        <w:r>
          <w:rPr>
            <w:noProof/>
            <w:webHidden/>
          </w:rPr>
          <w:instrText xml:space="preserve"> PAGEREF _Toc239175042 \h </w:instrText>
        </w:r>
        <w:r>
          <w:rPr>
            <w:noProof/>
            <w:webHidden/>
          </w:rPr>
        </w:r>
        <w:r>
          <w:rPr>
            <w:noProof/>
            <w:webHidden/>
          </w:rPr>
          <w:fldChar w:fldCharType="separate"/>
        </w:r>
        <w:r>
          <w:rPr>
            <w:noProof/>
            <w:webHidden/>
          </w:rPr>
          <w:t>77</w:t>
        </w:r>
        <w:r>
          <w:rPr>
            <w:noProof/>
            <w:webHidden/>
          </w:rPr>
          <w:fldChar w:fldCharType="end"/>
        </w:r>
      </w:hyperlink>
    </w:p>
    <w:p w14:paraId="001ABC24" w14:textId="32A301F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3" w:history="1">
        <w:r w:rsidRPr="000556C1">
          <w:rPr>
            <w:rStyle w:val="Hyperlink"/>
            <w:noProof/>
          </w:rPr>
          <w:t>Microsoft Genomics</w:t>
        </w:r>
        <w:r>
          <w:rPr>
            <w:noProof/>
            <w:webHidden/>
          </w:rPr>
          <w:tab/>
        </w:r>
        <w:r>
          <w:rPr>
            <w:noProof/>
            <w:webHidden/>
          </w:rPr>
          <w:fldChar w:fldCharType="begin"/>
        </w:r>
        <w:r>
          <w:rPr>
            <w:noProof/>
            <w:webHidden/>
          </w:rPr>
          <w:instrText xml:space="preserve"> PAGEREF _Toc239175043 \h </w:instrText>
        </w:r>
        <w:r>
          <w:rPr>
            <w:noProof/>
            <w:webHidden/>
          </w:rPr>
        </w:r>
        <w:r>
          <w:rPr>
            <w:noProof/>
            <w:webHidden/>
          </w:rPr>
          <w:fldChar w:fldCharType="separate"/>
        </w:r>
        <w:r>
          <w:rPr>
            <w:noProof/>
            <w:webHidden/>
          </w:rPr>
          <w:t>78</w:t>
        </w:r>
        <w:r>
          <w:rPr>
            <w:noProof/>
            <w:webHidden/>
          </w:rPr>
          <w:fldChar w:fldCharType="end"/>
        </w:r>
      </w:hyperlink>
    </w:p>
    <w:p w14:paraId="1CB06D06" w14:textId="5386533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4" w:history="1">
        <w:r w:rsidRPr="000556C1">
          <w:rPr>
            <w:rStyle w:val="Hyperlink"/>
            <w:rFonts w:ascii="Calibri Light" w:hAnsi="Calibri Light" w:cs="Calibri Light"/>
            <w:noProof/>
          </w:rPr>
          <w:t>Komputer Planetarny Microsoft Pro – umowa SLA:</w:t>
        </w:r>
        <w:r>
          <w:rPr>
            <w:noProof/>
            <w:webHidden/>
          </w:rPr>
          <w:tab/>
        </w:r>
        <w:r>
          <w:rPr>
            <w:noProof/>
            <w:webHidden/>
          </w:rPr>
          <w:fldChar w:fldCharType="begin"/>
        </w:r>
        <w:r>
          <w:rPr>
            <w:noProof/>
            <w:webHidden/>
          </w:rPr>
          <w:instrText xml:space="preserve"> PAGEREF _Toc239175044 \h </w:instrText>
        </w:r>
        <w:r>
          <w:rPr>
            <w:noProof/>
            <w:webHidden/>
          </w:rPr>
        </w:r>
        <w:r>
          <w:rPr>
            <w:noProof/>
            <w:webHidden/>
          </w:rPr>
          <w:fldChar w:fldCharType="separate"/>
        </w:r>
        <w:r>
          <w:rPr>
            <w:noProof/>
            <w:webHidden/>
          </w:rPr>
          <w:t>78</w:t>
        </w:r>
        <w:r>
          <w:rPr>
            <w:noProof/>
            <w:webHidden/>
          </w:rPr>
          <w:fldChar w:fldCharType="end"/>
        </w:r>
      </w:hyperlink>
    </w:p>
    <w:p w14:paraId="37533EA5" w14:textId="168C0D4E"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5" w:history="1">
        <w:r w:rsidRPr="000556C1">
          <w:rPr>
            <w:rStyle w:val="Hyperlink"/>
            <w:noProof/>
          </w:rPr>
          <w:t>Microsoft Sentinel</w:t>
        </w:r>
        <w:r>
          <w:rPr>
            <w:noProof/>
            <w:webHidden/>
          </w:rPr>
          <w:tab/>
        </w:r>
        <w:r>
          <w:rPr>
            <w:noProof/>
            <w:webHidden/>
          </w:rPr>
          <w:fldChar w:fldCharType="begin"/>
        </w:r>
        <w:r>
          <w:rPr>
            <w:noProof/>
            <w:webHidden/>
          </w:rPr>
          <w:instrText xml:space="preserve"> PAGEREF _Toc239175045 \h </w:instrText>
        </w:r>
        <w:r>
          <w:rPr>
            <w:noProof/>
            <w:webHidden/>
          </w:rPr>
        </w:r>
        <w:r>
          <w:rPr>
            <w:noProof/>
            <w:webHidden/>
          </w:rPr>
          <w:fldChar w:fldCharType="separate"/>
        </w:r>
        <w:r>
          <w:rPr>
            <w:noProof/>
            <w:webHidden/>
          </w:rPr>
          <w:t>78</w:t>
        </w:r>
        <w:r>
          <w:rPr>
            <w:noProof/>
            <w:webHidden/>
          </w:rPr>
          <w:fldChar w:fldCharType="end"/>
        </w:r>
      </w:hyperlink>
    </w:p>
    <w:p w14:paraId="0F972267" w14:textId="610F294A"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6" w:history="1">
        <w:r w:rsidRPr="000556C1">
          <w:rPr>
            <w:rStyle w:val="Hyperlink"/>
            <w:noProof/>
          </w:rPr>
          <w:t>UsługiMobile Services</w:t>
        </w:r>
        <w:r>
          <w:rPr>
            <w:noProof/>
            <w:webHidden/>
          </w:rPr>
          <w:tab/>
        </w:r>
        <w:r>
          <w:rPr>
            <w:noProof/>
            <w:webHidden/>
          </w:rPr>
          <w:fldChar w:fldCharType="begin"/>
        </w:r>
        <w:r>
          <w:rPr>
            <w:noProof/>
            <w:webHidden/>
          </w:rPr>
          <w:instrText xml:space="preserve"> PAGEREF _Toc239175046 \h </w:instrText>
        </w:r>
        <w:r>
          <w:rPr>
            <w:noProof/>
            <w:webHidden/>
          </w:rPr>
        </w:r>
        <w:r>
          <w:rPr>
            <w:noProof/>
            <w:webHidden/>
          </w:rPr>
          <w:fldChar w:fldCharType="separate"/>
        </w:r>
        <w:r>
          <w:rPr>
            <w:noProof/>
            <w:webHidden/>
          </w:rPr>
          <w:t>79</w:t>
        </w:r>
        <w:r>
          <w:rPr>
            <w:noProof/>
            <w:webHidden/>
          </w:rPr>
          <w:fldChar w:fldCharType="end"/>
        </w:r>
      </w:hyperlink>
    </w:p>
    <w:p w14:paraId="340F7075" w14:textId="0044ADC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7" w:history="1">
        <w:r w:rsidRPr="000556C1">
          <w:rPr>
            <w:rStyle w:val="Hyperlink"/>
            <w:noProof/>
          </w:rPr>
          <w:t>Azure Monitor</w:t>
        </w:r>
        <w:r>
          <w:rPr>
            <w:noProof/>
            <w:webHidden/>
          </w:rPr>
          <w:tab/>
        </w:r>
        <w:r>
          <w:rPr>
            <w:noProof/>
            <w:webHidden/>
          </w:rPr>
          <w:fldChar w:fldCharType="begin"/>
        </w:r>
        <w:r>
          <w:rPr>
            <w:noProof/>
            <w:webHidden/>
          </w:rPr>
          <w:instrText xml:space="preserve"> PAGEREF _Toc239175047 \h </w:instrText>
        </w:r>
        <w:r>
          <w:rPr>
            <w:noProof/>
            <w:webHidden/>
          </w:rPr>
        </w:r>
        <w:r>
          <w:rPr>
            <w:noProof/>
            <w:webHidden/>
          </w:rPr>
          <w:fldChar w:fldCharType="separate"/>
        </w:r>
        <w:r>
          <w:rPr>
            <w:noProof/>
            <w:webHidden/>
          </w:rPr>
          <w:t>79</w:t>
        </w:r>
        <w:r>
          <w:rPr>
            <w:noProof/>
            <w:webHidden/>
          </w:rPr>
          <w:fldChar w:fldCharType="end"/>
        </w:r>
      </w:hyperlink>
    </w:p>
    <w:p w14:paraId="4F5A0455" w14:textId="1D84EF76"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8" w:history="1">
        <w:r w:rsidRPr="000556C1">
          <w:rPr>
            <w:rStyle w:val="Hyperlink"/>
            <w:noProof/>
          </w:rPr>
          <w:t>Azure NetApp Files</w:t>
        </w:r>
        <w:r>
          <w:rPr>
            <w:noProof/>
            <w:webHidden/>
          </w:rPr>
          <w:tab/>
        </w:r>
        <w:r>
          <w:rPr>
            <w:noProof/>
            <w:webHidden/>
          </w:rPr>
          <w:fldChar w:fldCharType="begin"/>
        </w:r>
        <w:r>
          <w:rPr>
            <w:noProof/>
            <w:webHidden/>
          </w:rPr>
          <w:instrText xml:space="preserve"> PAGEREF _Toc239175048 \h </w:instrText>
        </w:r>
        <w:r>
          <w:rPr>
            <w:noProof/>
            <w:webHidden/>
          </w:rPr>
        </w:r>
        <w:r>
          <w:rPr>
            <w:noProof/>
            <w:webHidden/>
          </w:rPr>
          <w:fldChar w:fldCharType="separate"/>
        </w:r>
        <w:r>
          <w:rPr>
            <w:noProof/>
            <w:webHidden/>
          </w:rPr>
          <w:t>80</w:t>
        </w:r>
        <w:r>
          <w:rPr>
            <w:noProof/>
            <w:webHidden/>
          </w:rPr>
          <w:fldChar w:fldCharType="end"/>
        </w:r>
      </w:hyperlink>
    </w:p>
    <w:p w14:paraId="4B6503D3" w14:textId="1E1179A6" w:rsidR="00A93882" w:rsidRDefault="00A93882">
      <w:pPr>
        <w:pStyle w:val="TOC4"/>
        <w:rPr>
          <w:rFonts w:eastAsiaTheme="minorEastAsia"/>
          <w:smallCaps w:val="0"/>
          <w:noProof/>
          <w:kern w:val="2"/>
          <w:sz w:val="24"/>
          <w:szCs w:val="24"/>
          <w:lang w:val="en-US" w:eastAsia="zh-CN" w:bidi="he-IL"/>
          <w14:ligatures w14:val="standardContextual"/>
        </w:rPr>
      </w:pPr>
      <w:hyperlink w:anchor="_Toc239175049" w:history="1">
        <w:r w:rsidRPr="000556C1">
          <w:rPr>
            <w:rStyle w:val="Hyperlink"/>
            <w:noProof/>
          </w:rPr>
          <w:t>Network Watcher</w:t>
        </w:r>
        <w:r>
          <w:rPr>
            <w:noProof/>
            <w:webHidden/>
          </w:rPr>
          <w:tab/>
        </w:r>
        <w:r>
          <w:rPr>
            <w:noProof/>
            <w:webHidden/>
          </w:rPr>
          <w:fldChar w:fldCharType="begin"/>
        </w:r>
        <w:r>
          <w:rPr>
            <w:noProof/>
            <w:webHidden/>
          </w:rPr>
          <w:instrText xml:space="preserve"> PAGEREF _Toc239175049 \h </w:instrText>
        </w:r>
        <w:r>
          <w:rPr>
            <w:noProof/>
            <w:webHidden/>
          </w:rPr>
        </w:r>
        <w:r>
          <w:rPr>
            <w:noProof/>
            <w:webHidden/>
          </w:rPr>
          <w:fldChar w:fldCharType="separate"/>
        </w:r>
        <w:r>
          <w:rPr>
            <w:noProof/>
            <w:webHidden/>
          </w:rPr>
          <w:t>81</w:t>
        </w:r>
        <w:r>
          <w:rPr>
            <w:noProof/>
            <w:webHidden/>
          </w:rPr>
          <w:fldChar w:fldCharType="end"/>
        </w:r>
      </w:hyperlink>
    </w:p>
    <w:p w14:paraId="7D509269" w14:textId="54515698"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0" w:history="1">
        <w:r w:rsidRPr="000556C1">
          <w:rPr>
            <w:rStyle w:val="Hyperlink"/>
            <w:noProof/>
          </w:rPr>
          <w:t>Centra Powiadomień</w:t>
        </w:r>
        <w:r>
          <w:rPr>
            <w:noProof/>
            <w:webHidden/>
          </w:rPr>
          <w:tab/>
        </w:r>
        <w:r>
          <w:rPr>
            <w:noProof/>
            <w:webHidden/>
          </w:rPr>
          <w:fldChar w:fldCharType="begin"/>
        </w:r>
        <w:r>
          <w:rPr>
            <w:noProof/>
            <w:webHidden/>
          </w:rPr>
          <w:instrText xml:space="preserve"> PAGEREF _Toc239175050 \h </w:instrText>
        </w:r>
        <w:r>
          <w:rPr>
            <w:noProof/>
            <w:webHidden/>
          </w:rPr>
        </w:r>
        <w:r>
          <w:rPr>
            <w:noProof/>
            <w:webHidden/>
          </w:rPr>
          <w:fldChar w:fldCharType="separate"/>
        </w:r>
        <w:r>
          <w:rPr>
            <w:noProof/>
            <w:webHidden/>
          </w:rPr>
          <w:t>81</w:t>
        </w:r>
        <w:r>
          <w:rPr>
            <w:noProof/>
            <w:webHidden/>
          </w:rPr>
          <w:fldChar w:fldCharType="end"/>
        </w:r>
      </w:hyperlink>
    </w:p>
    <w:p w14:paraId="170DC168" w14:textId="2E51D0D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1" w:history="1">
        <w:r w:rsidRPr="000556C1">
          <w:rPr>
            <w:rStyle w:val="Hyperlink"/>
            <w:noProof/>
          </w:rPr>
          <w:t>Rezerwacje na Żądanie dotyczących Zdolności Produkcyjnych dla usług Azure Virtual Machines</w:t>
        </w:r>
        <w:r>
          <w:rPr>
            <w:noProof/>
            <w:webHidden/>
          </w:rPr>
          <w:tab/>
        </w:r>
        <w:r>
          <w:rPr>
            <w:noProof/>
            <w:webHidden/>
          </w:rPr>
          <w:fldChar w:fldCharType="begin"/>
        </w:r>
        <w:r>
          <w:rPr>
            <w:noProof/>
            <w:webHidden/>
          </w:rPr>
          <w:instrText xml:space="preserve"> PAGEREF _Toc239175051 \h </w:instrText>
        </w:r>
        <w:r>
          <w:rPr>
            <w:noProof/>
            <w:webHidden/>
          </w:rPr>
        </w:r>
        <w:r>
          <w:rPr>
            <w:noProof/>
            <w:webHidden/>
          </w:rPr>
          <w:fldChar w:fldCharType="separate"/>
        </w:r>
        <w:r>
          <w:rPr>
            <w:noProof/>
            <w:webHidden/>
          </w:rPr>
          <w:t>82</w:t>
        </w:r>
        <w:r>
          <w:rPr>
            <w:noProof/>
            <w:webHidden/>
          </w:rPr>
          <w:fldChar w:fldCharType="end"/>
        </w:r>
      </w:hyperlink>
    </w:p>
    <w:p w14:paraId="05C15E9E" w14:textId="7B72D63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2" w:history="1">
        <w:r w:rsidRPr="000556C1">
          <w:rPr>
            <w:rStyle w:val="Hyperlink"/>
            <w:noProof/>
          </w:rPr>
          <w:t>Modele Foundry</w:t>
        </w:r>
        <w:r>
          <w:rPr>
            <w:noProof/>
            <w:webHidden/>
          </w:rPr>
          <w:tab/>
        </w:r>
        <w:r>
          <w:rPr>
            <w:noProof/>
            <w:webHidden/>
          </w:rPr>
          <w:fldChar w:fldCharType="begin"/>
        </w:r>
        <w:r>
          <w:rPr>
            <w:noProof/>
            <w:webHidden/>
          </w:rPr>
          <w:instrText xml:space="preserve"> PAGEREF _Toc239175052 \h </w:instrText>
        </w:r>
        <w:r>
          <w:rPr>
            <w:noProof/>
            <w:webHidden/>
          </w:rPr>
        </w:r>
        <w:r>
          <w:rPr>
            <w:noProof/>
            <w:webHidden/>
          </w:rPr>
          <w:fldChar w:fldCharType="separate"/>
        </w:r>
        <w:r>
          <w:rPr>
            <w:noProof/>
            <w:webHidden/>
          </w:rPr>
          <w:t>83</w:t>
        </w:r>
        <w:r>
          <w:rPr>
            <w:noProof/>
            <w:webHidden/>
          </w:rPr>
          <w:fldChar w:fldCharType="end"/>
        </w:r>
      </w:hyperlink>
    </w:p>
    <w:p w14:paraId="665790D6" w14:textId="23AFD35A"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3" w:history="1">
        <w:r w:rsidRPr="000556C1">
          <w:rPr>
            <w:rStyle w:val="Hyperlink"/>
            <w:noProof/>
          </w:rPr>
          <w:t>Replikacja Obiektów - Replikacja Priorytetowa</w:t>
        </w:r>
        <w:r>
          <w:rPr>
            <w:noProof/>
            <w:webHidden/>
          </w:rPr>
          <w:tab/>
        </w:r>
        <w:r>
          <w:rPr>
            <w:noProof/>
            <w:webHidden/>
          </w:rPr>
          <w:fldChar w:fldCharType="begin"/>
        </w:r>
        <w:r>
          <w:rPr>
            <w:noProof/>
            <w:webHidden/>
          </w:rPr>
          <w:instrText xml:space="preserve"> PAGEREF _Toc239175053 \h </w:instrText>
        </w:r>
        <w:r>
          <w:rPr>
            <w:noProof/>
            <w:webHidden/>
          </w:rPr>
        </w:r>
        <w:r>
          <w:rPr>
            <w:noProof/>
            <w:webHidden/>
          </w:rPr>
          <w:fldChar w:fldCharType="separate"/>
        </w:r>
        <w:r>
          <w:rPr>
            <w:noProof/>
            <w:webHidden/>
          </w:rPr>
          <w:t>85</w:t>
        </w:r>
        <w:r>
          <w:rPr>
            <w:noProof/>
            <w:webHidden/>
          </w:rPr>
          <w:fldChar w:fldCharType="end"/>
        </w:r>
      </w:hyperlink>
    </w:p>
    <w:p w14:paraId="485C5FD9" w14:textId="1A816284"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4" w:history="1">
        <w:r w:rsidRPr="000556C1">
          <w:rPr>
            <w:rStyle w:val="Hyperlink"/>
            <w:noProof/>
          </w:rPr>
          <w:t>Azure Operator Manager</w:t>
        </w:r>
        <w:r>
          <w:rPr>
            <w:noProof/>
            <w:webHidden/>
          </w:rPr>
          <w:tab/>
        </w:r>
        <w:r>
          <w:rPr>
            <w:noProof/>
            <w:webHidden/>
          </w:rPr>
          <w:fldChar w:fldCharType="begin"/>
        </w:r>
        <w:r>
          <w:rPr>
            <w:noProof/>
            <w:webHidden/>
          </w:rPr>
          <w:instrText xml:space="preserve"> PAGEREF _Toc239175054 \h </w:instrText>
        </w:r>
        <w:r>
          <w:rPr>
            <w:noProof/>
            <w:webHidden/>
          </w:rPr>
        </w:r>
        <w:r>
          <w:rPr>
            <w:noProof/>
            <w:webHidden/>
          </w:rPr>
          <w:fldChar w:fldCharType="separate"/>
        </w:r>
        <w:r>
          <w:rPr>
            <w:noProof/>
            <w:webHidden/>
          </w:rPr>
          <w:t>85</w:t>
        </w:r>
        <w:r>
          <w:rPr>
            <w:noProof/>
            <w:webHidden/>
          </w:rPr>
          <w:fldChar w:fldCharType="end"/>
        </w:r>
      </w:hyperlink>
    </w:p>
    <w:p w14:paraId="1AD5D636" w14:textId="3EB984FE"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5" w:history="1">
        <w:r w:rsidRPr="000556C1">
          <w:rPr>
            <w:rStyle w:val="Hyperlink"/>
            <w:noProof/>
          </w:rPr>
          <w:t>Stacja Naziemna Azure Orbital</w:t>
        </w:r>
        <w:r>
          <w:rPr>
            <w:noProof/>
            <w:webHidden/>
          </w:rPr>
          <w:tab/>
        </w:r>
        <w:r>
          <w:rPr>
            <w:noProof/>
            <w:webHidden/>
          </w:rPr>
          <w:fldChar w:fldCharType="begin"/>
        </w:r>
        <w:r>
          <w:rPr>
            <w:noProof/>
            <w:webHidden/>
          </w:rPr>
          <w:instrText xml:space="preserve"> PAGEREF _Toc239175055 \h </w:instrText>
        </w:r>
        <w:r>
          <w:rPr>
            <w:noProof/>
            <w:webHidden/>
          </w:rPr>
        </w:r>
        <w:r>
          <w:rPr>
            <w:noProof/>
            <w:webHidden/>
          </w:rPr>
          <w:fldChar w:fldCharType="separate"/>
        </w:r>
        <w:r>
          <w:rPr>
            <w:noProof/>
            <w:webHidden/>
          </w:rPr>
          <w:t>86</w:t>
        </w:r>
        <w:r>
          <w:rPr>
            <w:noProof/>
            <w:webHidden/>
          </w:rPr>
          <w:fldChar w:fldCharType="end"/>
        </w:r>
      </w:hyperlink>
    </w:p>
    <w:p w14:paraId="188788F2" w14:textId="39F3780A"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6" w:history="1">
        <w:r w:rsidRPr="000556C1">
          <w:rPr>
            <w:rStyle w:val="Hyperlink"/>
            <w:noProof/>
          </w:rPr>
          <w:t>Microsoft Playwright Testing</w:t>
        </w:r>
        <w:r>
          <w:rPr>
            <w:noProof/>
            <w:webHidden/>
          </w:rPr>
          <w:tab/>
        </w:r>
        <w:r>
          <w:rPr>
            <w:noProof/>
            <w:webHidden/>
          </w:rPr>
          <w:fldChar w:fldCharType="begin"/>
        </w:r>
        <w:r>
          <w:rPr>
            <w:noProof/>
            <w:webHidden/>
          </w:rPr>
          <w:instrText xml:space="preserve"> PAGEREF _Toc239175056 \h </w:instrText>
        </w:r>
        <w:r>
          <w:rPr>
            <w:noProof/>
            <w:webHidden/>
          </w:rPr>
        </w:r>
        <w:r>
          <w:rPr>
            <w:noProof/>
            <w:webHidden/>
          </w:rPr>
          <w:fldChar w:fldCharType="separate"/>
        </w:r>
        <w:r>
          <w:rPr>
            <w:noProof/>
            <w:webHidden/>
          </w:rPr>
          <w:t>87</w:t>
        </w:r>
        <w:r>
          <w:rPr>
            <w:noProof/>
            <w:webHidden/>
          </w:rPr>
          <w:fldChar w:fldCharType="end"/>
        </w:r>
      </w:hyperlink>
    </w:p>
    <w:p w14:paraId="229D6FA7" w14:textId="58BF7B74"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7" w:history="1">
        <w:r w:rsidRPr="000556C1">
          <w:rPr>
            <w:rStyle w:val="Hyperlink"/>
            <w:noProof/>
            <w:lang w:val="it-IT"/>
          </w:rPr>
          <w:t>Azure Private Link</w:t>
        </w:r>
        <w:r>
          <w:rPr>
            <w:noProof/>
            <w:webHidden/>
          </w:rPr>
          <w:tab/>
        </w:r>
        <w:r>
          <w:rPr>
            <w:noProof/>
            <w:webHidden/>
          </w:rPr>
          <w:fldChar w:fldCharType="begin"/>
        </w:r>
        <w:r>
          <w:rPr>
            <w:noProof/>
            <w:webHidden/>
          </w:rPr>
          <w:instrText xml:space="preserve"> PAGEREF _Toc239175057 \h </w:instrText>
        </w:r>
        <w:r>
          <w:rPr>
            <w:noProof/>
            <w:webHidden/>
          </w:rPr>
        </w:r>
        <w:r>
          <w:rPr>
            <w:noProof/>
            <w:webHidden/>
          </w:rPr>
          <w:fldChar w:fldCharType="separate"/>
        </w:r>
        <w:r>
          <w:rPr>
            <w:noProof/>
            <w:webHidden/>
          </w:rPr>
          <w:t>87</w:t>
        </w:r>
        <w:r>
          <w:rPr>
            <w:noProof/>
            <w:webHidden/>
          </w:rPr>
          <w:fldChar w:fldCharType="end"/>
        </w:r>
      </w:hyperlink>
    </w:p>
    <w:p w14:paraId="0CD114F1" w14:textId="4710031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8" w:history="1">
        <w:r w:rsidRPr="000556C1">
          <w:rPr>
            <w:rStyle w:val="Hyperlink"/>
            <w:noProof/>
          </w:rPr>
          <w:t>Microsoft Purview</w:t>
        </w:r>
        <w:r>
          <w:rPr>
            <w:noProof/>
            <w:webHidden/>
          </w:rPr>
          <w:tab/>
        </w:r>
        <w:r>
          <w:rPr>
            <w:noProof/>
            <w:webHidden/>
          </w:rPr>
          <w:fldChar w:fldCharType="begin"/>
        </w:r>
        <w:r>
          <w:rPr>
            <w:noProof/>
            <w:webHidden/>
          </w:rPr>
          <w:instrText xml:space="preserve"> PAGEREF _Toc239175058 \h </w:instrText>
        </w:r>
        <w:r>
          <w:rPr>
            <w:noProof/>
            <w:webHidden/>
          </w:rPr>
        </w:r>
        <w:r>
          <w:rPr>
            <w:noProof/>
            <w:webHidden/>
          </w:rPr>
          <w:fldChar w:fldCharType="separate"/>
        </w:r>
        <w:r>
          <w:rPr>
            <w:noProof/>
            <w:webHidden/>
          </w:rPr>
          <w:t>88</w:t>
        </w:r>
        <w:r>
          <w:rPr>
            <w:noProof/>
            <w:webHidden/>
          </w:rPr>
          <w:fldChar w:fldCharType="end"/>
        </w:r>
      </w:hyperlink>
    </w:p>
    <w:p w14:paraId="4C1D08AA" w14:textId="1ED8D249" w:rsidR="00A93882" w:rsidRDefault="00A93882">
      <w:pPr>
        <w:pStyle w:val="TOC4"/>
        <w:rPr>
          <w:rFonts w:eastAsiaTheme="minorEastAsia"/>
          <w:smallCaps w:val="0"/>
          <w:noProof/>
          <w:kern w:val="2"/>
          <w:sz w:val="24"/>
          <w:szCs w:val="24"/>
          <w:lang w:val="en-US" w:eastAsia="zh-CN" w:bidi="he-IL"/>
          <w14:ligatures w14:val="standardContextual"/>
        </w:rPr>
      </w:pPr>
      <w:hyperlink w:anchor="_Toc239175059" w:history="1">
        <w:r w:rsidRPr="000556C1">
          <w:rPr>
            <w:rStyle w:val="Hyperlink"/>
            <w:noProof/>
          </w:rPr>
          <w:t>Azure Red Hat OpenShift</w:t>
        </w:r>
        <w:r>
          <w:rPr>
            <w:noProof/>
            <w:webHidden/>
          </w:rPr>
          <w:tab/>
        </w:r>
        <w:r>
          <w:rPr>
            <w:noProof/>
            <w:webHidden/>
          </w:rPr>
          <w:fldChar w:fldCharType="begin"/>
        </w:r>
        <w:r>
          <w:rPr>
            <w:noProof/>
            <w:webHidden/>
          </w:rPr>
          <w:instrText xml:space="preserve"> PAGEREF _Toc239175059 \h </w:instrText>
        </w:r>
        <w:r>
          <w:rPr>
            <w:noProof/>
            <w:webHidden/>
          </w:rPr>
        </w:r>
        <w:r>
          <w:rPr>
            <w:noProof/>
            <w:webHidden/>
          </w:rPr>
          <w:fldChar w:fldCharType="separate"/>
        </w:r>
        <w:r>
          <w:rPr>
            <w:noProof/>
            <w:webHidden/>
          </w:rPr>
          <w:t>88</w:t>
        </w:r>
        <w:r>
          <w:rPr>
            <w:noProof/>
            <w:webHidden/>
          </w:rPr>
          <w:fldChar w:fldCharType="end"/>
        </w:r>
      </w:hyperlink>
    </w:p>
    <w:p w14:paraId="10E2348F" w14:textId="6F0B584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0" w:history="1">
        <w:r w:rsidRPr="000556C1">
          <w:rPr>
            <w:rStyle w:val="Hyperlink"/>
            <w:noProof/>
          </w:rPr>
          <w:t>Remote Rendering</w:t>
        </w:r>
        <w:r>
          <w:rPr>
            <w:noProof/>
            <w:webHidden/>
          </w:rPr>
          <w:tab/>
        </w:r>
        <w:r>
          <w:rPr>
            <w:noProof/>
            <w:webHidden/>
          </w:rPr>
          <w:fldChar w:fldCharType="begin"/>
        </w:r>
        <w:r>
          <w:rPr>
            <w:noProof/>
            <w:webHidden/>
          </w:rPr>
          <w:instrText xml:space="preserve"> PAGEREF _Toc239175060 \h </w:instrText>
        </w:r>
        <w:r>
          <w:rPr>
            <w:noProof/>
            <w:webHidden/>
          </w:rPr>
        </w:r>
        <w:r>
          <w:rPr>
            <w:noProof/>
            <w:webHidden/>
          </w:rPr>
          <w:fldChar w:fldCharType="separate"/>
        </w:r>
        <w:r>
          <w:rPr>
            <w:noProof/>
            <w:webHidden/>
          </w:rPr>
          <w:t>88</w:t>
        </w:r>
        <w:r>
          <w:rPr>
            <w:noProof/>
            <w:webHidden/>
          </w:rPr>
          <w:fldChar w:fldCharType="end"/>
        </w:r>
      </w:hyperlink>
    </w:p>
    <w:p w14:paraId="5106FA69" w14:textId="074F07DA"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1" w:history="1">
        <w:r w:rsidRPr="000556C1">
          <w:rPr>
            <w:rStyle w:val="Hyperlink"/>
            <w:noProof/>
          </w:rPr>
          <w:t>Azure Route Server</w:t>
        </w:r>
        <w:r>
          <w:rPr>
            <w:noProof/>
            <w:webHidden/>
          </w:rPr>
          <w:tab/>
        </w:r>
        <w:r>
          <w:rPr>
            <w:noProof/>
            <w:webHidden/>
          </w:rPr>
          <w:fldChar w:fldCharType="begin"/>
        </w:r>
        <w:r>
          <w:rPr>
            <w:noProof/>
            <w:webHidden/>
          </w:rPr>
          <w:instrText xml:space="preserve"> PAGEREF _Toc239175061 \h </w:instrText>
        </w:r>
        <w:r>
          <w:rPr>
            <w:noProof/>
            <w:webHidden/>
          </w:rPr>
        </w:r>
        <w:r>
          <w:rPr>
            <w:noProof/>
            <w:webHidden/>
          </w:rPr>
          <w:fldChar w:fldCharType="separate"/>
        </w:r>
        <w:r>
          <w:rPr>
            <w:noProof/>
            <w:webHidden/>
          </w:rPr>
          <w:t>89</w:t>
        </w:r>
        <w:r>
          <w:rPr>
            <w:noProof/>
            <w:webHidden/>
          </w:rPr>
          <w:fldChar w:fldCharType="end"/>
        </w:r>
      </w:hyperlink>
    </w:p>
    <w:p w14:paraId="13C16B49" w14:textId="0709436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2" w:history="1">
        <w:r w:rsidRPr="000556C1">
          <w:rPr>
            <w:rStyle w:val="Hyperlink"/>
            <w:noProof/>
          </w:rPr>
          <w:t>SAP HANA on Azure — duże wystąpienia</w:t>
        </w:r>
        <w:r>
          <w:rPr>
            <w:noProof/>
            <w:webHidden/>
          </w:rPr>
          <w:tab/>
        </w:r>
        <w:r>
          <w:rPr>
            <w:noProof/>
            <w:webHidden/>
          </w:rPr>
          <w:fldChar w:fldCharType="begin"/>
        </w:r>
        <w:r>
          <w:rPr>
            <w:noProof/>
            <w:webHidden/>
          </w:rPr>
          <w:instrText xml:space="preserve"> PAGEREF _Toc239175062 \h </w:instrText>
        </w:r>
        <w:r>
          <w:rPr>
            <w:noProof/>
            <w:webHidden/>
          </w:rPr>
        </w:r>
        <w:r>
          <w:rPr>
            <w:noProof/>
            <w:webHidden/>
          </w:rPr>
          <w:fldChar w:fldCharType="separate"/>
        </w:r>
        <w:r>
          <w:rPr>
            <w:noProof/>
            <w:webHidden/>
          </w:rPr>
          <w:t>89</w:t>
        </w:r>
        <w:r>
          <w:rPr>
            <w:noProof/>
            <w:webHidden/>
          </w:rPr>
          <w:fldChar w:fldCharType="end"/>
        </w:r>
      </w:hyperlink>
    </w:p>
    <w:p w14:paraId="7E3D7A86" w14:textId="1B75642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3" w:history="1">
        <w:r w:rsidRPr="000556C1">
          <w:rPr>
            <w:rStyle w:val="Hyperlink"/>
            <w:noProof/>
          </w:rPr>
          <w:t>Scheduler</w:t>
        </w:r>
        <w:r>
          <w:rPr>
            <w:noProof/>
            <w:webHidden/>
          </w:rPr>
          <w:tab/>
        </w:r>
        <w:r>
          <w:rPr>
            <w:noProof/>
            <w:webHidden/>
          </w:rPr>
          <w:fldChar w:fldCharType="begin"/>
        </w:r>
        <w:r>
          <w:rPr>
            <w:noProof/>
            <w:webHidden/>
          </w:rPr>
          <w:instrText xml:space="preserve"> PAGEREF _Toc239175063 \h </w:instrText>
        </w:r>
        <w:r>
          <w:rPr>
            <w:noProof/>
            <w:webHidden/>
          </w:rPr>
        </w:r>
        <w:r>
          <w:rPr>
            <w:noProof/>
            <w:webHidden/>
          </w:rPr>
          <w:fldChar w:fldCharType="separate"/>
        </w:r>
        <w:r>
          <w:rPr>
            <w:noProof/>
            <w:webHidden/>
          </w:rPr>
          <w:t>90</w:t>
        </w:r>
        <w:r>
          <w:rPr>
            <w:noProof/>
            <w:webHidden/>
          </w:rPr>
          <w:fldChar w:fldCharType="end"/>
        </w:r>
      </w:hyperlink>
    </w:p>
    <w:p w14:paraId="179270ED" w14:textId="36FCEBD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4" w:history="1">
        <w:r w:rsidRPr="000556C1">
          <w:rPr>
            <w:rStyle w:val="Hyperlink"/>
            <w:noProof/>
          </w:rPr>
          <w:t>Service-Bus</w:t>
        </w:r>
        <w:r>
          <w:rPr>
            <w:noProof/>
            <w:webHidden/>
          </w:rPr>
          <w:tab/>
        </w:r>
        <w:r>
          <w:rPr>
            <w:noProof/>
            <w:webHidden/>
          </w:rPr>
          <w:fldChar w:fldCharType="begin"/>
        </w:r>
        <w:r>
          <w:rPr>
            <w:noProof/>
            <w:webHidden/>
          </w:rPr>
          <w:instrText xml:space="preserve"> PAGEREF _Toc239175064 \h </w:instrText>
        </w:r>
        <w:r>
          <w:rPr>
            <w:noProof/>
            <w:webHidden/>
          </w:rPr>
        </w:r>
        <w:r>
          <w:rPr>
            <w:noProof/>
            <w:webHidden/>
          </w:rPr>
          <w:fldChar w:fldCharType="separate"/>
        </w:r>
        <w:r>
          <w:rPr>
            <w:noProof/>
            <w:webHidden/>
          </w:rPr>
          <w:t>91</w:t>
        </w:r>
        <w:r>
          <w:rPr>
            <w:noProof/>
            <w:webHidden/>
          </w:rPr>
          <w:fldChar w:fldCharType="end"/>
        </w:r>
      </w:hyperlink>
    </w:p>
    <w:p w14:paraId="6802EC84" w14:textId="4E11269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5" w:history="1">
        <w:r w:rsidRPr="000556C1">
          <w:rPr>
            <w:rStyle w:val="Hyperlink"/>
            <w:noProof/>
          </w:rPr>
          <w:t>Azure SignalR Service</w:t>
        </w:r>
        <w:r>
          <w:rPr>
            <w:noProof/>
            <w:webHidden/>
          </w:rPr>
          <w:tab/>
        </w:r>
        <w:r>
          <w:rPr>
            <w:noProof/>
            <w:webHidden/>
          </w:rPr>
          <w:fldChar w:fldCharType="begin"/>
        </w:r>
        <w:r>
          <w:rPr>
            <w:noProof/>
            <w:webHidden/>
          </w:rPr>
          <w:instrText xml:space="preserve"> PAGEREF _Toc239175065 \h </w:instrText>
        </w:r>
        <w:r>
          <w:rPr>
            <w:noProof/>
            <w:webHidden/>
          </w:rPr>
        </w:r>
        <w:r>
          <w:rPr>
            <w:noProof/>
            <w:webHidden/>
          </w:rPr>
          <w:fldChar w:fldCharType="separate"/>
        </w:r>
        <w:r>
          <w:rPr>
            <w:noProof/>
            <w:webHidden/>
          </w:rPr>
          <w:t>91</w:t>
        </w:r>
        <w:r>
          <w:rPr>
            <w:noProof/>
            <w:webHidden/>
          </w:rPr>
          <w:fldChar w:fldCharType="end"/>
        </w:r>
      </w:hyperlink>
    </w:p>
    <w:p w14:paraId="53387B8A" w14:textId="7FEF767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6" w:history="1">
        <w:r w:rsidRPr="000556C1">
          <w:rPr>
            <w:rStyle w:val="Hyperlink"/>
            <w:noProof/>
          </w:rPr>
          <w:t>Azure Site Recovery</w:t>
        </w:r>
        <w:r>
          <w:rPr>
            <w:noProof/>
            <w:webHidden/>
          </w:rPr>
          <w:tab/>
        </w:r>
        <w:r>
          <w:rPr>
            <w:noProof/>
            <w:webHidden/>
          </w:rPr>
          <w:fldChar w:fldCharType="begin"/>
        </w:r>
        <w:r>
          <w:rPr>
            <w:noProof/>
            <w:webHidden/>
          </w:rPr>
          <w:instrText xml:space="preserve"> PAGEREF _Toc239175066 \h </w:instrText>
        </w:r>
        <w:r>
          <w:rPr>
            <w:noProof/>
            <w:webHidden/>
          </w:rPr>
        </w:r>
        <w:r>
          <w:rPr>
            <w:noProof/>
            <w:webHidden/>
          </w:rPr>
          <w:fldChar w:fldCharType="separate"/>
        </w:r>
        <w:r>
          <w:rPr>
            <w:noProof/>
            <w:webHidden/>
          </w:rPr>
          <w:t>92</w:t>
        </w:r>
        <w:r>
          <w:rPr>
            <w:noProof/>
            <w:webHidden/>
          </w:rPr>
          <w:fldChar w:fldCharType="end"/>
        </w:r>
      </w:hyperlink>
    </w:p>
    <w:p w14:paraId="38E83314" w14:textId="45462E5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7" w:history="1">
        <w:r w:rsidRPr="000556C1">
          <w:rPr>
            <w:rStyle w:val="Hyperlink"/>
            <w:noProof/>
          </w:rPr>
          <w:t>Spatial Anchors</w:t>
        </w:r>
        <w:r>
          <w:rPr>
            <w:noProof/>
            <w:webHidden/>
          </w:rPr>
          <w:tab/>
        </w:r>
        <w:r>
          <w:rPr>
            <w:noProof/>
            <w:webHidden/>
          </w:rPr>
          <w:fldChar w:fldCharType="begin"/>
        </w:r>
        <w:r>
          <w:rPr>
            <w:noProof/>
            <w:webHidden/>
          </w:rPr>
          <w:instrText xml:space="preserve"> PAGEREF _Toc239175067 \h </w:instrText>
        </w:r>
        <w:r>
          <w:rPr>
            <w:noProof/>
            <w:webHidden/>
          </w:rPr>
        </w:r>
        <w:r>
          <w:rPr>
            <w:noProof/>
            <w:webHidden/>
          </w:rPr>
          <w:fldChar w:fldCharType="separate"/>
        </w:r>
        <w:r>
          <w:rPr>
            <w:noProof/>
            <w:webHidden/>
          </w:rPr>
          <w:t>93</w:t>
        </w:r>
        <w:r>
          <w:rPr>
            <w:noProof/>
            <w:webHidden/>
          </w:rPr>
          <w:fldChar w:fldCharType="end"/>
        </w:r>
      </w:hyperlink>
    </w:p>
    <w:p w14:paraId="3EFC46DB" w14:textId="693AC83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8" w:history="1">
        <w:r w:rsidRPr="000556C1">
          <w:rPr>
            <w:rStyle w:val="Hyperlink"/>
            <w:noProof/>
          </w:rPr>
          <w:t>Azure Spring Apps</w:t>
        </w:r>
        <w:r>
          <w:rPr>
            <w:noProof/>
            <w:webHidden/>
          </w:rPr>
          <w:tab/>
        </w:r>
        <w:r>
          <w:rPr>
            <w:noProof/>
            <w:webHidden/>
          </w:rPr>
          <w:fldChar w:fldCharType="begin"/>
        </w:r>
        <w:r>
          <w:rPr>
            <w:noProof/>
            <w:webHidden/>
          </w:rPr>
          <w:instrText xml:space="preserve"> PAGEREF _Toc239175068 \h </w:instrText>
        </w:r>
        <w:r>
          <w:rPr>
            <w:noProof/>
            <w:webHidden/>
          </w:rPr>
        </w:r>
        <w:r>
          <w:rPr>
            <w:noProof/>
            <w:webHidden/>
          </w:rPr>
          <w:fldChar w:fldCharType="separate"/>
        </w:r>
        <w:r>
          <w:rPr>
            <w:noProof/>
            <w:webHidden/>
          </w:rPr>
          <w:t>93</w:t>
        </w:r>
        <w:r>
          <w:rPr>
            <w:noProof/>
            <w:webHidden/>
          </w:rPr>
          <w:fldChar w:fldCharType="end"/>
        </w:r>
      </w:hyperlink>
    </w:p>
    <w:p w14:paraId="6F370910" w14:textId="6BFB8B5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69" w:history="1">
        <w:r w:rsidRPr="000556C1">
          <w:rPr>
            <w:rStyle w:val="Hyperlink"/>
            <w:noProof/>
          </w:rPr>
          <w:t>Azure SQL Database</w:t>
        </w:r>
        <w:r>
          <w:rPr>
            <w:noProof/>
            <w:webHidden/>
          </w:rPr>
          <w:tab/>
        </w:r>
        <w:r>
          <w:rPr>
            <w:noProof/>
            <w:webHidden/>
          </w:rPr>
          <w:fldChar w:fldCharType="begin"/>
        </w:r>
        <w:r>
          <w:rPr>
            <w:noProof/>
            <w:webHidden/>
          </w:rPr>
          <w:instrText xml:space="preserve"> PAGEREF _Toc239175069 \h </w:instrText>
        </w:r>
        <w:r>
          <w:rPr>
            <w:noProof/>
            <w:webHidden/>
          </w:rPr>
        </w:r>
        <w:r>
          <w:rPr>
            <w:noProof/>
            <w:webHidden/>
          </w:rPr>
          <w:fldChar w:fldCharType="separate"/>
        </w:r>
        <w:r>
          <w:rPr>
            <w:noProof/>
            <w:webHidden/>
          </w:rPr>
          <w:t>94</w:t>
        </w:r>
        <w:r>
          <w:rPr>
            <w:noProof/>
            <w:webHidden/>
          </w:rPr>
          <w:fldChar w:fldCharType="end"/>
        </w:r>
      </w:hyperlink>
    </w:p>
    <w:p w14:paraId="2D638BEC" w14:textId="6C1D32FB"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0" w:history="1">
        <w:r w:rsidRPr="000556C1">
          <w:rPr>
            <w:rStyle w:val="Hyperlink"/>
            <w:noProof/>
          </w:rPr>
          <w:t>Azure SQL Managed Instance</w:t>
        </w:r>
        <w:r>
          <w:rPr>
            <w:noProof/>
            <w:webHidden/>
          </w:rPr>
          <w:tab/>
        </w:r>
        <w:r>
          <w:rPr>
            <w:noProof/>
            <w:webHidden/>
          </w:rPr>
          <w:fldChar w:fldCharType="begin"/>
        </w:r>
        <w:r>
          <w:rPr>
            <w:noProof/>
            <w:webHidden/>
          </w:rPr>
          <w:instrText xml:space="preserve"> PAGEREF _Toc239175070 \h </w:instrText>
        </w:r>
        <w:r>
          <w:rPr>
            <w:noProof/>
            <w:webHidden/>
          </w:rPr>
        </w:r>
        <w:r>
          <w:rPr>
            <w:noProof/>
            <w:webHidden/>
          </w:rPr>
          <w:fldChar w:fldCharType="separate"/>
        </w:r>
        <w:r>
          <w:rPr>
            <w:noProof/>
            <w:webHidden/>
          </w:rPr>
          <w:t>96</w:t>
        </w:r>
        <w:r>
          <w:rPr>
            <w:noProof/>
            <w:webHidden/>
          </w:rPr>
          <w:fldChar w:fldCharType="end"/>
        </w:r>
      </w:hyperlink>
    </w:p>
    <w:p w14:paraId="5EFB9FCB" w14:textId="3ACEBEE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1" w:history="1">
        <w:r w:rsidRPr="000556C1">
          <w:rPr>
            <w:rStyle w:val="Hyperlink"/>
            <w:noProof/>
          </w:rPr>
          <w:t>SQL Server Stretch Database</w:t>
        </w:r>
        <w:r>
          <w:rPr>
            <w:noProof/>
            <w:webHidden/>
          </w:rPr>
          <w:tab/>
        </w:r>
        <w:r>
          <w:rPr>
            <w:noProof/>
            <w:webHidden/>
          </w:rPr>
          <w:fldChar w:fldCharType="begin"/>
        </w:r>
        <w:r>
          <w:rPr>
            <w:noProof/>
            <w:webHidden/>
          </w:rPr>
          <w:instrText xml:space="preserve"> PAGEREF _Toc239175071 \h </w:instrText>
        </w:r>
        <w:r>
          <w:rPr>
            <w:noProof/>
            <w:webHidden/>
          </w:rPr>
        </w:r>
        <w:r>
          <w:rPr>
            <w:noProof/>
            <w:webHidden/>
          </w:rPr>
          <w:fldChar w:fldCharType="separate"/>
        </w:r>
        <w:r>
          <w:rPr>
            <w:noProof/>
            <w:webHidden/>
          </w:rPr>
          <w:t>97</w:t>
        </w:r>
        <w:r>
          <w:rPr>
            <w:noProof/>
            <w:webHidden/>
          </w:rPr>
          <w:fldChar w:fldCharType="end"/>
        </w:r>
      </w:hyperlink>
    </w:p>
    <w:p w14:paraId="762E1E63" w14:textId="0092772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2" w:history="1">
        <w:r w:rsidRPr="000556C1">
          <w:rPr>
            <w:rStyle w:val="Hyperlink"/>
            <w:noProof/>
          </w:rPr>
          <w:t>Static Web Apps</w:t>
        </w:r>
        <w:r>
          <w:rPr>
            <w:noProof/>
            <w:webHidden/>
          </w:rPr>
          <w:tab/>
        </w:r>
        <w:r>
          <w:rPr>
            <w:noProof/>
            <w:webHidden/>
          </w:rPr>
          <w:fldChar w:fldCharType="begin"/>
        </w:r>
        <w:r>
          <w:rPr>
            <w:noProof/>
            <w:webHidden/>
          </w:rPr>
          <w:instrText xml:space="preserve"> PAGEREF _Toc239175072 \h </w:instrText>
        </w:r>
        <w:r>
          <w:rPr>
            <w:noProof/>
            <w:webHidden/>
          </w:rPr>
        </w:r>
        <w:r>
          <w:rPr>
            <w:noProof/>
            <w:webHidden/>
          </w:rPr>
          <w:fldChar w:fldCharType="separate"/>
        </w:r>
        <w:r>
          <w:rPr>
            <w:noProof/>
            <w:webHidden/>
          </w:rPr>
          <w:t>97</w:t>
        </w:r>
        <w:r>
          <w:rPr>
            <w:noProof/>
            <w:webHidden/>
          </w:rPr>
          <w:fldChar w:fldCharType="end"/>
        </w:r>
      </w:hyperlink>
    </w:p>
    <w:p w14:paraId="6250AE87" w14:textId="319ACF4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3" w:history="1">
        <w:r w:rsidRPr="000556C1">
          <w:rPr>
            <w:rStyle w:val="Hyperlink"/>
            <w:noProof/>
          </w:rPr>
          <w:t>Konta Magazynów</w:t>
        </w:r>
        <w:r>
          <w:rPr>
            <w:noProof/>
            <w:webHidden/>
          </w:rPr>
          <w:tab/>
        </w:r>
        <w:r>
          <w:rPr>
            <w:noProof/>
            <w:webHidden/>
          </w:rPr>
          <w:fldChar w:fldCharType="begin"/>
        </w:r>
        <w:r>
          <w:rPr>
            <w:noProof/>
            <w:webHidden/>
          </w:rPr>
          <w:instrText xml:space="preserve"> PAGEREF _Toc239175073 \h </w:instrText>
        </w:r>
        <w:r>
          <w:rPr>
            <w:noProof/>
            <w:webHidden/>
          </w:rPr>
        </w:r>
        <w:r>
          <w:rPr>
            <w:noProof/>
            <w:webHidden/>
          </w:rPr>
          <w:fldChar w:fldCharType="separate"/>
        </w:r>
        <w:r>
          <w:rPr>
            <w:noProof/>
            <w:webHidden/>
          </w:rPr>
          <w:t>97</w:t>
        </w:r>
        <w:r>
          <w:rPr>
            <w:noProof/>
            <w:webHidden/>
          </w:rPr>
          <w:fldChar w:fldCharType="end"/>
        </w:r>
      </w:hyperlink>
    </w:p>
    <w:p w14:paraId="4C4466E8" w14:textId="3EB67B3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4" w:history="1">
        <w:r w:rsidRPr="000556C1">
          <w:rPr>
            <w:rStyle w:val="Hyperlink"/>
            <w:noProof/>
          </w:rPr>
          <w:t>StorSimple</w:t>
        </w:r>
        <w:r>
          <w:rPr>
            <w:noProof/>
            <w:webHidden/>
          </w:rPr>
          <w:tab/>
        </w:r>
        <w:r>
          <w:rPr>
            <w:noProof/>
            <w:webHidden/>
          </w:rPr>
          <w:fldChar w:fldCharType="begin"/>
        </w:r>
        <w:r>
          <w:rPr>
            <w:noProof/>
            <w:webHidden/>
          </w:rPr>
          <w:instrText xml:space="preserve"> PAGEREF _Toc239175074 \h </w:instrText>
        </w:r>
        <w:r>
          <w:rPr>
            <w:noProof/>
            <w:webHidden/>
          </w:rPr>
        </w:r>
        <w:r>
          <w:rPr>
            <w:noProof/>
            <w:webHidden/>
          </w:rPr>
          <w:fldChar w:fldCharType="separate"/>
        </w:r>
        <w:r>
          <w:rPr>
            <w:noProof/>
            <w:webHidden/>
          </w:rPr>
          <w:t>100</w:t>
        </w:r>
        <w:r>
          <w:rPr>
            <w:noProof/>
            <w:webHidden/>
          </w:rPr>
          <w:fldChar w:fldCharType="end"/>
        </w:r>
      </w:hyperlink>
    </w:p>
    <w:p w14:paraId="772CA167" w14:textId="416CFC9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5" w:history="1">
        <w:r w:rsidRPr="000556C1">
          <w:rPr>
            <w:rStyle w:val="Hyperlink"/>
            <w:noProof/>
          </w:rPr>
          <w:t>Azure Stream Analytics</w:t>
        </w:r>
        <w:r>
          <w:rPr>
            <w:noProof/>
            <w:webHidden/>
          </w:rPr>
          <w:tab/>
        </w:r>
        <w:r>
          <w:rPr>
            <w:noProof/>
            <w:webHidden/>
          </w:rPr>
          <w:fldChar w:fldCharType="begin"/>
        </w:r>
        <w:r>
          <w:rPr>
            <w:noProof/>
            <w:webHidden/>
          </w:rPr>
          <w:instrText xml:space="preserve"> PAGEREF _Toc239175075 \h </w:instrText>
        </w:r>
        <w:r>
          <w:rPr>
            <w:noProof/>
            <w:webHidden/>
          </w:rPr>
        </w:r>
        <w:r>
          <w:rPr>
            <w:noProof/>
            <w:webHidden/>
          </w:rPr>
          <w:fldChar w:fldCharType="separate"/>
        </w:r>
        <w:r>
          <w:rPr>
            <w:noProof/>
            <w:webHidden/>
          </w:rPr>
          <w:t>100</w:t>
        </w:r>
        <w:r>
          <w:rPr>
            <w:noProof/>
            <w:webHidden/>
          </w:rPr>
          <w:fldChar w:fldCharType="end"/>
        </w:r>
      </w:hyperlink>
    </w:p>
    <w:p w14:paraId="0638E56E" w14:textId="0A78976C"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6" w:history="1">
        <w:r w:rsidRPr="000556C1">
          <w:rPr>
            <w:rStyle w:val="Hyperlink"/>
            <w:noProof/>
          </w:rPr>
          <w:t>Azure Synapse Analytics</w:t>
        </w:r>
        <w:r>
          <w:rPr>
            <w:noProof/>
            <w:webHidden/>
          </w:rPr>
          <w:tab/>
        </w:r>
        <w:r>
          <w:rPr>
            <w:noProof/>
            <w:webHidden/>
          </w:rPr>
          <w:fldChar w:fldCharType="begin"/>
        </w:r>
        <w:r>
          <w:rPr>
            <w:noProof/>
            <w:webHidden/>
          </w:rPr>
          <w:instrText xml:space="preserve"> PAGEREF _Toc239175076 \h </w:instrText>
        </w:r>
        <w:r>
          <w:rPr>
            <w:noProof/>
            <w:webHidden/>
          </w:rPr>
        </w:r>
        <w:r>
          <w:rPr>
            <w:noProof/>
            <w:webHidden/>
          </w:rPr>
          <w:fldChar w:fldCharType="separate"/>
        </w:r>
        <w:r>
          <w:rPr>
            <w:noProof/>
            <w:webHidden/>
          </w:rPr>
          <w:t>101</w:t>
        </w:r>
        <w:r>
          <w:rPr>
            <w:noProof/>
            <w:webHidden/>
          </w:rPr>
          <w:fldChar w:fldCharType="end"/>
        </w:r>
      </w:hyperlink>
    </w:p>
    <w:p w14:paraId="4FC66DEC" w14:textId="26FA053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7" w:history="1">
        <w:r w:rsidRPr="000556C1">
          <w:rPr>
            <w:rStyle w:val="Hyperlink"/>
            <w:noProof/>
          </w:rPr>
          <w:t>Azure Time Series Insights</w:t>
        </w:r>
        <w:r>
          <w:rPr>
            <w:noProof/>
            <w:webHidden/>
          </w:rPr>
          <w:tab/>
        </w:r>
        <w:r>
          <w:rPr>
            <w:noProof/>
            <w:webHidden/>
          </w:rPr>
          <w:fldChar w:fldCharType="begin"/>
        </w:r>
        <w:r>
          <w:rPr>
            <w:noProof/>
            <w:webHidden/>
          </w:rPr>
          <w:instrText xml:space="preserve"> PAGEREF _Toc239175077 \h </w:instrText>
        </w:r>
        <w:r>
          <w:rPr>
            <w:noProof/>
            <w:webHidden/>
          </w:rPr>
        </w:r>
        <w:r>
          <w:rPr>
            <w:noProof/>
            <w:webHidden/>
          </w:rPr>
          <w:fldChar w:fldCharType="separate"/>
        </w:r>
        <w:r>
          <w:rPr>
            <w:noProof/>
            <w:webHidden/>
          </w:rPr>
          <w:t>102</w:t>
        </w:r>
        <w:r>
          <w:rPr>
            <w:noProof/>
            <w:webHidden/>
          </w:rPr>
          <w:fldChar w:fldCharType="end"/>
        </w:r>
      </w:hyperlink>
    </w:p>
    <w:p w14:paraId="0A73E316" w14:textId="53EF794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8" w:history="1">
        <w:r w:rsidRPr="000556C1">
          <w:rPr>
            <w:rStyle w:val="Hyperlink"/>
            <w:noProof/>
          </w:rPr>
          <w:t>Traffic Manager</w:t>
        </w:r>
        <w:r>
          <w:rPr>
            <w:noProof/>
            <w:webHidden/>
          </w:rPr>
          <w:tab/>
        </w:r>
        <w:r>
          <w:rPr>
            <w:noProof/>
            <w:webHidden/>
          </w:rPr>
          <w:fldChar w:fldCharType="begin"/>
        </w:r>
        <w:r>
          <w:rPr>
            <w:noProof/>
            <w:webHidden/>
          </w:rPr>
          <w:instrText xml:space="preserve"> PAGEREF _Toc239175078 \h </w:instrText>
        </w:r>
        <w:r>
          <w:rPr>
            <w:noProof/>
            <w:webHidden/>
          </w:rPr>
        </w:r>
        <w:r>
          <w:rPr>
            <w:noProof/>
            <w:webHidden/>
          </w:rPr>
          <w:fldChar w:fldCharType="separate"/>
        </w:r>
        <w:r>
          <w:rPr>
            <w:noProof/>
            <w:webHidden/>
          </w:rPr>
          <w:t>102</w:t>
        </w:r>
        <w:r>
          <w:rPr>
            <w:noProof/>
            <w:webHidden/>
          </w:rPr>
          <w:fldChar w:fldCharType="end"/>
        </w:r>
      </w:hyperlink>
    </w:p>
    <w:p w14:paraId="1ADB6922" w14:textId="512D5BA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79" w:history="1">
        <w:r w:rsidRPr="000556C1">
          <w:rPr>
            <w:rStyle w:val="Hyperlink"/>
            <w:noProof/>
          </w:rPr>
          <w:t>Podpisywanie Aplikacji</w:t>
        </w:r>
        <w:r>
          <w:rPr>
            <w:noProof/>
            <w:webHidden/>
          </w:rPr>
          <w:tab/>
        </w:r>
        <w:r>
          <w:rPr>
            <w:noProof/>
            <w:webHidden/>
          </w:rPr>
          <w:fldChar w:fldCharType="begin"/>
        </w:r>
        <w:r>
          <w:rPr>
            <w:noProof/>
            <w:webHidden/>
          </w:rPr>
          <w:instrText xml:space="preserve"> PAGEREF _Toc239175079 \h </w:instrText>
        </w:r>
        <w:r>
          <w:rPr>
            <w:noProof/>
            <w:webHidden/>
          </w:rPr>
        </w:r>
        <w:r>
          <w:rPr>
            <w:noProof/>
            <w:webHidden/>
          </w:rPr>
          <w:fldChar w:fldCharType="separate"/>
        </w:r>
        <w:r>
          <w:rPr>
            <w:noProof/>
            <w:webHidden/>
          </w:rPr>
          <w:t>103</w:t>
        </w:r>
        <w:r>
          <w:rPr>
            <w:noProof/>
            <w:webHidden/>
          </w:rPr>
          <w:fldChar w:fldCharType="end"/>
        </w:r>
      </w:hyperlink>
    </w:p>
    <w:p w14:paraId="6E5D0248" w14:textId="5A6EEFF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0" w:history="1">
        <w:r w:rsidRPr="000556C1">
          <w:rPr>
            <w:rStyle w:val="Hyperlink"/>
            <w:noProof/>
          </w:rPr>
          <w:t>Maszyny Wirtualne</w:t>
        </w:r>
        <w:r>
          <w:rPr>
            <w:noProof/>
            <w:webHidden/>
          </w:rPr>
          <w:tab/>
        </w:r>
        <w:r>
          <w:rPr>
            <w:noProof/>
            <w:webHidden/>
          </w:rPr>
          <w:fldChar w:fldCharType="begin"/>
        </w:r>
        <w:r>
          <w:rPr>
            <w:noProof/>
            <w:webHidden/>
          </w:rPr>
          <w:instrText xml:space="preserve"> PAGEREF _Toc239175080 \h </w:instrText>
        </w:r>
        <w:r>
          <w:rPr>
            <w:noProof/>
            <w:webHidden/>
          </w:rPr>
        </w:r>
        <w:r>
          <w:rPr>
            <w:noProof/>
            <w:webHidden/>
          </w:rPr>
          <w:fldChar w:fldCharType="separate"/>
        </w:r>
        <w:r>
          <w:rPr>
            <w:noProof/>
            <w:webHidden/>
          </w:rPr>
          <w:t>103</w:t>
        </w:r>
        <w:r>
          <w:rPr>
            <w:noProof/>
            <w:webHidden/>
          </w:rPr>
          <w:fldChar w:fldCharType="end"/>
        </w:r>
      </w:hyperlink>
    </w:p>
    <w:p w14:paraId="012D888F" w14:textId="05C0DE62"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1" w:history="1">
        <w:r w:rsidRPr="000556C1">
          <w:rPr>
            <w:rStyle w:val="Hyperlink"/>
            <w:noProof/>
          </w:rPr>
          <w:t>Azure Virtual Network Manager</w:t>
        </w:r>
        <w:r>
          <w:rPr>
            <w:noProof/>
            <w:webHidden/>
          </w:rPr>
          <w:tab/>
        </w:r>
        <w:r>
          <w:rPr>
            <w:noProof/>
            <w:webHidden/>
          </w:rPr>
          <w:fldChar w:fldCharType="begin"/>
        </w:r>
        <w:r>
          <w:rPr>
            <w:noProof/>
            <w:webHidden/>
          </w:rPr>
          <w:instrText xml:space="preserve"> PAGEREF _Toc239175081 \h </w:instrText>
        </w:r>
        <w:r>
          <w:rPr>
            <w:noProof/>
            <w:webHidden/>
          </w:rPr>
        </w:r>
        <w:r>
          <w:rPr>
            <w:noProof/>
            <w:webHidden/>
          </w:rPr>
          <w:fldChar w:fldCharType="separate"/>
        </w:r>
        <w:r>
          <w:rPr>
            <w:noProof/>
            <w:webHidden/>
          </w:rPr>
          <w:t>105</w:t>
        </w:r>
        <w:r>
          <w:rPr>
            <w:noProof/>
            <w:webHidden/>
          </w:rPr>
          <w:fldChar w:fldCharType="end"/>
        </w:r>
      </w:hyperlink>
    </w:p>
    <w:p w14:paraId="4ADC87ED" w14:textId="0F3713DF"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2" w:history="1">
        <w:r w:rsidRPr="000556C1">
          <w:rPr>
            <w:rStyle w:val="Hyperlink"/>
            <w:noProof/>
          </w:rPr>
          <w:t>Azure Virtual WAN</w:t>
        </w:r>
        <w:r>
          <w:rPr>
            <w:noProof/>
            <w:webHidden/>
          </w:rPr>
          <w:tab/>
        </w:r>
        <w:r>
          <w:rPr>
            <w:noProof/>
            <w:webHidden/>
          </w:rPr>
          <w:fldChar w:fldCharType="begin"/>
        </w:r>
        <w:r>
          <w:rPr>
            <w:noProof/>
            <w:webHidden/>
          </w:rPr>
          <w:instrText xml:space="preserve"> PAGEREF _Toc239175082 \h </w:instrText>
        </w:r>
        <w:r>
          <w:rPr>
            <w:noProof/>
            <w:webHidden/>
          </w:rPr>
        </w:r>
        <w:r>
          <w:rPr>
            <w:noProof/>
            <w:webHidden/>
          </w:rPr>
          <w:fldChar w:fldCharType="separate"/>
        </w:r>
        <w:r>
          <w:rPr>
            <w:noProof/>
            <w:webHidden/>
          </w:rPr>
          <w:t>105</w:t>
        </w:r>
        <w:r>
          <w:rPr>
            <w:noProof/>
            <w:webHidden/>
          </w:rPr>
          <w:fldChar w:fldCharType="end"/>
        </w:r>
      </w:hyperlink>
    </w:p>
    <w:p w14:paraId="09576EDC" w14:textId="1D260C3D"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3" w:history="1">
        <w:r w:rsidRPr="000556C1">
          <w:rPr>
            <w:rStyle w:val="Hyperlink"/>
            <w:noProof/>
          </w:rPr>
          <w:t>Azure VMware Solution</w:t>
        </w:r>
        <w:r>
          <w:rPr>
            <w:noProof/>
            <w:webHidden/>
          </w:rPr>
          <w:tab/>
        </w:r>
        <w:r>
          <w:rPr>
            <w:noProof/>
            <w:webHidden/>
          </w:rPr>
          <w:fldChar w:fldCharType="begin"/>
        </w:r>
        <w:r>
          <w:rPr>
            <w:noProof/>
            <w:webHidden/>
          </w:rPr>
          <w:instrText xml:space="preserve"> PAGEREF _Toc239175083 \h </w:instrText>
        </w:r>
        <w:r>
          <w:rPr>
            <w:noProof/>
            <w:webHidden/>
          </w:rPr>
        </w:r>
        <w:r>
          <w:rPr>
            <w:noProof/>
            <w:webHidden/>
          </w:rPr>
          <w:fldChar w:fldCharType="separate"/>
        </w:r>
        <w:r>
          <w:rPr>
            <w:noProof/>
            <w:webHidden/>
          </w:rPr>
          <w:t>106</w:t>
        </w:r>
        <w:r>
          <w:rPr>
            <w:noProof/>
            <w:webHidden/>
          </w:rPr>
          <w:fldChar w:fldCharType="end"/>
        </w:r>
      </w:hyperlink>
    </w:p>
    <w:p w14:paraId="7A44B21A" w14:textId="1EAB3B07"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4" w:history="1">
        <w:r w:rsidRPr="000556C1">
          <w:rPr>
            <w:rStyle w:val="Hyperlink"/>
            <w:noProof/>
          </w:rPr>
          <w:t>Azure VMware Solution by CloudSimple</w:t>
        </w:r>
        <w:r>
          <w:rPr>
            <w:noProof/>
            <w:webHidden/>
          </w:rPr>
          <w:tab/>
        </w:r>
        <w:r>
          <w:rPr>
            <w:noProof/>
            <w:webHidden/>
          </w:rPr>
          <w:fldChar w:fldCharType="begin"/>
        </w:r>
        <w:r>
          <w:rPr>
            <w:noProof/>
            <w:webHidden/>
          </w:rPr>
          <w:instrText xml:space="preserve"> PAGEREF _Toc239175084 \h </w:instrText>
        </w:r>
        <w:r>
          <w:rPr>
            <w:noProof/>
            <w:webHidden/>
          </w:rPr>
        </w:r>
        <w:r>
          <w:rPr>
            <w:noProof/>
            <w:webHidden/>
          </w:rPr>
          <w:fldChar w:fldCharType="separate"/>
        </w:r>
        <w:r>
          <w:rPr>
            <w:noProof/>
            <w:webHidden/>
          </w:rPr>
          <w:t>107</w:t>
        </w:r>
        <w:r>
          <w:rPr>
            <w:noProof/>
            <w:webHidden/>
          </w:rPr>
          <w:fldChar w:fldCharType="end"/>
        </w:r>
      </w:hyperlink>
    </w:p>
    <w:p w14:paraId="38719AE3" w14:textId="7D58E6D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5" w:history="1">
        <w:r w:rsidRPr="000556C1">
          <w:rPr>
            <w:rStyle w:val="Hyperlink"/>
            <w:noProof/>
          </w:rPr>
          <w:t>Azure VNet NAT</w:t>
        </w:r>
        <w:r>
          <w:rPr>
            <w:noProof/>
            <w:webHidden/>
          </w:rPr>
          <w:tab/>
        </w:r>
        <w:r>
          <w:rPr>
            <w:noProof/>
            <w:webHidden/>
          </w:rPr>
          <w:fldChar w:fldCharType="begin"/>
        </w:r>
        <w:r>
          <w:rPr>
            <w:noProof/>
            <w:webHidden/>
          </w:rPr>
          <w:instrText xml:space="preserve"> PAGEREF _Toc239175085 \h </w:instrText>
        </w:r>
        <w:r>
          <w:rPr>
            <w:noProof/>
            <w:webHidden/>
          </w:rPr>
        </w:r>
        <w:r>
          <w:rPr>
            <w:noProof/>
            <w:webHidden/>
          </w:rPr>
          <w:fldChar w:fldCharType="separate"/>
        </w:r>
        <w:r>
          <w:rPr>
            <w:noProof/>
            <w:webHidden/>
          </w:rPr>
          <w:t>107</w:t>
        </w:r>
        <w:r>
          <w:rPr>
            <w:noProof/>
            <w:webHidden/>
          </w:rPr>
          <w:fldChar w:fldCharType="end"/>
        </w:r>
      </w:hyperlink>
    </w:p>
    <w:p w14:paraId="794FD1A6" w14:textId="2EBF6B2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6" w:history="1">
        <w:r w:rsidRPr="000556C1">
          <w:rPr>
            <w:rStyle w:val="Hyperlink"/>
            <w:noProof/>
          </w:rPr>
          <w:t>Brama Sieci Wirtualnej</w:t>
        </w:r>
        <w:r>
          <w:rPr>
            <w:noProof/>
            <w:webHidden/>
          </w:rPr>
          <w:tab/>
        </w:r>
        <w:r>
          <w:rPr>
            <w:noProof/>
            <w:webHidden/>
          </w:rPr>
          <w:fldChar w:fldCharType="begin"/>
        </w:r>
        <w:r>
          <w:rPr>
            <w:noProof/>
            <w:webHidden/>
          </w:rPr>
          <w:instrText xml:space="preserve"> PAGEREF _Toc239175086 \h </w:instrText>
        </w:r>
        <w:r>
          <w:rPr>
            <w:noProof/>
            <w:webHidden/>
          </w:rPr>
        </w:r>
        <w:r>
          <w:rPr>
            <w:noProof/>
            <w:webHidden/>
          </w:rPr>
          <w:fldChar w:fldCharType="separate"/>
        </w:r>
        <w:r>
          <w:rPr>
            <w:noProof/>
            <w:webHidden/>
          </w:rPr>
          <w:t>108</w:t>
        </w:r>
        <w:r>
          <w:rPr>
            <w:noProof/>
            <w:webHidden/>
          </w:rPr>
          <w:fldChar w:fldCharType="end"/>
        </w:r>
      </w:hyperlink>
    </w:p>
    <w:p w14:paraId="062ACFAF" w14:textId="673EDE35"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7" w:history="1">
        <w:r w:rsidRPr="000556C1">
          <w:rPr>
            <w:rStyle w:val="Hyperlink"/>
            <w:noProof/>
          </w:rPr>
          <w:t>Azure Web PubSub</w:t>
        </w:r>
        <w:r>
          <w:rPr>
            <w:noProof/>
            <w:webHidden/>
          </w:rPr>
          <w:tab/>
        </w:r>
        <w:r>
          <w:rPr>
            <w:noProof/>
            <w:webHidden/>
          </w:rPr>
          <w:fldChar w:fldCharType="begin"/>
        </w:r>
        <w:r>
          <w:rPr>
            <w:noProof/>
            <w:webHidden/>
          </w:rPr>
          <w:instrText xml:space="preserve"> PAGEREF _Toc239175087 \h </w:instrText>
        </w:r>
        <w:r>
          <w:rPr>
            <w:noProof/>
            <w:webHidden/>
          </w:rPr>
        </w:r>
        <w:r>
          <w:rPr>
            <w:noProof/>
            <w:webHidden/>
          </w:rPr>
          <w:fldChar w:fldCharType="separate"/>
        </w:r>
        <w:r>
          <w:rPr>
            <w:noProof/>
            <w:webHidden/>
          </w:rPr>
          <w:t>108</w:t>
        </w:r>
        <w:r>
          <w:rPr>
            <w:noProof/>
            <w:webHidden/>
          </w:rPr>
          <w:fldChar w:fldCharType="end"/>
        </w:r>
      </w:hyperlink>
    </w:p>
    <w:p w14:paraId="336E2226" w14:textId="25D14E09" w:rsidR="00A93882" w:rsidRDefault="00A93882">
      <w:pPr>
        <w:pStyle w:val="TOC4"/>
        <w:rPr>
          <w:rFonts w:eastAsiaTheme="minorEastAsia"/>
          <w:smallCaps w:val="0"/>
          <w:noProof/>
          <w:kern w:val="2"/>
          <w:sz w:val="24"/>
          <w:szCs w:val="24"/>
          <w:lang w:val="en-US" w:eastAsia="zh-CN" w:bidi="he-IL"/>
          <w14:ligatures w14:val="standardContextual"/>
        </w:rPr>
      </w:pPr>
      <w:hyperlink w:anchor="_Toc239175088" w:history="1">
        <w:r w:rsidRPr="000556C1">
          <w:rPr>
            <w:rStyle w:val="Hyperlink"/>
            <w:noProof/>
          </w:rPr>
          <w:t>Windows 10 IoT Core Services</w:t>
        </w:r>
        <w:r>
          <w:rPr>
            <w:noProof/>
            <w:webHidden/>
          </w:rPr>
          <w:tab/>
        </w:r>
        <w:r>
          <w:rPr>
            <w:noProof/>
            <w:webHidden/>
          </w:rPr>
          <w:fldChar w:fldCharType="begin"/>
        </w:r>
        <w:r>
          <w:rPr>
            <w:noProof/>
            <w:webHidden/>
          </w:rPr>
          <w:instrText xml:space="preserve"> PAGEREF _Toc239175088 \h </w:instrText>
        </w:r>
        <w:r>
          <w:rPr>
            <w:noProof/>
            <w:webHidden/>
          </w:rPr>
        </w:r>
        <w:r>
          <w:rPr>
            <w:noProof/>
            <w:webHidden/>
          </w:rPr>
          <w:fldChar w:fldCharType="separate"/>
        </w:r>
        <w:r>
          <w:rPr>
            <w:noProof/>
            <w:webHidden/>
          </w:rPr>
          <w:t>109</w:t>
        </w:r>
        <w:r>
          <w:rPr>
            <w:noProof/>
            <w:webHidden/>
          </w:rPr>
          <w:fldChar w:fldCharType="end"/>
        </w:r>
      </w:hyperlink>
    </w:p>
    <w:p w14:paraId="2320E0C7" w14:textId="71C0EAFC" w:rsidR="00A93882" w:rsidRDefault="00A93882">
      <w:pPr>
        <w:pStyle w:val="TOC2"/>
        <w:tabs>
          <w:tab w:val="right" w:leader="dot" w:pos="5030"/>
        </w:tabs>
        <w:rPr>
          <w:rFonts w:eastAsiaTheme="minorEastAsia"/>
          <w:b w:val="0"/>
          <w:smallCaps w:val="0"/>
          <w:noProof/>
          <w:kern w:val="2"/>
          <w:sz w:val="24"/>
          <w:szCs w:val="24"/>
          <w:lang w:val="en-US" w:eastAsia="zh-CN" w:bidi="he-IL"/>
          <w14:ligatures w14:val="standardContextual"/>
        </w:rPr>
      </w:pPr>
      <w:hyperlink w:anchor="_Toc239175089" w:history="1">
        <w:r w:rsidRPr="000556C1">
          <w:rPr>
            <w:rStyle w:val="Hyperlink"/>
            <w:noProof/>
          </w:rPr>
          <w:t>Inne Usługi Online</w:t>
        </w:r>
        <w:r>
          <w:rPr>
            <w:noProof/>
            <w:webHidden/>
          </w:rPr>
          <w:tab/>
        </w:r>
        <w:r>
          <w:rPr>
            <w:noProof/>
            <w:webHidden/>
          </w:rPr>
          <w:fldChar w:fldCharType="begin"/>
        </w:r>
        <w:r>
          <w:rPr>
            <w:noProof/>
            <w:webHidden/>
          </w:rPr>
          <w:instrText xml:space="preserve"> PAGEREF _Toc239175089 \h </w:instrText>
        </w:r>
        <w:r>
          <w:rPr>
            <w:noProof/>
            <w:webHidden/>
          </w:rPr>
        </w:r>
        <w:r>
          <w:rPr>
            <w:noProof/>
            <w:webHidden/>
          </w:rPr>
          <w:fldChar w:fldCharType="separate"/>
        </w:r>
        <w:r>
          <w:rPr>
            <w:noProof/>
            <w:webHidden/>
          </w:rPr>
          <w:t>110</w:t>
        </w:r>
        <w:r>
          <w:rPr>
            <w:noProof/>
            <w:webHidden/>
          </w:rPr>
          <w:fldChar w:fldCharType="end"/>
        </w:r>
      </w:hyperlink>
    </w:p>
    <w:p w14:paraId="3F5BE505" w14:textId="550613B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0" w:history="1">
        <w:r w:rsidRPr="000556C1">
          <w:rPr>
            <w:rStyle w:val="Hyperlink"/>
            <w:noProof/>
          </w:rPr>
          <w:t>Microsoft Defender for Identity</w:t>
        </w:r>
        <w:r>
          <w:rPr>
            <w:noProof/>
            <w:webHidden/>
          </w:rPr>
          <w:tab/>
        </w:r>
        <w:r>
          <w:rPr>
            <w:noProof/>
            <w:webHidden/>
          </w:rPr>
          <w:fldChar w:fldCharType="begin"/>
        </w:r>
        <w:r>
          <w:rPr>
            <w:noProof/>
            <w:webHidden/>
          </w:rPr>
          <w:instrText xml:space="preserve"> PAGEREF _Toc239175090 \h </w:instrText>
        </w:r>
        <w:r>
          <w:rPr>
            <w:noProof/>
            <w:webHidden/>
          </w:rPr>
        </w:r>
        <w:r>
          <w:rPr>
            <w:noProof/>
            <w:webHidden/>
          </w:rPr>
          <w:fldChar w:fldCharType="separate"/>
        </w:r>
        <w:r>
          <w:rPr>
            <w:noProof/>
            <w:webHidden/>
          </w:rPr>
          <w:t>110</w:t>
        </w:r>
        <w:r>
          <w:rPr>
            <w:noProof/>
            <w:webHidden/>
          </w:rPr>
          <w:fldChar w:fldCharType="end"/>
        </w:r>
      </w:hyperlink>
    </w:p>
    <w:p w14:paraId="436DC988" w14:textId="3BB3DE84"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1" w:history="1">
        <w:r w:rsidRPr="000556C1">
          <w:rPr>
            <w:rStyle w:val="Hyperlink"/>
            <w:noProof/>
          </w:rPr>
          <w:t>Microsoft Defender for IoT</w:t>
        </w:r>
        <w:r>
          <w:rPr>
            <w:noProof/>
            <w:webHidden/>
          </w:rPr>
          <w:tab/>
        </w:r>
        <w:r>
          <w:rPr>
            <w:noProof/>
            <w:webHidden/>
          </w:rPr>
          <w:fldChar w:fldCharType="begin"/>
        </w:r>
        <w:r>
          <w:rPr>
            <w:noProof/>
            <w:webHidden/>
          </w:rPr>
          <w:instrText xml:space="preserve"> PAGEREF _Toc239175091 \h </w:instrText>
        </w:r>
        <w:r>
          <w:rPr>
            <w:noProof/>
            <w:webHidden/>
          </w:rPr>
        </w:r>
        <w:r>
          <w:rPr>
            <w:noProof/>
            <w:webHidden/>
          </w:rPr>
          <w:fldChar w:fldCharType="separate"/>
        </w:r>
        <w:r>
          <w:rPr>
            <w:noProof/>
            <w:webHidden/>
          </w:rPr>
          <w:t>110</w:t>
        </w:r>
        <w:r>
          <w:rPr>
            <w:noProof/>
            <w:webHidden/>
          </w:rPr>
          <w:fldChar w:fldCharType="end"/>
        </w:r>
      </w:hyperlink>
    </w:p>
    <w:p w14:paraId="65D942A4" w14:textId="1CC89460"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2" w:history="1">
        <w:r w:rsidRPr="000556C1">
          <w:rPr>
            <w:rStyle w:val="Hyperlink"/>
            <w:noProof/>
          </w:rPr>
          <w:t>Bing Maps Enterprise Platform</w:t>
        </w:r>
        <w:r>
          <w:rPr>
            <w:noProof/>
            <w:webHidden/>
          </w:rPr>
          <w:tab/>
        </w:r>
        <w:r>
          <w:rPr>
            <w:noProof/>
            <w:webHidden/>
          </w:rPr>
          <w:fldChar w:fldCharType="begin"/>
        </w:r>
        <w:r>
          <w:rPr>
            <w:noProof/>
            <w:webHidden/>
          </w:rPr>
          <w:instrText xml:space="preserve"> PAGEREF _Toc239175092 \h </w:instrText>
        </w:r>
        <w:r>
          <w:rPr>
            <w:noProof/>
            <w:webHidden/>
          </w:rPr>
        </w:r>
        <w:r>
          <w:rPr>
            <w:noProof/>
            <w:webHidden/>
          </w:rPr>
          <w:fldChar w:fldCharType="separate"/>
        </w:r>
        <w:r>
          <w:rPr>
            <w:noProof/>
            <w:webHidden/>
          </w:rPr>
          <w:t>110</w:t>
        </w:r>
        <w:r>
          <w:rPr>
            <w:noProof/>
            <w:webHidden/>
          </w:rPr>
          <w:fldChar w:fldCharType="end"/>
        </w:r>
      </w:hyperlink>
    </w:p>
    <w:p w14:paraId="5ADE7E6B" w14:textId="15E9A9DE"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3" w:history="1">
        <w:r w:rsidRPr="000556C1">
          <w:rPr>
            <w:rStyle w:val="Hyperlink"/>
            <w:noProof/>
          </w:rPr>
          <w:t>Bing Maps Mobile Asset Management</w:t>
        </w:r>
        <w:r>
          <w:rPr>
            <w:noProof/>
            <w:webHidden/>
          </w:rPr>
          <w:tab/>
        </w:r>
        <w:r>
          <w:rPr>
            <w:noProof/>
            <w:webHidden/>
          </w:rPr>
          <w:fldChar w:fldCharType="begin"/>
        </w:r>
        <w:r>
          <w:rPr>
            <w:noProof/>
            <w:webHidden/>
          </w:rPr>
          <w:instrText xml:space="preserve"> PAGEREF _Toc239175093 \h </w:instrText>
        </w:r>
        <w:r>
          <w:rPr>
            <w:noProof/>
            <w:webHidden/>
          </w:rPr>
        </w:r>
        <w:r>
          <w:rPr>
            <w:noProof/>
            <w:webHidden/>
          </w:rPr>
          <w:fldChar w:fldCharType="separate"/>
        </w:r>
        <w:r>
          <w:rPr>
            <w:noProof/>
            <w:webHidden/>
          </w:rPr>
          <w:t>111</w:t>
        </w:r>
        <w:r>
          <w:rPr>
            <w:noProof/>
            <w:webHidden/>
          </w:rPr>
          <w:fldChar w:fldCharType="end"/>
        </w:r>
      </w:hyperlink>
    </w:p>
    <w:p w14:paraId="24A4BDD8" w14:textId="1C8452A4"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4" w:history="1">
        <w:r w:rsidRPr="000556C1">
          <w:rPr>
            <w:rStyle w:val="Hyperlink"/>
            <w:noProof/>
          </w:rPr>
          <w:t>Microsoft Cloud App Security</w:t>
        </w:r>
        <w:r>
          <w:rPr>
            <w:noProof/>
            <w:webHidden/>
          </w:rPr>
          <w:tab/>
        </w:r>
        <w:r>
          <w:rPr>
            <w:noProof/>
            <w:webHidden/>
          </w:rPr>
          <w:fldChar w:fldCharType="begin"/>
        </w:r>
        <w:r>
          <w:rPr>
            <w:noProof/>
            <w:webHidden/>
          </w:rPr>
          <w:instrText xml:space="preserve"> PAGEREF _Toc239175094 \h </w:instrText>
        </w:r>
        <w:r>
          <w:rPr>
            <w:noProof/>
            <w:webHidden/>
          </w:rPr>
        </w:r>
        <w:r>
          <w:rPr>
            <w:noProof/>
            <w:webHidden/>
          </w:rPr>
          <w:fldChar w:fldCharType="separate"/>
        </w:r>
        <w:r>
          <w:rPr>
            <w:noProof/>
            <w:webHidden/>
          </w:rPr>
          <w:t>111</w:t>
        </w:r>
        <w:r>
          <w:rPr>
            <w:noProof/>
            <w:webHidden/>
          </w:rPr>
          <w:fldChar w:fldCharType="end"/>
        </w:r>
      </w:hyperlink>
    </w:p>
    <w:p w14:paraId="5F13BB51" w14:textId="465DAC0C"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5" w:history="1">
        <w:r w:rsidRPr="000556C1">
          <w:rPr>
            <w:rStyle w:val="Hyperlink"/>
            <w:noProof/>
          </w:rPr>
          <w:t>Microsoft Dragon Copilot</w:t>
        </w:r>
        <w:r>
          <w:rPr>
            <w:noProof/>
            <w:webHidden/>
          </w:rPr>
          <w:tab/>
        </w:r>
        <w:r>
          <w:rPr>
            <w:noProof/>
            <w:webHidden/>
          </w:rPr>
          <w:fldChar w:fldCharType="begin"/>
        </w:r>
        <w:r>
          <w:rPr>
            <w:noProof/>
            <w:webHidden/>
          </w:rPr>
          <w:instrText xml:space="preserve"> PAGEREF _Toc239175095 \h </w:instrText>
        </w:r>
        <w:r>
          <w:rPr>
            <w:noProof/>
            <w:webHidden/>
          </w:rPr>
        </w:r>
        <w:r>
          <w:rPr>
            <w:noProof/>
            <w:webHidden/>
          </w:rPr>
          <w:fldChar w:fldCharType="separate"/>
        </w:r>
        <w:r>
          <w:rPr>
            <w:noProof/>
            <w:webHidden/>
          </w:rPr>
          <w:t>112</w:t>
        </w:r>
        <w:r>
          <w:rPr>
            <w:noProof/>
            <w:webHidden/>
          </w:rPr>
          <w:fldChar w:fldCharType="end"/>
        </w:r>
      </w:hyperlink>
    </w:p>
    <w:p w14:paraId="130606F1" w14:textId="55BB6568"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6" w:history="1">
        <w:r w:rsidRPr="000556C1">
          <w:rPr>
            <w:rStyle w:val="Hyperlink"/>
            <w:noProof/>
          </w:rPr>
          <w:t>Microsoft Power Automate</w:t>
        </w:r>
        <w:r>
          <w:rPr>
            <w:noProof/>
            <w:webHidden/>
          </w:rPr>
          <w:tab/>
        </w:r>
        <w:r>
          <w:rPr>
            <w:noProof/>
            <w:webHidden/>
          </w:rPr>
          <w:fldChar w:fldCharType="begin"/>
        </w:r>
        <w:r>
          <w:rPr>
            <w:noProof/>
            <w:webHidden/>
          </w:rPr>
          <w:instrText xml:space="preserve"> PAGEREF _Toc239175096 \h </w:instrText>
        </w:r>
        <w:r>
          <w:rPr>
            <w:noProof/>
            <w:webHidden/>
          </w:rPr>
        </w:r>
        <w:r>
          <w:rPr>
            <w:noProof/>
            <w:webHidden/>
          </w:rPr>
          <w:fldChar w:fldCharType="separate"/>
        </w:r>
        <w:r>
          <w:rPr>
            <w:noProof/>
            <w:webHidden/>
          </w:rPr>
          <w:t>112</w:t>
        </w:r>
        <w:r>
          <w:rPr>
            <w:noProof/>
            <w:webHidden/>
          </w:rPr>
          <w:fldChar w:fldCharType="end"/>
        </w:r>
      </w:hyperlink>
    </w:p>
    <w:p w14:paraId="69451055" w14:textId="35215D58"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7" w:history="1">
        <w:r w:rsidRPr="000556C1">
          <w:rPr>
            <w:rStyle w:val="Hyperlink"/>
            <w:noProof/>
          </w:rPr>
          <w:t>Microsoft Power Pages</w:t>
        </w:r>
        <w:r>
          <w:rPr>
            <w:noProof/>
            <w:webHidden/>
          </w:rPr>
          <w:tab/>
        </w:r>
        <w:r>
          <w:rPr>
            <w:noProof/>
            <w:webHidden/>
          </w:rPr>
          <w:fldChar w:fldCharType="begin"/>
        </w:r>
        <w:r>
          <w:rPr>
            <w:noProof/>
            <w:webHidden/>
          </w:rPr>
          <w:instrText xml:space="preserve"> PAGEREF _Toc239175097 \h </w:instrText>
        </w:r>
        <w:r>
          <w:rPr>
            <w:noProof/>
            <w:webHidden/>
          </w:rPr>
        </w:r>
        <w:r>
          <w:rPr>
            <w:noProof/>
            <w:webHidden/>
          </w:rPr>
          <w:fldChar w:fldCharType="separate"/>
        </w:r>
        <w:r>
          <w:rPr>
            <w:noProof/>
            <w:webHidden/>
          </w:rPr>
          <w:t>113</w:t>
        </w:r>
        <w:r>
          <w:rPr>
            <w:noProof/>
            <w:webHidden/>
          </w:rPr>
          <w:fldChar w:fldCharType="end"/>
        </w:r>
      </w:hyperlink>
    </w:p>
    <w:p w14:paraId="19908358" w14:textId="0B063591"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8" w:history="1">
        <w:r w:rsidRPr="000556C1">
          <w:rPr>
            <w:rStyle w:val="Hyperlink"/>
            <w:noProof/>
          </w:rPr>
          <w:t>Microsoft Intune</w:t>
        </w:r>
        <w:r>
          <w:rPr>
            <w:noProof/>
            <w:webHidden/>
          </w:rPr>
          <w:tab/>
        </w:r>
        <w:r>
          <w:rPr>
            <w:noProof/>
            <w:webHidden/>
          </w:rPr>
          <w:fldChar w:fldCharType="begin"/>
        </w:r>
        <w:r>
          <w:rPr>
            <w:noProof/>
            <w:webHidden/>
          </w:rPr>
          <w:instrText xml:space="preserve"> PAGEREF _Toc239175098 \h </w:instrText>
        </w:r>
        <w:r>
          <w:rPr>
            <w:noProof/>
            <w:webHidden/>
          </w:rPr>
        </w:r>
        <w:r>
          <w:rPr>
            <w:noProof/>
            <w:webHidden/>
          </w:rPr>
          <w:fldChar w:fldCharType="separate"/>
        </w:r>
        <w:r>
          <w:rPr>
            <w:noProof/>
            <w:webHidden/>
          </w:rPr>
          <w:t>113</w:t>
        </w:r>
        <w:r>
          <w:rPr>
            <w:noProof/>
            <w:webHidden/>
          </w:rPr>
          <w:fldChar w:fldCharType="end"/>
        </w:r>
      </w:hyperlink>
    </w:p>
    <w:p w14:paraId="580B811D" w14:textId="5BEBF133" w:rsidR="00A93882" w:rsidRDefault="00A93882">
      <w:pPr>
        <w:pStyle w:val="TOC4"/>
        <w:rPr>
          <w:rFonts w:eastAsiaTheme="minorEastAsia"/>
          <w:smallCaps w:val="0"/>
          <w:noProof/>
          <w:kern w:val="2"/>
          <w:sz w:val="24"/>
          <w:szCs w:val="24"/>
          <w:lang w:val="en-US" w:eastAsia="zh-CN" w:bidi="he-IL"/>
          <w14:ligatures w14:val="standardContextual"/>
        </w:rPr>
      </w:pPr>
      <w:hyperlink w:anchor="_Toc239175099" w:history="1">
        <w:r w:rsidRPr="000556C1">
          <w:rPr>
            <w:rStyle w:val="Hyperlink"/>
            <w:noProof/>
          </w:rPr>
          <w:t>Microsoft Kaizala Pro</w:t>
        </w:r>
        <w:r>
          <w:rPr>
            <w:noProof/>
            <w:webHidden/>
          </w:rPr>
          <w:tab/>
        </w:r>
        <w:r>
          <w:rPr>
            <w:noProof/>
            <w:webHidden/>
          </w:rPr>
          <w:fldChar w:fldCharType="begin"/>
        </w:r>
        <w:r>
          <w:rPr>
            <w:noProof/>
            <w:webHidden/>
          </w:rPr>
          <w:instrText xml:space="preserve"> PAGEREF _Toc239175099 \h </w:instrText>
        </w:r>
        <w:r>
          <w:rPr>
            <w:noProof/>
            <w:webHidden/>
          </w:rPr>
        </w:r>
        <w:r>
          <w:rPr>
            <w:noProof/>
            <w:webHidden/>
          </w:rPr>
          <w:fldChar w:fldCharType="separate"/>
        </w:r>
        <w:r>
          <w:rPr>
            <w:noProof/>
            <w:webHidden/>
          </w:rPr>
          <w:t>113</w:t>
        </w:r>
        <w:r>
          <w:rPr>
            <w:noProof/>
            <w:webHidden/>
          </w:rPr>
          <w:fldChar w:fldCharType="end"/>
        </w:r>
      </w:hyperlink>
    </w:p>
    <w:p w14:paraId="4C650D93" w14:textId="2A45519D"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0" w:history="1">
        <w:r w:rsidRPr="000556C1">
          <w:rPr>
            <w:rStyle w:val="Hyperlink"/>
            <w:noProof/>
          </w:rPr>
          <w:t>Microsoft Power Apps</w:t>
        </w:r>
        <w:r>
          <w:rPr>
            <w:noProof/>
            <w:webHidden/>
          </w:rPr>
          <w:tab/>
        </w:r>
        <w:r>
          <w:rPr>
            <w:noProof/>
            <w:webHidden/>
          </w:rPr>
          <w:fldChar w:fldCharType="begin"/>
        </w:r>
        <w:r>
          <w:rPr>
            <w:noProof/>
            <w:webHidden/>
          </w:rPr>
          <w:instrText xml:space="preserve"> PAGEREF _Toc239175100 \h </w:instrText>
        </w:r>
        <w:r>
          <w:rPr>
            <w:noProof/>
            <w:webHidden/>
          </w:rPr>
        </w:r>
        <w:r>
          <w:rPr>
            <w:noProof/>
            <w:webHidden/>
          </w:rPr>
          <w:fldChar w:fldCharType="separate"/>
        </w:r>
        <w:r>
          <w:rPr>
            <w:noProof/>
            <w:webHidden/>
          </w:rPr>
          <w:t>114</w:t>
        </w:r>
        <w:r>
          <w:rPr>
            <w:noProof/>
            <w:webHidden/>
          </w:rPr>
          <w:fldChar w:fldCharType="end"/>
        </w:r>
      </w:hyperlink>
    </w:p>
    <w:p w14:paraId="5BC6AAA6" w14:textId="264145B1"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1" w:history="1">
        <w:r w:rsidRPr="000556C1">
          <w:rPr>
            <w:rStyle w:val="Hyperlink"/>
            <w:noProof/>
          </w:rPr>
          <w:t>Microsoft Copilot Studio</w:t>
        </w:r>
        <w:r>
          <w:rPr>
            <w:noProof/>
            <w:webHidden/>
          </w:rPr>
          <w:tab/>
        </w:r>
        <w:r>
          <w:rPr>
            <w:noProof/>
            <w:webHidden/>
          </w:rPr>
          <w:fldChar w:fldCharType="begin"/>
        </w:r>
        <w:r>
          <w:rPr>
            <w:noProof/>
            <w:webHidden/>
          </w:rPr>
          <w:instrText xml:space="preserve"> PAGEREF _Toc239175101 \h </w:instrText>
        </w:r>
        <w:r>
          <w:rPr>
            <w:noProof/>
            <w:webHidden/>
          </w:rPr>
        </w:r>
        <w:r>
          <w:rPr>
            <w:noProof/>
            <w:webHidden/>
          </w:rPr>
          <w:fldChar w:fldCharType="separate"/>
        </w:r>
        <w:r>
          <w:rPr>
            <w:noProof/>
            <w:webHidden/>
          </w:rPr>
          <w:t>114</w:t>
        </w:r>
        <w:r>
          <w:rPr>
            <w:noProof/>
            <w:webHidden/>
          </w:rPr>
          <w:fldChar w:fldCharType="end"/>
        </w:r>
      </w:hyperlink>
    </w:p>
    <w:p w14:paraId="6F8D91DF" w14:textId="02635FB0"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2" w:history="1">
        <w:r w:rsidRPr="000556C1">
          <w:rPr>
            <w:rStyle w:val="Hyperlink"/>
            <w:noProof/>
          </w:rPr>
          <w:t>Microsoft Sustainability Manager</w:t>
        </w:r>
        <w:r>
          <w:rPr>
            <w:noProof/>
            <w:webHidden/>
          </w:rPr>
          <w:tab/>
        </w:r>
        <w:r>
          <w:rPr>
            <w:noProof/>
            <w:webHidden/>
          </w:rPr>
          <w:fldChar w:fldCharType="begin"/>
        </w:r>
        <w:r>
          <w:rPr>
            <w:noProof/>
            <w:webHidden/>
          </w:rPr>
          <w:instrText xml:space="preserve"> PAGEREF _Toc239175102 \h </w:instrText>
        </w:r>
        <w:r>
          <w:rPr>
            <w:noProof/>
            <w:webHidden/>
          </w:rPr>
        </w:r>
        <w:r>
          <w:rPr>
            <w:noProof/>
            <w:webHidden/>
          </w:rPr>
          <w:fldChar w:fldCharType="separate"/>
        </w:r>
        <w:r>
          <w:rPr>
            <w:noProof/>
            <w:webHidden/>
          </w:rPr>
          <w:t>114</w:t>
        </w:r>
        <w:r>
          <w:rPr>
            <w:noProof/>
            <w:webHidden/>
          </w:rPr>
          <w:fldChar w:fldCharType="end"/>
        </w:r>
      </w:hyperlink>
    </w:p>
    <w:p w14:paraId="2522039C" w14:textId="6462E582"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3" w:history="1">
        <w:r w:rsidRPr="000556C1">
          <w:rPr>
            <w:rStyle w:val="Hyperlink"/>
            <w:noProof/>
          </w:rPr>
          <w:t>Minecraft: Education Edition</w:t>
        </w:r>
        <w:r>
          <w:rPr>
            <w:noProof/>
            <w:webHidden/>
          </w:rPr>
          <w:tab/>
        </w:r>
        <w:r>
          <w:rPr>
            <w:noProof/>
            <w:webHidden/>
          </w:rPr>
          <w:fldChar w:fldCharType="begin"/>
        </w:r>
        <w:r>
          <w:rPr>
            <w:noProof/>
            <w:webHidden/>
          </w:rPr>
          <w:instrText xml:space="preserve"> PAGEREF _Toc239175103 \h </w:instrText>
        </w:r>
        <w:r>
          <w:rPr>
            <w:noProof/>
            <w:webHidden/>
          </w:rPr>
        </w:r>
        <w:r>
          <w:rPr>
            <w:noProof/>
            <w:webHidden/>
          </w:rPr>
          <w:fldChar w:fldCharType="separate"/>
        </w:r>
        <w:r>
          <w:rPr>
            <w:noProof/>
            <w:webHidden/>
          </w:rPr>
          <w:t>115</w:t>
        </w:r>
        <w:r>
          <w:rPr>
            <w:noProof/>
            <w:webHidden/>
          </w:rPr>
          <w:fldChar w:fldCharType="end"/>
        </w:r>
      </w:hyperlink>
    </w:p>
    <w:p w14:paraId="24F14B38" w14:textId="727C27D6"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4" w:history="1">
        <w:r w:rsidRPr="000556C1">
          <w:rPr>
            <w:rStyle w:val="Hyperlink"/>
            <w:noProof/>
          </w:rPr>
          <w:t>Power BI Embedded</w:t>
        </w:r>
        <w:r>
          <w:rPr>
            <w:noProof/>
            <w:webHidden/>
          </w:rPr>
          <w:tab/>
        </w:r>
        <w:r>
          <w:rPr>
            <w:noProof/>
            <w:webHidden/>
          </w:rPr>
          <w:fldChar w:fldCharType="begin"/>
        </w:r>
        <w:r>
          <w:rPr>
            <w:noProof/>
            <w:webHidden/>
          </w:rPr>
          <w:instrText xml:space="preserve"> PAGEREF _Toc239175104 \h </w:instrText>
        </w:r>
        <w:r>
          <w:rPr>
            <w:noProof/>
            <w:webHidden/>
          </w:rPr>
        </w:r>
        <w:r>
          <w:rPr>
            <w:noProof/>
            <w:webHidden/>
          </w:rPr>
          <w:fldChar w:fldCharType="separate"/>
        </w:r>
        <w:r>
          <w:rPr>
            <w:noProof/>
            <w:webHidden/>
          </w:rPr>
          <w:t>115</w:t>
        </w:r>
        <w:r>
          <w:rPr>
            <w:noProof/>
            <w:webHidden/>
          </w:rPr>
          <w:fldChar w:fldCharType="end"/>
        </w:r>
      </w:hyperlink>
    </w:p>
    <w:p w14:paraId="57DF6B20" w14:textId="4E64D838"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5" w:history="1">
        <w:r w:rsidRPr="000556C1">
          <w:rPr>
            <w:rStyle w:val="Hyperlink"/>
            <w:noProof/>
          </w:rPr>
          <w:t>Power BI Premium</w:t>
        </w:r>
        <w:r>
          <w:rPr>
            <w:noProof/>
            <w:webHidden/>
          </w:rPr>
          <w:tab/>
        </w:r>
        <w:r>
          <w:rPr>
            <w:noProof/>
            <w:webHidden/>
          </w:rPr>
          <w:fldChar w:fldCharType="begin"/>
        </w:r>
        <w:r>
          <w:rPr>
            <w:noProof/>
            <w:webHidden/>
          </w:rPr>
          <w:instrText xml:space="preserve"> PAGEREF _Toc239175105 \h </w:instrText>
        </w:r>
        <w:r>
          <w:rPr>
            <w:noProof/>
            <w:webHidden/>
          </w:rPr>
        </w:r>
        <w:r>
          <w:rPr>
            <w:noProof/>
            <w:webHidden/>
          </w:rPr>
          <w:fldChar w:fldCharType="separate"/>
        </w:r>
        <w:r>
          <w:rPr>
            <w:noProof/>
            <w:webHidden/>
          </w:rPr>
          <w:t>115</w:t>
        </w:r>
        <w:r>
          <w:rPr>
            <w:noProof/>
            <w:webHidden/>
          </w:rPr>
          <w:fldChar w:fldCharType="end"/>
        </w:r>
      </w:hyperlink>
    </w:p>
    <w:p w14:paraId="311D84EA" w14:textId="406BA8D8"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6" w:history="1">
        <w:r w:rsidRPr="000556C1">
          <w:rPr>
            <w:rStyle w:val="Hyperlink"/>
            <w:noProof/>
          </w:rPr>
          <w:t>Power BI Pro</w:t>
        </w:r>
        <w:r>
          <w:rPr>
            <w:noProof/>
            <w:webHidden/>
          </w:rPr>
          <w:tab/>
        </w:r>
        <w:r>
          <w:rPr>
            <w:noProof/>
            <w:webHidden/>
          </w:rPr>
          <w:fldChar w:fldCharType="begin"/>
        </w:r>
        <w:r>
          <w:rPr>
            <w:noProof/>
            <w:webHidden/>
          </w:rPr>
          <w:instrText xml:space="preserve"> PAGEREF _Toc239175106 \h </w:instrText>
        </w:r>
        <w:r>
          <w:rPr>
            <w:noProof/>
            <w:webHidden/>
          </w:rPr>
        </w:r>
        <w:r>
          <w:rPr>
            <w:noProof/>
            <w:webHidden/>
          </w:rPr>
          <w:fldChar w:fldCharType="separate"/>
        </w:r>
        <w:r>
          <w:rPr>
            <w:noProof/>
            <w:webHidden/>
          </w:rPr>
          <w:t>116</w:t>
        </w:r>
        <w:r>
          <w:rPr>
            <w:noProof/>
            <w:webHidden/>
          </w:rPr>
          <w:fldChar w:fldCharType="end"/>
        </w:r>
      </w:hyperlink>
    </w:p>
    <w:p w14:paraId="5480DA20" w14:textId="16A75C6B"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7" w:history="1">
        <w:r w:rsidRPr="000556C1">
          <w:rPr>
            <w:rStyle w:val="Hyperlink"/>
            <w:noProof/>
          </w:rPr>
          <w:t>Azure AI Translator</w:t>
        </w:r>
        <w:r>
          <w:rPr>
            <w:noProof/>
            <w:webHidden/>
          </w:rPr>
          <w:tab/>
        </w:r>
        <w:r>
          <w:rPr>
            <w:noProof/>
            <w:webHidden/>
          </w:rPr>
          <w:fldChar w:fldCharType="begin"/>
        </w:r>
        <w:r>
          <w:rPr>
            <w:noProof/>
            <w:webHidden/>
          </w:rPr>
          <w:instrText xml:space="preserve"> PAGEREF _Toc239175107 \h </w:instrText>
        </w:r>
        <w:r>
          <w:rPr>
            <w:noProof/>
            <w:webHidden/>
          </w:rPr>
        </w:r>
        <w:r>
          <w:rPr>
            <w:noProof/>
            <w:webHidden/>
          </w:rPr>
          <w:fldChar w:fldCharType="separate"/>
        </w:r>
        <w:r>
          <w:rPr>
            <w:noProof/>
            <w:webHidden/>
          </w:rPr>
          <w:t>116</w:t>
        </w:r>
        <w:r>
          <w:rPr>
            <w:noProof/>
            <w:webHidden/>
          </w:rPr>
          <w:fldChar w:fldCharType="end"/>
        </w:r>
      </w:hyperlink>
    </w:p>
    <w:p w14:paraId="6E3CE4A6" w14:textId="38748596"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8" w:history="1">
        <w:r w:rsidRPr="000556C1">
          <w:rPr>
            <w:rStyle w:val="Hyperlink"/>
            <w:noProof/>
          </w:rPr>
          <w:t>Microsoft Defender for Endpoint</w:t>
        </w:r>
        <w:r>
          <w:rPr>
            <w:noProof/>
            <w:webHidden/>
          </w:rPr>
          <w:tab/>
        </w:r>
        <w:r>
          <w:rPr>
            <w:noProof/>
            <w:webHidden/>
          </w:rPr>
          <w:fldChar w:fldCharType="begin"/>
        </w:r>
        <w:r>
          <w:rPr>
            <w:noProof/>
            <w:webHidden/>
          </w:rPr>
          <w:instrText xml:space="preserve"> PAGEREF _Toc239175108 \h </w:instrText>
        </w:r>
        <w:r>
          <w:rPr>
            <w:noProof/>
            <w:webHidden/>
          </w:rPr>
        </w:r>
        <w:r>
          <w:rPr>
            <w:noProof/>
            <w:webHidden/>
          </w:rPr>
          <w:fldChar w:fldCharType="separate"/>
        </w:r>
        <w:r>
          <w:rPr>
            <w:noProof/>
            <w:webHidden/>
          </w:rPr>
          <w:t>117</w:t>
        </w:r>
        <w:r>
          <w:rPr>
            <w:noProof/>
            <w:webHidden/>
          </w:rPr>
          <w:fldChar w:fldCharType="end"/>
        </w:r>
      </w:hyperlink>
    </w:p>
    <w:p w14:paraId="311CAB24" w14:textId="48AA4FD8" w:rsidR="00A93882" w:rsidRDefault="00A93882">
      <w:pPr>
        <w:pStyle w:val="TOC4"/>
        <w:rPr>
          <w:rFonts w:eastAsiaTheme="minorEastAsia"/>
          <w:smallCaps w:val="0"/>
          <w:noProof/>
          <w:kern w:val="2"/>
          <w:sz w:val="24"/>
          <w:szCs w:val="24"/>
          <w:lang w:val="en-US" w:eastAsia="zh-CN" w:bidi="he-IL"/>
          <w14:ligatures w14:val="standardContextual"/>
        </w:rPr>
      </w:pPr>
      <w:hyperlink w:anchor="_Toc239175109" w:history="1">
        <w:r w:rsidRPr="000556C1">
          <w:rPr>
            <w:rStyle w:val="Hyperlink"/>
            <w:noProof/>
          </w:rPr>
          <w:t>Drukowanie uniwersalne</w:t>
        </w:r>
        <w:r>
          <w:rPr>
            <w:noProof/>
            <w:webHidden/>
          </w:rPr>
          <w:tab/>
        </w:r>
        <w:r>
          <w:rPr>
            <w:noProof/>
            <w:webHidden/>
          </w:rPr>
          <w:fldChar w:fldCharType="begin"/>
        </w:r>
        <w:r>
          <w:rPr>
            <w:noProof/>
            <w:webHidden/>
          </w:rPr>
          <w:instrText xml:space="preserve"> PAGEREF _Toc239175109 \h </w:instrText>
        </w:r>
        <w:r>
          <w:rPr>
            <w:noProof/>
            <w:webHidden/>
          </w:rPr>
        </w:r>
        <w:r>
          <w:rPr>
            <w:noProof/>
            <w:webHidden/>
          </w:rPr>
          <w:fldChar w:fldCharType="separate"/>
        </w:r>
        <w:r>
          <w:rPr>
            <w:noProof/>
            <w:webHidden/>
          </w:rPr>
          <w:t>117</w:t>
        </w:r>
        <w:r>
          <w:rPr>
            <w:noProof/>
            <w:webHidden/>
          </w:rPr>
          <w:fldChar w:fldCharType="end"/>
        </w:r>
      </w:hyperlink>
    </w:p>
    <w:p w14:paraId="33DE6137" w14:textId="6EE364B6" w:rsidR="00A93882" w:rsidRDefault="00A93882">
      <w:pPr>
        <w:pStyle w:val="TOC4"/>
        <w:rPr>
          <w:rFonts w:eastAsiaTheme="minorEastAsia"/>
          <w:smallCaps w:val="0"/>
          <w:noProof/>
          <w:kern w:val="2"/>
          <w:sz w:val="24"/>
          <w:szCs w:val="24"/>
          <w:lang w:val="en-US" w:eastAsia="zh-CN" w:bidi="he-IL"/>
          <w14:ligatures w14:val="standardContextual"/>
        </w:rPr>
      </w:pPr>
      <w:hyperlink w:anchor="_Toc239175110" w:history="1">
        <w:r w:rsidRPr="000556C1">
          <w:rPr>
            <w:rStyle w:val="Hyperlink"/>
            <w:noProof/>
          </w:rPr>
          <w:t>Windows 365</w:t>
        </w:r>
        <w:r>
          <w:rPr>
            <w:noProof/>
            <w:webHidden/>
          </w:rPr>
          <w:tab/>
        </w:r>
        <w:r>
          <w:rPr>
            <w:noProof/>
            <w:webHidden/>
          </w:rPr>
          <w:fldChar w:fldCharType="begin"/>
        </w:r>
        <w:r>
          <w:rPr>
            <w:noProof/>
            <w:webHidden/>
          </w:rPr>
          <w:instrText xml:space="preserve"> PAGEREF _Toc239175110 \h </w:instrText>
        </w:r>
        <w:r>
          <w:rPr>
            <w:noProof/>
            <w:webHidden/>
          </w:rPr>
        </w:r>
        <w:r>
          <w:rPr>
            <w:noProof/>
            <w:webHidden/>
          </w:rPr>
          <w:fldChar w:fldCharType="separate"/>
        </w:r>
        <w:r>
          <w:rPr>
            <w:noProof/>
            <w:webHidden/>
          </w:rPr>
          <w:t>117</w:t>
        </w:r>
        <w:r>
          <w:rPr>
            <w:noProof/>
            <w:webHidden/>
          </w:rPr>
          <w:fldChar w:fldCharType="end"/>
        </w:r>
      </w:hyperlink>
    </w:p>
    <w:p w14:paraId="75444C5A" w14:textId="7BE1828E" w:rsidR="00A93882" w:rsidRDefault="00A93882">
      <w:pPr>
        <w:pStyle w:val="TOC1"/>
        <w:rPr>
          <w:rFonts w:eastAsiaTheme="minorEastAsia"/>
          <w:b w:val="0"/>
          <w:caps w:val="0"/>
          <w:noProof/>
          <w:kern w:val="2"/>
          <w:sz w:val="24"/>
          <w:szCs w:val="24"/>
          <w:lang w:val="en-US" w:eastAsia="zh-CN" w:bidi="he-IL"/>
          <w14:ligatures w14:val="standardContextual"/>
        </w:rPr>
      </w:pPr>
      <w:hyperlink w:anchor="_Toc239175111" w:history="1">
        <w:r w:rsidRPr="000556C1">
          <w:rPr>
            <w:rStyle w:val="Hyperlink"/>
            <w:noProof/>
          </w:rPr>
          <w:t>Załącznik A - Zadeklarowanie poziomu usług w zakresie wykrywania i blokowania wirusów, skuteczności wykrywania spamu lub trafień fałszywie dodatnich</w:t>
        </w:r>
        <w:r>
          <w:rPr>
            <w:noProof/>
            <w:webHidden/>
          </w:rPr>
          <w:tab/>
        </w:r>
        <w:r>
          <w:rPr>
            <w:noProof/>
            <w:webHidden/>
          </w:rPr>
          <w:fldChar w:fldCharType="begin"/>
        </w:r>
        <w:r>
          <w:rPr>
            <w:noProof/>
            <w:webHidden/>
          </w:rPr>
          <w:instrText xml:space="preserve"> PAGEREF _Toc239175111 \h </w:instrText>
        </w:r>
        <w:r>
          <w:rPr>
            <w:noProof/>
            <w:webHidden/>
          </w:rPr>
        </w:r>
        <w:r>
          <w:rPr>
            <w:noProof/>
            <w:webHidden/>
          </w:rPr>
          <w:fldChar w:fldCharType="separate"/>
        </w:r>
        <w:r>
          <w:rPr>
            <w:noProof/>
            <w:webHidden/>
          </w:rPr>
          <w:t>119</w:t>
        </w:r>
        <w:r>
          <w:rPr>
            <w:noProof/>
            <w:webHidden/>
          </w:rPr>
          <w:fldChar w:fldCharType="end"/>
        </w:r>
      </w:hyperlink>
    </w:p>
    <w:p w14:paraId="16ED5D8F" w14:textId="5831FC93" w:rsidR="00FA110B" w:rsidRPr="00EF7CF9" w:rsidRDefault="00AD5C31" w:rsidP="002024BF">
      <w:pPr>
        <w:pStyle w:val="ProductList-Body"/>
        <w:tabs>
          <w:tab w:val="clear" w:pos="360"/>
          <w:tab w:val="clear" w:pos="720"/>
          <w:tab w:val="clear" w:pos="1080"/>
        </w:tabs>
      </w:pPr>
      <w:r>
        <w:fldChar w:fldCharType="end"/>
      </w:r>
    </w:p>
    <w:p w14:paraId="3CA6B7A7" w14:textId="77777777" w:rsidR="00E03E25" w:rsidRPr="00EF7CF9" w:rsidRDefault="00E03E25" w:rsidP="002024BF">
      <w:pPr>
        <w:pStyle w:val="ProductList-Body"/>
        <w:tabs>
          <w:tab w:val="clear" w:pos="360"/>
          <w:tab w:val="clear" w:pos="720"/>
          <w:tab w:val="clear" w:pos="1080"/>
        </w:tabs>
        <w:sectPr w:rsidR="00E03E25" w:rsidRPr="00EF7CF9" w:rsidSect="00553DA3">
          <w:footerReference w:type="default" r:id="rId16"/>
          <w:type w:val="continuous"/>
          <w:pgSz w:w="12240" w:h="15840"/>
          <w:pgMar w:top="1440" w:right="720" w:bottom="1440" w:left="720" w:header="720" w:footer="720" w:gutter="0"/>
          <w:cols w:num="2" w:space="720"/>
          <w:docGrid w:linePitch="360"/>
        </w:sectPr>
      </w:pPr>
    </w:p>
    <w:p w14:paraId="3A312564" w14:textId="343170CC" w:rsidR="00E03E25" w:rsidRPr="00EF7CF9" w:rsidRDefault="00914BDB" w:rsidP="00106C29">
      <w:pPr>
        <w:pStyle w:val="ProductList-SectionHeading"/>
        <w:tabs>
          <w:tab w:val="clear" w:pos="360"/>
          <w:tab w:val="clear" w:pos="720"/>
          <w:tab w:val="clear" w:pos="1080"/>
        </w:tabs>
        <w:outlineLvl w:val="0"/>
      </w:pPr>
      <w:bookmarkStart w:id="5" w:name="_Toc457821500"/>
      <w:bookmarkStart w:id="6" w:name="_Toc464226261"/>
      <w:bookmarkStart w:id="7" w:name="_Toc465333682"/>
      <w:bookmarkStart w:id="8" w:name="_Toc239174915"/>
      <w:bookmarkStart w:id="9" w:name="Introduction"/>
      <w:r>
        <w:lastRenderedPageBreak/>
        <w:t>Wprowadzenie</w:t>
      </w:r>
      <w:bookmarkEnd w:id="5"/>
      <w:bookmarkEnd w:id="6"/>
      <w:bookmarkEnd w:id="7"/>
      <w:bookmarkEnd w:id="8"/>
    </w:p>
    <w:p w14:paraId="0B3153E8" w14:textId="533C83C4" w:rsidR="00FA110B" w:rsidRPr="00EF7CF9" w:rsidRDefault="008D1A52" w:rsidP="008C2ED5">
      <w:pPr>
        <w:pStyle w:val="ProductList-SubSection1Heading"/>
      </w:pPr>
      <w:bookmarkStart w:id="10" w:name="_Toc457812795"/>
      <w:bookmarkStart w:id="11" w:name="_Toc457821501"/>
      <w:bookmarkEnd w:id="9"/>
      <w:r>
        <w:t>Informacje o tym dokumencie</w:t>
      </w:r>
      <w:bookmarkEnd w:id="10"/>
      <w:bookmarkEnd w:id="11"/>
    </w:p>
    <w:p w14:paraId="77CF1F44" w14:textId="333602FC" w:rsidR="00E11454" w:rsidRPr="00EF7CF9" w:rsidRDefault="00E11454" w:rsidP="00106C29">
      <w:pPr>
        <w:pStyle w:val="ProductList-Body"/>
        <w:tabs>
          <w:tab w:val="clear" w:pos="360"/>
          <w:tab w:val="clear" w:pos="720"/>
          <w:tab w:val="clear" w:pos="1080"/>
        </w:tabs>
      </w:pPr>
      <w:r>
        <w:t>Niniejsza Umowa dotycząca poziomu usług dla Usług Online Microsoft („SLA”) stanowi integralną część umowy licencjonowania zbiorowego Microsoft („Umowa”). Terminy, których poszczególne wyrazy rozpoczynają się wielkimi literami i które zostały użyte w niniejszej umowie SLA, lecz</w:t>
      </w:r>
      <w:r w:rsidR="000C46CD">
        <w:t> </w:t>
      </w:r>
      <w:r>
        <w:t>nie zostały w niej zdefiniowane, mają znaczenia przypisane im w Umowie. Niniejsza umowa SLA ma zastosowanie do Usług Online Microsoft wymienionych w tym dokumencie („Usługa” lub „Usługi”), ale nie ma zastosowania do osobno oznaczonych marką usług, które są udostępniane bezpośrednio lub pośrednio w związku z Usługami, ani do żadnego zainstalowanego lokalnie oprogramowania będącego częścią dowolnej Usługi.</w:t>
      </w:r>
    </w:p>
    <w:p w14:paraId="3CBD9792" w14:textId="77777777" w:rsidR="00E11454" w:rsidRPr="00EF7CF9" w:rsidRDefault="00E11454" w:rsidP="00106C29">
      <w:pPr>
        <w:pStyle w:val="ProductList-Body"/>
        <w:tabs>
          <w:tab w:val="clear" w:pos="360"/>
          <w:tab w:val="clear" w:pos="720"/>
          <w:tab w:val="clear" w:pos="1080"/>
        </w:tabs>
      </w:pPr>
    </w:p>
    <w:p w14:paraId="5FEF6AC3" w14:textId="5B928EFD" w:rsidR="00E11454" w:rsidRDefault="00E11454" w:rsidP="00106C29">
      <w:pPr>
        <w:pStyle w:val="ProductList-Body"/>
        <w:tabs>
          <w:tab w:val="clear" w:pos="360"/>
          <w:tab w:val="clear" w:pos="720"/>
          <w:tab w:val="clear" w:pos="1080"/>
        </w:tabs>
        <w:rPr>
          <w:rFonts w:ascii="Calibri" w:hAnsi="Calibri" w:cs="Calibri"/>
        </w:rPr>
      </w:pPr>
      <w:r>
        <w:rPr>
          <w:rFonts w:ascii="Calibri" w:hAnsi="Calibri" w:cs="Calibri"/>
        </w:rPr>
        <w:t xml:space="preserve">Jeśli Microsoft nie osiągnie i nie utrzyma Poziomów Usługi dla każdej Usługi opisanej w tej umowie SLA, Klientowi mogą przysługiwać środki odliczane od części miesięcznych opłat za usługę wnoszonych przez Klienta. Microsoft nie zmodyfikuje postanowień zawartej przez Klienta umowy SLA w okresie początkowym subskrypcji Klienta; w przypadku odnowienia subskrypcji wersja tej umowy SLA obowiązująca w momencie odnowienia będzie mieć jednak zastosowanie przez cały okres obowiązywania tego odnowienia. Microsoft powiadomi z 90-dniowym wyprzedzeniem o istotnych, niekorzystnych zmianach treści umowy SLA. Aktualną wersję umowy SLA można znaleźć na stronie </w:t>
      </w:r>
      <w:hyperlink r:id="rId17" w:history="1">
        <w:r>
          <w:rPr>
            <w:rStyle w:val="Hyperlink"/>
          </w:rPr>
          <w:t>https://aka.ms/CSLA</w:t>
        </w:r>
      </w:hyperlink>
      <w:r>
        <w:rPr>
          <w:rFonts w:ascii="Calibri" w:hAnsi="Calibri" w:cs="Calibri"/>
        </w:rPr>
        <w:t>.</w:t>
      </w:r>
    </w:p>
    <w:p w14:paraId="397D80C5" w14:textId="77777777" w:rsidR="00DD4A55" w:rsidRDefault="00DD4A55" w:rsidP="00106C29">
      <w:pPr>
        <w:pStyle w:val="ProductList-Body"/>
        <w:tabs>
          <w:tab w:val="clear" w:pos="360"/>
          <w:tab w:val="clear" w:pos="720"/>
          <w:tab w:val="clear" w:pos="1080"/>
        </w:tabs>
        <w:rPr>
          <w:rFonts w:ascii="Calibri" w:hAnsi="Calibri" w:cs="Calibri"/>
        </w:rPr>
      </w:pPr>
    </w:p>
    <w:p w14:paraId="727066FE" w14:textId="5B3E18E4" w:rsidR="00DD4A55" w:rsidRPr="00EF7CF9" w:rsidRDefault="00DD4A55" w:rsidP="00106C29">
      <w:pPr>
        <w:pStyle w:val="ProductList-Body"/>
        <w:tabs>
          <w:tab w:val="clear" w:pos="360"/>
          <w:tab w:val="clear" w:pos="720"/>
          <w:tab w:val="clear" w:pos="1080"/>
        </w:tabs>
        <w:rPr>
          <w:rFonts w:ascii="Calibri" w:hAnsi="Calibri" w:cs="Calibri"/>
        </w:rPr>
      </w:pPr>
      <w:r>
        <w:rPr>
          <w:rFonts w:ascii="Calibri" w:hAnsi="Calibri" w:cs="Calibri"/>
        </w:rPr>
        <w:t>Udostępniane nieodpłatnie Wersje Zapoznawcze i Usługi Online lub warstwy usług nie kwalifikują się do ani nie są uwzględniane w ramach roszczeń ani środków na używanie usług.</w:t>
      </w:r>
    </w:p>
    <w:p w14:paraId="65686147" w14:textId="004AAA72" w:rsidR="008D1A52" w:rsidRPr="00EF7CF9" w:rsidRDefault="008D1A52" w:rsidP="008C2ED5">
      <w:pPr>
        <w:pStyle w:val="ProductList-SubSection1Heading"/>
      </w:pPr>
      <w:bookmarkStart w:id="12" w:name="_Toc457812796"/>
      <w:bookmarkStart w:id="13" w:name="_Toc457821502"/>
      <w:r>
        <w:t>Poprzednie wersje niniejszego dokumentu</w:t>
      </w:r>
      <w:bookmarkEnd w:id="12"/>
      <w:bookmarkEnd w:id="13"/>
    </w:p>
    <w:p w14:paraId="69561C1A" w14:textId="2C21BF8F" w:rsidR="0035123C" w:rsidRPr="00EF7CF9" w:rsidRDefault="007804B9" w:rsidP="00106C29">
      <w:pPr>
        <w:pStyle w:val="ProductList-Body"/>
        <w:tabs>
          <w:tab w:val="clear" w:pos="360"/>
          <w:tab w:val="clear" w:pos="720"/>
          <w:tab w:val="clear" w:pos="1080"/>
        </w:tabs>
      </w:pPr>
      <w:r>
        <w:t xml:space="preserve">Niniejsza umowa SLA zawiera informacje dotyczące aktualnie dostępnych Usług. Wcześniejsze wersje niniejszego dokumentu są dostępne na stronie </w:t>
      </w:r>
      <w:hyperlink r:id="rId18" w:history="1">
        <w:r>
          <w:rPr>
            <w:rStyle w:val="Hyperlink"/>
          </w:rPr>
          <w:t>http</w:t>
        </w:r>
        <w:r>
          <w:rPr>
            <w:rStyle w:val="Hyperlink"/>
            <w:color w:val="auto"/>
          </w:rPr>
          <w:t>:</w:t>
        </w:r>
        <w:r>
          <w:rPr>
            <w:rStyle w:val="Hyperlink"/>
          </w:rPr>
          <w:t>//www.microsoftvolumelicensing.com</w:t>
        </w:r>
      </w:hyperlink>
      <w:r>
        <w:t>. Aby znaleźć odpowiednią wersję, skontaktuj się ze swoim odsprzedawcą lub menedżerem konta Microsoft.</w:t>
      </w:r>
    </w:p>
    <w:p w14:paraId="7F05D0EA" w14:textId="6A442A7D" w:rsidR="008D1A52" w:rsidRPr="00EF7CF9" w:rsidRDefault="008D1A52" w:rsidP="008C2ED5">
      <w:pPr>
        <w:pStyle w:val="ProductList-SubSection1Heading"/>
      </w:pPr>
      <w:bookmarkStart w:id="14" w:name="_Toc457812797"/>
      <w:bookmarkStart w:id="15" w:name="_Toc457821503"/>
      <w:r>
        <w:t>Wyjaśnienia i podsumowanie zmian zawartych w niniejszym dokumencie</w:t>
      </w:r>
      <w:bookmarkEnd w:id="14"/>
      <w:bookmarkEnd w:id="15"/>
    </w:p>
    <w:p w14:paraId="2487F2A9" w14:textId="64288103" w:rsidR="0035123C" w:rsidRPr="00EF7CF9" w:rsidRDefault="0035123C" w:rsidP="00106C29">
      <w:pPr>
        <w:pStyle w:val="ProductList-Body"/>
        <w:tabs>
          <w:tab w:val="clear" w:pos="360"/>
          <w:tab w:val="clear" w:pos="720"/>
          <w:tab w:val="clear" w:pos="1080"/>
        </w:tabs>
      </w:pPr>
      <w:r>
        <w:t>Poniżej opisano najnowsze uzupełnienia, usunięcia oraz inne zmiany wprowadzone w niniejszej umowie SLA. Poniżej zawarto również wyjaśnienia zasad firmy Microsoft w odpowiedzi na często zadawane pytania klientów.</w:t>
      </w:r>
    </w:p>
    <w:p w14:paraId="0E7501E2" w14:textId="6DDC6277" w:rsidR="0035123C" w:rsidRDefault="0035123C" w:rsidP="00106C29">
      <w:pPr>
        <w:pStyle w:val="ProductList-Body"/>
        <w:tabs>
          <w:tab w:val="clear" w:pos="360"/>
          <w:tab w:val="clear" w:pos="720"/>
          <w:tab w:val="clear" w:pos="1080"/>
        </w:tabs>
      </w:pPr>
    </w:p>
    <w:tbl>
      <w:tblPr>
        <w:tblStyle w:val="TableGrid"/>
        <w:tblW w:w="0" w:type="auto"/>
        <w:tblLook w:val="04A0" w:firstRow="1" w:lastRow="0" w:firstColumn="1" w:lastColumn="0" w:noHBand="0" w:noVBand="1"/>
      </w:tblPr>
      <w:tblGrid>
        <w:gridCol w:w="5485"/>
        <w:gridCol w:w="5305"/>
      </w:tblGrid>
      <w:tr w:rsidR="00CC3273" w:rsidRPr="00571855" w14:paraId="740EEFFB" w14:textId="77777777" w:rsidTr="00200B5F">
        <w:trPr>
          <w:tblHeader/>
        </w:trPr>
        <w:tc>
          <w:tcPr>
            <w:tcW w:w="5485" w:type="dxa"/>
            <w:shd w:val="clear" w:color="auto" w:fill="0072C6"/>
          </w:tcPr>
          <w:p w14:paraId="4BA49666" w14:textId="3EA722ED" w:rsidR="00CC3273" w:rsidRPr="006D4DC5" w:rsidRDefault="00CC3273" w:rsidP="00CC3273">
            <w:pPr>
              <w:pStyle w:val="ProductList-OfferingBody"/>
            </w:pPr>
            <w:r>
              <w:rPr>
                <w:color w:val="FFFFFF" w:themeColor="background1"/>
              </w:rPr>
              <w:t>Dodatki/aktualizacje</w:t>
            </w:r>
          </w:p>
        </w:tc>
        <w:tc>
          <w:tcPr>
            <w:tcW w:w="5305" w:type="dxa"/>
            <w:shd w:val="clear" w:color="auto" w:fill="0072C6"/>
          </w:tcPr>
          <w:p w14:paraId="042AABD6" w14:textId="77777777" w:rsidR="00CC3273" w:rsidRPr="006D4DC5" w:rsidRDefault="00CC3273" w:rsidP="00CC3273">
            <w:pPr>
              <w:pStyle w:val="ProductList-OfferingBody"/>
            </w:pPr>
            <w:r>
              <w:rPr>
                <w:color w:val="FFFFFF" w:themeColor="background1"/>
              </w:rPr>
              <w:t>Produkty usunięte</w:t>
            </w:r>
          </w:p>
        </w:tc>
      </w:tr>
      <w:tr w:rsidR="001754BA" w:rsidRPr="003650D0" w14:paraId="286A2A3F" w14:textId="77777777" w:rsidTr="00200B5F">
        <w:trPr>
          <w:tblHeader/>
        </w:trPr>
        <w:tc>
          <w:tcPr>
            <w:tcW w:w="5485" w:type="dxa"/>
          </w:tcPr>
          <w:p w14:paraId="0D8D619A" w14:textId="1835CA1B" w:rsidR="001754BA" w:rsidRDefault="005C55C9" w:rsidP="001754BA">
            <w:pPr>
              <w:pStyle w:val="ProductList-OfferingBody"/>
              <w:rPr>
                <w:rFonts w:ascii="Calibri" w:hAnsi="Calibri" w:cs="Calibri"/>
                <w:color w:val="000000" w:themeColor="text1"/>
              </w:rPr>
            </w:pPr>
            <w:proofErr w:type="spellStart"/>
            <w:r>
              <w:rPr>
                <w:rFonts w:ascii="Calibri" w:hAnsi="Calibri" w:cs="Calibri"/>
                <w:color w:val="000000" w:themeColor="text1"/>
                <w:szCs w:val="16"/>
              </w:rPr>
              <w:t>Azure</w:t>
            </w:r>
            <w:proofErr w:type="spellEnd"/>
            <w:r>
              <w:rPr>
                <w:rFonts w:ascii="Calibri" w:hAnsi="Calibri" w:cs="Calibri"/>
                <w:color w:val="000000" w:themeColor="text1"/>
                <w:szCs w:val="16"/>
              </w:rPr>
              <w:t xml:space="preserve"> </w:t>
            </w:r>
            <w:proofErr w:type="spellStart"/>
            <w:r>
              <w:rPr>
                <w:rFonts w:ascii="Calibri" w:hAnsi="Calibri" w:cs="Calibri"/>
                <w:color w:val="000000" w:themeColor="text1"/>
                <w:szCs w:val="16"/>
              </w:rPr>
              <w:t>Databricks</w:t>
            </w:r>
            <w:proofErr w:type="spellEnd"/>
            <w:r>
              <w:rPr>
                <w:rFonts w:ascii="Calibri" w:hAnsi="Calibri" w:cs="Calibri"/>
                <w:color w:val="000000" w:themeColor="text1"/>
                <w:szCs w:val="16"/>
              </w:rPr>
              <w:t xml:space="preserve"> Lakebase</w:t>
            </w:r>
          </w:p>
        </w:tc>
        <w:tc>
          <w:tcPr>
            <w:tcW w:w="5305" w:type="dxa"/>
          </w:tcPr>
          <w:p w14:paraId="03E5F810" w14:textId="605B691B" w:rsidR="001754BA" w:rsidRPr="00771E0B" w:rsidRDefault="001754BA" w:rsidP="001754BA">
            <w:pPr>
              <w:pStyle w:val="ProductList-OfferingBody"/>
            </w:pPr>
          </w:p>
        </w:tc>
      </w:tr>
    </w:tbl>
    <w:p w14:paraId="473EB6D2" w14:textId="3AC9735E" w:rsidR="00654656" w:rsidRPr="00EF7CF9" w:rsidRDefault="00971220" w:rsidP="0065465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48C666F" w14:textId="56DC3877" w:rsidR="008E6785" w:rsidRPr="00B44CF9" w:rsidRDefault="008E6785" w:rsidP="00106C29">
      <w:pPr>
        <w:rPr>
          <w:sz w:val="18"/>
          <w:szCs w:val="18"/>
        </w:rPr>
      </w:pPr>
    </w:p>
    <w:p w14:paraId="596F13CE" w14:textId="77777777" w:rsidR="00654656" w:rsidRPr="00B44CF9" w:rsidRDefault="00654656" w:rsidP="00106C29">
      <w:pPr>
        <w:rPr>
          <w:sz w:val="18"/>
          <w:szCs w:val="18"/>
        </w:rPr>
        <w:sectPr w:rsidR="00654656" w:rsidRPr="00B44CF9" w:rsidSect="00553DA3">
          <w:footerReference w:type="default" r:id="rId19"/>
          <w:footerReference w:type="first" r:id="rId20"/>
          <w:pgSz w:w="12240" w:h="15840"/>
          <w:pgMar w:top="1440" w:right="720" w:bottom="1440" w:left="720" w:header="720" w:footer="720" w:gutter="0"/>
          <w:cols w:space="720"/>
          <w:titlePg/>
          <w:docGrid w:linePitch="360"/>
        </w:sectPr>
      </w:pPr>
    </w:p>
    <w:p w14:paraId="41F91676" w14:textId="37AC3CA8" w:rsidR="00045C64" w:rsidRPr="00EF7CF9" w:rsidRDefault="00E11454" w:rsidP="002024BF">
      <w:pPr>
        <w:pStyle w:val="ProductList-SectionHeading"/>
        <w:tabs>
          <w:tab w:val="clear" w:pos="360"/>
          <w:tab w:val="clear" w:pos="720"/>
          <w:tab w:val="clear" w:pos="1080"/>
        </w:tabs>
        <w:outlineLvl w:val="0"/>
      </w:pPr>
      <w:bookmarkStart w:id="16" w:name="_Toc457821504"/>
      <w:bookmarkStart w:id="17" w:name="_Toc239174916"/>
      <w:bookmarkStart w:id="18" w:name="GeneralTerms"/>
      <w:r>
        <w:t>Postanowienia ogólne</w:t>
      </w:r>
      <w:bookmarkEnd w:id="16"/>
      <w:bookmarkEnd w:id="17"/>
    </w:p>
    <w:p w14:paraId="0BDF752D" w14:textId="5F0E96A9" w:rsidR="00045C64" w:rsidRPr="00EF7CF9" w:rsidRDefault="00E11454" w:rsidP="008C2ED5">
      <w:pPr>
        <w:pStyle w:val="ProductList-SubSection1Heading"/>
      </w:pPr>
      <w:bookmarkStart w:id="19" w:name="_Toc454884885"/>
      <w:bookmarkStart w:id="20" w:name="_Toc457812799"/>
      <w:bookmarkStart w:id="21" w:name="_Toc455748582"/>
      <w:bookmarkStart w:id="22" w:name="_Toc457821505"/>
      <w:bookmarkStart w:id="23" w:name="Definitions"/>
      <w:bookmarkEnd w:id="18"/>
      <w:r>
        <w:t>Definicje</w:t>
      </w:r>
      <w:bookmarkEnd w:id="19"/>
      <w:bookmarkEnd w:id="20"/>
      <w:bookmarkEnd w:id="21"/>
      <w:bookmarkEnd w:id="22"/>
    </w:p>
    <w:bookmarkEnd w:id="23"/>
    <w:p w14:paraId="218F8058" w14:textId="77777777" w:rsidR="00F7012C" w:rsidRPr="00A43C44" w:rsidRDefault="00F7012C" w:rsidP="00F7012C">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Okres obowiązywania</w:t>
      </w:r>
      <w:r>
        <w:rPr>
          <w:rFonts w:ascii="Calibri" w:hAnsi="Calibri" w:cs="Calibri"/>
        </w:rPr>
        <w:t xml:space="preserve">” w przypadku usług rozliczanych w systemie płatności na bieżąco (np. Maszyny Wirtualne </w:t>
      </w:r>
      <w:proofErr w:type="spellStart"/>
      <w:r>
        <w:rPr>
          <w:rFonts w:ascii="Calibri" w:hAnsi="Calibri" w:cs="Calibri"/>
        </w:rPr>
        <w:t>Azure</w:t>
      </w:r>
      <w:proofErr w:type="spellEnd"/>
      <w:r>
        <w:rPr>
          <w:rFonts w:ascii="Calibri" w:hAnsi="Calibri" w:cs="Calibri"/>
        </w:rPr>
        <w:t xml:space="preserve">) oznacza okres 30 dni poprzedzających (włącznie z pierwszym dniem Incydentu), za który przysługują Środki na Używanie Usług. W przypadku innych usług (np. M365 E3) „Okres obowiązywania” oznacza miesiąc kalendarzowy, w którym przysługują Środki na Używanie Usług. </w:t>
      </w:r>
    </w:p>
    <w:p w14:paraId="193B8517" w14:textId="77777777" w:rsidR="00F7012C" w:rsidRPr="00A43C44" w:rsidRDefault="00F7012C" w:rsidP="00F7012C">
      <w:pPr>
        <w:pStyle w:val="ProductList-Body"/>
        <w:spacing w:after="40"/>
        <w:rPr>
          <w:rFonts w:ascii="Calibri" w:hAnsi="Calibri" w:cs="Calibri"/>
          <w:color w:val="000000" w:themeColor="text1"/>
        </w:rPr>
      </w:pPr>
      <w:r>
        <w:rPr>
          <w:rFonts w:ascii="Calibri" w:hAnsi="Calibri" w:cs="Calibri"/>
        </w:rPr>
        <w:t>„</w:t>
      </w:r>
      <w:r>
        <w:rPr>
          <w:rFonts w:ascii="Calibri" w:hAnsi="Calibri" w:cs="Calibri"/>
          <w:b/>
          <w:color w:val="00188F"/>
        </w:rPr>
        <w:t>Właściwe Opłaty za Usługi</w:t>
      </w:r>
      <w:r>
        <w:rPr>
          <w:rFonts w:ascii="Calibri" w:hAnsi="Calibri" w:cs="Calibri"/>
        </w:rPr>
        <w:t>”</w:t>
      </w:r>
      <w:r>
        <w:rPr>
          <w:rFonts w:ascii="Calibri" w:hAnsi="Calibri" w:cs="Calibri"/>
          <w:color w:val="000000" w:themeColor="text1"/>
        </w:rPr>
        <w:t xml:space="preserve"> oznaczają łączne opłaty faktycznie uiszczone przez użytkownika za Usługę, które mają zastosowanie do Właściwego okresu, w którym przysługuje Zniżka za usług.</w:t>
      </w:r>
    </w:p>
    <w:p w14:paraId="1B6D8F86" w14:textId="77777777" w:rsidR="00F7012C" w:rsidRPr="00A43C44" w:rsidRDefault="00F7012C" w:rsidP="00F7012C">
      <w:pPr>
        <w:pStyle w:val="ProductList-Body"/>
        <w:spacing w:after="40"/>
        <w:rPr>
          <w:rFonts w:ascii="Calibri" w:hAnsi="Calibri" w:cs="Calibri"/>
        </w:rPr>
      </w:pPr>
      <w:r>
        <w:rPr>
          <w:rFonts w:ascii="Calibri" w:hAnsi="Calibri" w:cs="Calibri"/>
        </w:rPr>
        <w:t>„</w:t>
      </w:r>
      <w:r>
        <w:rPr>
          <w:rFonts w:ascii="Calibri" w:hAnsi="Calibri" w:cs="Calibri"/>
          <w:b/>
          <w:color w:val="00188F"/>
        </w:rPr>
        <w:t>Przestój</w:t>
      </w:r>
      <w:r>
        <w:rPr>
          <w:rFonts w:ascii="Calibri" w:hAnsi="Calibri" w:cs="Calibri"/>
        </w:rPr>
        <w:t>” jest zdefiniowany dla każdej Usługi w szczególnych postanowieniach dotyczących Usług poniżej. Przestój nie obejmuje Zaplanowanego Przestoju. Przestój nie obejmuje niedostępności Usługi z powodu ograniczeń opisanych poniżej oraz w szczególnych postanowieniach dotyczących Usług.</w:t>
      </w:r>
    </w:p>
    <w:p w14:paraId="1CAAF07A" w14:textId="7C1624CA" w:rsidR="001D1C2C" w:rsidRPr="00EF7CF9" w:rsidRDefault="00EF7CF9" w:rsidP="001D1C2C">
      <w:pPr>
        <w:pStyle w:val="ProductList-Body"/>
        <w:spacing w:after="40"/>
      </w:pPr>
      <w:r>
        <w:t>„</w:t>
      </w:r>
      <w:r>
        <w:rPr>
          <w:b/>
          <w:color w:val="00188F"/>
        </w:rPr>
        <w:t>Kod błędu</w:t>
      </w:r>
      <w:r>
        <w:t>” oznacza wskazanie, że operacja się nie powiodła, na przykład kod stanu HTTP w zakresie 5xx.</w:t>
      </w:r>
    </w:p>
    <w:p w14:paraId="64D84186" w14:textId="5ECBA2E3" w:rsidR="001D1C2C" w:rsidRPr="00EF7CF9" w:rsidRDefault="00EF7CF9" w:rsidP="001D1C2C">
      <w:pPr>
        <w:pStyle w:val="ProductList-Body"/>
        <w:spacing w:after="40"/>
        <w:rPr>
          <w:color w:val="000000" w:themeColor="text1"/>
        </w:rPr>
      </w:pPr>
      <w:r>
        <w:t>„</w:t>
      </w:r>
      <w:r>
        <w:rPr>
          <w:b/>
          <w:color w:val="00188F"/>
        </w:rPr>
        <w:t>Łączność zewnętrzna</w:t>
      </w:r>
      <w:r>
        <w:t>” to dwukierunkowy ruch sieciowy przez obsługiwane protokoły, takie jak HTTP i HTTPS, wysyłany i odbierany z publicznego adresu IP.</w:t>
      </w:r>
    </w:p>
    <w:p w14:paraId="57569D47" w14:textId="7EBE9AA8" w:rsidR="001D1C2C" w:rsidRPr="00EF7CF9" w:rsidRDefault="00EF7CF9" w:rsidP="001D1C2C">
      <w:pPr>
        <w:pStyle w:val="ProductList-Body"/>
        <w:spacing w:after="40"/>
        <w:rPr>
          <w:color w:val="000000" w:themeColor="text1"/>
        </w:rPr>
      </w:pPr>
      <w:r>
        <w:t>„</w:t>
      </w:r>
      <w:r>
        <w:rPr>
          <w:b/>
          <w:color w:val="00188F"/>
        </w:rPr>
        <w:t>Incydent</w:t>
      </w:r>
      <w:r>
        <w:t>”</w:t>
      </w:r>
      <w:r>
        <w:rPr>
          <w:color w:val="000000" w:themeColor="text1"/>
        </w:rPr>
        <w:t xml:space="preserve"> oznacza (i) dowolne pojedyncze zdarzenie lub (ii) dowolne skumulowane zdarzenia skutkujące Przestojem.</w:t>
      </w:r>
    </w:p>
    <w:p w14:paraId="30DC8057" w14:textId="22448706" w:rsidR="001D1C2C" w:rsidRPr="00EF7CF9" w:rsidRDefault="00EF7CF9" w:rsidP="001D1C2C">
      <w:pPr>
        <w:pStyle w:val="ProductList-Body"/>
        <w:spacing w:after="40"/>
      </w:pPr>
      <w:r>
        <w:t>„</w:t>
      </w:r>
      <w:r>
        <w:rPr>
          <w:b/>
          <w:color w:val="00188F"/>
        </w:rPr>
        <w:t>Portal zarządzania</w:t>
      </w:r>
      <w:r>
        <w:t>” oznacza udostępniony przez firmę Microsoft interfejs sieciowy, za pomocą którego klienci mogą zarządzać Usługą.</w:t>
      </w:r>
    </w:p>
    <w:p w14:paraId="16345164" w14:textId="7EB02B19" w:rsidR="001D1C2C" w:rsidRPr="00EF7CF9" w:rsidRDefault="00EF7CF9" w:rsidP="001D1C2C">
      <w:pPr>
        <w:pStyle w:val="ProductList-Body"/>
        <w:spacing w:after="40"/>
        <w:rPr>
          <w:color w:val="000000" w:themeColor="text1"/>
        </w:rPr>
      </w:pPr>
      <w:r>
        <w:t>„</w:t>
      </w:r>
      <w:r>
        <w:rPr>
          <w:b/>
          <w:color w:val="00188F"/>
        </w:rPr>
        <w:t>Planowany przestój</w:t>
      </w:r>
      <w:r>
        <w:t>”</w:t>
      </w:r>
      <w:r>
        <w:rPr>
          <w:color w:val="000000" w:themeColor="text1"/>
        </w:rPr>
        <w:t xml:space="preserve"> oznacza okresy Przestoju związane z konserwacją lub aktualizacjami sieci, sprzętu lub Usługi. Opublikujemy powiadomienie lub powiadomimy użytkowników co najmniej pięć (5) dni przed rozpoczęciem takiego Przestoju.</w:t>
      </w:r>
    </w:p>
    <w:p w14:paraId="70231D40" w14:textId="6AFD30EF" w:rsidR="001D1C2C" w:rsidRPr="00EF7CF9" w:rsidRDefault="00EF7CF9" w:rsidP="001D1C2C">
      <w:pPr>
        <w:pStyle w:val="ProductList-Body"/>
        <w:spacing w:after="40"/>
        <w:rPr>
          <w:color w:val="000000" w:themeColor="text1"/>
        </w:rPr>
      </w:pPr>
      <w:r>
        <w:t>„</w:t>
      </w:r>
      <w:r w:rsidR="00A02123" w:rsidRPr="00A02123">
        <w:rPr>
          <w:b/>
          <w:color w:val="00188F"/>
        </w:rPr>
        <w:t>Kredyt za Usługę</w:t>
      </w:r>
      <w:r>
        <w:t>”</w:t>
      </w:r>
      <w:r>
        <w:rPr>
          <w:color w:val="000000" w:themeColor="text1"/>
        </w:rPr>
        <w:t xml:space="preserve"> to procent Właściwych opłat za Usługę naliczony Użytkownikowi po zatwierdzeniu roszczenia przez firmę Microsoft.</w:t>
      </w:r>
    </w:p>
    <w:p w14:paraId="0E261BBC" w14:textId="2AD2957B" w:rsidR="001D1C2C" w:rsidRPr="00EF7CF9" w:rsidRDefault="00EF7CF9" w:rsidP="001D1C2C">
      <w:pPr>
        <w:pStyle w:val="ProductList-Body"/>
        <w:spacing w:after="40"/>
        <w:rPr>
          <w:color w:val="000000" w:themeColor="text1"/>
        </w:rPr>
      </w:pPr>
      <w:r>
        <w:t>„</w:t>
      </w:r>
      <w:r>
        <w:rPr>
          <w:b/>
          <w:color w:val="00188F"/>
        </w:rPr>
        <w:t>Poziom usługi</w:t>
      </w:r>
      <w:r>
        <w:t>”</w:t>
      </w:r>
      <w:r>
        <w:rPr>
          <w:color w:val="000000" w:themeColor="text1"/>
        </w:rPr>
        <w:t xml:space="preserve"> oznacza wskaźniki wydajności określone w niniejszej umowie SLA, których firma Microsoft zgadza się przestrzegać podczas świadczenia Usług.</w:t>
      </w:r>
    </w:p>
    <w:p w14:paraId="6702BBF5" w14:textId="4D674F4E" w:rsidR="001D1C2C" w:rsidRPr="00EF7CF9" w:rsidRDefault="00EF7CF9" w:rsidP="001D1C2C">
      <w:pPr>
        <w:pStyle w:val="ProductList-Body"/>
        <w:spacing w:after="40"/>
      </w:pPr>
      <w:r>
        <w:t>„</w:t>
      </w:r>
      <w:r>
        <w:rPr>
          <w:b/>
          <w:color w:val="00188F"/>
        </w:rPr>
        <w:t>Zasoby usługi</w:t>
      </w:r>
      <w:r>
        <w:t>” oznaczają indywidualny zasób dostępny do użytku w ramach Usługi.</w:t>
      </w:r>
    </w:p>
    <w:p w14:paraId="6EF19CD6" w14:textId="111F4E0C" w:rsidR="001D1C2C" w:rsidRPr="00EF7CF9" w:rsidRDefault="00EF7CF9" w:rsidP="001D1C2C">
      <w:pPr>
        <w:pStyle w:val="ProductList-Body"/>
        <w:spacing w:after="40"/>
      </w:pPr>
      <w:r>
        <w:t>„</w:t>
      </w:r>
      <w:r>
        <w:rPr>
          <w:b/>
          <w:color w:val="00188F"/>
        </w:rPr>
        <w:t>Kod sukcesu</w:t>
      </w:r>
      <w:r>
        <w:t>” oznacza wskazanie, że operacja się nie powiodła, na przykład kod stanu HTTP w zakresie 2xx.</w:t>
      </w:r>
    </w:p>
    <w:p w14:paraId="461AC117" w14:textId="72A22A6C" w:rsidR="001D1C2C" w:rsidRPr="00EF7CF9" w:rsidRDefault="00EF7CF9" w:rsidP="001D1C2C">
      <w:pPr>
        <w:pStyle w:val="ProductList-Body"/>
        <w:spacing w:after="40"/>
        <w:rPr>
          <w:color w:val="000000" w:themeColor="text1"/>
        </w:rPr>
      </w:pPr>
      <w:r>
        <w:t>„</w:t>
      </w:r>
      <w:r>
        <w:rPr>
          <w:b/>
          <w:color w:val="00188F"/>
        </w:rPr>
        <w:t>Czas obsługi</w:t>
      </w:r>
      <w:r>
        <w:t>” odnosi się do okresu, w którym obsługiwana jest funkcja Usługi lub kompatybilności z oddzielnym produktem lub usługą.</w:t>
      </w:r>
    </w:p>
    <w:p w14:paraId="0B6E793C" w14:textId="690A5235" w:rsidR="001D1C2C" w:rsidRPr="00EF7CF9" w:rsidRDefault="00EF7CF9" w:rsidP="001D1C2C">
      <w:pPr>
        <w:pStyle w:val="ProductList-Body"/>
        <w:spacing w:after="40"/>
        <w:rPr>
          <w:color w:val="000000" w:themeColor="text1"/>
        </w:rPr>
      </w:pPr>
      <w:r>
        <w:t>„</w:t>
      </w:r>
      <w:r>
        <w:rPr>
          <w:b/>
          <w:color w:val="00188F"/>
        </w:rPr>
        <w:t>Minuty użytkownika</w:t>
      </w:r>
      <w:r>
        <w:t>”</w:t>
      </w:r>
      <w:r>
        <w:rPr>
          <w:color w:val="000000" w:themeColor="text1"/>
        </w:rPr>
        <w:t xml:space="preserve"> oznaczają całkowitą liczbę minut we Właściwym okresie pomniejszoną o cały Zaplanowany Przestój, pomnożoną przez całkowitą liczbę użytkowników.</w:t>
      </w:r>
    </w:p>
    <w:p w14:paraId="637752EC" w14:textId="23513F1A" w:rsidR="001D1C2C" w:rsidRPr="00EF7CF9" w:rsidRDefault="001D1C2C" w:rsidP="008C2ED5">
      <w:pPr>
        <w:pStyle w:val="ProductList-SubSection1Heading"/>
      </w:pPr>
      <w:bookmarkStart w:id="24" w:name="_Toc454884886"/>
      <w:bookmarkStart w:id="25" w:name="_Toc457812800"/>
      <w:bookmarkStart w:id="26" w:name="_Toc455748583"/>
      <w:bookmarkStart w:id="27" w:name="_Toc457821506"/>
      <w:bookmarkStart w:id="28" w:name="Terms"/>
      <w:r>
        <w:t>Postanowienia</w:t>
      </w:r>
      <w:bookmarkEnd w:id="24"/>
      <w:bookmarkEnd w:id="25"/>
      <w:bookmarkEnd w:id="26"/>
      <w:bookmarkEnd w:id="27"/>
    </w:p>
    <w:bookmarkEnd w:id="28"/>
    <w:p w14:paraId="7371D222" w14:textId="77777777" w:rsidR="001D1C2C" w:rsidRPr="00EF7CF9" w:rsidRDefault="001D1C2C" w:rsidP="008C2ED5">
      <w:pPr>
        <w:pStyle w:val="ProductList-ClauseHeading"/>
        <w:outlineLvl w:val="2"/>
      </w:pPr>
      <w:r>
        <w:t>Reklamacje</w:t>
      </w:r>
    </w:p>
    <w:p w14:paraId="5EA955CD" w14:textId="77777777" w:rsidR="00793FFD" w:rsidRPr="00CC7A65" w:rsidRDefault="00793FFD" w:rsidP="00793FFD">
      <w:pPr>
        <w:pStyle w:val="ProductList-Body"/>
        <w:rPr>
          <w:rFonts w:ascii="Calibri" w:hAnsi="Calibri" w:cs="Calibri"/>
        </w:rPr>
      </w:pPr>
      <w:r>
        <w:rPr>
          <w:rFonts w:ascii="Calibri" w:hAnsi="Calibri" w:cs="Calibri"/>
        </w:rPr>
        <w:t xml:space="preserve">Aby Microsoft uznał reklamację, Klient musi zgłosić reklamację do działu obsługi klienta w Microsoft Corporation, dołączając wszelkie stosowne informacje, jakich Microsoft wymaga do potwierdzenia zasadności reklamacji, w tym m.in.: (i) szczegółowy opis Incydentu; (ii) informacje dotyczące czasu wystąpienia i czasu trwania przestoju; (iii) nazwy zasobów, których dotyczy Incydent; (iv) liczba i lokalizacja użytkowników, których dotyczy Incydent; oraz (v) opis błędów, które wystąpiły podczas Incydentu. Niepodanie wymaganych informacji będzie skutkować odrzuceniem wniosku. Szczegółowe wskazówki dotyczące monitorowania i rejestrowania zasobów platformy </w:t>
      </w:r>
      <w:proofErr w:type="spellStart"/>
      <w:r>
        <w:rPr>
          <w:rFonts w:ascii="Calibri" w:hAnsi="Calibri" w:cs="Calibri"/>
        </w:rPr>
        <w:t>Azure</w:t>
      </w:r>
      <w:proofErr w:type="spellEnd"/>
      <w:r>
        <w:rPr>
          <w:rFonts w:ascii="Calibri" w:hAnsi="Calibri" w:cs="Calibri"/>
        </w:rPr>
        <w:t xml:space="preserve"> znajdują się w artykule „Tabele zapytań dotyczących analizy dzienników usługi </w:t>
      </w:r>
      <w:proofErr w:type="spellStart"/>
      <w:r>
        <w:rPr>
          <w:rFonts w:ascii="Calibri" w:hAnsi="Calibri" w:cs="Calibri"/>
        </w:rPr>
        <w:t>Azure</w:t>
      </w:r>
      <w:proofErr w:type="spellEnd"/>
      <w:r>
        <w:rPr>
          <w:rFonts w:ascii="Calibri" w:hAnsi="Calibri" w:cs="Calibri"/>
        </w:rPr>
        <w:t xml:space="preserve"> Monitor” lub w artykułach go zastępujących w witrynie Microsoft </w:t>
      </w:r>
      <w:proofErr w:type="spellStart"/>
      <w:r>
        <w:rPr>
          <w:rFonts w:ascii="Calibri" w:hAnsi="Calibri" w:cs="Calibri"/>
        </w:rPr>
        <w:t>Learn</w:t>
      </w:r>
      <w:proofErr w:type="spellEnd"/>
      <w:r>
        <w:rPr>
          <w:rFonts w:ascii="Calibri" w:hAnsi="Calibri" w:cs="Calibri"/>
        </w:rPr>
        <w:t xml:space="preserve">. W tym zasobie znajdują się podstawowe dane i informacje potrzebne do oświadczeń dotyczących platformy </w:t>
      </w:r>
      <w:proofErr w:type="spellStart"/>
      <w:r>
        <w:rPr>
          <w:rFonts w:ascii="Calibri" w:hAnsi="Calibri" w:cs="Calibri"/>
        </w:rPr>
        <w:t>Azure</w:t>
      </w:r>
      <w:proofErr w:type="spellEnd"/>
      <w:r>
        <w:rPr>
          <w:rFonts w:ascii="Calibri" w:hAnsi="Calibri" w:cs="Calibri"/>
        </w:rPr>
        <w:t xml:space="preserve">. </w:t>
      </w:r>
    </w:p>
    <w:p w14:paraId="214D78DC" w14:textId="77777777" w:rsidR="00793FFD" w:rsidRPr="00CC7A65" w:rsidRDefault="00793FFD" w:rsidP="00793FFD">
      <w:pPr>
        <w:pStyle w:val="ProductList-Body"/>
        <w:rPr>
          <w:rFonts w:ascii="Calibri" w:hAnsi="Calibri" w:cs="Calibri"/>
        </w:rPr>
      </w:pPr>
    </w:p>
    <w:p w14:paraId="34224C2A" w14:textId="77777777" w:rsidR="00793FFD" w:rsidRPr="00CC7A65" w:rsidRDefault="00793FFD" w:rsidP="00793FFD">
      <w:pPr>
        <w:pStyle w:val="ProductList-Body"/>
        <w:rPr>
          <w:rFonts w:ascii="Calibri" w:hAnsi="Calibri" w:cs="Calibri"/>
        </w:rPr>
      </w:pPr>
      <w:r>
        <w:rPr>
          <w:rFonts w:ascii="Calibri" w:hAnsi="Calibri" w:cs="Calibri"/>
        </w:rPr>
        <w:t xml:space="preserve">W przypadku roszczenia związanego z Microsoft </w:t>
      </w:r>
      <w:proofErr w:type="spellStart"/>
      <w:r>
        <w:rPr>
          <w:rFonts w:ascii="Calibri" w:hAnsi="Calibri" w:cs="Calibri"/>
        </w:rPr>
        <w:t>Azure</w:t>
      </w:r>
      <w:proofErr w:type="spellEnd"/>
      <w:r>
        <w:rPr>
          <w:rFonts w:ascii="Calibri" w:hAnsi="Calibri" w:cs="Calibri"/>
        </w:rPr>
        <w:t xml:space="preserve"> Microsoft musi otrzymać je w ciągu 60 dni od Incydentu. W przypadku reklamacji związanych ze wszystkimi innymi Usługami reklamacja musi wpłynąć do końca Właściwego okresu następującego po miesiącu, w którym wystąpił Incydent. Na przykład, jeśli Incydent miał miejsce 15 lutego, musimy otrzymać reklamację wraz ze wszystkimi wymaganymi informacjami do 31 marca.</w:t>
      </w:r>
    </w:p>
    <w:p w14:paraId="22D0C299" w14:textId="77777777" w:rsidR="00793FFD" w:rsidRPr="00CC7A65" w:rsidRDefault="00793FFD" w:rsidP="00793FFD">
      <w:pPr>
        <w:pStyle w:val="ProductList-Body"/>
        <w:rPr>
          <w:rFonts w:ascii="Calibri" w:hAnsi="Calibri" w:cs="Calibri"/>
        </w:rPr>
      </w:pPr>
    </w:p>
    <w:p w14:paraId="3DC62B2B" w14:textId="77777777" w:rsidR="00793FFD" w:rsidRPr="00CC7A65" w:rsidRDefault="00793FFD" w:rsidP="00793FFD">
      <w:pPr>
        <w:pStyle w:val="ProductList-Body"/>
        <w:rPr>
          <w:rFonts w:ascii="Calibri" w:hAnsi="Calibri" w:cs="Calibri"/>
        </w:rPr>
      </w:pPr>
      <w:r>
        <w:rPr>
          <w:rFonts w:ascii="Calibri" w:hAnsi="Calibri" w:cs="Calibri"/>
        </w:rPr>
        <w:t>Microsoft oceni wszelkie dostępne w uzasadnionym zakresie informacje i w dobrej wierze określi, czy Środki na Używanie Usług przysługują. Microsoft dołoży wszelkich uzasadnionych starań, aby rozpatrzyć roszczenia niezwłocznie po zakończeniu dochodzenia, zazwyczaj w ciągu czterdziestu pięciu (45) dni od otrzymania roszczenia. Klient musi spełniać postanowienia Umowy, aby być uprawnionym do Środków na Używanie Usług. Jeśli ustalimy, że Klientowi należą się Środki na Używaniu Usług, rozliczymy je we Właściwych opłatach za Usługę.</w:t>
      </w:r>
    </w:p>
    <w:p w14:paraId="58E2268D" w14:textId="77777777" w:rsidR="001D1C2C" w:rsidRPr="00EF7CF9" w:rsidRDefault="001D1C2C" w:rsidP="001D1C2C">
      <w:pPr>
        <w:pStyle w:val="ProductList-Body"/>
      </w:pPr>
    </w:p>
    <w:p w14:paraId="76EDD054" w14:textId="3FFE4AC0" w:rsidR="001D1C2C" w:rsidRPr="00EF7CF9" w:rsidRDefault="001D1C2C" w:rsidP="001D1C2C">
      <w:pPr>
        <w:pStyle w:val="ProductList-Body"/>
      </w:pPr>
      <w:r>
        <w:t xml:space="preserve">Jeśli Klient kupił więcej niż jedną Usługę (nie w postaci pakietu), Klient może składać reklamacje zgodnie z opisanym powyżej procesem tak, jakby każda Usługa była objęta odrębną umową SLA. Na przykład, jeśli Klient kupił usługi Exchange Online i SharePoint Online (nie jako część pakietu), </w:t>
      </w:r>
      <w:r w:rsidR="00C84B0F">
        <w:br/>
      </w:r>
      <w:r>
        <w:t>a w okresie obowiązywania subskrypcji wystąpiło Zdarzenie, które spowodowało Przestój obu Usług, Klient może być uprawniony do dwóch oddzielnych transzy Środków na Używanie Usług (po jednej transzy dla każdej Usługi) w wyniku złożenia dwóch reklamacji w ramach niniejszej umowy SLA. W przypadku niespełnienia więcej niż jednego Poziomu Usługi dla konkretnej Usługi w wyniku tego samego Zdarzenia, Klient musi wybrać tylko jeden Poziom Usługi, dla którego może złożyć reklamację w związku ze Zdarzeniem. O ile nie określono inaczej w określonej umowie SLA, we Właściwym okresie dozwolone są tylko jedne Środki Serwisowe na Używanie Usług na Usługę.</w:t>
      </w:r>
    </w:p>
    <w:p w14:paraId="48EACB70" w14:textId="77777777" w:rsidR="001D1C2C" w:rsidRPr="00EF7CF9" w:rsidRDefault="001D1C2C" w:rsidP="001D1C2C">
      <w:pPr>
        <w:pStyle w:val="ProductList-Body"/>
      </w:pPr>
    </w:p>
    <w:p w14:paraId="1C5E0FF1" w14:textId="77777777" w:rsidR="001D1C2C" w:rsidRPr="00EF7CF9" w:rsidRDefault="001D1C2C" w:rsidP="00A02123">
      <w:pPr>
        <w:pStyle w:val="ProductList-ClauseHeading"/>
        <w:keepNext/>
        <w:keepLines/>
        <w:outlineLvl w:val="2"/>
      </w:pPr>
      <w:r>
        <w:t>Środki na Używanie Usług</w:t>
      </w:r>
    </w:p>
    <w:p w14:paraId="5E40938B" w14:textId="77777777" w:rsidR="0013670A" w:rsidRPr="002A0A04" w:rsidRDefault="0013670A" w:rsidP="0013670A">
      <w:pPr>
        <w:pStyle w:val="ProductList-Body"/>
        <w:rPr>
          <w:rFonts w:ascii="Calibri" w:hAnsi="Calibri" w:cs="Calibri"/>
        </w:rPr>
      </w:pPr>
      <w:r>
        <w:rPr>
          <w:rFonts w:ascii="Calibri" w:hAnsi="Calibri" w:cs="Calibri"/>
        </w:rPr>
        <w:t>Środki na Używanie Usług stanowią jedyne uprawnienie przysługujące Klientowi z tytułu problemów z wydajnością lub dostępnością dotyczących dowolnej Usługi w ramach Umowy i niniejszej umowy SLA. Użytkownik nie jest uprawniony do jednostronnego kompensowania Właściwych Opłat za Usługi z tytułu wszelkich problemów z wydajnością lub dostępnością.</w:t>
      </w:r>
    </w:p>
    <w:p w14:paraId="6E6918EE" w14:textId="77777777" w:rsidR="0013670A" w:rsidRPr="002A0A04" w:rsidRDefault="0013670A" w:rsidP="0013670A">
      <w:pPr>
        <w:pStyle w:val="ProductList-Body"/>
        <w:rPr>
          <w:rFonts w:ascii="Calibri" w:hAnsi="Calibri" w:cs="Calibri"/>
        </w:rPr>
      </w:pPr>
    </w:p>
    <w:p w14:paraId="50EE4FB5" w14:textId="77777777" w:rsidR="0013670A" w:rsidRPr="002A0A04" w:rsidRDefault="0013670A" w:rsidP="0013670A">
      <w:pPr>
        <w:pStyle w:val="ProductList-Body"/>
        <w:rPr>
          <w:rFonts w:ascii="Calibri" w:hAnsi="Calibri" w:cs="Calibri"/>
        </w:rPr>
      </w:pPr>
      <w:r>
        <w:rPr>
          <w:rFonts w:ascii="Calibri" w:hAnsi="Calibri" w:cs="Calibri"/>
        </w:rPr>
        <w:t>Środki na Używanie Usług mają zastosowanie tylko do opłat uiszczonych za konkretne Usługi, Zasoby Usługi lub warstwy Usługi, dla których nie zapewniono odpowiedniego Poziomu Usługi. W przypadku gdy Poziomy Usług odnoszą się do poszczególnych Zasobów Usług lub do oddzielnych Poziomów Usług, Środki na Używanie Usług odnoszą się wyłącznie do opłat uiszczonych za dany Zasób Usług lub Poziom Usług, w stosownych przypadkach, i wyłącznie w odniesieniu do rzeczywistego czasu przestoju, a nie do całkowitego czasu trwania przerwy w działaniu. Środki na Używanie Usług przyznane w dowolnym miesiącu rozliczeniowym za określoną Usługę lub Zasoby Usługi w żadnym wypadku nie mogą przekroczyć wartości miesięcznych opłat za tę Usługę lub Zasoby Usługi we Właściwym Okresie. Środki na Używanie Usług nie będą przyznawane w celu rekompensaty wszelkich innych form strat, w tym między innymi utraconych przychodów, kosztów operacyjnych lub jakichkolwiek pośrednich strat poniesionych przez Użytkownika lub użytkowników końcowych.</w:t>
      </w:r>
    </w:p>
    <w:p w14:paraId="728B590F" w14:textId="77777777" w:rsidR="001D1C2C" w:rsidRPr="00EF7CF9" w:rsidRDefault="001D1C2C" w:rsidP="001D1C2C">
      <w:pPr>
        <w:pStyle w:val="ProductList-Body"/>
      </w:pPr>
    </w:p>
    <w:p w14:paraId="5B365128" w14:textId="77777777" w:rsidR="001D1C2C" w:rsidRPr="00EF7CF9" w:rsidRDefault="001D1C2C" w:rsidP="008C2ED5">
      <w:pPr>
        <w:pStyle w:val="ProductList-ClauseHeading"/>
        <w:outlineLvl w:val="2"/>
      </w:pPr>
      <w:bookmarkStart w:id="29" w:name="Limitations"/>
      <w:r>
        <w:t>Ograniczenia</w:t>
      </w:r>
    </w:p>
    <w:bookmarkEnd w:id="29"/>
    <w:p w14:paraId="4DD4642A" w14:textId="77777777" w:rsidR="001D1C2C" w:rsidRPr="00EF7CF9" w:rsidRDefault="001D1C2C" w:rsidP="001D1C2C">
      <w:pPr>
        <w:pStyle w:val="ProductList-Body"/>
      </w:pPr>
      <w:r>
        <w:t>Niniejsza umowa SLA oraz wszelkie odpowiednie Poziomy Usług nie mają zastosowania do problemów dotyczących jakości lub dostępności:</w:t>
      </w:r>
    </w:p>
    <w:p w14:paraId="68138A07" w14:textId="1636E8F1" w:rsidR="001D1C2C" w:rsidRPr="00EF7CF9" w:rsidRDefault="001D1C2C" w:rsidP="00E62D9C">
      <w:pPr>
        <w:pStyle w:val="ProductList-Body"/>
        <w:numPr>
          <w:ilvl w:val="0"/>
          <w:numId w:val="1"/>
        </w:numPr>
        <w:tabs>
          <w:tab w:val="clear" w:pos="360"/>
          <w:tab w:val="clear" w:pos="720"/>
          <w:tab w:val="clear" w:pos="1080"/>
        </w:tabs>
      </w:pPr>
      <w:r>
        <w:t>wywołanych działaniem czynników pozostających poza uzasadnioną kontrolą Microsoft (na przykład klęska żywiołowa, wojna, akty terroryzmu, rozruchy, działania rządu, awaria sieci lub urządzenia niewchodzących w skład centrów przetwarzania danych Microsoft, w</w:t>
      </w:r>
      <w:r w:rsidR="000C46CD">
        <w:t> </w:t>
      </w:r>
      <w:r>
        <w:t>tym w lokalizacji Klienta lub między lokalizacją Klienta a centrum przetwarzania danych Microsoft);</w:t>
      </w:r>
    </w:p>
    <w:p w14:paraId="50A32887" w14:textId="4327C0EA" w:rsidR="001D1C2C" w:rsidRDefault="001D1C2C" w:rsidP="00E62D9C">
      <w:pPr>
        <w:pStyle w:val="ProductList-Body"/>
        <w:numPr>
          <w:ilvl w:val="0"/>
          <w:numId w:val="1"/>
        </w:numPr>
        <w:tabs>
          <w:tab w:val="clear" w:pos="360"/>
          <w:tab w:val="clear" w:pos="720"/>
          <w:tab w:val="clear" w:pos="1080"/>
        </w:tabs>
      </w:pPr>
      <w:r>
        <w:t>wynikających z korzystania z usług, sprzętu lub oprogramowania niedostarczonych przez Microsoft, w tym m.in. problemów wynikających z niedostatecznej przepływności lub związanych z oprogramowaniem lub usługami osób trzecich;</w:t>
      </w:r>
    </w:p>
    <w:p w14:paraId="5F463160" w14:textId="77777777" w:rsidR="00DD3EFA" w:rsidRDefault="00DD3EFA" w:rsidP="00DD3EFA">
      <w:pPr>
        <w:pStyle w:val="ProductList-Body"/>
        <w:numPr>
          <w:ilvl w:val="0"/>
          <w:numId w:val="1"/>
        </w:numPr>
        <w:tabs>
          <w:tab w:val="clear" w:pos="360"/>
          <w:tab w:val="clear" w:pos="720"/>
          <w:tab w:val="clear" w:pos="1080"/>
        </w:tabs>
      </w:pPr>
      <w:r>
        <w:t xml:space="preserve">wynikających z awarii w pojedynczej lokalizacji Centrum Danych Microsoft, gdy łączność Klienta z siecią jest wyraźnie zależna od tej lokalizacji i nie istnieją żadne lokalizacje zapasowe; </w:t>
      </w:r>
    </w:p>
    <w:p w14:paraId="1E5691CC" w14:textId="56DDD8BD" w:rsidR="001D1C2C" w:rsidRPr="00EF7CF9" w:rsidRDefault="001D1C2C" w:rsidP="00E62D9C">
      <w:pPr>
        <w:pStyle w:val="ProductList-Body"/>
        <w:numPr>
          <w:ilvl w:val="0"/>
          <w:numId w:val="1"/>
        </w:numPr>
        <w:tabs>
          <w:tab w:val="clear" w:pos="360"/>
          <w:tab w:val="clear" w:pos="720"/>
          <w:tab w:val="clear" w:pos="1080"/>
        </w:tabs>
      </w:pPr>
      <w:r>
        <w:t>spowodowanych korzystaniem przez Klienta z Usługi w przypadku, gdy Klient nie zmienił sposobu korzystania z Usługi po tym, jak Microsoft zalecił Klientowi taką zmianę;</w:t>
      </w:r>
    </w:p>
    <w:p w14:paraId="7A23EEE9" w14:textId="17D0B297" w:rsidR="001D1C2C" w:rsidRPr="00EF7CF9" w:rsidRDefault="001D1C2C" w:rsidP="00E62D9C">
      <w:pPr>
        <w:pStyle w:val="ProductList-Body"/>
        <w:numPr>
          <w:ilvl w:val="0"/>
          <w:numId w:val="1"/>
        </w:numPr>
        <w:tabs>
          <w:tab w:val="clear" w:pos="360"/>
          <w:tab w:val="clear" w:pos="720"/>
          <w:tab w:val="clear" w:pos="1080"/>
        </w:tabs>
      </w:pPr>
      <w:r>
        <w:t>w czasie używania lub w związku z używaniem wersji zapoznawczych, wstępnych lub próbnych Usługi, funkcji lub oprogramowania (określonych przez Microsoft) lub produktów zakupionych z wykorzystaniem środków na używanie subskrypcji Microsoft;</w:t>
      </w:r>
    </w:p>
    <w:p w14:paraId="4F915C80" w14:textId="3C5FFBDC" w:rsidR="001D1C2C" w:rsidRPr="00EF7CF9" w:rsidRDefault="001D1C2C" w:rsidP="00E62D9C">
      <w:pPr>
        <w:pStyle w:val="ProductList-Body"/>
        <w:numPr>
          <w:ilvl w:val="0"/>
          <w:numId w:val="1"/>
        </w:numPr>
        <w:tabs>
          <w:tab w:val="clear" w:pos="360"/>
          <w:tab w:val="clear" w:pos="720"/>
          <w:tab w:val="clear" w:pos="1080"/>
        </w:tabs>
      </w:pPr>
      <w:r>
        <w:t>wynikających z nieautoryzowanych działań lub braku wymaganych działań Klienta lub jego pracowników, przedstawicieli, wykonawców lub dostawców, lub innych osób uzyskujących dostęp do sieci Klienta za pomocą haseł lub sprzętu Klienta, lub w inny sposób wynikających z niestosowania przez Klienta właściwych praktyk bezpieczeństwa;</w:t>
      </w:r>
    </w:p>
    <w:p w14:paraId="71921027" w14:textId="77777777" w:rsidR="004577BE" w:rsidRPr="002A0A04" w:rsidRDefault="004577BE" w:rsidP="004577BE">
      <w:pPr>
        <w:pStyle w:val="ProductList-Body"/>
        <w:numPr>
          <w:ilvl w:val="0"/>
          <w:numId w:val="1"/>
        </w:numPr>
        <w:tabs>
          <w:tab w:val="clear" w:pos="360"/>
          <w:tab w:val="clear" w:pos="720"/>
          <w:tab w:val="clear" w:pos="1080"/>
        </w:tabs>
        <w:rPr>
          <w:rFonts w:ascii="Calibri" w:hAnsi="Calibri" w:cs="Calibri"/>
        </w:rPr>
      </w:pPr>
      <w:r>
        <w:rPr>
          <w:rFonts w:ascii="Calibri" w:hAnsi="Calibri" w:cs="Calibri"/>
        </w:rPr>
        <w:t>Wynikają z nieprzestrzegania przez Użytkownika wymaganych konfiguracji, korzystania z nieobsługiwanych konfiguracji lub platform, nieprzestrzegania zasad dozwolonego użytkowania lub korzystania z Usługi w sposób niezgodny z funkcjami i funkcjonalnością danej Usługi (na przykład próby wykonywania operacji, które nie są obsługiwane) lub sposób niezgodny z opublikowanymi wytycznymi Microsoft;</w:t>
      </w:r>
    </w:p>
    <w:p w14:paraId="266FAE78" w14:textId="4F4F5838" w:rsidR="001D1C2C" w:rsidRPr="00EF7CF9" w:rsidRDefault="001D1C2C" w:rsidP="00E62D9C">
      <w:pPr>
        <w:pStyle w:val="ProductList-Body"/>
        <w:numPr>
          <w:ilvl w:val="0"/>
          <w:numId w:val="1"/>
        </w:numPr>
        <w:tabs>
          <w:tab w:val="clear" w:pos="360"/>
          <w:tab w:val="clear" w:pos="720"/>
          <w:tab w:val="clear" w:pos="1080"/>
        </w:tabs>
      </w:pPr>
      <w:r>
        <w:t>wynikających z niewłaściwych danych wejściowych, instrukcji lub argumentów (np. żądań dostępu do nieistniejących plików);</w:t>
      </w:r>
    </w:p>
    <w:p w14:paraId="69C98885" w14:textId="4BCACB12" w:rsidR="000276D5" w:rsidRPr="002A0A04" w:rsidRDefault="000276D5" w:rsidP="000276D5">
      <w:pPr>
        <w:pStyle w:val="ProductList-Body"/>
        <w:numPr>
          <w:ilvl w:val="0"/>
          <w:numId w:val="1"/>
        </w:numPr>
        <w:tabs>
          <w:tab w:val="clear" w:pos="360"/>
          <w:tab w:val="clear" w:pos="720"/>
          <w:tab w:val="clear" w:pos="1080"/>
        </w:tabs>
        <w:rPr>
          <w:rFonts w:ascii="Calibri" w:hAnsi="Calibri" w:cs="Calibri"/>
        </w:rPr>
      </w:pPr>
      <w:r>
        <w:rPr>
          <w:rFonts w:ascii="Calibri" w:hAnsi="Calibri" w:cs="Calibri"/>
        </w:rPr>
        <w:t xml:space="preserve">Są wynikiem </w:t>
      </w:r>
      <w:r w:rsidR="002417F7">
        <w:rPr>
          <w:rFonts w:ascii="Calibri" w:hAnsi="Calibri" w:cs="Calibri"/>
        </w:rPr>
        <w:t>prób wykonania operacji wykraczających poza właściwe użytkowanie lub przekraczających ustalone limity lub są wynikiem ograniczeń wprowadzonych przez Microsoft w związku z podejrzeniami o niewłaściwe zachowanie lub włamań na konta;</w:t>
      </w:r>
    </w:p>
    <w:p w14:paraId="767733A8" w14:textId="1C6B61EB" w:rsidR="001D1C2C" w:rsidRPr="00EF7CF9" w:rsidRDefault="001D1C2C" w:rsidP="00E62D9C">
      <w:pPr>
        <w:pStyle w:val="ProductList-Body"/>
        <w:numPr>
          <w:ilvl w:val="0"/>
          <w:numId w:val="1"/>
        </w:numPr>
        <w:tabs>
          <w:tab w:val="clear" w:pos="360"/>
          <w:tab w:val="clear" w:pos="720"/>
          <w:tab w:val="clear" w:pos="1080"/>
        </w:tabs>
      </w:pPr>
      <w:r>
        <w:t>wynikających z używania przez Klienta funkcji Usług, które wykraczają poza stosowne Czasy Obsługi; lub</w:t>
      </w:r>
    </w:p>
    <w:p w14:paraId="5605A8B2" w14:textId="5E9835C8" w:rsidR="001D1C2C" w:rsidRDefault="001D1C2C" w:rsidP="00E62D9C">
      <w:pPr>
        <w:pStyle w:val="ProductList-Body"/>
        <w:numPr>
          <w:ilvl w:val="0"/>
          <w:numId w:val="1"/>
        </w:numPr>
        <w:tabs>
          <w:tab w:val="clear" w:pos="360"/>
          <w:tab w:val="clear" w:pos="720"/>
          <w:tab w:val="clear" w:pos="1080"/>
        </w:tabs>
      </w:pPr>
      <w:r>
        <w:t>w przypadku licencji zarezerwowanych, ale nieopłaconych w momencie wystąpienia zdarzenia.</w:t>
      </w:r>
    </w:p>
    <w:p w14:paraId="44352DD2" w14:textId="77777777" w:rsidR="00E25E40" w:rsidRPr="002A0A04" w:rsidRDefault="00E25E40" w:rsidP="00E25E40">
      <w:pPr>
        <w:pStyle w:val="ProductList-Body"/>
        <w:numPr>
          <w:ilvl w:val="0"/>
          <w:numId w:val="1"/>
        </w:numPr>
        <w:tabs>
          <w:tab w:val="clear" w:pos="360"/>
          <w:tab w:val="clear" w:pos="720"/>
          <w:tab w:val="clear" w:pos="1080"/>
        </w:tabs>
        <w:rPr>
          <w:rFonts w:ascii="Calibri" w:hAnsi="Calibri" w:cs="Calibri"/>
        </w:rPr>
      </w:pPr>
      <w:r>
        <w:rPr>
          <w:rFonts w:ascii="Calibri" w:hAnsi="Calibri" w:cs="Calibri"/>
        </w:rPr>
        <w:t>Zainicjowane przez Użytkownika operacje, takie jak ponowne uruchamianie, zatrzymywanie, uruchamianie, przełączanie awaryjne, skalowanie obliczeń i przechowywanie (które ze swej natury obejmują ograniczenia pojemności), które powodują przestoje, są wyłączone z Obliczania Czasu Sprawnego Działania, chyba że wyraźnie zdefiniowano je w obowiązującym Poziomie danej Usługi.</w:t>
      </w:r>
    </w:p>
    <w:p w14:paraId="472B98FF" w14:textId="77777777" w:rsidR="00E25E40" w:rsidRPr="002A0A04" w:rsidRDefault="00E25E40" w:rsidP="00E25E40">
      <w:pPr>
        <w:pStyle w:val="ProductList-Body"/>
        <w:numPr>
          <w:ilvl w:val="0"/>
          <w:numId w:val="1"/>
        </w:numPr>
        <w:tabs>
          <w:tab w:val="clear" w:pos="360"/>
          <w:tab w:val="clear" w:pos="720"/>
          <w:tab w:val="clear" w:pos="1080"/>
        </w:tabs>
        <w:rPr>
          <w:rFonts w:ascii="Calibri" w:hAnsi="Calibri" w:cs="Calibri"/>
        </w:rPr>
      </w:pPr>
      <w:r>
        <w:rPr>
          <w:rFonts w:ascii="Calibri" w:hAnsi="Calibri" w:cs="Calibri"/>
        </w:rPr>
        <w:t>Comiesięczny czas prac konserwacyjnych, które powodują przestój w związku z wdrażaniem poprawek na serwerze i w infrastrukturze Klienta, jest wyłączony z obliczenia czasu sprawnego działania.</w:t>
      </w:r>
    </w:p>
    <w:p w14:paraId="6E9941F4" w14:textId="77777777" w:rsidR="00E25E40" w:rsidRPr="002A0A04" w:rsidRDefault="00E25E40" w:rsidP="00E25E40">
      <w:pPr>
        <w:pStyle w:val="ProductList-Body"/>
        <w:numPr>
          <w:ilvl w:val="0"/>
          <w:numId w:val="1"/>
        </w:numPr>
        <w:tabs>
          <w:tab w:val="clear" w:pos="360"/>
          <w:tab w:val="clear" w:pos="720"/>
          <w:tab w:val="clear" w:pos="1080"/>
        </w:tabs>
        <w:rPr>
          <w:rFonts w:ascii="Calibri" w:hAnsi="Calibri" w:cs="Calibri"/>
        </w:rPr>
      </w:pPr>
      <w:r>
        <w:rPr>
          <w:rFonts w:ascii="Calibri" w:hAnsi="Calibri" w:cs="Calibri"/>
        </w:rPr>
        <w:t>Są wynikiem pogorszenia wydajności lub problemów z opóźnieniami bez faktycznej niedostępności usługi (z wyjątkiem usług, które wyraźnie obejmują Poziom Usługi oparte na wydajności).</w:t>
      </w:r>
    </w:p>
    <w:p w14:paraId="08842D3F" w14:textId="77777777" w:rsidR="00E25E40" w:rsidRPr="002A0A04" w:rsidRDefault="00E25E40" w:rsidP="00E25E40">
      <w:pPr>
        <w:spacing w:after="0"/>
        <w:rPr>
          <w:rFonts w:ascii="Calibri" w:hAnsi="Calibri" w:cs="Calibri"/>
          <w:sz w:val="18"/>
        </w:rPr>
      </w:pPr>
    </w:p>
    <w:p w14:paraId="4B72C513" w14:textId="4E38041A" w:rsidR="001D1C2C" w:rsidRPr="00E25E40" w:rsidRDefault="00E25E40" w:rsidP="00E25E40">
      <w:pPr>
        <w:keepNext/>
        <w:rPr>
          <w:rFonts w:ascii="Calibri" w:hAnsi="Calibri" w:cs="Calibri"/>
          <w:sz w:val="18"/>
        </w:rPr>
      </w:pPr>
      <w:r>
        <w:rPr>
          <w:rFonts w:ascii="Calibri" w:hAnsi="Calibri" w:cs="Calibri"/>
          <w:sz w:val="18"/>
        </w:rPr>
        <w:t>Komunikaty Microsoft dotyczące awarii mają na celu pomóc klientom w podejmowaniu działań zapobiegawczych w odniesieniu do aplikacji o kluczowym znaczeniu dla ich działalności. Nie stanowią one potwierdzenia niespełnienia Poziomów Usług ani kwalifikowalności do Środków Serwisowych na Używanie Usług.</w:t>
      </w:r>
    </w:p>
    <w:p w14:paraId="61871B44" w14:textId="32E860B3" w:rsidR="001D1C2C" w:rsidRPr="00EF7CF9" w:rsidRDefault="001D1C2C" w:rsidP="001D1C2C">
      <w:pPr>
        <w:pStyle w:val="ProductList-Body"/>
      </w:pPr>
      <w:r>
        <w:t>Usługi zakupione na mocy umów licencjonowania zbiorowego Open, Open Value i Open Value Subscription, a także Usługi w pakiecie Office 365 Small Business Premium zakupione w postaci klucza produktu nie dają uprawnień do Środków na Używanie Usług na podstawie opłat za usługę. W</w:t>
      </w:r>
      <w:r w:rsidR="000C46CD">
        <w:t> </w:t>
      </w:r>
      <w:r>
        <w:t>przypadku tych Usług wszelkie Środki Serwisowe na Używanie Usług, do których użytkownik może się kwalifikować, zostaną przyznane w formie czasu usługi (tj. dni) w przeciwieństwie do opłat za usługi, a wszelkie odniesienia do „Właściwych Opłat za Usługi” zostaną usunięte i zastąpione przez „Właściwy okres”.</w:t>
      </w:r>
    </w:p>
    <w:p w14:paraId="5FFD9433" w14:textId="4CCB8A76" w:rsidR="00EA5FB1" w:rsidRPr="00EF7CF9" w:rsidRDefault="00C71F89"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4885D4F" w14:textId="77CE35F8" w:rsidR="00045C64" w:rsidRPr="00EF7CF9" w:rsidRDefault="00045C64" w:rsidP="00E5189B">
      <w:pPr>
        <w:pStyle w:val="ProductList-SectionHeading"/>
        <w:tabs>
          <w:tab w:val="clear" w:pos="360"/>
          <w:tab w:val="clear" w:pos="720"/>
          <w:tab w:val="clear" w:pos="1080"/>
        </w:tabs>
        <w:outlineLvl w:val="0"/>
      </w:pPr>
      <w:bookmarkStart w:id="30" w:name="_Toc457821507"/>
      <w:bookmarkStart w:id="31" w:name="_Toc239174917"/>
      <w:bookmarkStart w:id="32" w:name="ServiceSpecificTerms"/>
      <w:r>
        <w:t>Szczególne Warunki Usługi</w:t>
      </w:r>
      <w:bookmarkEnd w:id="30"/>
      <w:bookmarkEnd w:id="31"/>
    </w:p>
    <w:p w14:paraId="07111700" w14:textId="7469B3B8" w:rsidR="00045C64" w:rsidRPr="00EF7CF9" w:rsidRDefault="00045C64" w:rsidP="002024BF">
      <w:pPr>
        <w:pStyle w:val="ProductList-OfferingGroupHeading"/>
        <w:tabs>
          <w:tab w:val="clear" w:pos="360"/>
          <w:tab w:val="clear" w:pos="720"/>
          <w:tab w:val="clear" w:pos="1080"/>
        </w:tabs>
        <w:outlineLvl w:val="1"/>
      </w:pPr>
      <w:bookmarkStart w:id="33" w:name="_Toc457821508"/>
      <w:bookmarkStart w:id="34" w:name="_Toc239174918"/>
      <w:bookmarkEnd w:id="32"/>
      <w:r>
        <w:t>Microsoft Dynamics</w:t>
      </w:r>
      <w:bookmarkEnd w:id="33"/>
      <w:r>
        <w:t xml:space="preserve"> 365</w:t>
      </w:r>
      <w:bookmarkEnd w:id="34"/>
    </w:p>
    <w:p w14:paraId="39192933"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35" w:name="_Toc239174919"/>
      <w:bookmarkStart w:id="36" w:name="_Toc524384433"/>
      <w:bookmarkStart w:id="37" w:name="MicrosoftDynamics365forCustSrvcEntProIns"/>
      <w:bookmarkStart w:id="38" w:name="_Toc5018151"/>
      <w:bookmarkStart w:id="39" w:name="_Toc438127029"/>
      <w:bookmarkStart w:id="40" w:name="_Toc457821509"/>
      <w:r>
        <w:t>Dynamics 365 Business Central</w:t>
      </w:r>
      <w:bookmarkEnd w:id="35"/>
    </w:p>
    <w:p w14:paraId="154E5881" w14:textId="77777777" w:rsidR="00D50DE8" w:rsidRPr="00EF7CF9" w:rsidRDefault="00D50DE8" w:rsidP="00657A3A">
      <w:pPr>
        <w:pStyle w:val="ProductList-Body"/>
      </w:pPr>
      <w:r>
        <w:rPr>
          <w:b/>
          <w:color w:val="00188F"/>
        </w:rPr>
        <w:t>Przestój</w:t>
      </w:r>
      <w:r w:rsidRPr="007B038A">
        <w:rPr>
          <w:b/>
          <w:color w:val="00188F"/>
        </w:rPr>
        <w:t>:</w:t>
      </w:r>
      <w:r>
        <w:t xml:space="preserve"> Dowolny okres, w którym użytkownicy końcowi nie mogą zalogować się do danego wystąpienia.</w:t>
      </w:r>
    </w:p>
    <w:p w14:paraId="79A61192" w14:textId="754A2D9A" w:rsidR="00D50DE8" w:rsidRDefault="00AC48A7" w:rsidP="00D50DE8">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72FCFD88" w14:textId="77777777" w:rsidR="00D50DE8" w:rsidRPr="00EF7CF9" w:rsidRDefault="00D50DE8" w:rsidP="00D50DE8">
      <w:pPr>
        <w:pStyle w:val="ProductList-Body"/>
      </w:pPr>
    </w:p>
    <w:p w14:paraId="6E972F08" w14:textId="409EA1F2"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38F44403" w14:textId="3DD5F0FC" w:rsidR="00D50DE8" w:rsidRPr="00EF7CF9" w:rsidRDefault="00AC48A7" w:rsidP="00D50DE8">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DE1F58B" w14:textId="77777777" w:rsidR="00D50DE8" w:rsidRPr="00EF7CF9" w:rsidRDefault="00D50DE8" w:rsidP="00D50DE8">
      <w:pPr>
        <w:pStyle w:val="ProductList-Body"/>
      </w:pPr>
    </w:p>
    <w:p w14:paraId="30958FCB" w14:textId="77777777" w:rsidR="00D50DE8" w:rsidRPr="00EF7CF9" w:rsidRDefault="00D50DE8" w:rsidP="00D50DE8">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5976F2EA" w14:textId="77777777" w:rsidTr="001439A9">
        <w:trPr>
          <w:tblHeader/>
        </w:trPr>
        <w:tc>
          <w:tcPr>
            <w:tcW w:w="5400" w:type="dxa"/>
            <w:shd w:val="clear" w:color="auto" w:fill="0072C6"/>
          </w:tcPr>
          <w:p w14:paraId="74BA1E5B" w14:textId="538AD2DB" w:rsidR="00D50DE8" w:rsidRPr="00EF7CF9" w:rsidRDefault="00AC48A7" w:rsidP="001439A9">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32B916E" w14:textId="77777777" w:rsidR="00D50DE8" w:rsidRPr="00EF7CF9" w:rsidRDefault="00D50DE8" w:rsidP="001439A9">
            <w:pPr>
              <w:pStyle w:val="ProductList-OfferingBody"/>
              <w:jc w:val="center"/>
              <w:rPr>
                <w:color w:val="FFFFFF" w:themeColor="background1"/>
              </w:rPr>
            </w:pPr>
            <w:r>
              <w:rPr>
                <w:color w:val="FFFFFF" w:themeColor="background1"/>
              </w:rPr>
              <w:t>Środki Serwisowe na Używanie Usług</w:t>
            </w:r>
          </w:p>
        </w:tc>
      </w:tr>
      <w:tr w:rsidR="00D50DE8" w:rsidRPr="00B44CF9" w14:paraId="3F75069E" w14:textId="77777777" w:rsidTr="001439A9">
        <w:tc>
          <w:tcPr>
            <w:tcW w:w="5400" w:type="dxa"/>
          </w:tcPr>
          <w:p w14:paraId="4351DF90" w14:textId="77777777" w:rsidR="00D50DE8" w:rsidRPr="00EF7CF9" w:rsidRDefault="00D50DE8" w:rsidP="001439A9">
            <w:pPr>
              <w:pStyle w:val="ProductList-OfferingBody"/>
              <w:jc w:val="center"/>
            </w:pPr>
            <w:r>
              <w:t>&lt; 99,9%</w:t>
            </w:r>
          </w:p>
        </w:tc>
        <w:tc>
          <w:tcPr>
            <w:tcW w:w="5400" w:type="dxa"/>
          </w:tcPr>
          <w:p w14:paraId="36FA6803" w14:textId="77777777" w:rsidR="00D50DE8" w:rsidRPr="00EF7CF9" w:rsidRDefault="00D50DE8" w:rsidP="001439A9">
            <w:pPr>
              <w:pStyle w:val="ProductList-OfferingBody"/>
              <w:jc w:val="center"/>
            </w:pPr>
            <w:r>
              <w:t>25%</w:t>
            </w:r>
          </w:p>
        </w:tc>
      </w:tr>
      <w:tr w:rsidR="00D50DE8" w:rsidRPr="00B44CF9" w14:paraId="7E0ABD84" w14:textId="77777777" w:rsidTr="001439A9">
        <w:tc>
          <w:tcPr>
            <w:tcW w:w="5400" w:type="dxa"/>
          </w:tcPr>
          <w:p w14:paraId="078BB8D6" w14:textId="77777777" w:rsidR="00D50DE8" w:rsidRPr="00EF7CF9" w:rsidRDefault="00D50DE8" w:rsidP="001439A9">
            <w:pPr>
              <w:pStyle w:val="ProductList-OfferingBody"/>
              <w:jc w:val="center"/>
            </w:pPr>
            <w:r>
              <w:t>&lt; 99%</w:t>
            </w:r>
          </w:p>
        </w:tc>
        <w:tc>
          <w:tcPr>
            <w:tcW w:w="5400" w:type="dxa"/>
          </w:tcPr>
          <w:p w14:paraId="163EB0A1" w14:textId="77777777" w:rsidR="00D50DE8" w:rsidRPr="00EF7CF9" w:rsidRDefault="00D50DE8" w:rsidP="001439A9">
            <w:pPr>
              <w:pStyle w:val="ProductList-OfferingBody"/>
              <w:jc w:val="center"/>
            </w:pPr>
            <w:r>
              <w:t>50%</w:t>
            </w:r>
          </w:p>
        </w:tc>
      </w:tr>
      <w:tr w:rsidR="00D50DE8" w:rsidRPr="00B44CF9" w14:paraId="326E1610" w14:textId="77777777" w:rsidTr="001439A9">
        <w:tc>
          <w:tcPr>
            <w:tcW w:w="5400" w:type="dxa"/>
          </w:tcPr>
          <w:p w14:paraId="7D157785" w14:textId="77777777" w:rsidR="00D50DE8" w:rsidRPr="00EF7CF9" w:rsidRDefault="00D50DE8" w:rsidP="001439A9">
            <w:pPr>
              <w:pStyle w:val="ProductList-OfferingBody"/>
              <w:jc w:val="center"/>
            </w:pPr>
            <w:r>
              <w:t>&lt; 95%</w:t>
            </w:r>
          </w:p>
        </w:tc>
        <w:tc>
          <w:tcPr>
            <w:tcW w:w="5400" w:type="dxa"/>
          </w:tcPr>
          <w:p w14:paraId="3B973236" w14:textId="77777777" w:rsidR="00D50DE8" w:rsidRPr="00EF7CF9" w:rsidRDefault="00D50DE8" w:rsidP="001439A9">
            <w:pPr>
              <w:pStyle w:val="ProductList-OfferingBody"/>
              <w:jc w:val="center"/>
            </w:pPr>
            <w:r>
              <w:t>100%</w:t>
            </w:r>
          </w:p>
        </w:tc>
      </w:tr>
    </w:tbl>
    <w:p w14:paraId="4451327D" w14:textId="1FDE573A" w:rsidR="00D50DE8" w:rsidRPr="00EF7CF9" w:rsidRDefault="00C71F89"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C9CF5B3" w14:textId="77777777" w:rsidR="00D50DE8" w:rsidRPr="00EF7CF9" w:rsidRDefault="00D50DE8" w:rsidP="00D50DE8">
      <w:pPr>
        <w:pStyle w:val="ProductList-Offering2Heading"/>
        <w:pBdr>
          <w:between w:val="single" w:sz="4" w:space="1" w:color="auto"/>
        </w:pBdr>
        <w:tabs>
          <w:tab w:val="clear" w:pos="360"/>
          <w:tab w:val="clear" w:pos="720"/>
          <w:tab w:val="clear" w:pos="1080"/>
        </w:tabs>
        <w:outlineLvl w:val="2"/>
      </w:pPr>
      <w:bookmarkStart w:id="41" w:name="_Toc239174920"/>
      <w:r>
        <w:t>Dynamics 365 Commerce</w:t>
      </w:r>
      <w:bookmarkEnd w:id="41"/>
    </w:p>
    <w:p w14:paraId="5C8ACDEF" w14:textId="77777777" w:rsidR="00D50DE8" w:rsidRPr="00EF7CF9" w:rsidRDefault="00D50DE8" w:rsidP="00D50DE8">
      <w:pPr>
        <w:pStyle w:val="ProductList-Body"/>
        <w:rPr>
          <w:b/>
          <w:color w:val="00188F"/>
        </w:rPr>
      </w:pPr>
      <w:r>
        <w:rPr>
          <w:b/>
          <w:color w:val="00188F"/>
        </w:rPr>
        <w:t>Dodatkowe definicje</w:t>
      </w:r>
      <w:r w:rsidRPr="007B038A">
        <w:rPr>
          <w:b/>
          <w:color w:val="00188F"/>
        </w:rPr>
        <w:t>:</w:t>
      </w:r>
    </w:p>
    <w:p w14:paraId="540B380B" w14:textId="77777777" w:rsidR="00D50DE8" w:rsidRPr="00EF7CF9" w:rsidRDefault="00D50DE8" w:rsidP="00D50DE8">
      <w:pPr>
        <w:pStyle w:val="ProductList-Body"/>
      </w:pPr>
      <w:r>
        <w:t>„</w:t>
      </w:r>
      <w:r>
        <w:rPr>
          <w:b/>
          <w:color w:val="00188F"/>
        </w:rPr>
        <w:t>Aktywny Dzierżawca</w:t>
      </w:r>
      <w:r>
        <w:t>” oznacza dzierżawcę z aktywną topologią produkcyjną o wysokiej dostępności w portalu zarządzania, który (A) został wdrożony w Usłudze Aplikacji Partnera; oraz (B) ma aktywną bazę danych, do której użytkownicy mogą się logować.</w:t>
      </w:r>
    </w:p>
    <w:p w14:paraId="4D71DF41" w14:textId="77777777" w:rsidR="00D50DE8" w:rsidRPr="00EF7CF9" w:rsidRDefault="00D50DE8" w:rsidP="00D50DE8">
      <w:pPr>
        <w:pStyle w:val="ProductList-Body"/>
      </w:pPr>
      <w:r>
        <w:t>„</w:t>
      </w:r>
      <w:r>
        <w:rPr>
          <w:b/>
          <w:color w:val="00188F"/>
        </w:rPr>
        <w:t>Usługa Aplikacji Partnera</w:t>
      </w:r>
      <w:r>
        <w:t>” oznacza utworzoną i zintegrowaną w ramach Platformy aplikację partnera, która (A) jest używana do przetwarzania faktycznych transakcji biznesowych organizacji oraz (B) ma zapasowe zasoby obliczeniowe i zasoby pamięci nie mniejsze niż zasoby Jednostki Skalowania wybranej przez partnera dla stosownej aplikacji partnera.</w:t>
      </w:r>
    </w:p>
    <w:p w14:paraId="248E919D" w14:textId="0FC7F733" w:rsidR="00D50DE8" w:rsidRPr="00EF7CF9" w:rsidRDefault="00D50DE8" w:rsidP="00D50DE8">
      <w:pPr>
        <w:pStyle w:val="ProductList-Body"/>
      </w:pPr>
      <w:r>
        <w:t>„</w:t>
      </w:r>
      <w:r>
        <w:rPr>
          <w:b/>
          <w:color w:val="00188F"/>
        </w:rPr>
        <w:t>Maksymalna Liczba Minut Dostępności</w:t>
      </w:r>
      <w:r>
        <w:t>” oznacza łączną zakumulowaną liczbę minut we Właściwym Okresie, w których Aktywny Dzierżawca został wdrożony w Usłudze Aplikacji Partnera przy użyciu aktywnej topologii produkcyjnej o wysokiej dostępności.</w:t>
      </w:r>
    </w:p>
    <w:p w14:paraId="0C74F514" w14:textId="77777777" w:rsidR="00D50DE8" w:rsidRPr="00EF7CF9" w:rsidRDefault="00D50DE8" w:rsidP="00D50DE8">
      <w:pPr>
        <w:pStyle w:val="ProductList-Body"/>
      </w:pPr>
      <w:r>
        <w:t>„</w:t>
      </w:r>
      <w:r>
        <w:rPr>
          <w:b/>
          <w:color w:val="00188F"/>
        </w:rPr>
        <w:t>Platforma</w:t>
      </w:r>
      <w:r>
        <w:t>” oznacza formularze klientów, raporty serwerów SQL, zgrupowane operacje i punkty końcowe interfejsu API Usługi lub detaliczne interfejsy API Usługi wykorzystywane wyłącznie w celach handlu i sprzedaży detalicznej.</w:t>
      </w:r>
    </w:p>
    <w:p w14:paraId="7DEAA6DA" w14:textId="77777777" w:rsidR="00D50DE8" w:rsidRPr="00EF7CF9" w:rsidRDefault="00D50DE8" w:rsidP="00D50DE8">
      <w:pPr>
        <w:pStyle w:val="ProductList-Body"/>
      </w:pPr>
      <w:r>
        <w:t>„</w:t>
      </w:r>
      <w:r>
        <w:rPr>
          <w:b/>
          <w:color w:val="00188F"/>
        </w:rPr>
        <w:t>Jednostka Skalowania</w:t>
      </w:r>
      <w:r>
        <w:t>” oznacza wartości zasobów obliczeniowych i zasobów pamięci dodawane do Usługi Aplikacji Partnera lub od niej odejmowane.</w:t>
      </w:r>
    </w:p>
    <w:p w14:paraId="2E0FE7F1" w14:textId="77777777" w:rsidR="00D50DE8" w:rsidRPr="00EF7CF9" w:rsidRDefault="00D50DE8" w:rsidP="00D50DE8">
      <w:pPr>
        <w:pStyle w:val="ProductList-Body"/>
      </w:pPr>
      <w:r>
        <w:t>„</w:t>
      </w:r>
      <w:r>
        <w:rPr>
          <w:b/>
          <w:color w:val="00188F"/>
        </w:rPr>
        <w:t>Infrastruktura Usługi</w:t>
      </w:r>
      <w:r>
        <w:t>” oznacza zasoby uwierzytelniania, obliczeniowe i pamięci udostępniane przez Microsoft w związku z Usługą.</w:t>
      </w:r>
    </w:p>
    <w:p w14:paraId="3341CE03" w14:textId="77777777" w:rsidR="00D50DE8" w:rsidRPr="00EF7CF9" w:rsidRDefault="00D50DE8" w:rsidP="00D50DE8">
      <w:pPr>
        <w:pStyle w:val="ProductList-Body"/>
      </w:pPr>
    </w:p>
    <w:p w14:paraId="7E890B2C" w14:textId="77777777" w:rsidR="00D50DE8" w:rsidRPr="00EF7CF9" w:rsidRDefault="00D50DE8" w:rsidP="00D50DE8">
      <w:pPr>
        <w:pStyle w:val="ProductList-Body"/>
      </w:pPr>
      <w:r>
        <w:rPr>
          <w:b/>
          <w:color w:val="00188F"/>
        </w:rPr>
        <w:t>Przestój</w:t>
      </w:r>
      <w:r w:rsidRPr="007B038A">
        <w:rPr>
          <w:b/>
          <w:color w:val="00188F"/>
        </w:rPr>
        <w:t>:</w:t>
      </w:r>
      <w:r>
        <w:t xml:space="preserve"> każdy okres, przez który użytkownicy końcowi nie mogą uzyskiwać dostępu do Aktywnej Dzierżawy z powodu błędu w niewygasłej Platformie lub w Infrastrukturze Usługi i którego długość określa Microsoft na podstawie dzienników systemu i automatycznego monitorowania stanu systemu. Przestój nie obejmuje Planowego Przestoju, braku dostępności dodatkowych funkcji Usługi, niemożności uzyskania dostępu do Usługi z powodu modyfikacji Usługi dokonanych przez Klienta, ani okresów, kiedy przekroczono wartość Jednostki Skalowania.</w:t>
      </w:r>
    </w:p>
    <w:p w14:paraId="6A7E9F20" w14:textId="77777777" w:rsidR="00D50DE8" w:rsidRPr="00EF7CF9" w:rsidRDefault="00D50DE8" w:rsidP="00D50DE8">
      <w:pPr>
        <w:pStyle w:val="ProductList-Body"/>
      </w:pPr>
    </w:p>
    <w:p w14:paraId="16AB907B" w14:textId="0523E1D5" w:rsidR="00D50DE8" w:rsidRDefault="00AC48A7" w:rsidP="00D50DE8">
      <w:pPr>
        <w:pStyle w:val="ProductList-Body"/>
      </w:pPr>
      <w:r>
        <w:rPr>
          <w:b/>
          <w:color w:val="00188F"/>
        </w:rPr>
        <w:t>Procent Czasu Sprawnego Działania</w:t>
      </w:r>
      <w:r w:rsidRPr="007B038A">
        <w:rPr>
          <w:b/>
          <w:color w:val="00188F"/>
        </w:rPr>
        <w:t>:</w:t>
      </w:r>
      <w:r>
        <w:t xml:space="preserve"> Procent Czasu Sprawnego Działania dla danego Aktywnego Dzierżawcy we Właściwym Okresie jest obliczany przy użyciu następującego wzoru:</w:t>
      </w:r>
    </w:p>
    <w:p w14:paraId="4ED269D7" w14:textId="77777777" w:rsidR="00D50DE8" w:rsidRPr="00EF7CF9" w:rsidRDefault="00D50DE8" w:rsidP="00D50DE8">
      <w:pPr>
        <w:pStyle w:val="ProductList-Body"/>
      </w:pPr>
    </w:p>
    <w:p w14:paraId="79334EEB" w14:textId="17D28E11"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40678A34" w14:textId="7DACE2E9" w:rsidR="00D50DE8" w:rsidRPr="00EF7CF9" w:rsidRDefault="00AC48A7" w:rsidP="00D50DE8">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5F2DB80B" w14:textId="77777777" w:rsidR="00D50DE8" w:rsidRPr="00EF7CF9" w:rsidRDefault="00D50DE8" w:rsidP="00D50DE8">
      <w:pPr>
        <w:pStyle w:val="ProductList-Body"/>
      </w:pPr>
    </w:p>
    <w:p w14:paraId="77FA5EF3" w14:textId="3F854824" w:rsidR="00D50DE8" w:rsidRPr="00EF7CF9" w:rsidRDefault="00187BF4" w:rsidP="000C46CD">
      <w:pPr>
        <w:pStyle w:val="ProductList-Body"/>
        <w:keepNext/>
        <w:keepLines/>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966C5E9" w14:textId="77777777" w:rsidTr="001439A9">
        <w:trPr>
          <w:tblHeader/>
        </w:trPr>
        <w:tc>
          <w:tcPr>
            <w:tcW w:w="5400" w:type="dxa"/>
            <w:shd w:val="clear" w:color="auto" w:fill="0072C6"/>
          </w:tcPr>
          <w:p w14:paraId="5B199220" w14:textId="6C89FEED" w:rsidR="00D50DE8" w:rsidRPr="00EF7CF9" w:rsidRDefault="00AC48A7" w:rsidP="000C46CD">
            <w:pPr>
              <w:pStyle w:val="ProductList-OfferingBody"/>
              <w:keepNext/>
              <w:keepLines/>
              <w:jc w:val="center"/>
              <w:rPr>
                <w:color w:val="FFFFFF" w:themeColor="background1"/>
              </w:rPr>
            </w:pPr>
            <w:r>
              <w:rPr>
                <w:color w:val="FFFFFF" w:themeColor="background1"/>
              </w:rPr>
              <w:t>Procent Czasu Sprawnego Działania</w:t>
            </w:r>
          </w:p>
        </w:tc>
        <w:tc>
          <w:tcPr>
            <w:tcW w:w="5400" w:type="dxa"/>
            <w:shd w:val="clear" w:color="auto" w:fill="0072C6"/>
          </w:tcPr>
          <w:p w14:paraId="7F07CD95" w14:textId="77777777" w:rsidR="00D50DE8" w:rsidRPr="00EF7CF9" w:rsidRDefault="00D50DE8" w:rsidP="000C46CD">
            <w:pPr>
              <w:pStyle w:val="ProductList-OfferingBody"/>
              <w:keepNext/>
              <w:keepLines/>
              <w:jc w:val="center"/>
              <w:rPr>
                <w:color w:val="FFFFFF" w:themeColor="background1"/>
              </w:rPr>
            </w:pPr>
            <w:r>
              <w:rPr>
                <w:color w:val="FFFFFF" w:themeColor="background1"/>
              </w:rPr>
              <w:t>Środki Serwisowe na Używanie Usług</w:t>
            </w:r>
          </w:p>
        </w:tc>
      </w:tr>
      <w:tr w:rsidR="00D50DE8" w:rsidRPr="00B44CF9" w14:paraId="2825A230" w14:textId="77777777" w:rsidTr="001439A9">
        <w:tc>
          <w:tcPr>
            <w:tcW w:w="5400" w:type="dxa"/>
          </w:tcPr>
          <w:p w14:paraId="26C3745B" w14:textId="77777777" w:rsidR="00D50DE8" w:rsidRPr="00EF7CF9" w:rsidRDefault="00D50DE8" w:rsidP="000C46CD">
            <w:pPr>
              <w:pStyle w:val="ProductList-OfferingBody"/>
              <w:keepNext/>
              <w:keepLines/>
              <w:jc w:val="center"/>
            </w:pPr>
            <w:r>
              <w:t>&lt; 99,9%</w:t>
            </w:r>
          </w:p>
        </w:tc>
        <w:tc>
          <w:tcPr>
            <w:tcW w:w="5400" w:type="dxa"/>
          </w:tcPr>
          <w:p w14:paraId="33539270" w14:textId="77777777" w:rsidR="00D50DE8" w:rsidRPr="00EF7CF9" w:rsidRDefault="00D50DE8" w:rsidP="000C46CD">
            <w:pPr>
              <w:pStyle w:val="ProductList-OfferingBody"/>
              <w:keepNext/>
              <w:keepLines/>
              <w:jc w:val="center"/>
            </w:pPr>
            <w:r>
              <w:t>25%</w:t>
            </w:r>
          </w:p>
        </w:tc>
      </w:tr>
      <w:tr w:rsidR="00D50DE8" w:rsidRPr="00B44CF9" w14:paraId="4DD4D641" w14:textId="77777777" w:rsidTr="001439A9">
        <w:tc>
          <w:tcPr>
            <w:tcW w:w="5400" w:type="dxa"/>
          </w:tcPr>
          <w:p w14:paraId="46CBDA90" w14:textId="77777777" w:rsidR="00D50DE8" w:rsidRPr="00EF7CF9" w:rsidRDefault="00D50DE8" w:rsidP="000C46CD">
            <w:pPr>
              <w:pStyle w:val="ProductList-OfferingBody"/>
              <w:keepNext/>
              <w:keepLines/>
              <w:jc w:val="center"/>
            </w:pPr>
            <w:r>
              <w:t>&lt; 99%</w:t>
            </w:r>
          </w:p>
        </w:tc>
        <w:tc>
          <w:tcPr>
            <w:tcW w:w="5400" w:type="dxa"/>
          </w:tcPr>
          <w:p w14:paraId="158C98F6" w14:textId="77777777" w:rsidR="00D50DE8" w:rsidRPr="00EF7CF9" w:rsidRDefault="00D50DE8" w:rsidP="000C46CD">
            <w:pPr>
              <w:pStyle w:val="ProductList-OfferingBody"/>
              <w:keepNext/>
              <w:keepLines/>
              <w:jc w:val="center"/>
            </w:pPr>
            <w:r>
              <w:t>50%</w:t>
            </w:r>
          </w:p>
        </w:tc>
      </w:tr>
      <w:tr w:rsidR="00D50DE8" w:rsidRPr="00B44CF9" w14:paraId="10A1FC1E" w14:textId="77777777" w:rsidTr="001439A9">
        <w:tc>
          <w:tcPr>
            <w:tcW w:w="5400" w:type="dxa"/>
          </w:tcPr>
          <w:p w14:paraId="792C60FD" w14:textId="77777777" w:rsidR="00D50DE8" w:rsidRPr="00EF7CF9" w:rsidRDefault="00D50DE8" w:rsidP="001439A9">
            <w:pPr>
              <w:pStyle w:val="ProductList-OfferingBody"/>
              <w:jc w:val="center"/>
            </w:pPr>
            <w:r>
              <w:t>&lt; 95%</w:t>
            </w:r>
          </w:p>
        </w:tc>
        <w:tc>
          <w:tcPr>
            <w:tcW w:w="5400" w:type="dxa"/>
          </w:tcPr>
          <w:p w14:paraId="3691C0E6" w14:textId="77777777" w:rsidR="00D50DE8" w:rsidRPr="00EF7CF9" w:rsidRDefault="00D50DE8" w:rsidP="001439A9">
            <w:pPr>
              <w:pStyle w:val="ProductList-OfferingBody"/>
              <w:jc w:val="center"/>
            </w:pPr>
            <w:r>
              <w:t>100%</w:t>
            </w:r>
          </w:p>
        </w:tc>
      </w:tr>
    </w:tbl>
    <w:p w14:paraId="3151C618" w14:textId="1EB3E6BA" w:rsidR="00D50DE8" w:rsidRPr="00EF7CF9" w:rsidRDefault="00C71F89"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812FE7A" w14:textId="19B8D668" w:rsidR="000A31E6" w:rsidRDefault="000A31E6" w:rsidP="00D50DE8">
      <w:pPr>
        <w:pStyle w:val="ProductList-Offering2Heading"/>
        <w:pBdr>
          <w:between w:val="single" w:sz="4" w:space="1" w:color="auto"/>
        </w:pBdr>
        <w:tabs>
          <w:tab w:val="clear" w:pos="360"/>
          <w:tab w:val="clear" w:pos="720"/>
          <w:tab w:val="clear" w:pos="1080"/>
        </w:tabs>
        <w:outlineLvl w:val="2"/>
      </w:pPr>
      <w:bookmarkStart w:id="42" w:name="_Toc239174921"/>
      <w:r>
        <w:t xml:space="preserve">Dynamics 365 </w:t>
      </w:r>
      <w:proofErr w:type="spellStart"/>
      <w:r>
        <w:t>Contact</w:t>
      </w:r>
      <w:proofErr w:type="spellEnd"/>
      <w:r>
        <w:t xml:space="preserve"> Center</w:t>
      </w:r>
      <w:bookmarkEnd w:id="42"/>
    </w:p>
    <w:p w14:paraId="7FCC30B6" w14:textId="77777777" w:rsidR="00174F32" w:rsidRPr="008B3B98" w:rsidRDefault="00174F32" w:rsidP="00174F32">
      <w:pPr>
        <w:pStyle w:val="ProductList-Body"/>
        <w:rPr>
          <w:rFonts w:ascii="Calibri" w:hAnsi="Calibri" w:cs="Calibri"/>
          <w:color w:val="000000"/>
        </w:rPr>
      </w:pPr>
      <w:r>
        <w:rPr>
          <w:rFonts w:ascii="Calibri" w:hAnsi="Calibri" w:cs="Calibri"/>
          <w:b/>
          <w:bCs/>
          <w:color w:val="00188F"/>
        </w:rPr>
        <w:t>Przestój</w:t>
      </w:r>
      <w:r>
        <w:rPr>
          <w:rFonts w:ascii="Calibri" w:hAnsi="Calibri" w:cs="Calibri"/>
        </w:rPr>
        <w:t>:</w:t>
      </w:r>
      <w:r>
        <w:rPr>
          <w:rFonts w:ascii="Calibri" w:hAnsi="Calibri" w:cs="Calibri"/>
          <w:color w:val="000000"/>
        </w:rPr>
        <w:t xml:space="preserve"> Dowolny okres, w którym użytkownicy końcowi nie mogą inicjować lub odbierać połączeń PSTN ani prowadzić komunikacji w czasie rzeczywistym (np. routing IVR).</w:t>
      </w:r>
    </w:p>
    <w:p w14:paraId="5775A430" w14:textId="77777777" w:rsidR="00174F32" w:rsidRPr="008B3B98" w:rsidRDefault="00174F32" w:rsidP="00174F32">
      <w:pPr>
        <w:pStyle w:val="ProductList-Body"/>
        <w:rPr>
          <w:rFonts w:ascii="Calibri" w:hAnsi="Calibri" w:cs="Calibri"/>
        </w:rPr>
      </w:pPr>
      <w:r>
        <w:rPr>
          <w:rFonts w:ascii="Calibri" w:hAnsi="Calibri" w:cs="Calibri"/>
          <w:b/>
          <w:bCs/>
          <w:color w:val="00188F"/>
        </w:rPr>
        <w:t>Procent Czasu Sprawnego Działania</w:t>
      </w:r>
      <w:r>
        <w:rPr>
          <w:rFonts w:ascii="Calibri" w:hAnsi="Calibri" w:cs="Calibri"/>
        </w:rPr>
        <w:t>: Procent Czasu Sprawnego Działania jest obliczany przy użyciu następującego wzoru:</w:t>
      </w:r>
    </w:p>
    <w:p w14:paraId="572898D5" w14:textId="77777777" w:rsidR="00174F32" w:rsidRPr="008F7773" w:rsidRDefault="00174F32" w:rsidP="00174F32">
      <w:pPr>
        <w:pStyle w:val="ProductList-Body"/>
      </w:pPr>
    </w:p>
    <w:p w14:paraId="4B7C0396" w14:textId="77777777" w:rsidR="00174F32" w:rsidRDefault="00000000" w:rsidP="00174F32">
      <w:pPr>
        <w:jc w:val="both"/>
        <w:rPr>
          <w:sz w:val="18"/>
          <w:szCs w:val="18"/>
        </w:rPr>
      </w:pPr>
      <m:oMathPara>
        <m:oMathParaPr>
          <m:jc m:val="center"/>
        </m:oMathParaPr>
        <m:oMath>
          <m:f>
            <m:fPr>
              <m:ctrlPr>
                <w:rPr>
                  <w:rFonts w:ascii="Cambria Math" w:hAnsi="Cambria Math"/>
                  <w:i/>
                  <w:iCs/>
                  <w:sz w:val="18"/>
                  <w:szCs w:val="18"/>
                </w:rPr>
              </m:ctrlPr>
            </m:fPr>
            <m:num>
              <m:r>
                <w:rPr>
                  <w:rFonts w:ascii="Cambria Math" w:hAnsi="Cambria Math"/>
                  <w:sz w:val="18"/>
                  <w:szCs w:val="18"/>
                </w:rPr>
                <m:t xml:space="preserve">Minuty Użytkownika - przestój </m:t>
              </m:r>
            </m:num>
            <m:den>
              <m:r>
                <w:rPr>
                  <w:rFonts w:ascii="Cambria Math" w:hAnsi="Cambria Math"/>
                  <w:sz w:val="18"/>
                  <w:szCs w:val="18"/>
                </w:rPr>
                <m:t>Minuty Użytkownika</m:t>
              </m:r>
            </m:den>
          </m:f>
          <m:r>
            <w:rPr>
              <w:rFonts w:ascii="Cambria Math" w:hAnsi="Cambria Math"/>
              <w:sz w:val="18"/>
              <w:szCs w:val="18"/>
            </w:rPr>
            <m:t xml:space="preserve"> x 100</m:t>
          </m:r>
        </m:oMath>
      </m:oMathPara>
    </w:p>
    <w:p w14:paraId="6FA27405" w14:textId="77777777" w:rsidR="00174F32" w:rsidRPr="008B3B98" w:rsidRDefault="00174F32" w:rsidP="00174F32">
      <w:pPr>
        <w:pStyle w:val="ProductList-Body"/>
        <w:rPr>
          <w:rFonts w:ascii="Calibri" w:hAnsi="Calibri" w:cs="Calibri"/>
        </w:rPr>
      </w:pPr>
      <w:r>
        <w:rPr>
          <w:rFonts w:ascii="Calibri" w:hAnsi="Calibri" w:cs="Calibri"/>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 Zniżka będzie przysługiwać tylko z tytułu usług rzeczywiście dotkniętych Przestojem.</w:t>
      </w:r>
    </w:p>
    <w:p w14:paraId="4649DE8D" w14:textId="77777777" w:rsidR="00174F32" w:rsidRPr="008B3B98" w:rsidRDefault="00174F32" w:rsidP="00174F32">
      <w:pPr>
        <w:pStyle w:val="ProductList-Body"/>
        <w:rPr>
          <w:rFonts w:ascii="Calibri" w:hAnsi="Calibri" w:cs="Calibri"/>
        </w:rPr>
      </w:pPr>
    </w:p>
    <w:p w14:paraId="1AEB8F15" w14:textId="77777777" w:rsidR="00174F32" w:rsidRPr="008B3B98" w:rsidRDefault="00174F32" w:rsidP="00174F32">
      <w:pPr>
        <w:pStyle w:val="ProductList-Body"/>
        <w:rPr>
          <w:rFonts w:ascii="Calibri" w:hAnsi="Calibri" w:cs="Calibri"/>
        </w:rPr>
      </w:pPr>
      <w:r>
        <w:rPr>
          <w:rFonts w:ascii="Calibri" w:hAnsi="Calibri" w:cs="Calibri"/>
        </w:rPr>
        <w:t>Niniejsza umowa SLA nie obejmuje Zaplanowanego Przestoju, braku dostępności dodatkowych funkcji Usługi, niemożności uzyskania dostępu do Usługi z powodu modyfikacji Usługi dokonanych przez Klienta ani przerw w usługach spowodowanych awarią oprogramowania, sprzętu lub usług innych firm, które nie są kontrolowane przez firmę Microsoft, lub oprogramowania firmy Microsoft, które nie jest uruchamiane przez firmę Microsoft w ramach Usługi.</w:t>
      </w:r>
    </w:p>
    <w:p w14:paraId="59DCD385" w14:textId="77777777" w:rsidR="00174F32" w:rsidRDefault="00174F32" w:rsidP="00174F32">
      <w:pPr>
        <w:pStyle w:val="ProductList-Body"/>
      </w:pPr>
    </w:p>
    <w:p w14:paraId="07AB8CAE" w14:textId="77777777" w:rsidR="00174F32" w:rsidRPr="003D5054" w:rsidRDefault="00174F32" w:rsidP="00174F32">
      <w:pPr>
        <w:pStyle w:val="ProductList-Body"/>
        <w:rPr>
          <w:rFonts w:ascii="Calibri" w:hAnsi="Calibri" w:cs="Calibri"/>
        </w:rPr>
      </w:pPr>
      <w:r>
        <w:rPr>
          <w:rFonts w:ascii="Calibri" w:hAnsi="Calibri" w:cs="Calibri"/>
          <w:b/>
          <w:color w:val="00188F"/>
        </w:rPr>
        <w:t>Środki Serwisowe na Używanie Usług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4F32" w:rsidRPr="00B44CF9" w14:paraId="7CC91745" w14:textId="77777777" w:rsidTr="00CE6437">
        <w:trPr>
          <w:tblHeader/>
        </w:trPr>
        <w:tc>
          <w:tcPr>
            <w:tcW w:w="5400" w:type="dxa"/>
            <w:shd w:val="clear" w:color="auto" w:fill="0072C6"/>
          </w:tcPr>
          <w:p w14:paraId="5B40B03F" w14:textId="77777777" w:rsidR="00174F32" w:rsidRPr="003D5054" w:rsidRDefault="00174F32"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5BB65433" w14:textId="77777777" w:rsidR="00174F32" w:rsidRPr="003D5054" w:rsidRDefault="00174F32" w:rsidP="00CE6437">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174F32" w:rsidRPr="00B44CF9" w14:paraId="439BFFE1" w14:textId="77777777" w:rsidTr="00CE6437">
        <w:tc>
          <w:tcPr>
            <w:tcW w:w="5400" w:type="dxa"/>
          </w:tcPr>
          <w:p w14:paraId="498E9DBD" w14:textId="77777777" w:rsidR="00174F32" w:rsidRPr="003D5054" w:rsidRDefault="00174F32"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&lt;99,99%</w:t>
            </w:r>
          </w:p>
        </w:tc>
        <w:tc>
          <w:tcPr>
            <w:tcW w:w="5400" w:type="dxa"/>
          </w:tcPr>
          <w:p w14:paraId="7F46363F" w14:textId="77777777" w:rsidR="00174F32" w:rsidRPr="003D5054" w:rsidRDefault="00174F32" w:rsidP="00CE6437">
            <w:pPr>
              <w:pStyle w:val="ProductList-OfferingBody"/>
              <w:jc w:val="center"/>
              <w:rPr>
                <w:rFonts w:ascii="Calibri" w:hAnsi="Calibri" w:cs="Calibri"/>
                <w:szCs w:val="16"/>
              </w:rPr>
            </w:pPr>
            <w:r>
              <w:rPr>
                <w:rFonts w:ascii="Calibri" w:hAnsi="Calibri" w:cs="Calibri"/>
                <w:color w:val="000000"/>
                <w:szCs w:val="16"/>
                <w:bdr w:val="none" w:sz="0" w:space="0" w:color="auto" w:frame="1"/>
              </w:rPr>
              <w:t>5%</w:t>
            </w:r>
          </w:p>
        </w:tc>
      </w:tr>
      <w:tr w:rsidR="00174F32" w:rsidRPr="00B44CF9" w14:paraId="7A74E5E2" w14:textId="77777777" w:rsidTr="00CE6437">
        <w:tc>
          <w:tcPr>
            <w:tcW w:w="5400" w:type="dxa"/>
          </w:tcPr>
          <w:p w14:paraId="52B43148" w14:textId="77777777" w:rsidR="00174F32" w:rsidRPr="003D5054" w:rsidRDefault="00174F32" w:rsidP="00CE6437">
            <w:pPr>
              <w:pStyle w:val="ProductList-OfferingBody"/>
              <w:jc w:val="center"/>
              <w:rPr>
                <w:rFonts w:ascii="Calibri" w:hAnsi="Calibri" w:cs="Calibri"/>
                <w:szCs w:val="16"/>
              </w:rPr>
            </w:pPr>
            <w:r>
              <w:rPr>
                <w:rFonts w:ascii="Calibri" w:hAnsi="Calibri" w:cs="Calibri"/>
                <w:szCs w:val="16"/>
              </w:rPr>
              <w:t>&lt;99,9%</w:t>
            </w:r>
          </w:p>
        </w:tc>
        <w:tc>
          <w:tcPr>
            <w:tcW w:w="5400" w:type="dxa"/>
          </w:tcPr>
          <w:p w14:paraId="65D36920" w14:textId="77777777" w:rsidR="00174F32" w:rsidRPr="003D5054" w:rsidRDefault="00174F32" w:rsidP="00CE6437">
            <w:pPr>
              <w:pStyle w:val="ProductList-OfferingBody"/>
              <w:jc w:val="center"/>
              <w:rPr>
                <w:rFonts w:ascii="Calibri" w:hAnsi="Calibri" w:cs="Calibri"/>
                <w:szCs w:val="16"/>
              </w:rPr>
            </w:pPr>
            <w:r>
              <w:rPr>
                <w:rFonts w:ascii="Calibri" w:hAnsi="Calibri" w:cs="Calibri"/>
                <w:szCs w:val="16"/>
              </w:rPr>
              <w:t>25%</w:t>
            </w:r>
          </w:p>
        </w:tc>
      </w:tr>
      <w:tr w:rsidR="00174F32" w:rsidRPr="00B44CF9" w14:paraId="23D1D237" w14:textId="77777777" w:rsidTr="00CE6437">
        <w:tc>
          <w:tcPr>
            <w:tcW w:w="5400" w:type="dxa"/>
          </w:tcPr>
          <w:p w14:paraId="71A41991" w14:textId="77777777" w:rsidR="00174F32" w:rsidRPr="003D5054" w:rsidRDefault="00174F32" w:rsidP="00CE6437">
            <w:pPr>
              <w:pStyle w:val="ProductList-OfferingBody"/>
              <w:jc w:val="center"/>
              <w:rPr>
                <w:rFonts w:ascii="Calibri" w:hAnsi="Calibri" w:cs="Calibri"/>
                <w:szCs w:val="16"/>
              </w:rPr>
            </w:pPr>
            <w:r>
              <w:rPr>
                <w:rFonts w:ascii="Calibri" w:hAnsi="Calibri" w:cs="Calibri"/>
                <w:szCs w:val="16"/>
              </w:rPr>
              <w:t>&lt;99%</w:t>
            </w:r>
          </w:p>
        </w:tc>
        <w:tc>
          <w:tcPr>
            <w:tcW w:w="5400" w:type="dxa"/>
          </w:tcPr>
          <w:p w14:paraId="3F75C34A" w14:textId="77777777" w:rsidR="00174F32" w:rsidRPr="003D5054" w:rsidRDefault="00174F32" w:rsidP="00CE6437">
            <w:pPr>
              <w:pStyle w:val="ProductList-OfferingBody"/>
              <w:jc w:val="center"/>
              <w:rPr>
                <w:rFonts w:ascii="Calibri" w:hAnsi="Calibri" w:cs="Calibri"/>
                <w:szCs w:val="16"/>
              </w:rPr>
            </w:pPr>
            <w:r>
              <w:rPr>
                <w:rFonts w:ascii="Calibri" w:hAnsi="Calibri" w:cs="Calibri"/>
                <w:szCs w:val="16"/>
              </w:rPr>
              <w:t>50%</w:t>
            </w:r>
          </w:p>
        </w:tc>
      </w:tr>
      <w:tr w:rsidR="00174F32" w:rsidRPr="00B44CF9" w14:paraId="0485869B" w14:textId="77777777" w:rsidTr="00CE6437">
        <w:tc>
          <w:tcPr>
            <w:tcW w:w="5400" w:type="dxa"/>
          </w:tcPr>
          <w:p w14:paraId="437A43C6" w14:textId="77777777" w:rsidR="00174F32" w:rsidRPr="003D5054" w:rsidRDefault="00174F32" w:rsidP="00CE6437">
            <w:pPr>
              <w:pStyle w:val="ProductList-OfferingBody"/>
              <w:jc w:val="center"/>
              <w:rPr>
                <w:rFonts w:ascii="Calibri" w:hAnsi="Calibri" w:cs="Calibri"/>
                <w:szCs w:val="16"/>
              </w:rPr>
            </w:pPr>
            <w:r>
              <w:rPr>
                <w:rFonts w:ascii="Calibri" w:hAnsi="Calibri" w:cs="Calibri"/>
                <w:szCs w:val="16"/>
              </w:rPr>
              <w:t>&lt;95%</w:t>
            </w:r>
          </w:p>
        </w:tc>
        <w:tc>
          <w:tcPr>
            <w:tcW w:w="5400" w:type="dxa"/>
          </w:tcPr>
          <w:p w14:paraId="4486DAD2" w14:textId="77777777" w:rsidR="00174F32" w:rsidRPr="003D5054" w:rsidRDefault="00174F32" w:rsidP="00CE6437">
            <w:pPr>
              <w:pStyle w:val="ProductList-OfferingBody"/>
              <w:jc w:val="center"/>
              <w:rPr>
                <w:rFonts w:ascii="Calibri" w:hAnsi="Calibri" w:cs="Calibri"/>
                <w:szCs w:val="16"/>
              </w:rPr>
            </w:pPr>
            <w:r>
              <w:rPr>
                <w:rFonts w:ascii="Calibri" w:hAnsi="Calibri" w:cs="Calibri"/>
                <w:szCs w:val="16"/>
              </w:rPr>
              <w:t>100%</w:t>
            </w:r>
          </w:p>
        </w:tc>
      </w:tr>
    </w:tbl>
    <w:p w14:paraId="5715BDF5" w14:textId="77777777" w:rsidR="00174F32" w:rsidRPr="00EF7CF9" w:rsidRDefault="00174F32" w:rsidP="00174F3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667EA19" w14:textId="4138B8B6" w:rsidR="00D50DE8" w:rsidRDefault="00D50DE8" w:rsidP="00D50DE8">
      <w:pPr>
        <w:pStyle w:val="ProductList-Offering2Heading"/>
        <w:pBdr>
          <w:between w:val="single" w:sz="4" w:space="1" w:color="auto"/>
        </w:pBdr>
        <w:tabs>
          <w:tab w:val="clear" w:pos="360"/>
          <w:tab w:val="clear" w:pos="720"/>
          <w:tab w:val="clear" w:pos="1080"/>
        </w:tabs>
        <w:outlineLvl w:val="2"/>
      </w:pPr>
      <w:bookmarkStart w:id="43" w:name="_Toc239174922"/>
      <w:r>
        <w:t xml:space="preserve">Dynamics 365 </w:t>
      </w:r>
      <w:proofErr w:type="spellStart"/>
      <w:r>
        <w:t>Customer</w:t>
      </w:r>
      <w:proofErr w:type="spellEnd"/>
      <w:r>
        <w:t xml:space="preserve"> </w:t>
      </w:r>
      <w:proofErr w:type="spellStart"/>
      <w:r>
        <w:t>Insights</w:t>
      </w:r>
      <w:bookmarkEnd w:id="43"/>
      <w:proofErr w:type="spellEnd"/>
    </w:p>
    <w:p w14:paraId="0B8CB214" w14:textId="77777777" w:rsidR="00D50DE8" w:rsidRDefault="00D50DE8" w:rsidP="00D50DE8">
      <w:pPr>
        <w:pStyle w:val="ProductList-Body"/>
        <w:rPr>
          <w:color w:val="000000"/>
        </w:rPr>
      </w:pPr>
      <w:r>
        <w:rPr>
          <w:b/>
          <w:bCs/>
          <w:color w:val="00188F"/>
        </w:rPr>
        <w:t>Przestój</w:t>
      </w:r>
      <w:r w:rsidRPr="007B038A">
        <w:rPr>
          <w:b/>
          <w:color w:val="00188F"/>
        </w:rPr>
        <w:t>:</w:t>
      </w:r>
      <w:r>
        <w:rPr>
          <w:color w:val="000000"/>
        </w:rPr>
        <w:t xml:space="preserve"> Dowolny okres, w którym użytkownicy końcowi nie mogą zalogować się do danego środowiska. Przestój nie obejmuje Planowego Przestoju, braku dostępności dodatkowych funkcji Usługi lub niemożności uzyskania dostępu do Usługi z powodu modyfikacji Usługi dokonanych przez Klienta.</w:t>
      </w:r>
    </w:p>
    <w:p w14:paraId="02AC3C64" w14:textId="46F2E2F7" w:rsidR="00D50DE8" w:rsidRDefault="00AC48A7" w:rsidP="00D50DE8">
      <w:pPr>
        <w:pStyle w:val="ProductList-Body"/>
        <w:rPr>
          <w:sz w:val="20"/>
          <w:szCs w:val="20"/>
        </w:rPr>
      </w:pPr>
      <w:r>
        <w:rPr>
          <w:b/>
          <w:bCs/>
          <w:color w:val="00188F"/>
        </w:rPr>
        <w:t>Procent Czasu Sprawnego Działania</w:t>
      </w:r>
      <w:r w:rsidRPr="007B038A">
        <w:rPr>
          <w:b/>
          <w:color w:val="00188F"/>
        </w:rPr>
        <w:t>:</w:t>
      </w:r>
      <w:r>
        <w:t xml:space="preserve"> Procent Czasu Sprawnego Działania jest obliczany przy użyciu następującego wzoru:</w:t>
      </w:r>
    </w:p>
    <w:p w14:paraId="249570DE" w14:textId="77777777" w:rsidR="00D50DE8" w:rsidRDefault="00D50DE8" w:rsidP="00D50DE8">
      <w:pPr>
        <w:pStyle w:val="ProductList-Body"/>
      </w:pPr>
    </w:p>
    <w:p w14:paraId="1417B265" w14:textId="2E039509" w:rsidR="00D50DE8"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A885151" w14:textId="0739869A" w:rsidR="00D50DE8" w:rsidRDefault="00AC48A7" w:rsidP="00D50DE8">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4D3348C8" w14:textId="77777777" w:rsidR="00992439" w:rsidRDefault="00992439" w:rsidP="00D50DE8">
      <w:pPr>
        <w:pStyle w:val="ProductList-Body"/>
      </w:pPr>
    </w:p>
    <w:p w14:paraId="20E3C07F" w14:textId="092AA516" w:rsidR="00D50DE8" w:rsidRPr="00EF7CF9" w:rsidRDefault="00187BF4" w:rsidP="00D50DE8">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48A9A948" w14:textId="77777777" w:rsidTr="001439A9">
        <w:trPr>
          <w:tblHeader/>
        </w:trPr>
        <w:tc>
          <w:tcPr>
            <w:tcW w:w="5400" w:type="dxa"/>
            <w:shd w:val="clear" w:color="auto" w:fill="0072C6"/>
          </w:tcPr>
          <w:p w14:paraId="5C5C98FC" w14:textId="44ED7891" w:rsidR="00D50DE8" w:rsidRPr="00EF7CF9" w:rsidRDefault="00AC48A7" w:rsidP="001439A9">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765D502" w14:textId="77777777" w:rsidR="00D50DE8" w:rsidRPr="00EF7CF9" w:rsidRDefault="00D50DE8" w:rsidP="001439A9">
            <w:pPr>
              <w:pStyle w:val="ProductList-OfferingBody"/>
              <w:jc w:val="center"/>
              <w:rPr>
                <w:color w:val="FFFFFF" w:themeColor="background1"/>
              </w:rPr>
            </w:pPr>
            <w:r>
              <w:rPr>
                <w:color w:val="FFFFFF" w:themeColor="background1"/>
              </w:rPr>
              <w:t>Środki Serwisowe na Używanie Usług</w:t>
            </w:r>
          </w:p>
        </w:tc>
      </w:tr>
      <w:tr w:rsidR="00D50DE8" w:rsidRPr="00B44CF9" w14:paraId="080E24AE" w14:textId="77777777" w:rsidTr="001439A9">
        <w:tc>
          <w:tcPr>
            <w:tcW w:w="5400" w:type="dxa"/>
          </w:tcPr>
          <w:p w14:paraId="2FD01D27" w14:textId="77777777" w:rsidR="00D50DE8" w:rsidRPr="00EF7CF9" w:rsidRDefault="00D50DE8" w:rsidP="001439A9">
            <w:pPr>
              <w:pStyle w:val="ProductList-OfferingBody"/>
              <w:jc w:val="center"/>
            </w:pPr>
            <w:r>
              <w:t>&lt; 99,9%</w:t>
            </w:r>
          </w:p>
        </w:tc>
        <w:tc>
          <w:tcPr>
            <w:tcW w:w="5400" w:type="dxa"/>
          </w:tcPr>
          <w:p w14:paraId="5DFB2D85" w14:textId="77777777" w:rsidR="00D50DE8" w:rsidRPr="00EF7CF9" w:rsidRDefault="00D50DE8" w:rsidP="001439A9">
            <w:pPr>
              <w:pStyle w:val="ProductList-OfferingBody"/>
              <w:jc w:val="center"/>
            </w:pPr>
            <w:r>
              <w:t>25%</w:t>
            </w:r>
          </w:p>
        </w:tc>
      </w:tr>
      <w:tr w:rsidR="00D50DE8" w:rsidRPr="00B44CF9" w14:paraId="5755DAE9" w14:textId="77777777" w:rsidTr="001439A9">
        <w:tc>
          <w:tcPr>
            <w:tcW w:w="5400" w:type="dxa"/>
          </w:tcPr>
          <w:p w14:paraId="21A1E720" w14:textId="77777777" w:rsidR="00D50DE8" w:rsidRPr="00EF7CF9" w:rsidRDefault="00D50DE8" w:rsidP="001439A9">
            <w:pPr>
              <w:pStyle w:val="ProductList-OfferingBody"/>
              <w:jc w:val="center"/>
            </w:pPr>
            <w:r>
              <w:t>&lt; 99%</w:t>
            </w:r>
          </w:p>
        </w:tc>
        <w:tc>
          <w:tcPr>
            <w:tcW w:w="5400" w:type="dxa"/>
          </w:tcPr>
          <w:p w14:paraId="5B2C8E24" w14:textId="77777777" w:rsidR="00D50DE8" w:rsidRPr="00EF7CF9" w:rsidRDefault="00D50DE8" w:rsidP="001439A9">
            <w:pPr>
              <w:pStyle w:val="ProductList-OfferingBody"/>
              <w:jc w:val="center"/>
            </w:pPr>
            <w:r>
              <w:t>50%</w:t>
            </w:r>
          </w:p>
        </w:tc>
      </w:tr>
      <w:tr w:rsidR="00D50DE8" w:rsidRPr="00B44CF9" w14:paraId="22BC0C6A" w14:textId="77777777" w:rsidTr="001439A9">
        <w:tc>
          <w:tcPr>
            <w:tcW w:w="5400" w:type="dxa"/>
          </w:tcPr>
          <w:p w14:paraId="13BC02B3" w14:textId="77777777" w:rsidR="00D50DE8" w:rsidRPr="00EF7CF9" w:rsidRDefault="00D50DE8" w:rsidP="001439A9">
            <w:pPr>
              <w:pStyle w:val="ProductList-OfferingBody"/>
              <w:jc w:val="center"/>
            </w:pPr>
            <w:r>
              <w:t>&lt; 95%</w:t>
            </w:r>
          </w:p>
        </w:tc>
        <w:tc>
          <w:tcPr>
            <w:tcW w:w="5400" w:type="dxa"/>
          </w:tcPr>
          <w:p w14:paraId="2EC04FA4" w14:textId="77777777" w:rsidR="00D50DE8" w:rsidRPr="00EF7CF9" w:rsidRDefault="00D50DE8" w:rsidP="001439A9">
            <w:pPr>
              <w:pStyle w:val="ProductList-OfferingBody"/>
              <w:jc w:val="center"/>
            </w:pPr>
            <w:r>
              <w:t>100%</w:t>
            </w:r>
          </w:p>
        </w:tc>
      </w:tr>
    </w:tbl>
    <w:p w14:paraId="2334FD13" w14:textId="56C4BD97" w:rsidR="00D50DE8" w:rsidRPr="000D2034" w:rsidRDefault="00C71F89"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A2503BF" w14:textId="2E9FA398" w:rsidR="00EA5FB1" w:rsidRPr="00C84B0F" w:rsidRDefault="00EA5FB1" w:rsidP="00EA5FB1">
      <w:pPr>
        <w:pStyle w:val="ProductList-Offering2Heading"/>
        <w:pBdr>
          <w:between w:val="single" w:sz="4" w:space="1" w:color="auto"/>
        </w:pBdr>
        <w:tabs>
          <w:tab w:val="clear" w:pos="360"/>
          <w:tab w:val="clear" w:pos="720"/>
          <w:tab w:val="clear" w:pos="1080"/>
        </w:tabs>
        <w:outlineLvl w:val="2"/>
        <w:rPr>
          <w:lang w:val="en-US"/>
        </w:rPr>
      </w:pPr>
      <w:bookmarkStart w:id="44" w:name="_Toc239174923"/>
      <w:r w:rsidRPr="00C84B0F">
        <w:rPr>
          <w:lang w:val="en-US"/>
        </w:rPr>
        <w:t>Dynamics 365 Customer Service Enterprise; Dynamics 365 Customer Service Professional</w:t>
      </w:r>
      <w:bookmarkEnd w:id="36"/>
      <w:r w:rsidRPr="00C84B0F">
        <w:rPr>
          <w:lang w:val="en-US"/>
        </w:rPr>
        <w:t>; Dynamics 365 Customer Service Insights</w:t>
      </w:r>
      <w:bookmarkEnd w:id="37"/>
      <w:bookmarkEnd w:id="38"/>
      <w:r w:rsidRPr="00C84B0F">
        <w:rPr>
          <w:lang w:val="en-US"/>
        </w:rPr>
        <w:t>; Dynamics 365 Field Service</w:t>
      </w:r>
      <w:bookmarkStart w:id="45" w:name="_Hlk51044693"/>
      <w:r w:rsidRPr="00C84B0F">
        <w:rPr>
          <w:lang w:val="en-US"/>
        </w:rPr>
        <w:t xml:space="preserve">; </w:t>
      </w:r>
      <w:bookmarkStart w:id="46" w:name="_Hlk51044489"/>
      <w:r w:rsidRPr="00C84B0F">
        <w:rPr>
          <w:lang w:val="en-US"/>
        </w:rPr>
        <w:t>Dynamics 365 Marketing</w:t>
      </w:r>
      <w:bookmarkEnd w:id="44"/>
      <w:bookmarkEnd w:id="45"/>
      <w:bookmarkEnd w:id="46"/>
    </w:p>
    <w:p w14:paraId="6CD0EAC6" w14:textId="1131DAC2" w:rsidR="001C41EA" w:rsidRPr="00EF7CF9" w:rsidRDefault="001C41EA" w:rsidP="00657A3A">
      <w:pPr>
        <w:pStyle w:val="ProductList-Body"/>
      </w:pPr>
      <w:r>
        <w:rPr>
          <w:b/>
          <w:color w:val="00188F"/>
        </w:rPr>
        <w:t>Przestój</w:t>
      </w:r>
      <w:r w:rsidRPr="007B038A">
        <w:rPr>
          <w:b/>
          <w:color w:val="00188F"/>
        </w:rPr>
        <w:t>:</w:t>
      </w:r>
      <w:r>
        <w:t xml:space="preserve"> Dowolny okres, w którym użytkownicy końcowi nie mogą odczytywać ani zapisywać żadnych danych Usługi, do których mają odpowiednie uprawnienia; lecz nie obejmuje on niedostępności dodatkowych funkcji Usługi.</w:t>
      </w:r>
    </w:p>
    <w:p w14:paraId="25CB9B8D" w14:textId="1317DA15" w:rsidR="001C41EA" w:rsidRDefault="00AC48A7" w:rsidP="001A6663">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0F1B402D" w14:textId="5A794366" w:rsidR="001C41EA" w:rsidRPr="00EF7CF9" w:rsidRDefault="00000000" w:rsidP="00174F3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379AA8F" w14:textId="0A52F55F" w:rsidR="001C41EA" w:rsidRDefault="00AC48A7" w:rsidP="001C41EA">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5E6D015" w14:textId="77777777" w:rsidR="00992439" w:rsidRPr="00EF7CF9" w:rsidRDefault="00992439" w:rsidP="001C41EA">
      <w:pPr>
        <w:pStyle w:val="ProductList-Body"/>
      </w:pPr>
    </w:p>
    <w:p w14:paraId="0B68D327" w14:textId="77777777" w:rsidR="001C41EA" w:rsidRPr="00EF7CF9" w:rsidRDefault="001C41EA" w:rsidP="001C41EA">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C41EA" w:rsidRPr="00B44CF9" w14:paraId="15472F6C" w14:textId="77777777" w:rsidTr="009A32C6">
        <w:trPr>
          <w:tblHeader/>
        </w:trPr>
        <w:tc>
          <w:tcPr>
            <w:tcW w:w="5400" w:type="dxa"/>
            <w:shd w:val="clear" w:color="auto" w:fill="0072C6"/>
          </w:tcPr>
          <w:p w14:paraId="4F79290D" w14:textId="2B9BF410" w:rsidR="001C41EA" w:rsidRPr="00EF7CF9" w:rsidRDefault="00AC48A7" w:rsidP="009A32C6">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628C62A" w14:textId="77777777" w:rsidR="001C41EA" w:rsidRPr="00EF7CF9" w:rsidRDefault="001C41EA" w:rsidP="009A32C6">
            <w:pPr>
              <w:pStyle w:val="ProductList-OfferingBody"/>
              <w:jc w:val="center"/>
              <w:rPr>
                <w:color w:val="FFFFFF" w:themeColor="background1"/>
              </w:rPr>
            </w:pPr>
            <w:r>
              <w:rPr>
                <w:color w:val="FFFFFF" w:themeColor="background1"/>
              </w:rPr>
              <w:t>Środki Serwisowe na Używanie Usług</w:t>
            </w:r>
          </w:p>
        </w:tc>
      </w:tr>
      <w:tr w:rsidR="001C41EA" w:rsidRPr="00B44CF9" w14:paraId="7E0BF99F" w14:textId="77777777" w:rsidTr="009A32C6">
        <w:tc>
          <w:tcPr>
            <w:tcW w:w="5400" w:type="dxa"/>
          </w:tcPr>
          <w:p w14:paraId="66F306F1" w14:textId="77777777" w:rsidR="001C41EA" w:rsidRPr="00EF7CF9" w:rsidRDefault="001C41EA" w:rsidP="009A32C6">
            <w:pPr>
              <w:pStyle w:val="ProductList-OfferingBody"/>
              <w:jc w:val="center"/>
            </w:pPr>
            <w:r>
              <w:t>&lt; 99,9%</w:t>
            </w:r>
          </w:p>
        </w:tc>
        <w:tc>
          <w:tcPr>
            <w:tcW w:w="5400" w:type="dxa"/>
          </w:tcPr>
          <w:p w14:paraId="145E3B0C" w14:textId="77777777" w:rsidR="001C41EA" w:rsidRPr="00EF7CF9" w:rsidRDefault="001C41EA" w:rsidP="009A32C6">
            <w:pPr>
              <w:pStyle w:val="ProductList-OfferingBody"/>
              <w:jc w:val="center"/>
            </w:pPr>
            <w:r>
              <w:t>25%</w:t>
            </w:r>
          </w:p>
        </w:tc>
      </w:tr>
      <w:tr w:rsidR="001C41EA" w:rsidRPr="00B44CF9" w14:paraId="5C54F2B8" w14:textId="77777777" w:rsidTr="009A32C6">
        <w:tc>
          <w:tcPr>
            <w:tcW w:w="5400" w:type="dxa"/>
          </w:tcPr>
          <w:p w14:paraId="2C7446CB" w14:textId="77777777" w:rsidR="001C41EA" w:rsidRPr="00EF7CF9" w:rsidRDefault="001C41EA" w:rsidP="009A32C6">
            <w:pPr>
              <w:pStyle w:val="ProductList-OfferingBody"/>
              <w:jc w:val="center"/>
            </w:pPr>
            <w:r>
              <w:t>&lt; 99%</w:t>
            </w:r>
          </w:p>
        </w:tc>
        <w:tc>
          <w:tcPr>
            <w:tcW w:w="5400" w:type="dxa"/>
          </w:tcPr>
          <w:p w14:paraId="03CCA14E" w14:textId="77777777" w:rsidR="001C41EA" w:rsidRPr="00EF7CF9" w:rsidRDefault="001C41EA" w:rsidP="009A32C6">
            <w:pPr>
              <w:pStyle w:val="ProductList-OfferingBody"/>
              <w:jc w:val="center"/>
            </w:pPr>
            <w:r>
              <w:t>50%</w:t>
            </w:r>
          </w:p>
        </w:tc>
      </w:tr>
      <w:tr w:rsidR="001C41EA" w:rsidRPr="00B44CF9" w14:paraId="13270020" w14:textId="77777777" w:rsidTr="009A32C6">
        <w:tc>
          <w:tcPr>
            <w:tcW w:w="5400" w:type="dxa"/>
          </w:tcPr>
          <w:p w14:paraId="41F05E53" w14:textId="77777777" w:rsidR="001C41EA" w:rsidRPr="00EF7CF9" w:rsidRDefault="001C41EA" w:rsidP="009A32C6">
            <w:pPr>
              <w:pStyle w:val="ProductList-OfferingBody"/>
              <w:jc w:val="center"/>
            </w:pPr>
            <w:r>
              <w:t>&lt; 95%</w:t>
            </w:r>
          </w:p>
        </w:tc>
        <w:tc>
          <w:tcPr>
            <w:tcW w:w="5400" w:type="dxa"/>
          </w:tcPr>
          <w:p w14:paraId="3D5F7C0E" w14:textId="77777777" w:rsidR="001C41EA" w:rsidRPr="00EF7CF9" w:rsidRDefault="001C41EA" w:rsidP="009A32C6">
            <w:pPr>
              <w:pStyle w:val="ProductList-OfferingBody"/>
              <w:jc w:val="center"/>
            </w:pPr>
            <w:r>
              <w:t>100%</w:t>
            </w:r>
          </w:p>
        </w:tc>
      </w:tr>
    </w:tbl>
    <w:bookmarkStart w:id="47" w:name="_Toc510793626"/>
    <w:bookmarkStart w:id="48" w:name="MicrosoftDynamics365forFianceandOpsBizEd"/>
    <w:p w14:paraId="1E2B5660" w14:textId="0A319D2D" w:rsidR="00EA5FB1" w:rsidRPr="00EF7CF9" w:rsidRDefault="00C71F89"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B44A48B" w14:textId="723F27C9" w:rsidR="005D2062" w:rsidRDefault="005D2062" w:rsidP="005D2062">
      <w:pPr>
        <w:pStyle w:val="ProductList-Offering2Heading"/>
        <w:pBdr>
          <w:between w:val="single" w:sz="4" w:space="1" w:color="auto"/>
        </w:pBdr>
        <w:tabs>
          <w:tab w:val="clear" w:pos="360"/>
          <w:tab w:val="clear" w:pos="720"/>
          <w:tab w:val="clear" w:pos="1080"/>
        </w:tabs>
        <w:outlineLvl w:val="2"/>
      </w:pPr>
      <w:bookmarkStart w:id="49" w:name="_Toc239174924"/>
      <w:bookmarkStart w:id="50" w:name="MicrosoftDynamics365forFianceandOps"/>
      <w:bookmarkEnd w:id="47"/>
      <w:bookmarkEnd w:id="48"/>
      <w:r>
        <w:t xml:space="preserve">Dynamics 365 </w:t>
      </w:r>
      <w:proofErr w:type="spellStart"/>
      <w:r>
        <w:t>Guides</w:t>
      </w:r>
      <w:bookmarkEnd w:id="49"/>
      <w:proofErr w:type="spellEnd"/>
    </w:p>
    <w:p w14:paraId="73695421" w14:textId="77777777" w:rsidR="005D2062" w:rsidRDefault="005D2062" w:rsidP="005D2062">
      <w:pPr>
        <w:pStyle w:val="ProductList-Body"/>
      </w:pPr>
      <w:r>
        <w:rPr>
          <w:b/>
          <w:color w:val="00188F"/>
        </w:rPr>
        <w:t>Dodatkowe definicje</w:t>
      </w:r>
      <w:r w:rsidRPr="007B038A">
        <w:rPr>
          <w:b/>
          <w:color w:val="00188F"/>
        </w:rPr>
        <w:t>:</w:t>
      </w:r>
    </w:p>
    <w:p w14:paraId="6290D355" w14:textId="77777777" w:rsidR="00053629" w:rsidRDefault="00053629" w:rsidP="00053629">
      <w:pPr>
        <w:pStyle w:val="ProductList-Body"/>
      </w:pPr>
      <w:r>
        <w:rPr>
          <w:b/>
          <w:color w:val="00188F"/>
        </w:rPr>
        <w:t>Przestój</w:t>
      </w:r>
      <w:r w:rsidRPr="007B038A">
        <w:rPr>
          <w:b/>
          <w:color w:val="00188F"/>
        </w:rPr>
        <w:t>:</w:t>
      </w:r>
      <w:r>
        <w:t xml:space="preserve"> Dowolny okres, w którym użytkownik końcowy nie może odczytywać ani zapisywać danych Usługi w sposób, do którego jest uprawniony. Dowolny okres, w którym użytkownicy końcowi nie mogą zainicjować ani inicjować lub prowadzić rozmów głosowych.</w:t>
      </w:r>
    </w:p>
    <w:p w14:paraId="4E0FB4C9" w14:textId="279EE74A" w:rsidR="00053629" w:rsidRDefault="00AC48A7" w:rsidP="00053629">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61BB76C9" w14:textId="77777777" w:rsidR="00EF1A8C" w:rsidRPr="00EF7CF9" w:rsidRDefault="00EF1A8C" w:rsidP="00EF1A8C">
      <w:pPr>
        <w:pStyle w:val="ProductList-Body"/>
      </w:pPr>
    </w:p>
    <w:p w14:paraId="6FC8E398" w14:textId="12C5E0F3" w:rsidR="00EF1A8C" w:rsidRPr="00EF7CF9" w:rsidRDefault="00000000" w:rsidP="00EF1A8C">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64C7B4AE" w14:textId="40489940" w:rsidR="00363902" w:rsidRDefault="00AC48A7" w:rsidP="00363902">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372FC373" w14:textId="77777777" w:rsidR="00363902" w:rsidRPr="00122CF3" w:rsidRDefault="00363902" w:rsidP="00122CF3">
      <w:pPr>
        <w:pStyle w:val="ProductList-Body"/>
      </w:pPr>
    </w:p>
    <w:p w14:paraId="5C6B69ED" w14:textId="77777777" w:rsidR="00363902" w:rsidRDefault="00363902" w:rsidP="00363902">
      <w:pPr>
        <w:pStyle w:val="ProductList-Body"/>
      </w:pPr>
      <w:r>
        <w:t>* Przestój nie obejmuje Planowego Przestoju.</w:t>
      </w:r>
    </w:p>
    <w:p w14:paraId="15EBF827" w14:textId="77777777" w:rsidR="00363902" w:rsidRPr="00363902" w:rsidRDefault="00363902" w:rsidP="00122CF3">
      <w:pPr>
        <w:pStyle w:val="ProductList-Body"/>
      </w:pPr>
    </w:p>
    <w:p w14:paraId="1FCB8676" w14:textId="3E7E56A7" w:rsidR="00363902" w:rsidRPr="00122CF3" w:rsidRDefault="00187BF4" w:rsidP="00122CF3">
      <w:pPr>
        <w:pStyle w:val="ProductList-Body"/>
        <w:rPr>
          <w:b/>
          <w:color w:val="00188F"/>
        </w:rPr>
      </w:pPr>
      <w:r w:rsidRPr="00187BF4">
        <w:rPr>
          <w:b/>
          <w:color w:val="00188F"/>
        </w:rPr>
        <w:t>Kredyt za Usługę:</w:t>
      </w:r>
    </w:p>
    <w:tbl>
      <w:tblPr>
        <w:tblStyle w:val="TableGrid"/>
        <w:tblW w:w="10795" w:type="dxa"/>
        <w:tblLayout w:type="fixed"/>
        <w:tblLook w:val="06A0" w:firstRow="1" w:lastRow="0" w:firstColumn="1" w:lastColumn="0" w:noHBand="1" w:noVBand="1"/>
      </w:tblPr>
      <w:tblGrid>
        <w:gridCol w:w="5397"/>
        <w:gridCol w:w="5398"/>
      </w:tblGrid>
      <w:tr w:rsidR="00363902" w:rsidRPr="00363902" w14:paraId="3A4503D1" w14:textId="77777777" w:rsidTr="00122CF3">
        <w:tc>
          <w:tcPr>
            <w:tcW w:w="5397" w:type="dxa"/>
            <w:shd w:val="clear" w:color="auto" w:fill="0072C6"/>
          </w:tcPr>
          <w:p w14:paraId="5DF21CC8" w14:textId="3C2BF7B4" w:rsidR="00363902" w:rsidRPr="00363902" w:rsidRDefault="00AC48A7" w:rsidP="00122CF3">
            <w:pPr>
              <w:pStyle w:val="ProductList-OfferingBody"/>
              <w:jc w:val="center"/>
              <w:rPr>
                <w:color w:val="FFFFFF" w:themeColor="background1"/>
              </w:rPr>
            </w:pPr>
            <w:r>
              <w:rPr>
                <w:color w:val="FFFFFF" w:themeColor="background1"/>
              </w:rPr>
              <w:t>Procent Czasu Sprawnego Działania</w:t>
            </w:r>
          </w:p>
        </w:tc>
        <w:tc>
          <w:tcPr>
            <w:tcW w:w="5398" w:type="dxa"/>
            <w:shd w:val="clear" w:color="auto" w:fill="0072C6"/>
          </w:tcPr>
          <w:p w14:paraId="2C46FC2D" w14:textId="77777777" w:rsidR="00363902" w:rsidRPr="00363902" w:rsidRDefault="00363902" w:rsidP="00122CF3">
            <w:pPr>
              <w:pStyle w:val="ProductList-OfferingBody"/>
              <w:jc w:val="center"/>
              <w:rPr>
                <w:color w:val="FFFFFF" w:themeColor="background1"/>
              </w:rPr>
            </w:pPr>
            <w:r>
              <w:rPr>
                <w:color w:val="FFFFFF" w:themeColor="background1"/>
              </w:rPr>
              <w:t>Środki Serwisowe na Używanie Usług</w:t>
            </w:r>
          </w:p>
        </w:tc>
      </w:tr>
      <w:tr w:rsidR="00363902" w:rsidRPr="004A3F60" w14:paraId="009518F2" w14:textId="77777777" w:rsidTr="00122CF3">
        <w:tc>
          <w:tcPr>
            <w:tcW w:w="5397" w:type="dxa"/>
          </w:tcPr>
          <w:p w14:paraId="04B04EFB" w14:textId="77777777" w:rsidR="00363902" w:rsidRPr="00363902" w:rsidRDefault="00363902" w:rsidP="00122CF3">
            <w:pPr>
              <w:pStyle w:val="ProductList-OfferingBody"/>
              <w:jc w:val="center"/>
            </w:pPr>
            <w:r>
              <w:t>&lt;99,5%</w:t>
            </w:r>
          </w:p>
        </w:tc>
        <w:tc>
          <w:tcPr>
            <w:tcW w:w="5398" w:type="dxa"/>
          </w:tcPr>
          <w:p w14:paraId="7AD2B5CB" w14:textId="77777777" w:rsidR="00363902" w:rsidRPr="00363902" w:rsidRDefault="00363902" w:rsidP="00122CF3">
            <w:pPr>
              <w:pStyle w:val="ProductList-OfferingBody"/>
              <w:jc w:val="center"/>
            </w:pPr>
            <w:r>
              <w:t>25%</w:t>
            </w:r>
          </w:p>
        </w:tc>
      </w:tr>
      <w:tr w:rsidR="00363902" w:rsidRPr="004A3F60" w14:paraId="63E659BF" w14:textId="77777777" w:rsidTr="00122CF3">
        <w:tc>
          <w:tcPr>
            <w:tcW w:w="5397" w:type="dxa"/>
          </w:tcPr>
          <w:p w14:paraId="72EABA7A" w14:textId="77777777" w:rsidR="00363902" w:rsidRPr="00363902" w:rsidRDefault="00363902" w:rsidP="00122CF3">
            <w:pPr>
              <w:pStyle w:val="ProductList-OfferingBody"/>
              <w:jc w:val="center"/>
            </w:pPr>
            <w:r>
              <w:t>&lt;99%</w:t>
            </w:r>
          </w:p>
        </w:tc>
        <w:tc>
          <w:tcPr>
            <w:tcW w:w="5398" w:type="dxa"/>
          </w:tcPr>
          <w:p w14:paraId="3200CDDD" w14:textId="77777777" w:rsidR="00363902" w:rsidRPr="00363902" w:rsidRDefault="00363902" w:rsidP="00122CF3">
            <w:pPr>
              <w:pStyle w:val="ProductList-OfferingBody"/>
              <w:jc w:val="center"/>
            </w:pPr>
            <w:r>
              <w:t>50%</w:t>
            </w:r>
          </w:p>
        </w:tc>
      </w:tr>
    </w:tbl>
    <w:p w14:paraId="7959941C" w14:textId="79EC50D8" w:rsidR="00122CF3" w:rsidRPr="000D2034" w:rsidRDefault="00C71F89" w:rsidP="00122CF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DD4CDC2" w14:textId="77777777" w:rsidR="00D50DE8" w:rsidRDefault="00D50DE8" w:rsidP="00D50DE8">
      <w:pPr>
        <w:pStyle w:val="ProductList-Offering2Heading"/>
        <w:pBdr>
          <w:between w:val="single" w:sz="4" w:space="1" w:color="auto"/>
        </w:pBdr>
        <w:tabs>
          <w:tab w:val="clear" w:pos="360"/>
          <w:tab w:val="clear" w:pos="720"/>
          <w:tab w:val="clear" w:pos="1080"/>
        </w:tabs>
        <w:outlineLvl w:val="2"/>
      </w:pPr>
      <w:bookmarkStart w:id="51" w:name="_Toc239174925"/>
      <w:r>
        <w:t xml:space="preserve">Dynamics 365 Human </w:t>
      </w:r>
      <w:proofErr w:type="spellStart"/>
      <w:r>
        <w:t>Resources</w:t>
      </w:r>
      <w:bookmarkEnd w:id="51"/>
      <w:proofErr w:type="spellEnd"/>
    </w:p>
    <w:p w14:paraId="37E650DD" w14:textId="77777777" w:rsidR="00D50DE8" w:rsidRPr="00EF7CF9" w:rsidRDefault="00D50DE8" w:rsidP="00D50DE8">
      <w:pPr>
        <w:pStyle w:val="ProductList-Body"/>
        <w:rPr>
          <w:b/>
          <w:color w:val="00188F"/>
        </w:rPr>
      </w:pPr>
      <w:r>
        <w:rPr>
          <w:b/>
          <w:color w:val="00188F"/>
        </w:rPr>
        <w:t>Dodatkowe definicje</w:t>
      </w:r>
      <w:r w:rsidRPr="007B038A">
        <w:rPr>
          <w:b/>
          <w:color w:val="00188F"/>
        </w:rPr>
        <w:t>:</w:t>
      </w:r>
    </w:p>
    <w:p w14:paraId="19B90069" w14:textId="77777777" w:rsidR="00D50DE8" w:rsidRPr="00EF7CF9" w:rsidRDefault="00D50DE8" w:rsidP="00D50DE8">
      <w:pPr>
        <w:pStyle w:val="ProductList-Body"/>
      </w:pPr>
      <w:r>
        <w:t>„</w:t>
      </w:r>
      <w:r>
        <w:rPr>
          <w:b/>
          <w:color w:val="00188F"/>
        </w:rPr>
        <w:t>Aktywny Dzierżawca</w:t>
      </w:r>
      <w:r>
        <w:t>” oznacza dzierżawcę z aktywną topologią produkcyjną o wysokiej dostępności w portalu zarządzania, który ma aktywną bazę danych, do której użytkownicy mogą się logować.</w:t>
      </w:r>
    </w:p>
    <w:p w14:paraId="74A6F342" w14:textId="77777777" w:rsidR="00D50DE8" w:rsidRPr="00EF7CF9" w:rsidRDefault="00D50DE8" w:rsidP="00657A3A">
      <w:pPr>
        <w:pStyle w:val="ProductList-Body"/>
      </w:pPr>
      <w:r>
        <w:rPr>
          <w:b/>
          <w:color w:val="00188F"/>
        </w:rPr>
        <w:t>Przestój</w:t>
      </w:r>
      <w:r w:rsidRPr="007B038A">
        <w:rPr>
          <w:b/>
          <w:color w:val="00188F"/>
        </w:rPr>
        <w:t>:</w:t>
      </w:r>
      <w:r>
        <w:t xml:space="preserve"> dowolny okres, w którym użytkownicy końcowi nie mogą korzystać z danych w Usłudze w sposób, do którego są uprawnieni. Przestój nie obejmuje Planowego Przestoju.</w:t>
      </w:r>
    </w:p>
    <w:p w14:paraId="43CF1F57" w14:textId="5E3DE4EC" w:rsidR="00D50DE8" w:rsidRDefault="00AC48A7" w:rsidP="00D50DE8">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7BF229E3" w14:textId="77777777" w:rsidR="00D50DE8" w:rsidRPr="00EF7CF9" w:rsidRDefault="00D50DE8" w:rsidP="00D50DE8">
      <w:pPr>
        <w:pStyle w:val="ProductList-Body"/>
      </w:pPr>
    </w:p>
    <w:p w14:paraId="143DEF24" w14:textId="4C5377E9"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70BED5B" w14:textId="07842B32" w:rsidR="00D50DE8" w:rsidRDefault="00AC48A7" w:rsidP="00D50DE8">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F3B97AB" w14:textId="77777777" w:rsidR="00992439" w:rsidRPr="00EF7CF9" w:rsidRDefault="00992439" w:rsidP="00D50DE8">
      <w:pPr>
        <w:pStyle w:val="ProductList-Body"/>
      </w:pPr>
    </w:p>
    <w:p w14:paraId="26A442BE" w14:textId="77777777" w:rsidR="00D50DE8" w:rsidRPr="00EF7CF9" w:rsidRDefault="00D50DE8" w:rsidP="00612F4A">
      <w:pPr>
        <w:pStyle w:val="ProductList-Body"/>
        <w:keepNext/>
        <w:keepLines/>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367B9539" w14:textId="77777777" w:rsidTr="001439A9">
        <w:trPr>
          <w:tblHeader/>
        </w:trPr>
        <w:tc>
          <w:tcPr>
            <w:tcW w:w="5400" w:type="dxa"/>
            <w:shd w:val="clear" w:color="auto" w:fill="0072C6"/>
          </w:tcPr>
          <w:p w14:paraId="06A14A3E" w14:textId="02CCB828" w:rsidR="00D50DE8" w:rsidRPr="00EF7CF9" w:rsidRDefault="00AC48A7" w:rsidP="00612F4A">
            <w:pPr>
              <w:pStyle w:val="ProductList-OfferingBody"/>
              <w:keepNext/>
              <w:keepLines/>
              <w:jc w:val="center"/>
              <w:rPr>
                <w:color w:val="FFFFFF" w:themeColor="background1"/>
              </w:rPr>
            </w:pPr>
            <w:r>
              <w:rPr>
                <w:color w:val="FFFFFF" w:themeColor="background1"/>
              </w:rPr>
              <w:t>Procent Czasu Sprawnego Działania</w:t>
            </w:r>
          </w:p>
        </w:tc>
        <w:tc>
          <w:tcPr>
            <w:tcW w:w="5400" w:type="dxa"/>
            <w:shd w:val="clear" w:color="auto" w:fill="0072C6"/>
          </w:tcPr>
          <w:p w14:paraId="74A9F07B" w14:textId="77777777" w:rsidR="00D50DE8" w:rsidRPr="00EF7CF9" w:rsidRDefault="00D50DE8" w:rsidP="00612F4A">
            <w:pPr>
              <w:pStyle w:val="ProductList-OfferingBody"/>
              <w:keepNext/>
              <w:keepLines/>
              <w:jc w:val="center"/>
              <w:rPr>
                <w:color w:val="FFFFFF" w:themeColor="background1"/>
              </w:rPr>
            </w:pPr>
            <w:r>
              <w:rPr>
                <w:color w:val="FFFFFF" w:themeColor="background1"/>
              </w:rPr>
              <w:t>Środki Serwisowe na Używanie Usług</w:t>
            </w:r>
          </w:p>
        </w:tc>
      </w:tr>
      <w:tr w:rsidR="00D50DE8" w:rsidRPr="00B44CF9" w14:paraId="46EA17A8" w14:textId="77777777" w:rsidTr="001439A9">
        <w:tc>
          <w:tcPr>
            <w:tcW w:w="5400" w:type="dxa"/>
          </w:tcPr>
          <w:p w14:paraId="3E186CF8" w14:textId="77777777" w:rsidR="00D50DE8" w:rsidRPr="00EF7CF9" w:rsidRDefault="00D50DE8" w:rsidP="00612F4A">
            <w:pPr>
              <w:pStyle w:val="ProductList-OfferingBody"/>
              <w:keepNext/>
              <w:keepLines/>
              <w:jc w:val="center"/>
            </w:pPr>
            <w:r>
              <w:t>&lt; 99,5%</w:t>
            </w:r>
          </w:p>
        </w:tc>
        <w:tc>
          <w:tcPr>
            <w:tcW w:w="5400" w:type="dxa"/>
          </w:tcPr>
          <w:p w14:paraId="4A1947F3" w14:textId="77777777" w:rsidR="00D50DE8" w:rsidRPr="00EF7CF9" w:rsidRDefault="00D50DE8" w:rsidP="00612F4A">
            <w:pPr>
              <w:pStyle w:val="ProductList-OfferingBody"/>
              <w:keepNext/>
              <w:keepLines/>
              <w:jc w:val="center"/>
            </w:pPr>
            <w:r>
              <w:t>25%</w:t>
            </w:r>
          </w:p>
        </w:tc>
      </w:tr>
      <w:tr w:rsidR="00D50DE8" w:rsidRPr="00B44CF9" w14:paraId="6A44AE4D" w14:textId="77777777" w:rsidTr="001439A9">
        <w:tc>
          <w:tcPr>
            <w:tcW w:w="5400" w:type="dxa"/>
          </w:tcPr>
          <w:p w14:paraId="1D9A74D4" w14:textId="77777777" w:rsidR="00D50DE8" w:rsidRPr="00EF7CF9" w:rsidRDefault="00D50DE8" w:rsidP="001439A9">
            <w:pPr>
              <w:pStyle w:val="ProductList-OfferingBody"/>
              <w:jc w:val="center"/>
            </w:pPr>
            <w:r>
              <w:t>&lt; 99%</w:t>
            </w:r>
          </w:p>
        </w:tc>
        <w:tc>
          <w:tcPr>
            <w:tcW w:w="5400" w:type="dxa"/>
          </w:tcPr>
          <w:p w14:paraId="4980B8F7" w14:textId="77777777" w:rsidR="00D50DE8" w:rsidRPr="00EF7CF9" w:rsidRDefault="00D50DE8" w:rsidP="001439A9">
            <w:pPr>
              <w:pStyle w:val="ProductList-OfferingBody"/>
              <w:jc w:val="center"/>
            </w:pPr>
            <w:r>
              <w:t>50%</w:t>
            </w:r>
          </w:p>
        </w:tc>
      </w:tr>
      <w:tr w:rsidR="00D50DE8" w:rsidRPr="00B44CF9" w14:paraId="56CA73C8" w14:textId="77777777" w:rsidTr="001439A9">
        <w:tc>
          <w:tcPr>
            <w:tcW w:w="5400" w:type="dxa"/>
          </w:tcPr>
          <w:p w14:paraId="67DFA041" w14:textId="77777777" w:rsidR="00D50DE8" w:rsidRPr="00EF7CF9" w:rsidRDefault="00D50DE8" w:rsidP="001439A9">
            <w:pPr>
              <w:pStyle w:val="ProductList-OfferingBody"/>
              <w:jc w:val="center"/>
            </w:pPr>
            <w:r>
              <w:t>&lt; 95%</w:t>
            </w:r>
          </w:p>
        </w:tc>
        <w:tc>
          <w:tcPr>
            <w:tcW w:w="5400" w:type="dxa"/>
          </w:tcPr>
          <w:p w14:paraId="0913C71E" w14:textId="77777777" w:rsidR="00D50DE8" w:rsidRPr="00EF7CF9" w:rsidRDefault="00D50DE8" w:rsidP="001439A9">
            <w:pPr>
              <w:pStyle w:val="ProductList-OfferingBody"/>
              <w:jc w:val="center"/>
            </w:pPr>
            <w:r>
              <w:t>100%</w:t>
            </w:r>
          </w:p>
        </w:tc>
      </w:tr>
    </w:tbl>
    <w:p w14:paraId="2FC8AE1A" w14:textId="7612E491" w:rsidR="00D50DE8" w:rsidRPr="00EF7CF9" w:rsidRDefault="00C71F89"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66D59E2" w14:textId="77777777" w:rsidR="007D56EB" w:rsidRDefault="007D56EB" w:rsidP="007D56EB">
      <w:pPr>
        <w:pStyle w:val="ProductList-Offering2Heading"/>
        <w:pBdr>
          <w:between w:val="single" w:sz="4" w:space="1" w:color="auto"/>
        </w:pBdr>
        <w:tabs>
          <w:tab w:val="clear" w:pos="360"/>
          <w:tab w:val="clear" w:pos="720"/>
          <w:tab w:val="clear" w:pos="1080"/>
        </w:tabs>
        <w:outlineLvl w:val="2"/>
      </w:pPr>
      <w:bookmarkStart w:id="52" w:name="_Toc75271387"/>
      <w:bookmarkStart w:id="53" w:name="_Toc239174926"/>
      <w:bookmarkStart w:id="54" w:name="_Toc45621200"/>
      <w:r>
        <w:t xml:space="preserve">Dynamics 365 </w:t>
      </w:r>
      <w:proofErr w:type="spellStart"/>
      <w:r>
        <w:t>Intelligent</w:t>
      </w:r>
      <w:proofErr w:type="spellEnd"/>
      <w:r>
        <w:t xml:space="preserve"> Order Management</w:t>
      </w:r>
      <w:bookmarkEnd w:id="52"/>
      <w:bookmarkEnd w:id="53"/>
    </w:p>
    <w:p w14:paraId="7F3CADA6" w14:textId="660C2086" w:rsidR="00992439" w:rsidRDefault="007D56EB" w:rsidP="007D56EB">
      <w:pPr>
        <w:pStyle w:val="ProductList-Body"/>
      </w:pPr>
      <w:r>
        <w:rPr>
          <w:b/>
          <w:color w:val="00188F"/>
        </w:rPr>
        <w:t>Przestój</w:t>
      </w:r>
      <w:r w:rsidRPr="007B038A">
        <w:rPr>
          <w:b/>
          <w:color w:val="00188F"/>
        </w:rPr>
        <w:t>:</w:t>
      </w:r>
      <w:r>
        <w:t xml:space="preserve"> </w:t>
      </w:r>
      <w:r>
        <w:rPr>
          <w:szCs w:val="18"/>
        </w:rPr>
        <w:t xml:space="preserve">Dowolny okres, w którym użytkownik końcowy nie może odczytywać ani zapisywać danych w Usłudze w sposób, do którego jest uprawniony, z wyłączeniem ewentualnych okresów niedostępności dodatkowych funkcji Usługi.  </w:t>
      </w:r>
      <w:r>
        <w:t>Przestój nie obejmuje Planowego Przestoju.</w:t>
      </w:r>
    </w:p>
    <w:p w14:paraId="609CE0C4" w14:textId="54CFCC4C" w:rsidR="007D56EB" w:rsidRDefault="00AC48A7" w:rsidP="007D56EB">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7D67B4E9" w14:textId="77777777" w:rsidR="007D56EB" w:rsidRDefault="007D56EB" w:rsidP="007D56EB">
      <w:pPr>
        <w:pStyle w:val="ProductList-Body"/>
      </w:pPr>
    </w:p>
    <w:p w14:paraId="0E945C90" w14:textId="392BF0E0" w:rsidR="007D56EB" w:rsidRDefault="00000000" w:rsidP="007D56EB">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6CAFB4FC" w14:textId="4371F547" w:rsidR="007D56EB" w:rsidRDefault="00AC48A7" w:rsidP="007D56EB">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44B7DFFD" w14:textId="77777777" w:rsidR="00992439" w:rsidRDefault="00992439" w:rsidP="007D56EB">
      <w:pPr>
        <w:pStyle w:val="ProductList-Body"/>
      </w:pPr>
    </w:p>
    <w:p w14:paraId="5DA176E0" w14:textId="77777777" w:rsidR="007D56EB" w:rsidRDefault="007D56EB" w:rsidP="007D56EB">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D56EB" w14:paraId="0E568DED" w14:textId="77777777" w:rsidTr="007D56EB">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65A5189" w14:textId="05DB6E3A" w:rsidR="007D56EB" w:rsidRDefault="00AC48A7">
            <w:pPr>
              <w:pStyle w:val="ProductList-OfferingBody"/>
              <w:spacing w:line="256" w:lineRule="auto"/>
              <w:jc w:val="center"/>
              <w:rPr>
                <w:color w:val="FFFFFF" w:themeColor="background1"/>
              </w:rPr>
            </w:pPr>
            <w:r>
              <w:rPr>
                <w:color w:val="FFFFFF" w:themeColor="background1"/>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1F6A64D" w14:textId="77777777" w:rsidR="007D56EB" w:rsidRDefault="007D56EB">
            <w:pPr>
              <w:pStyle w:val="ProductList-OfferingBody"/>
              <w:spacing w:line="256" w:lineRule="auto"/>
              <w:jc w:val="center"/>
              <w:rPr>
                <w:color w:val="FFFFFF" w:themeColor="background1"/>
              </w:rPr>
            </w:pPr>
            <w:r>
              <w:rPr>
                <w:color w:val="FFFFFF" w:themeColor="background1"/>
              </w:rPr>
              <w:t>Środki Serwisowe na Używanie Usług</w:t>
            </w:r>
          </w:p>
        </w:tc>
      </w:tr>
      <w:tr w:rsidR="007D56EB" w14:paraId="7B6F238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8F682F" w14:textId="77777777" w:rsidR="007D56EB" w:rsidRDefault="007D56EB">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9C978E" w14:textId="77777777" w:rsidR="007D56EB" w:rsidRDefault="007D56EB">
            <w:pPr>
              <w:pStyle w:val="ProductList-OfferingBody"/>
              <w:spacing w:line="256" w:lineRule="auto"/>
              <w:jc w:val="center"/>
            </w:pPr>
            <w:r>
              <w:t>25%</w:t>
            </w:r>
          </w:p>
        </w:tc>
      </w:tr>
      <w:tr w:rsidR="007D56EB" w14:paraId="46492569"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B32FD5" w14:textId="77777777" w:rsidR="007D56EB" w:rsidRDefault="007D56EB">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F0255" w14:textId="77777777" w:rsidR="007D56EB" w:rsidRDefault="007D56EB">
            <w:pPr>
              <w:pStyle w:val="ProductList-OfferingBody"/>
              <w:spacing w:line="256" w:lineRule="auto"/>
              <w:jc w:val="center"/>
            </w:pPr>
            <w:r>
              <w:t>50%</w:t>
            </w:r>
          </w:p>
        </w:tc>
      </w:tr>
      <w:tr w:rsidR="007D56EB" w14:paraId="3578F271" w14:textId="77777777" w:rsidTr="007D56EB">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2CFF44" w14:textId="77777777" w:rsidR="007D56EB" w:rsidRDefault="007D56EB">
            <w:pPr>
              <w:pStyle w:val="ProductList-OfferingBody"/>
              <w:spacing w:line="256"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9C78A" w14:textId="77777777" w:rsidR="007D56EB" w:rsidRDefault="007D56EB">
            <w:pPr>
              <w:pStyle w:val="ProductList-OfferingBody"/>
              <w:spacing w:line="256" w:lineRule="auto"/>
              <w:jc w:val="center"/>
            </w:pPr>
            <w:r>
              <w:t>100%</w:t>
            </w:r>
          </w:p>
        </w:tc>
      </w:tr>
    </w:tbl>
    <w:p w14:paraId="03F55B46" w14:textId="2622D99E" w:rsidR="00AD36CE" w:rsidRPr="00EF7CF9" w:rsidRDefault="00C71F89" w:rsidP="00AD36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6227EBA" w14:textId="77777777" w:rsidR="001439A9" w:rsidRDefault="001439A9" w:rsidP="00DF38A7">
      <w:pPr>
        <w:pStyle w:val="ProductList-Offering2Heading"/>
        <w:keepNext/>
        <w:pBdr>
          <w:between w:val="single" w:sz="4" w:space="1" w:color="auto"/>
        </w:pBdr>
        <w:tabs>
          <w:tab w:val="clear" w:pos="360"/>
          <w:tab w:val="clear" w:pos="720"/>
          <w:tab w:val="clear" w:pos="1080"/>
        </w:tabs>
        <w:outlineLvl w:val="2"/>
      </w:pPr>
      <w:bookmarkStart w:id="55" w:name="_Toc239174927"/>
      <w:r>
        <w:t xml:space="preserve">Dynamics 365 Remote </w:t>
      </w:r>
      <w:proofErr w:type="spellStart"/>
      <w:r>
        <w:t>Assist</w:t>
      </w:r>
      <w:bookmarkEnd w:id="54"/>
      <w:bookmarkEnd w:id="55"/>
      <w:proofErr w:type="spellEnd"/>
    </w:p>
    <w:p w14:paraId="24648987" w14:textId="77777777" w:rsidR="001439A9" w:rsidRPr="00EF7CF9" w:rsidRDefault="001439A9" w:rsidP="001439A9">
      <w:pPr>
        <w:pStyle w:val="ProductList-Body"/>
        <w:rPr>
          <w:b/>
          <w:color w:val="00188F"/>
        </w:rPr>
      </w:pPr>
      <w:r>
        <w:rPr>
          <w:b/>
          <w:color w:val="00188F"/>
        </w:rPr>
        <w:t>Dodatkowe definicje</w:t>
      </w:r>
      <w:r w:rsidRPr="007B038A">
        <w:rPr>
          <w:b/>
          <w:color w:val="00188F"/>
        </w:rPr>
        <w:t>:</w:t>
      </w:r>
    </w:p>
    <w:p w14:paraId="3FFCBF82" w14:textId="77777777" w:rsidR="001439A9" w:rsidRPr="00EF7CF9" w:rsidRDefault="001439A9" w:rsidP="001439A9">
      <w:pPr>
        <w:pStyle w:val="ProductList-Body"/>
      </w:pPr>
      <w:r>
        <w:rPr>
          <w:b/>
          <w:color w:val="00188F"/>
        </w:rPr>
        <w:t>Przestój</w:t>
      </w:r>
      <w:r w:rsidRPr="007B038A">
        <w:rPr>
          <w:b/>
          <w:color w:val="00188F"/>
        </w:rPr>
        <w:t>:</w:t>
      </w:r>
      <w:r>
        <w:t xml:space="preserve"> Dowolny okres, w którym użytkownicy końcowi nie mogą wysyłać i odbierać wiadomości na komunikatorze ani inicjować lub prowadzić rozmów głosowych*.</w:t>
      </w:r>
    </w:p>
    <w:p w14:paraId="5E4BB24B" w14:textId="4A49FE03" w:rsidR="001439A9" w:rsidRDefault="00AC48A7" w:rsidP="001439A9">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1903DFCF" w14:textId="77777777" w:rsidR="001439A9" w:rsidRPr="00EF7CF9" w:rsidRDefault="001439A9" w:rsidP="001439A9">
      <w:pPr>
        <w:pStyle w:val="ProductList-Body"/>
      </w:pPr>
    </w:p>
    <w:p w14:paraId="44ADC5A4" w14:textId="65C482EF" w:rsidR="001439A9" w:rsidRPr="00EF7CF9" w:rsidRDefault="00000000" w:rsidP="001439A9">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5983FC51" w14:textId="6221A125" w:rsidR="001439A9" w:rsidRDefault="00AC48A7" w:rsidP="001439A9">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6A6DB8F2" w14:textId="77777777" w:rsidR="001439A9" w:rsidRPr="001A7F2A" w:rsidRDefault="001439A9" w:rsidP="001439A9">
      <w:pPr>
        <w:pStyle w:val="ProductList-Body"/>
        <w:rPr>
          <w:i/>
          <w:iCs/>
        </w:rPr>
      </w:pPr>
      <w:r>
        <w:rPr>
          <w:i/>
          <w:iCs/>
        </w:rPr>
        <w:t>* Wysyłanie i odbieranie wiadomości na komunikatorze jest dostępne tylko na niektórych platformach.</w:t>
      </w:r>
    </w:p>
    <w:p w14:paraId="0E5D0604" w14:textId="77777777" w:rsidR="001439A9" w:rsidRPr="00992439" w:rsidRDefault="001439A9" w:rsidP="001439A9">
      <w:pPr>
        <w:pStyle w:val="ProductList-Body"/>
        <w:rPr>
          <w:sz w:val="16"/>
          <w:szCs w:val="16"/>
        </w:rPr>
      </w:pPr>
    </w:p>
    <w:p w14:paraId="21BC82B9" w14:textId="5AEDEEE2" w:rsidR="001439A9" w:rsidRPr="00EF7CF9" w:rsidRDefault="00187BF4" w:rsidP="001439A9">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439A9" w:rsidRPr="00B44CF9" w14:paraId="10102757" w14:textId="77777777" w:rsidTr="001439A9">
        <w:trPr>
          <w:tblHeader/>
        </w:trPr>
        <w:tc>
          <w:tcPr>
            <w:tcW w:w="5400" w:type="dxa"/>
            <w:shd w:val="clear" w:color="auto" w:fill="0072C6"/>
          </w:tcPr>
          <w:p w14:paraId="57EFC0AF" w14:textId="3F2FEC79" w:rsidR="001439A9" w:rsidRPr="00EF7CF9" w:rsidRDefault="00AC48A7" w:rsidP="001439A9">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3BFCC5F" w14:textId="77777777" w:rsidR="001439A9" w:rsidRPr="00EF7CF9" w:rsidRDefault="001439A9" w:rsidP="001439A9">
            <w:pPr>
              <w:pStyle w:val="ProductList-OfferingBody"/>
              <w:jc w:val="center"/>
              <w:rPr>
                <w:color w:val="FFFFFF" w:themeColor="background1"/>
              </w:rPr>
            </w:pPr>
            <w:r>
              <w:rPr>
                <w:color w:val="FFFFFF" w:themeColor="background1"/>
              </w:rPr>
              <w:t>Środki Serwisowe na Używanie Usług</w:t>
            </w:r>
          </w:p>
        </w:tc>
      </w:tr>
      <w:tr w:rsidR="001439A9" w:rsidRPr="00B44CF9" w14:paraId="2130798E" w14:textId="77777777" w:rsidTr="001439A9">
        <w:tc>
          <w:tcPr>
            <w:tcW w:w="5400" w:type="dxa"/>
          </w:tcPr>
          <w:p w14:paraId="56C1EB61" w14:textId="77777777" w:rsidR="001439A9" w:rsidRPr="00EF7CF9" w:rsidRDefault="001439A9" w:rsidP="001439A9">
            <w:pPr>
              <w:pStyle w:val="ProductList-OfferingBody"/>
              <w:jc w:val="center"/>
            </w:pPr>
            <w:r>
              <w:t>&lt; 99,9%</w:t>
            </w:r>
          </w:p>
        </w:tc>
        <w:tc>
          <w:tcPr>
            <w:tcW w:w="5400" w:type="dxa"/>
          </w:tcPr>
          <w:p w14:paraId="686FB99C" w14:textId="77777777" w:rsidR="001439A9" w:rsidRPr="00EF7CF9" w:rsidRDefault="001439A9" w:rsidP="001439A9">
            <w:pPr>
              <w:pStyle w:val="ProductList-OfferingBody"/>
              <w:jc w:val="center"/>
            </w:pPr>
            <w:r>
              <w:t>25%</w:t>
            </w:r>
          </w:p>
        </w:tc>
      </w:tr>
      <w:tr w:rsidR="001439A9" w:rsidRPr="00B44CF9" w14:paraId="1A28BC55" w14:textId="77777777" w:rsidTr="001439A9">
        <w:tc>
          <w:tcPr>
            <w:tcW w:w="5400" w:type="dxa"/>
          </w:tcPr>
          <w:p w14:paraId="5BB3F4EE" w14:textId="77777777" w:rsidR="001439A9" w:rsidRPr="00EF7CF9" w:rsidRDefault="001439A9" w:rsidP="001439A9">
            <w:pPr>
              <w:pStyle w:val="ProductList-OfferingBody"/>
              <w:jc w:val="center"/>
            </w:pPr>
            <w:r>
              <w:t>&lt; 99%</w:t>
            </w:r>
          </w:p>
        </w:tc>
        <w:tc>
          <w:tcPr>
            <w:tcW w:w="5400" w:type="dxa"/>
          </w:tcPr>
          <w:p w14:paraId="21C83F15" w14:textId="77777777" w:rsidR="001439A9" w:rsidRPr="00EF7CF9" w:rsidRDefault="001439A9" w:rsidP="001439A9">
            <w:pPr>
              <w:pStyle w:val="ProductList-OfferingBody"/>
              <w:jc w:val="center"/>
            </w:pPr>
            <w:r>
              <w:t>50%</w:t>
            </w:r>
          </w:p>
        </w:tc>
      </w:tr>
    </w:tbl>
    <w:p w14:paraId="27CDC918" w14:textId="1686558E" w:rsidR="001439A9" w:rsidRPr="00EF7CF9" w:rsidRDefault="00C71F89" w:rsidP="001439A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226BFA7" w14:textId="77777777" w:rsidR="00D50DE8" w:rsidRPr="00EF7CF9" w:rsidRDefault="00D50DE8" w:rsidP="00726899">
      <w:pPr>
        <w:pStyle w:val="ProductList-Offering2Heading"/>
        <w:keepNext/>
        <w:pBdr>
          <w:between w:val="single" w:sz="4" w:space="1" w:color="auto"/>
        </w:pBdr>
        <w:tabs>
          <w:tab w:val="clear" w:pos="360"/>
          <w:tab w:val="clear" w:pos="720"/>
          <w:tab w:val="clear" w:pos="1080"/>
        </w:tabs>
        <w:outlineLvl w:val="2"/>
      </w:pPr>
      <w:bookmarkStart w:id="56" w:name="_Toc239174928"/>
      <w:r>
        <w:t>Dynamics 365 Sales Enterprise; Dynamics 365 Sales Professional</w:t>
      </w:r>
      <w:bookmarkEnd w:id="56"/>
    </w:p>
    <w:p w14:paraId="539367AE" w14:textId="77777777" w:rsidR="00D50DE8" w:rsidRPr="00EF7CF9" w:rsidRDefault="00D50DE8" w:rsidP="00657A3A">
      <w:pPr>
        <w:pStyle w:val="ProductList-Body"/>
      </w:pPr>
      <w:r>
        <w:rPr>
          <w:b/>
          <w:color w:val="00188F"/>
        </w:rPr>
        <w:t>Przestój</w:t>
      </w:r>
      <w:r w:rsidRPr="007B038A">
        <w:rPr>
          <w:b/>
          <w:color w:val="00188F"/>
        </w:rPr>
        <w:t>:</w:t>
      </w:r>
      <w:r>
        <w:t xml:space="preserve"> Dowolny okres, w którym użytkownicy końcowi nie mogą odczytywać ani zapisywać żadnych danych Usługi, do których mają odpowiednie uprawnienia, lecz nie obejmuje on niedostępności dodatkowych funkcji Usługi.</w:t>
      </w:r>
    </w:p>
    <w:p w14:paraId="58FD4D8F" w14:textId="1D9CA08A" w:rsidR="00D50DE8" w:rsidRDefault="00AC48A7" w:rsidP="00D50DE8">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08954E81" w14:textId="77777777" w:rsidR="00D50DE8" w:rsidRPr="00EF7CF9" w:rsidRDefault="00D50DE8" w:rsidP="00D50DE8">
      <w:pPr>
        <w:pStyle w:val="ProductList-Body"/>
      </w:pPr>
    </w:p>
    <w:p w14:paraId="62F15F63" w14:textId="3EE0088E" w:rsidR="00D50DE8" w:rsidRPr="00EF7CF9" w:rsidRDefault="00000000" w:rsidP="00D50DE8">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60E53F77" w14:textId="2CE96DAA" w:rsidR="00D50DE8" w:rsidRDefault="00AC48A7" w:rsidP="00D50DE8">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55C0A4A7" w14:textId="5C6183C5" w:rsidR="00D50DE8" w:rsidRPr="00EF7CF9" w:rsidRDefault="00D50DE8" w:rsidP="00D50DE8">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50DE8" w:rsidRPr="00B44CF9" w14:paraId="63D1D83C" w14:textId="77777777" w:rsidTr="001439A9">
        <w:trPr>
          <w:tblHeader/>
        </w:trPr>
        <w:tc>
          <w:tcPr>
            <w:tcW w:w="5400" w:type="dxa"/>
            <w:shd w:val="clear" w:color="auto" w:fill="0072C6"/>
          </w:tcPr>
          <w:p w14:paraId="5A796E23" w14:textId="1220DCF1" w:rsidR="00D50DE8" w:rsidRPr="00EF7CF9" w:rsidRDefault="00AC48A7" w:rsidP="001439A9">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F831BE3" w14:textId="77777777" w:rsidR="00D50DE8" w:rsidRPr="00EF7CF9" w:rsidRDefault="00D50DE8" w:rsidP="001439A9">
            <w:pPr>
              <w:pStyle w:val="ProductList-OfferingBody"/>
              <w:jc w:val="center"/>
              <w:rPr>
                <w:color w:val="FFFFFF" w:themeColor="background1"/>
              </w:rPr>
            </w:pPr>
            <w:r>
              <w:rPr>
                <w:color w:val="FFFFFF" w:themeColor="background1"/>
              </w:rPr>
              <w:t>Środki Serwisowe na Używanie Usług</w:t>
            </w:r>
          </w:p>
        </w:tc>
      </w:tr>
      <w:tr w:rsidR="00D50DE8" w:rsidRPr="00B44CF9" w14:paraId="79C4124E" w14:textId="77777777" w:rsidTr="001439A9">
        <w:tc>
          <w:tcPr>
            <w:tcW w:w="5400" w:type="dxa"/>
          </w:tcPr>
          <w:p w14:paraId="046170E8" w14:textId="77777777" w:rsidR="00D50DE8" w:rsidRPr="00EF7CF9" w:rsidRDefault="00D50DE8" w:rsidP="001439A9">
            <w:pPr>
              <w:pStyle w:val="ProductList-OfferingBody"/>
              <w:jc w:val="center"/>
            </w:pPr>
            <w:r>
              <w:t>&lt; 99,9%</w:t>
            </w:r>
          </w:p>
        </w:tc>
        <w:tc>
          <w:tcPr>
            <w:tcW w:w="5400" w:type="dxa"/>
          </w:tcPr>
          <w:p w14:paraId="29353878" w14:textId="77777777" w:rsidR="00D50DE8" w:rsidRPr="00EF7CF9" w:rsidRDefault="00D50DE8" w:rsidP="001439A9">
            <w:pPr>
              <w:pStyle w:val="ProductList-OfferingBody"/>
              <w:jc w:val="center"/>
            </w:pPr>
            <w:r>
              <w:t>25%</w:t>
            </w:r>
          </w:p>
        </w:tc>
      </w:tr>
      <w:tr w:rsidR="00D50DE8" w:rsidRPr="00B44CF9" w14:paraId="77146D70" w14:textId="77777777" w:rsidTr="001439A9">
        <w:tc>
          <w:tcPr>
            <w:tcW w:w="5400" w:type="dxa"/>
          </w:tcPr>
          <w:p w14:paraId="71FF3BCF" w14:textId="77777777" w:rsidR="00D50DE8" w:rsidRPr="00EF7CF9" w:rsidRDefault="00D50DE8" w:rsidP="001439A9">
            <w:pPr>
              <w:pStyle w:val="ProductList-OfferingBody"/>
              <w:jc w:val="center"/>
            </w:pPr>
            <w:r>
              <w:t>&lt; 99%</w:t>
            </w:r>
          </w:p>
        </w:tc>
        <w:tc>
          <w:tcPr>
            <w:tcW w:w="5400" w:type="dxa"/>
          </w:tcPr>
          <w:p w14:paraId="67A66F9B" w14:textId="77777777" w:rsidR="00D50DE8" w:rsidRPr="00EF7CF9" w:rsidRDefault="00D50DE8" w:rsidP="001439A9">
            <w:pPr>
              <w:pStyle w:val="ProductList-OfferingBody"/>
              <w:jc w:val="center"/>
            </w:pPr>
            <w:r>
              <w:t>50%</w:t>
            </w:r>
          </w:p>
        </w:tc>
      </w:tr>
      <w:tr w:rsidR="00D50DE8" w:rsidRPr="00B44CF9" w14:paraId="7B8B001D" w14:textId="77777777" w:rsidTr="001439A9">
        <w:tc>
          <w:tcPr>
            <w:tcW w:w="5400" w:type="dxa"/>
          </w:tcPr>
          <w:p w14:paraId="65B7639C" w14:textId="77777777" w:rsidR="00D50DE8" w:rsidRPr="00EF7CF9" w:rsidRDefault="00D50DE8" w:rsidP="001439A9">
            <w:pPr>
              <w:pStyle w:val="ProductList-OfferingBody"/>
              <w:jc w:val="center"/>
            </w:pPr>
            <w:r>
              <w:t>&lt; 95%</w:t>
            </w:r>
          </w:p>
        </w:tc>
        <w:tc>
          <w:tcPr>
            <w:tcW w:w="5400" w:type="dxa"/>
          </w:tcPr>
          <w:p w14:paraId="477556AD" w14:textId="77777777" w:rsidR="00D50DE8" w:rsidRPr="00EF7CF9" w:rsidRDefault="00D50DE8" w:rsidP="001439A9">
            <w:pPr>
              <w:pStyle w:val="ProductList-OfferingBody"/>
              <w:jc w:val="center"/>
            </w:pPr>
            <w:r>
              <w:t>100%</w:t>
            </w:r>
          </w:p>
        </w:tc>
      </w:tr>
    </w:tbl>
    <w:p w14:paraId="1E904D80" w14:textId="57035E60" w:rsidR="00D50DE8" w:rsidRPr="00EF7CF9" w:rsidRDefault="00C71F89" w:rsidP="00D50D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682B31F" w14:textId="7AE67E3D" w:rsidR="00E044E6" w:rsidRPr="00EF7CF9" w:rsidRDefault="00E044E6" w:rsidP="00992439">
      <w:pPr>
        <w:pStyle w:val="ProductList-Offering2Heading"/>
        <w:pBdr>
          <w:between w:val="single" w:sz="4" w:space="1" w:color="auto"/>
        </w:pBdr>
        <w:tabs>
          <w:tab w:val="clear" w:pos="360"/>
          <w:tab w:val="clear" w:pos="720"/>
          <w:tab w:val="clear" w:pos="1080"/>
        </w:tabs>
        <w:outlineLvl w:val="2"/>
      </w:pPr>
      <w:bookmarkStart w:id="57" w:name="_Toc239174929"/>
      <w:r>
        <w:t xml:space="preserve">Dynamics 365 </w:t>
      </w:r>
      <w:bookmarkStart w:id="58" w:name="_Hlk19533710"/>
      <w:bookmarkEnd w:id="39"/>
      <w:bookmarkEnd w:id="40"/>
      <w:bookmarkEnd w:id="50"/>
      <w:r>
        <w:t>Supply Chain Management; Dynamics 365 Finance</w:t>
      </w:r>
      <w:bookmarkStart w:id="59" w:name="_Hlk51044510"/>
      <w:bookmarkEnd w:id="58"/>
      <w:r>
        <w:t>; Dynamics 365 Project Operations</w:t>
      </w:r>
      <w:bookmarkEnd w:id="57"/>
      <w:bookmarkEnd w:id="59"/>
    </w:p>
    <w:p w14:paraId="0F1E9C48" w14:textId="77777777" w:rsidR="00E044E6" w:rsidRPr="00EF7CF9" w:rsidRDefault="00E044E6" w:rsidP="00E044E6">
      <w:pPr>
        <w:pStyle w:val="ProductList-Body"/>
      </w:pPr>
      <w:r>
        <w:rPr>
          <w:b/>
          <w:color w:val="00188F"/>
        </w:rPr>
        <w:t>Dodatkowe definicje</w:t>
      </w:r>
      <w:r w:rsidRPr="007B038A">
        <w:rPr>
          <w:b/>
          <w:color w:val="00188F"/>
        </w:rPr>
        <w:t>:</w:t>
      </w:r>
    </w:p>
    <w:p w14:paraId="245E3EEA" w14:textId="033BDF37" w:rsidR="00E044E6" w:rsidRPr="00EF7CF9" w:rsidRDefault="00EF7CF9" w:rsidP="00DB4E36">
      <w:pPr>
        <w:pStyle w:val="ProductList-Body"/>
        <w:tabs>
          <w:tab w:val="clear" w:pos="360"/>
          <w:tab w:val="clear" w:pos="720"/>
          <w:tab w:val="clear" w:pos="1080"/>
        </w:tabs>
        <w:rPr>
          <w:color w:val="000000" w:themeColor="text1"/>
          <w:szCs w:val="18"/>
        </w:rPr>
      </w:pPr>
      <w:r>
        <w:rPr>
          <w:rFonts w:eastAsia="Segoe UI" w:cs="Segoe UI"/>
          <w:szCs w:val="18"/>
        </w:rPr>
        <w:t>„</w:t>
      </w:r>
      <w:r>
        <w:rPr>
          <w:rFonts w:eastAsia="Segoe UI" w:cs="Segoe UI"/>
          <w:b/>
          <w:color w:val="00188F"/>
          <w:szCs w:val="18"/>
        </w:rPr>
        <w:t>Aktywny Dzierżawca</w:t>
      </w:r>
      <w:r>
        <w:rPr>
          <w:rFonts w:eastAsia="Segoe UI" w:cs="Segoe UI"/>
          <w:szCs w:val="18"/>
        </w:rPr>
        <w:t>” oznacza dzierżawcę z aktywną topologią produkcyjną o wysokiej dostępności w portalu zarządzania, który (A) został wdrożony w Usłudze Aplikacji Partnera; oraz (B) ma aktywną bazę danych, do której użytkownicy mogą się logować.</w:t>
      </w:r>
    </w:p>
    <w:p w14:paraId="4EA058CB" w14:textId="7A423D85" w:rsidR="00E044E6" w:rsidRPr="00EF7CF9" w:rsidRDefault="00EF7CF9" w:rsidP="00DB4E36">
      <w:pPr>
        <w:spacing w:after="0"/>
        <w:rPr>
          <w:rFonts w:cs="Segoe UI"/>
          <w:sz w:val="18"/>
          <w:szCs w:val="18"/>
        </w:rPr>
      </w:pPr>
      <w:r>
        <w:rPr>
          <w:rFonts w:cs="Segoe UI"/>
          <w:sz w:val="18"/>
          <w:szCs w:val="18"/>
        </w:rPr>
        <w:t>„</w:t>
      </w:r>
      <w:r>
        <w:rPr>
          <w:rFonts w:cs="Segoe UI"/>
          <w:b/>
          <w:color w:val="00188F"/>
          <w:sz w:val="18"/>
          <w:szCs w:val="18"/>
        </w:rPr>
        <w:t>Usługa Aplikacji Partnera</w:t>
      </w:r>
      <w:r>
        <w:rPr>
          <w:rFonts w:cs="Segoe UI"/>
          <w:sz w:val="18"/>
          <w:szCs w:val="18"/>
        </w:rPr>
        <w:t>” oznacza utworzoną i zintegrowaną w ramach Platformy aplikację partnera, która (A) jest używana do przetwarzania faktycznych transakcji biznesowych organizacji oraz (B) ma zapasowe zasoby obliczeniowe i zasoby pamięci nie mniejsze niż zasoby Jednostki Skalowania wybranej przez partnera dla stosownej aplikacji partnera.</w:t>
      </w:r>
    </w:p>
    <w:p w14:paraId="787B5004" w14:textId="29F502BF" w:rsidR="00E044E6" w:rsidRPr="00EF7CF9" w:rsidRDefault="00EF7CF9" w:rsidP="00DB4E36">
      <w:pPr>
        <w:pStyle w:val="ProductList-Body"/>
        <w:rPr>
          <w:szCs w:val="18"/>
        </w:rPr>
      </w:pPr>
      <w:r>
        <w:t>„</w:t>
      </w:r>
      <w:r>
        <w:rPr>
          <w:b/>
          <w:color w:val="00188F"/>
          <w:szCs w:val="18"/>
        </w:rPr>
        <w:t>Maksymalna Liczba Minut Dostępności</w:t>
      </w:r>
      <w:r>
        <w:rPr>
          <w:szCs w:val="18"/>
        </w:rPr>
        <w:t>” oznacza łączną zakumulowaną liczbę minut we Właściwym Okresie, w których Aktywny Dzierżawca został wdrożony w Usłudze Aplikacji Partnera przy użyciu aktywnej topologii produkcyjnej o wysokiej dostępności.</w:t>
      </w:r>
    </w:p>
    <w:p w14:paraId="2DB9955A" w14:textId="0CE877EC" w:rsidR="00E044E6" w:rsidRPr="00EF7CF9" w:rsidRDefault="00EF7CF9" w:rsidP="00DB4E36">
      <w:pPr>
        <w:pStyle w:val="ProductList-Body"/>
        <w:rPr>
          <w:rFonts w:cs="Segoe UI"/>
          <w:szCs w:val="18"/>
        </w:rPr>
      </w:pPr>
      <w:r>
        <w:rPr>
          <w:rFonts w:cs="Segoe UI"/>
          <w:szCs w:val="18"/>
        </w:rPr>
        <w:t>„</w:t>
      </w:r>
      <w:r>
        <w:rPr>
          <w:rFonts w:cs="Segoe UI"/>
          <w:b/>
          <w:color w:val="00188F"/>
          <w:szCs w:val="18"/>
        </w:rPr>
        <w:t>Platforma</w:t>
      </w:r>
      <w:r>
        <w:rPr>
          <w:rFonts w:cs="Segoe UI"/>
          <w:szCs w:val="18"/>
        </w:rPr>
        <w:t>” oznacza formularze klientów, raporty serwerów SQL, zgrupowane operacje i punkty końcowe interfejsu API Usługi lub detaliczne interfejsy API Usługi wykorzystywane wyłącznie w celach handlu i sprzedaży detalicznej.</w:t>
      </w:r>
    </w:p>
    <w:p w14:paraId="43A366C0" w14:textId="4D4D477D" w:rsidR="00E044E6" w:rsidRPr="00EF7CF9" w:rsidRDefault="00EF7CF9" w:rsidP="00DB4E36">
      <w:pPr>
        <w:pStyle w:val="ProductList-Body"/>
        <w:rPr>
          <w:color w:val="000000" w:themeColor="text1"/>
          <w:szCs w:val="18"/>
        </w:rPr>
      </w:pPr>
      <w:r>
        <w:rPr>
          <w:szCs w:val="18"/>
        </w:rPr>
        <w:t>„</w:t>
      </w:r>
      <w:r>
        <w:rPr>
          <w:b/>
          <w:bCs/>
          <w:color w:val="00188F"/>
          <w:szCs w:val="18"/>
        </w:rPr>
        <w:t>Jednostka Skalowania</w:t>
      </w:r>
      <w:r>
        <w:rPr>
          <w:szCs w:val="18"/>
        </w:rPr>
        <w:t>”</w:t>
      </w:r>
      <w:r>
        <w:rPr>
          <w:color w:val="000000" w:themeColor="text1"/>
          <w:szCs w:val="18"/>
        </w:rPr>
        <w:t xml:space="preserve"> oznacza wartości zasobów obliczeniowych i zasobów pamięci dodawane do Usługi Aplikacji Partnera lub od niej odejmowane.</w:t>
      </w:r>
    </w:p>
    <w:p w14:paraId="6EA9B168" w14:textId="1F047F0F" w:rsidR="00E044E6" w:rsidRPr="00EF7CF9" w:rsidRDefault="00EF7CF9" w:rsidP="00DB4E36">
      <w:pPr>
        <w:pStyle w:val="ProductList-Body"/>
        <w:rPr>
          <w:color w:val="000000" w:themeColor="text1"/>
          <w:szCs w:val="18"/>
        </w:rPr>
      </w:pPr>
      <w:r>
        <w:rPr>
          <w:szCs w:val="18"/>
        </w:rPr>
        <w:t>„</w:t>
      </w:r>
      <w:r>
        <w:rPr>
          <w:b/>
          <w:color w:val="00188F"/>
          <w:szCs w:val="18"/>
        </w:rPr>
        <w:t>Infrastruktura Usługi</w:t>
      </w:r>
      <w:r>
        <w:rPr>
          <w:szCs w:val="18"/>
        </w:rPr>
        <w:t>”</w:t>
      </w:r>
      <w:r>
        <w:rPr>
          <w:color w:val="000000" w:themeColor="text1"/>
          <w:szCs w:val="18"/>
        </w:rPr>
        <w:t xml:space="preserve"> oznacza zasoby uwierzytelniania, obliczeniowe i pamięci udostępniane przez Microsoft w związku z Usługą.</w:t>
      </w:r>
    </w:p>
    <w:p w14:paraId="6CE66BEE" w14:textId="7DD4B86A" w:rsidR="00E044E6" w:rsidRPr="00EF7CF9" w:rsidRDefault="00E044E6" w:rsidP="00E044E6">
      <w:pPr>
        <w:pStyle w:val="ProductList-Body"/>
      </w:pPr>
      <w:r>
        <w:rPr>
          <w:b/>
          <w:color w:val="00188F"/>
        </w:rPr>
        <w:t>Przestój</w:t>
      </w:r>
      <w:r w:rsidRPr="007B038A">
        <w:rPr>
          <w:b/>
          <w:color w:val="00188F"/>
        </w:rPr>
        <w:t>:</w:t>
      </w:r>
      <w:r>
        <w:t xml:space="preserve"> Każdy okres, przez który użytkownicy końcowi nie mogą zalogować się do Aktywnego Dzierżawcy z powodu błędu w niewygasłej Platformie lub w Infrastrukturze Usługi i którego długość określa Microsoft na podstawie dzienników systemu i automatycznego monitorowania stanu systemu. Przestój nie obejmuje Planowego Przestoju, braku dostępności dodatkowych funkcji Usługi, niemożności uzyskania dostępu do Usługi z powodu modyfikacji Usługi dokonanych przez Klienta, ani okresów, kiedy przekroczono wartość Jednostki Skalowania.</w:t>
      </w:r>
    </w:p>
    <w:p w14:paraId="2466F9A2" w14:textId="6C46BDD3" w:rsidR="00E044E6" w:rsidRDefault="00AC48A7" w:rsidP="00E044E6">
      <w:pPr>
        <w:pStyle w:val="ProductList-Body"/>
      </w:pPr>
      <w:r>
        <w:rPr>
          <w:b/>
          <w:color w:val="00188F"/>
        </w:rPr>
        <w:t>Procent Czasu Sprawnego Działania</w:t>
      </w:r>
      <w:r w:rsidRPr="007B038A">
        <w:rPr>
          <w:b/>
          <w:color w:val="00188F"/>
        </w:rPr>
        <w:t>:</w:t>
      </w:r>
      <w:r>
        <w:t xml:space="preserve"> Procent Czasu Sprawnego Działania dla danego Aktywnego Dzierżawcy we Właściwym Okresie jest obliczany przy użyciu następującego wzoru:</w:t>
      </w:r>
    </w:p>
    <w:p w14:paraId="281731EB" w14:textId="77777777" w:rsidR="001A6663" w:rsidRPr="00EF7CF9" w:rsidRDefault="001A6663" w:rsidP="00E044E6">
      <w:pPr>
        <w:pStyle w:val="ProductList-Body"/>
      </w:pPr>
    </w:p>
    <w:p w14:paraId="58388555" w14:textId="49A006D5" w:rsidR="00E044E6" w:rsidRPr="00EF7CF9" w:rsidRDefault="00000000" w:rsidP="00E044E6">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DDA59DB" w14:textId="565297B0" w:rsidR="009C64EA" w:rsidRDefault="00AC48A7" w:rsidP="009C64EA">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B41383B" w14:textId="77777777" w:rsidR="00992439" w:rsidRPr="00EF7CF9" w:rsidRDefault="00992439" w:rsidP="009C64EA">
      <w:pPr>
        <w:pStyle w:val="ProductList-Body"/>
      </w:pPr>
    </w:p>
    <w:p w14:paraId="7854FA81" w14:textId="729C2751" w:rsidR="00E044E6" w:rsidRPr="00EF7CF9" w:rsidRDefault="00187BF4" w:rsidP="00E044E6">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044E6" w:rsidRPr="00B44CF9" w14:paraId="5F7401A0" w14:textId="77777777" w:rsidTr="005326DD">
        <w:trPr>
          <w:tblHeader/>
        </w:trPr>
        <w:tc>
          <w:tcPr>
            <w:tcW w:w="5400" w:type="dxa"/>
            <w:shd w:val="clear" w:color="auto" w:fill="0072C6"/>
          </w:tcPr>
          <w:p w14:paraId="6F1B2BA2" w14:textId="399229C2" w:rsidR="00E044E6" w:rsidRPr="00EF7CF9" w:rsidRDefault="00AC48A7" w:rsidP="005326DD">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065E0F7" w14:textId="77777777" w:rsidR="00E044E6" w:rsidRPr="00EF7CF9" w:rsidRDefault="00E044E6" w:rsidP="005326DD">
            <w:pPr>
              <w:pStyle w:val="ProductList-OfferingBody"/>
              <w:jc w:val="center"/>
              <w:rPr>
                <w:color w:val="FFFFFF" w:themeColor="background1"/>
              </w:rPr>
            </w:pPr>
            <w:r>
              <w:rPr>
                <w:color w:val="FFFFFF" w:themeColor="background1"/>
              </w:rPr>
              <w:t>Środki Serwisowe na Używanie Usług</w:t>
            </w:r>
          </w:p>
        </w:tc>
      </w:tr>
      <w:tr w:rsidR="00E044E6" w:rsidRPr="00B44CF9" w14:paraId="4E8FC469" w14:textId="77777777" w:rsidTr="005326DD">
        <w:tc>
          <w:tcPr>
            <w:tcW w:w="5400" w:type="dxa"/>
          </w:tcPr>
          <w:p w14:paraId="006F432D" w14:textId="488AB23A" w:rsidR="00E044E6" w:rsidRPr="00EF7CF9" w:rsidRDefault="00E044E6" w:rsidP="005326DD">
            <w:pPr>
              <w:pStyle w:val="ProductList-OfferingBody"/>
              <w:jc w:val="center"/>
            </w:pPr>
            <w:r>
              <w:t>&lt; 99,9%</w:t>
            </w:r>
          </w:p>
        </w:tc>
        <w:tc>
          <w:tcPr>
            <w:tcW w:w="5400" w:type="dxa"/>
          </w:tcPr>
          <w:p w14:paraId="4770D45D" w14:textId="77777777" w:rsidR="00E044E6" w:rsidRPr="00EF7CF9" w:rsidRDefault="00E044E6" w:rsidP="005326DD">
            <w:pPr>
              <w:pStyle w:val="ProductList-OfferingBody"/>
              <w:jc w:val="center"/>
            </w:pPr>
            <w:r>
              <w:t>25%</w:t>
            </w:r>
          </w:p>
        </w:tc>
      </w:tr>
      <w:tr w:rsidR="00E044E6" w:rsidRPr="00B44CF9" w14:paraId="04EC0023" w14:textId="77777777" w:rsidTr="005326DD">
        <w:tc>
          <w:tcPr>
            <w:tcW w:w="5400" w:type="dxa"/>
          </w:tcPr>
          <w:p w14:paraId="7C6EC02A" w14:textId="77777777" w:rsidR="00E044E6" w:rsidRPr="00EF7CF9" w:rsidRDefault="00E044E6" w:rsidP="005326DD">
            <w:pPr>
              <w:pStyle w:val="ProductList-OfferingBody"/>
              <w:jc w:val="center"/>
            </w:pPr>
            <w:r>
              <w:t>&lt; 99%</w:t>
            </w:r>
          </w:p>
        </w:tc>
        <w:tc>
          <w:tcPr>
            <w:tcW w:w="5400" w:type="dxa"/>
          </w:tcPr>
          <w:p w14:paraId="3FCF0B29" w14:textId="77777777" w:rsidR="00E044E6" w:rsidRPr="00EF7CF9" w:rsidRDefault="00E044E6" w:rsidP="005326DD">
            <w:pPr>
              <w:pStyle w:val="ProductList-OfferingBody"/>
              <w:jc w:val="center"/>
            </w:pPr>
            <w:r>
              <w:t>50%</w:t>
            </w:r>
          </w:p>
        </w:tc>
      </w:tr>
      <w:tr w:rsidR="00E044E6" w:rsidRPr="00B44CF9" w14:paraId="288216D6" w14:textId="77777777" w:rsidTr="005326DD">
        <w:tc>
          <w:tcPr>
            <w:tcW w:w="5400" w:type="dxa"/>
          </w:tcPr>
          <w:p w14:paraId="6CCDE2D4" w14:textId="77777777" w:rsidR="00E044E6" w:rsidRPr="00EF7CF9" w:rsidRDefault="00E044E6" w:rsidP="005326DD">
            <w:pPr>
              <w:pStyle w:val="ProductList-OfferingBody"/>
              <w:jc w:val="center"/>
            </w:pPr>
            <w:r>
              <w:t>&lt; 95%</w:t>
            </w:r>
          </w:p>
        </w:tc>
        <w:tc>
          <w:tcPr>
            <w:tcW w:w="5400" w:type="dxa"/>
          </w:tcPr>
          <w:p w14:paraId="3183CDFC" w14:textId="77777777" w:rsidR="00E044E6" w:rsidRPr="00EF7CF9" w:rsidRDefault="00E044E6" w:rsidP="005326DD">
            <w:pPr>
              <w:pStyle w:val="ProductList-OfferingBody"/>
              <w:jc w:val="center"/>
            </w:pPr>
            <w:r>
              <w:t>100%</w:t>
            </w:r>
          </w:p>
        </w:tc>
      </w:tr>
    </w:tbl>
    <w:bookmarkStart w:id="60" w:name="MicrosoftDynamics365forRetail"/>
    <w:bookmarkStart w:id="61" w:name="_Toc457821510"/>
    <w:p w14:paraId="535D7F7C" w14:textId="264C889A" w:rsidR="00EA5FB1" w:rsidRPr="00EF7CF9" w:rsidRDefault="00C71F89"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00DD0F59" w14:textId="50C907E7" w:rsidR="00774CA1" w:rsidRPr="00EF7CF9" w:rsidRDefault="00774CA1" w:rsidP="00657A3A">
      <w:pPr>
        <w:pStyle w:val="ProductList-OfferingGroupHeading"/>
        <w:tabs>
          <w:tab w:val="clear" w:pos="360"/>
          <w:tab w:val="clear" w:pos="720"/>
          <w:tab w:val="clear" w:pos="1080"/>
        </w:tabs>
        <w:outlineLvl w:val="1"/>
      </w:pPr>
      <w:bookmarkStart w:id="62" w:name="_Toc457821511"/>
      <w:bookmarkStart w:id="63" w:name="_Toc239174930"/>
      <w:bookmarkEnd w:id="60"/>
      <w:bookmarkEnd w:id="61"/>
      <w:r>
        <w:t>Usługi Office 365</w:t>
      </w:r>
      <w:bookmarkEnd w:id="62"/>
      <w:bookmarkEnd w:id="63"/>
    </w:p>
    <w:p w14:paraId="3BA27431" w14:textId="0D957E31" w:rsidR="00774CA1" w:rsidRPr="00EF7CF9" w:rsidRDefault="0076238C" w:rsidP="001439A9">
      <w:pPr>
        <w:pStyle w:val="ProductList-Offering2Heading"/>
        <w:tabs>
          <w:tab w:val="clear" w:pos="360"/>
          <w:tab w:val="clear" w:pos="720"/>
          <w:tab w:val="clear" w:pos="1080"/>
        </w:tabs>
        <w:outlineLvl w:val="2"/>
      </w:pPr>
      <w:bookmarkStart w:id="64" w:name="_Toc457821512"/>
      <w:bookmarkStart w:id="65" w:name="_Toc239174931"/>
      <w:r>
        <w:t>Duet Enterprise Online</w:t>
      </w:r>
      <w:bookmarkEnd w:id="64"/>
      <w:bookmarkEnd w:id="65"/>
    </w:p>
    <w:p w14:paraId="190CEC04" w14:textId="52467775" w:rsidR="00457D2C" w:rsidRPr="00EF7CF9" w:rsidRDefault="00457D2C" w:rsidP="002A586E">
      <w:pPr>
        <w:pStyle w:val="ProductList-Body"/>
      </w:pPr>
      <w:r>
        <w:rPr>
          <w:b/>
          <w:color w:val="00188F"/>
        </w:rPr>
        <w:t>Przestój</w:t>
      </w:r>
      <w:r w:rsidRPr="007B038A">
        <w:rPr>
          <w:b/>
          <w:color w:val="00188F"/>
        </w:rPr>
        <w:t>:</w:t>
      </w:r>
      <w:r>
        <w:t xml:space="preserve"> Dowolny okres, w którym użytkownicy nie mogą odczytywać ani zapisywać żadnej części zbioru witryn usługi SharePoint Online, do której mają odpowiednie uprawnienia.</w:t>
      </w:r>
    </w:p>
    <w:p w14:paraId="243E6003" w14:textId="635A9981" w:rsidR="00457D2C"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1004673B" w14:textId="77777777" w:rsidR="001A6663" w:rsidRPr="00EF7CF9" w:rsidRDefault="001A6663" w:rsidP="002A586E">
      <w:pPr>
        <w:pStyle w:val="ProductList-Body"/>
      </w:pPr>
    </w:p>
    <w:p w14:paraId="05C84A72" w14:textId="1B32F385" w:rsidR="00457D2C"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6FDCA245" w14:textId="4B3EE57B" w:rsidR="00457D2C"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6898DB7D" w14:textId="77777777" w:rsidR="00992439" w:rsidRPr="00EF7CF9" w:rsidRDefault="00992439" w:rsidP="002A586E">
      <w:pPr>
        <w:pStyle w:val="ProductList-Body"/>
      </w:pPr>
    </w:p>
    <w:p w14:paraId="7EBB7C89" w14:textId="19EF6109" w:rsidR="00457D2C" w:rsidRPr="00EF7CF9" w:rsidRDefault="00457D2C" w:rsidP="00FD5737">
      <w:pPr>
        <w:pStyle w:val="ProductList-Body"/>
        <w:keepNext/>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57D2C" w:rsidRPr="00B44CF9" w14:paraId="70C325E1" w14:textId="77777777" w:rsidTr="00C86427">
        <w:trPr>
          <w:tblHeader/>
        </w:trPr>
        <w:tc>
          <w:tcPr>
            <w:tcW w:w="5400" w:type="dxa"/>
            <w:shd w:val="clear" w:color="auto" w:fill="0072C6"/>
          </w:tcPr>
          <w:p w14:paraId="79A58AAD" w14:textId="46F6830A" w:rsidR="00457D2C"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EC6193D" w14:textId="77777777" w:rsidR="00457D2C" w:rsidRPr="00EF7CF9" w:rsidRDefault="00457D2C" w:rsidP="002A586E">
            <w:pPr>
              <w:pStyle w:val="ProductList-OfferingBody"/>
              <w:jc w:val="center"/>
              <w:rPr>
                <w:color w:val="FFFFFF" w:themeColor="background1"/>
              </w:rPr>
            </w:pPr>
            <w:r>
              <w:rPr>
                <w:color w:val="FFFFFF" w:themeColor="background1"/>
              </w:rPr>
              <w:t>Środki Serwisowe na Używanie Usług</w:t>
            </w:r>
          </w:p>
        </w:tc>
      </w:tr>
      <w:tr w:rsidR="00457D2C" w:rsidRPr="00B44CF9" w14:paraId="58F94D70" w14:textId="77777777" w:rsidTr="00C86427">
        <w:tc>
          <w:tcPr>
            <w:tcW w:w="5400" w:type="dxa"/>
          </w:tcPr>
          <w:p w14:paraId="09911816" w14:textId="6F60CB41" w:rsidR="00457D2C" w:rsidRPr="00EF7CF9" w:rsidRDefault="00457D2C" w:rsidP="002A586E">
            <w:pPr>
              <w:pStyle w:val="ProductList-OfferingBody"/>
              <w:jc w:val="center"/>
            </w:pPr>
            <w:r>
              <w:t>&lt; 99,9%</w:t>
            </w:r>
          </w:p>
        </w:tc>
        <w:tc>
          <w:tcPr>
            <w:tcW w:w="5400" w:type="dxa"/>
          </w:tcPr>
          <w:p w14:paraId="1E55B479" w14:textId="77777777" w:rsidR="00457D2C" w:rsidRPr="00EF7CF9" w:rsidRDefault="00457D2C" w:rsidP="002A586E">
            <w:pPr>
              <w:pStyle w:val="ProductList-OfferingBody"/>
              <w:jc w:val="center"/>
            </w:pPr>
            <w:r>
              <w:t>25%</w:t>
            </w:r>
          </w:p>
        </w:tc>
      </w:tr>
      <w:tr w:rsidR="00457D2C" w:rsidRPr="00B44CF9" w14:paraId="42FEB8E8" w14:textId="77777777" w:rsidTr="00C86427">
        <w:tc>
          <w:tcPr>
            <w:tcW w:w="5400" w:type="dxa"/>
          </w:tcPr>
          <w:p w14:paraId="6F1CA677" w14:textId="6F627B9D" w:rsidR="00457D2C" w:rsidRPr="00EF7CF9" w:rsidRDefault="00457D2C" w:rsidP="002A586E">
            <w:pPr>
              <w:pStyle w:val="ProductList-OfferingBody"/>
              <w:jc w:val="center"/>
            </w:pPr>
            <w:r>
              <w:t>&lt; 99%</w:t>
            </w:r>
          </w:p>
        </w:tc>
        <w:tc>
          <w:tcPr>
            <w:tcW w:w="5400" w:type="dxa"/>
          </w:tcPr>
          <w:p w14:paraId="392B08D5" w14:textId="77777777" w:rsidR="00457D2C" w:rsidRPr="00EF7CF9" w:rsidRDefault="00457D2C" w:rsidP="002A586E">
            <w:pPr>
              <w:pStyle w:val="ProductList-OfferingBody"/>
              <w:jc w:val="center"/>
            </w:pPr>
            <w:r>
              <w:t>50%</w:t>
            </w:r>
          </w:p>
        </w:tc>
      </w:tr>
      <w:tr w:rsidR="00457D2C" w:rsidRPr="00B44CF9" w14:paraId="04233D54" w14:textId="77777777" w:rsidTr="00C86427">
        <w:tc>
          <w:tcPr>
            <w:tcW w:w="5400" w:type="dxa"/>
          </w:tcPr>
          <w:p w14:paraId="41087AD7" w14:textId="77777777" w:rsidR="00457D2C" w:rsidRPr="00EF7CF9" w:rsidRDefault="00457D2C" w:rsidP="002A586E">
            <w:pPr>
              <w:pStyle w:val="ProductList-OfferingBody"/>
              <w:jc w:val="center"/>
            </w:pPr>
            <w:r>
              <w:t>&lt; 95%</w:t>
            </w:r>
          </w:p>
        </w:tc>
        <w:tc>
          <w:tcPr>
            <w:tcW w:w="5400" w:type="dxa"/>
          </w:tcPr>
          <w:p w14:paraId="7D5D6CC8" w14:textId="77777777" w:rsidR="00457D2C" w:rsidRPr="00EF7CF9" w:rsidRDefault="00457D2C" w:rsidP="002A586E">
            <w:pPr>
              <w:pStyle w:val="ProductList-OfferingBody"/>
              <w:jc w:val="center"/>
            </w:pPr>
            <w:r>
              <w:t>100%</w:t>
            </w:r>
          </w:p>
        </w:tc>
      </w:tr>
    </w:tbl>
    <w:p w14:paraId="054A3300" w14:textId="4805DEBA" w:rsidR="00457D2C" w:rsidRPr="00EF7CF9" w:rsidRDefault="00457D2C" w:rsidP="002A586E">
      <w:pPr>
        <w:pStyle w:val="ProductList-Body"/>
      </w:pPr>
    </w:p>
    <w:p w14:paraId="08E6E950" w14:textId="6CA9EF10" w:rsidR="00457D2C" w:rsidRPr="00EF7CF9" w:rsidRDefault="00457D2C" w:rsidP="002A586E">
      <w:pPr>
        <w:pStyle w:val="ProductList-Body"/>
      </w:pPr>
      <w:r>
        <w:rPr>
          <w:b/>
          <w:color w:val="00188F"/>
        </w:rPr>
        <w:t>Wyjątki dotyczące Poziomu Usługi</w:t>
      </w:r>
      <w:r>
        <w:t>. Niniejsza umowa SLA nie ma zastosowania, gdy brak możliwości odczytu lub zapisu dowolnej części witryny usługi SharePoint Online jest spowodowany awarią oprogramowania, sprzętu lub usług innych firm, które nie są kontrolowane przez firmę Microsoft, lub oprogramowania firmy Microsoft, które nie jest uruchamiane przez firmę Microsoft się w ramach Usługi.</w:t>
      </w:r>
    </w:p>
    <w:p w14:paraId="3404DCEC" w14:textId="77777777" w:rsidR="00457D2C" w:rsidRPr="00EF7CF9" w:rsidRDefault="00457D2C" w:rsidP="002A586E">
      <w:pPr>
        <w:pStyle w:val="ProductList-Body"/>
      </w:pPr>
    </w:p>
    <w:p w14:paraId="0A933C0E" w14:textId="4D0B89D8" w:rsidR="00457D2C" w:rsidRPr="00EF7CF9" w:rsidRDefault="00457D2C" w:rsidP="002A586E">
      <w:pPr>
        <w:pStyle w:val="ProductList-Body"/>
      </w:pPr>
      <w:r>
        <w:rPr>
          <w:b/>
          <w:color w:val="00188F"/>
        </w:rPr>
        <w:t>Postanowienia dodatkowe</w:t>
      </w:r>
      <w:r w:rsidRPr="007B038A">
        <w:rPr>
          <w:b/>
          <w:color w:val="00188F"/>
        </w:rPr>
        <w:t>:</w:t>
      </w:r>
      <w:r>
        <w:t xml:space="preserve"> Środki Serwisowe na Używanie Usług Duet Enterprise Online przysługuje wyłącznie wtedy, gdy użytkownik kwalifikuje się do otrzymania Środków na Używanie Usług dla LS SharePoint Online Plan 2, który został zakupiony jako warunek wstępny dla LS na Użytkownika do Duet Enterprise Online.</w:t>
      </w:r>
    </w:p>
    <w:bookmarkStart w:id="66" w:name="_Toc457821513"/>
    <w:p w14:paraId="05734CAB" w14:textId="6422BA6A"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1EE46691" w14:textId="63634FA2" w:rsidR="00D1684A" w:rsidRPr="00EF7CF9" w:rsidRDefault="00457D2C" w:rsidP="002A586E">
      <w:pPr>
        <w:pStyle w:val="ProductList-Offering2Heading"/>
        <w:outlineLvl w:val="2"/>
      </w:pPr>
      <w:bookmarkStart w:id="67" w:name="_Toc239174932"/>
      <w:r>
        <w:t>Exchange Online</w:t>
      </w:r>
      <w:bookmarkEnd w:id="66"/>
      <w:bookmarkEnd w:id="67"/>
    </w:p>
    <w:p w14:paraId="586A6878" w14:textId="77777777" w:rsidR="00FF5E12" w:rsidRPr="00F9236E" w:rsidRDefault="00FF5E12" w:rsidP="00FF5E12">
      <w:pPr>
        <w:pStyle w:val="ProductList-Body"/>
        <w:rPr>
          <w:rFonts w:ascii="Calibri" w:hAnsi="Calibri" w:cs="Calibri"/>
        </w:rPr>
      </w:pPr>
      <w:r>
        <w:rPr>
          <w:rFonts w:ascii="Calibri" w:hAnsi="Calibri" w:cs="Calibri"/>
          <w:b/>
          <w:color w:val="00188F"/>
        </w:rPr>
        <w:t>Przestój</w:t>
      </w:r>
      <w:r w:rsidRPr="00860EF0">
        <w:rPr>
          <w:rFonts w:ascii="Calibri" w:hAnsi="Calibri" w:cs="Calibri"/>
          <w:b/>
          <w:bCs/>
        </w:rPr>
        <w:t>:</w:t>
      </w:r>
      <w:r>
        <w:rPr>
          <w:rFonts w:ascii="Calibri" w:hAnsi="Calibri" w:cs="Calibri"/>
        </w:rPr>
        <w:t xml:space="preserve"> Dowolny okres, w którym użytkownicy nie mogą wysyłać ani odbierać wiadomości e-mail za pomocą programu Outlook Web Access. W przypadku tej usługi nie ma Planowego Przestoju.</w:t>
      </w:r>
    </w:p>
    <w:p w14:paraId="1C33F223" w14:textId="77777777" w:rsidR="00FF5E12" w:rsidRPr="00F9236E" w:rsidRDefault="00FF5E12" w:rsidP="00FF5E12">
      <w:pPr>
        <w:pStyle w:val="ProductList-Body"/>
        <w:rPr>
          <w:rFonts w:ascii="Calibri" w:hAnsi="Calibri" w:cs="Calibri"/>
        </w:rPr>
      </w:pPr>
      <w:r>
        <w:rPr>
          <w:rFonts w:ascii="Calibri" w:hAnsi="Calibri" w:cs="Calibri"/>
          <w:b/>
          <w:color w:val="00188F"/>
        </w:rPr>
        <w:t>Procent Czasu Sprawnego Działania</w:t>
      </w:r>
      <w:r w:rsidRPr="00860EF0">
        <w:rPr>
          <w:rFonts w:ascii="Calibri" w:hAnsi="Calibri" w:cs="Calibri"/>
          <w:b/>
          <w:bCs/>
        </w:rPr>
        <w:t>:</w:t>
      </w:r>
      <w:r>
        <w:rPr>
          <w:rFonts w:ascii="Calibri" w:hAnsi="Calibri" w:cs="Calibri"/>
        </w:rPr>
        <w:t xml:space="preserve"> Procent Czasu Sprawnego Działania jest obliczany przy użyciu następującego wzoru:</w:t>
      </w:r>
    </w:p>
    <w:p w14:paraId="0FDCDAD8" w14:textId="77777777" w:rsidR="00FF5E12" w:rsidRPr="00EF7CF9" w:rsidRDefault="00FF5E12" w:rsidP="00FF5E12">
      <w:pPr>
        <w:pStyle w:val="ProductList-Body"/>
      </w:pPr>
    </w:p>
    <w:p w14:paraId="26C457CD" w14:textId="77777777" w:rsidR="00FF5E12" w:rsidRPr="00EF7CF9" w:rsidRDefault="00000000" w:rsidP="00FF5E12">
      <w:pPr>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Minuty Użytkownika - Przestój </m:t>
              </m:r>
            </m:num>
            <m:den>
              <m:r>
                <w:rPr>
                  <w:rFonts w:ascii="Cambria Math" w:hAnsi="Cambria Math" w:cs="Calibri"/>
                  <w:sz w:val="18"/>
                  <w:szCs w:val="18"/>
                </w:rPr>
                <m:t>Minuty Użytkownika</m:t>
              </m:r>
            </m:den>
          </m:f>
          <m:r>
            <w:rPr>
              <w:rFonts w:ascii="Cambria Math" w:hAnsi="Cambria Math" w:cs="Calibri"/>
              <w:sz w:val="18"/>
              <w:szCs w:val="18"/>
            </w:rPr>
            <m:t xml:space="preserve"> x 100</m:t>
          </m:r>
        </m:oMath>
      </m:oMathPara>
    </w:p>
    <w:p w14:paraId="55692A50" w14:textId="77777777" w:rsidR="00FF5E12" w:rsidRDefault="00FF5E12" w:rsidP="00FF5E12">
      <w:pPr>
        <w:pStyle w:val="ProductList-Body"/>
        <w:rPr>
          <w:rFonts w:ascii="Calibri" w:hAnsi="Calibri" w:cs="Calibri"/>
        </w:rPr>
      </w:pPr>
      <w:r>
        <w:rPr>
          <w:rFonts w:ascii="Calibri" w:hAnsi="Calibri" w:cs="Calibri"/>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68595370" w14:textId="77777777" w:rsidR="00FF5E12" w:rsidRPr="00F9236E" w:rsidRDefault="00FF5E12" w:rsidP="00FF5E12">
      <w:pPr>
        <w:pStyle w:val="ProductList-Body"/>
        <w:rPr>
          <w:rFonts w:ascii="Calibri" w:hAnsi="Calibri" w:cs="Calibri"/>
        </w:rPr>
      </w:pPr>
    </w:p>
    <w:p w14:paraId="79B064B8" w14:textId="190589DB" w:rsidR="008C5EDB" w:rsidRPr="00EF7CF9" w:rsidRDefault="008C5EDB" w:rsidP="002A586E">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78C70E5C" w14:textId="77777777" w:rsidTr="00C86427">
        <w:trPr>
          <w:tblHeader/>
        </w:trPr>
        <w:tc>
          <w:tcPr>
            <w:tcW w:w="5400" w:type="dxa"/>
            <w:shd w:val="clear" w:color="auto" w:fill="0072C6"/>
          </w:tcPr>
          <w:p w14:paraId="7F14DE0D" w14:textId="1A98262F" w:rsidR="008C5EDB"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E9798A0" w14:textId="77777777" w:rsidR="008C5EDB" w:rsidRPr="00EF7CF9" w:rsidRDefault="008C5EDB" w:rsidP="002A586E">
            <w:pPr>
              <w:pStyle w:val="ProductList-OfferingBody"/>
              <w:jc w:val="center"/>
              <w:rPr>
                <w:color w:val="FFFFFF" w:themeColor="background1"/>
              </w:rPr>
            </w:pPr>
            <w:r>
              <w:rPr>
                <w:color w:val="FFFFFF" w:themeColor="background1"/>
              </w:rPr>
              <w:t>Środki Serwisowe na Używanie Usług</w:t>
            </w:r>
          </w:p>
        </w:tc>
      </w:tr>
      <w:tr w:rsidR="008C5EDB" w:rsidRPr="00B44CF9" w14:paraId="0D8E35A8" w14:textId="77777777" w:rsidTr="00C86427">
        <w:tc>
          <w:tcPr>
            <w:tcW w:w="5400" w:type="dxa"/>
          </w:tcPr>
          <w:p w14:paraId="077ED045" w14:textId="1ECDA385" w:rsidR="008C5EDB" w:rsidRPr="00EF7CF9" w:rsidRDefault="008C5EDB" w:rsidP="002A586E">
            <w:pPr>
              <w:pStyle w:val="ProductList-OfferingBody"/>
              <w:jc w:val="center"/>
            </w:pPr>
            <w:r>
              <w:t>&lt; 99,9%</w:t>
            </w:r>
          </w:p>
        </w:tc>
        <w:tc>
          <w:tcPr>
            <w:tcW w:w="5400" w:type="dxa"/>
          </w:tcPr>
          <w:p w14:paraId="27088976" w14:textId="77777777" w:rsidR="008C5EDB" w:rsidRPr="00EF7CF9" w:rsidRDefault="008C5EDB" w:rsidP="002A586E">
            <w:pPr>
              <w:pStyle w:val="ProductList-OfferingBody"/>
              <w:jc w:val="center"/>
            </w:pPr>
            <w:r>
              <w:t>25%</w:t>
            </w:r>
          </w:p>
        </w:tc>
      </w:tr>
      <w:tr w:rsidR="008C5EDB" w:rsidRPr="00B44CF9" w14:paraId="2C28970C" w14:textId="77777777" w:rsidTr="00C86427">
        <w:tc>
          <w:tcPr>
            <w:tcW w:w="5400" w:type="dxa"/>
          </w:tcPr>
          <w:p w14:paraId="23AD33F1" w14:textId="5206F138" w:rsidR="008C5EDB" w:rsidRPr="00EF7CF9" w:rsidRDefault="008C5EDB" w:rsidP="002A586E">
            <w:pPr>
              <w:pStyle w:val="ProductList-OfferingBody"/>
              <w:jc w:val="center"/>
            </w:pPr>
            <w:r>
              <w:t>&lt; 99%</w:t>
            </w:r>
          </w:p>
        </w:tc>
        <w:tc>
          <w:tcPr>
            <w:tcW w:w="5400" w:type="dxa"/>
          </w:tcPr>
          <w:p w14:paraId="46AE6A16" w14:textId="77777777" w:rsidR="008C5EDB" w:rsidRPr="00EF7CF9" w:rsidRDefault="008C5EDB" w:rsidP="002A586E">
            <w:pPr>
              <w:pStyle w:val="ProductList-OfferingBody"/>
              <w:jc w:val="center"/>
            </w:pPr>
            <w:r>
              <w:t>50%</w:t>
            </w:r>
          </w:p>
        </w:tc>
      </w:tr>
      <w:tr w:rsidR="008C5EDB" w:rsidRPr="00B44CF9" w14:paraId="63DFBD57" w14:textId="77777777" w:rsidTr="00C86427">
        <w:tc>
          <w:tcPr>
            <w:tcW w:w="5400" w:type="dxa"/>
          </w:tcPr>
          <w:p w14:paraId="2C378505" w14:textId="77777777" w:rsidR="008C5EDB" w:rsidRPr="00EF7CF9" w:rsidRDefault="008C5EDB" w:rsidP="002A586E">
            <w:pPr>
              <w:pStyle w:val="ProductList-OfferingBody"/>
              <w:jc w:val="center"/>
            </w:pPr>
            <w:r>
              <w:t>&lt; 95%</w:t>
            </w:r>
          </w:p>
        </w:tc>
        <w:tc>
          <w:tcPr>
            <w:tcW w:w="5400" w:type="dxa"/>
          </w:tcPr>
          <w:p w14:paraId="68F6EC9A" w14:textId="77777777" w:rsidR="008C5EDB" w:rsidRPr="00EF7CF9" w:rsidRDefault="008C5EDB" w:rsidP="002A586E">
            <w:pPr>
              <w:pStyle w:val="ProductList-OfferingBody"/>
              <w:jc w:val="center"/>
            </w:pPr>
            <w:r>
              <w:t>100%</w:t>
            </w:r>
          </w:p>
        </w:tc>
      </w:tr>
    </w:tbl>
    <w:p w14:paraId="275492C7" w14:textId="77777777" w:rsidR="00657A3A" w:rsidRDefault="00657A3A" w:rsidP="002A586E">
      <w:pPr>
        <w:pStyle w:val="ProductList-Body"/>
        <w:tabs>
          <w:tab w:val="clear" w:pos="360"/>
          <w:tab w:val="clear" w:pos="720"/>
          <w:tab w:val="clear" w:pos="1080"/>
        </w:tabs>
        <w:rPr>
          <w:b/>
          <w:color w:val="00188F"/>
        </w:rPr>
      </w:pPr>
    </w:p>
    <w:p w14:paraId="1B0B1C43" w14:textId="77777777" w:rsidR="0007032F" w:rsidRPr="00D81517" w:rsidRDefault="0007032F" w:rsidP="0007032F">
      <w:pPr>
        <w:pStyle w:val="ProductList-Body"/>
        <w:rPr>
          <w:rFonts w:ascii="Calibri" w:hAnsi="Calibri" w:cs="Calibri"/>
          <w:b/>
          <w:color w:val="00188F"/>
        </w:rPr>
      </w:pPr>
      <w:bookmarkStart w:id="68" w:name="_Toc457821514"/>
      <w:r>
        <w:rPr>
          <w:rFonts w:ascii="Calibri" w:hAnsi="Calibri" w:cs="Calibri"/>
          <w:b/>
          <w:color w:val="00188F"/>
        </w:rPr>
        <w:t>Poziom dostępności usługi OWA nie ma zastosowania w następujących sytuacjach:</w:t>
      </w:r>
    </w:p>
    <w:p w14:paraId="1447FDD3" w14:textId="77777777" w:rsidR="0007032F" w:rsidRPr="00D81517" w:rsidRDefault="0007032F" w:rsidP="00DB4449">
      <w:pPr>
        <w:pStyle w:val="ProductList-Body"/>
        <w:numPr>
          <w:ilvl w:val="0"/>
          <w:numId w:val="32"/>
        </w:numPr>
        <w:rPr>
          <w:rFonts w:ascii="Calibri" w:hAnsi="Calibri" w:cs="Calibri"/>
        </w:rPr>
      </w:pPr>
      <w:r>
        <w:rPr>
          <w:rFonts w:ascii="Calibri" w:hAnsi="Calibri" w:cs="Calibri"/>
        </w:rPr>
        <w:t>Ataki typu „odmowa usługi” (</w:t>
      </w:r>
      <w:proofErr w:type="spellStart"/>
      <w:r>
        <w:rPr>
          <w:rFonts w:ascii="Calibri" w:hAnsi="Calibri" w:cs="Calibri"/>
        </w:rPr>
        <w:t>DoS</w:t>
      </w:r>
      <w:proofErr w:type="spellEnd"/>
      <w:r>
        <w:rPr>
          <w:rFonts w:ascii="Calibri" w:hAnsi="Calibri" w:cs="Calibri"/>
        </w:rPr>
        <w:t>)D</w:t>
      </w:r>
    </w:p>
    <w:p w14:paraId="28E14612" w14:textId="77777777" w:rsidR="0007032F" w:rsidRPr="00D81517" w:rsidRDefault="0007032F" w:rsidP="00DB4449">
      <w:pPr>
        <w:pStyle w:val="ProductList-Body"/>
        <w:numPr>
          <w:ilvl w:val="0"/>
          <w:numId w:val="32"/>
        </w:numPr>
        <w:rPr>
          <w:rFonts w:ascii="Calibri" w:hAnsi="Calibri" w:cs="Calibri"/>
        </w:rPr>
      </w:pPr>
      <w:r>
        <w:rPr>
          <w:rFonts w:ascii="Calibri" w:hAnsi="Calibri" w:cs="Calibri"/>
        </w:rPr>
        <w:t>Błędna konfiguracja Dzierżawcy Microsoft 365</w:t>
      </w:r>
    </w:p>
    <w:p w14:paraId="6549DFC7" w14:textId="77777777" w:rsidR="0007032F" w:rsidRPr="00D81517" w:rsidRDefault="0007032F" w:rsidP="00DB4449">
      <w:pPr>
        <w:pStyle w:val="ProductList-Body"/>
        <w:numPr>
          <w:ilvl w:val="0"/>
          <w:numId w:val="32"/>
        </w:numPr>
        <w:rPr>
          <w:rFonts w:ascii="Calibri" w:hAnsi="Calibri" w:cs="Calibri"/>
        </w:rPr>
      </w:pPr>
      <w:r>
        <w:rPr>
          <w:rFonts w:ascii="Calibri" w:hAnsi="Calibri" w:cs="Calibri"/>
        </w:rPr>
        <w:t>Problemy występujące z siecią poza obrębem usługi Microsoft 365</w:t>
      </w:r>
    </w:p>
    <w:p w14:paraId="5E1ABAD2" w14:textId="77777777" w:rsidR="0007032F" w:rsidRPr="00D81517" w:rsidRDefault="0007032F" w:rsidP="00DB4449">
      <w:pPr>
        <w:pStyle w:val="ProductList-Body"/>
        <w:numPr>
          <w:ilvl w:val="0"/>
          <w:numId w:val="32"/>
        </w:numPr>
        <w:rPr>
          <w:rFonts w:ascii="Calibri" w:hAnsi="Calibri" w:cs="Calibri"/>
        </w:rPr>
      </w:pPr>
      <w:r>
        <w:rPr>
          <w:rFonts w:ascii="Calibri" w:hAnsi="Calibri" w:cs="Calibri"/>
        </w:rPr>
        <w:t>Przekroczenie limitów wysyłania/odbierania dla usługi Microsoft 365</w:t>
      </w:r>
    </w:p>
    <w:p w14:paraId="427DE8D9" w14:textId="77777777" w:rsidR="0007032F" w:rsidRPr="00D81517" w:rsidRDefault="0007032F" w:rsidP="00DB4449">
      <w:pPr>
        <w:pStyle w:val="ProductList-Body"/>
        <w:numPr>
          <w:ilvl w:val="0"/>
          <w:numId w:val="32"/>
        </w:numPr>
        <w:rPr>
          <w:rFonts w:ascii="Calibri" w:hAnsi="Calibri" w:cs="Calibri"/>
        </w:rPr>
      </w:pPr>
      <w:r>
        <w:rPr>
          <w:rFonts w:ascii="Calibri" w:hAnsi="Calibri" w:cs="Calibri"/>
        </w:rPr>
        <w:t>Problemy spowodowane rozszerzeniami (np. niestandardowymi zasadami dzierżawy, aplikacjami)</w:t>
      </w:r>
    </w:p>
    <w:p w14:paraId="735AAF83" w14:textId="77777777" w:rsidR="0007032F" w:rsidRPr="00D81517" w:rsidRDefault="0007032F" w:rsidP="00DB4449">
      <w:pPr>
        <w:pStyle w:val="ProductList-Body"/>
        <w:numPr>
          <w:ilvl w:val="0"/>
          <w:numId w:val="32"/>
        </w:numPr>
        <w:rPr>
          <w:rFonts w:ascii="Calibri" w:hAnsi="Calibri" w:cs="Calibri"/>
        </w:rPr>
      </w:pPr>
      <w:r>
        <w:rPr>
          <w:rFonts w:ascii="Calibri" w:hAnsi="Calibri" w:cs="Calibri"/>
        </w:rPr>
        <w:t xml:space="preserve">Incydenty spowodowane przez osoby trzecie (np. dostawców usług internetowych, </w:t>
      </w:r>
      <w:proofErr w:type="spellStart"/>
      <w:r>
        <w:rPr>
          <w:rFonts w:ascii="Calibri" w:hAnsi="Calibri" w:cs="Calibri"/>
        </w:rPr>
        <w:t>OnPrem</w:t>
      </w:r>
      <w:proofErr w:type="spellEnd"/>
      <w:r>
        <w:rPr>
          <w:rFonts w:ascii="Calibri" w:hAnsi="Calibri" w:cs="Calibri"/>
        </w:rPr>
        <w:t xml:space="preserve"> itp.)</w:t>
      </w:r>
    </w:p>
    <w:p w14:paraId="3450CE67" w14:textId="77777777" w:rsidR="0007032F" w:rsidRDefault="0007032F" w:rsidP="001A63FE">
      <w:pPr>
        <w:pStyle w:val="ProductList-Body"/>
        <w:rPr>
          <w:rFonts w:ascii="Calibri" w:hAnsi="Calibri" w:cs="Calibri"/>
          <w:b/>
          <w:color w:val="00188F"/>
          <w:szCs w:val="18"/>
        </w:rPr>
      </w:pPr>
    </w:p>
    <w:p w14:paraId="641F972B" w14:textId="49BB5FA3" w:rsidR="001A63FE" w:rsidRPr="00545240" w:rsidRDefault="001A63FE" w:rsidP="001A63FE">
      <w:pPr>
        <w:pStyle w:val="ProductList-Body"/>
        <w:rPr>
          <w:rFonts w:ascii="Calibri" w:hAnsi="Calibri" w:cs="Calibri"/>
          <w:color w:val="00188F"/>
          <w:szCs w:val="18"/>
        </w:rPr>
      </w:pPr>
      <w:r>
        <w:rPr>
          <w:rFonts w:ascii="Calibri" w:hAnsi="Calibri" w:cs="Calibri"/>
          <w:b/>
          <w:color w:val="00188F"/>
          <w:szCs w:val="18"/>
        </w:rPr>
        <w:t>Procent Czasu Sprawnego Działania dla Czasu Dostarczania Wiadomości E-mail Exchange</w:t>
      </w:r>
    </w:p>
    <w:p w14:paraId="2AF7445C" w14:textId="77777777" w:rsidR="001A63FE" w:rsidRPr="00CD6A13" w:rsidRDefault="001A63FE" w:rsidP="001A63FE">
      <w:pPr>
        <w:pStyle w:val="ProductList-Body"/>
        <w:rPr>
          <w:rFonts w:ascii="Calibri" w:hAnsi="Calibri" w:cs="Calibri"/>
          <w:b/>
          <w:color w:val="00188F"/>
          <w:szCs w:val="18"/>
        </w:rPr>
      </w:pPr>
      <w:r>
        <w:rPr>
          <w:rFonts w:ascii="Calibri" w:hAnsi="Calibri" w:cs="Calibri"/>
          <w:b/>
          <w:color w:val="00188F"/>
          <w:szCs w:val="18"/>
        </w:rPr>
        <w:t>Wewnętrzna Dostawa Wiadomości E-mail M365</w:t>
      </w:r>
    </w:p>
    <w:p w14:paraId="6B063AF0" w14:textId="77777777" w:rsidR="001A63FE" w:rsidRPr="00545240" w:rsidRDefault="001A63FE" w:rsidP="001A63FE">
      <w:pPr>
        <w:pStyle w:val="ProductList-Body"/>
        <w:rPr>
          <w:rFonts w:ascii="Calibri" w:hAnsi="Calibri" w:cs="Calibri"/>
          <w:szCs w:val="18"/>
        </w:rPr>
      </w:pPr>
      <w:r>
        <w:rPr>
          <w:rFonts w:ascii="Calibri" w:hAnsi="Calibri" w:cs="Calibri"/>
          <w:szCs w:val="18"/>
        </w:rPr>
        <w:t>Wewnętrzna Dostawa Wiadomości E-mail M365 jest definiowana jako najszybciej dostarczone 95% wiadomości i mierzony w sekundach w ciągu Właściwego Okresu w granicach platformy Microsoft 365 oraz dotyczy następujących scenariuszy:</w:t>
      </w:r>
    </w:p>
    <w:p w14:paraId="690FE7E5" w14:textId="77777777" w:rsidR="001A63FE" w:rsidRPr="00545240" w:rsidRDefault="001A63FE" w:rsidP="00DB4449">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Wiadomości przychodzące do skrzynki pocztowej hostowanej w chmurze Microsoft 365</w:t>
      </w:r>
      <w:r w:rsidRPr="001D70B7">
        <w:rPr>
          <w:rFonts w:ascii="Calibri" w:eastAsia="Times New Roman" w:hAnsi="Calibri" w:cs="Calibri"/>
          <w:b/>
          <w:bCs/>
          <w:color w:val="000000"/>
          <w:szCs w:val="18"/>
        </w:rPr>
        <w:t>:</w:t>
      </w:r>
      <w:r>
        <w:rPr>
          <w:rFonts w:ascii="Calibri" w:eastAsia="Times New Roman" w:hAnsi="Calibri" w:cs="Calibri"/>
          <w:color w:val="000000"/>
          <w:szCs w:val="18"/>
        </w:rPr>
        <w:t xml:space="preserve"> Czas, jaki upłynął od momentu, gdy poczta wchodzi w granice platformy Microsoft 365, do momentu dostarczenia poczty do skrzynki pocztowej hostowanej w chmurze platformy Microsoft 365</w:t>
      </w:r>
      <w:r>
        <w:rPr>
          <w:rFonts w:ascii="Calibri" w:hAnsi="Calibri" w:cs="Calibri"/>
          <w:szCs w:val="18"/>
        </w:rPr>
        <w:t>.</w:t>
      </w:r>
    </w:p>
    <w:p w14:paraId="22402CD0" w14:textId="77777777" w:rsidR="001A63FE" w:rsidRPr="00545240" w:rsidRDefault="001A63FE" w:rsidP="00DB4449">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Od dzierżawcy wewnętrznego Microsoft 365 do skrzynki pocztowej hostowanej w chmurze Microsoft 365 (z wyłączeniem współpracy między dzierżawcami)</w:t>
      </w:r>
      <w:r w:rsidRPr="001D70B7">
        <w:rPr>
          <w:rFonts w:ascii="Calibri" w:eastAsia="Times New Roman" w:hAnsi="Calibri" w:cs="Calibri"/>
          <w:b/>
          <w:bCs/>
          <w:color w:val="000000"/>
          <w:szCs w:val="18"/>
        </w:rPr>
        <w:t>:</w:t>
      </w:r>
      <w:r>
        <w:rPr>
          <w:rFonts w:ascii="Calibri" w:eastAsia="Times New Roman" w:hAnsi="Calibri" w:cs="Calibri"/>
          <w:color w:val="000000"/>
          <w:szCs w:val="18"/>
        </w:rPr>
        <w:t xml:space="preserve"> Czas, jaki upłynął od wysłania poczty ze skrzynki pocztowej hostowanej w chmurze usługi Microsoft 365 a dostarczeniem tej poczty do innej skrzynki pocztowej hostowanej w chmurze platformy Microsoft 365</w:t>
      </w:r>
      <w:r>
        <w:rPr>
          <w:rFonts w:ascii="Calibri" w:hAnsi="Calibri" w:cs="Calibri"/>
          <w:szCs w:val="18"/>
        </w:rPr>
        <w:t>.</w:t>
      </w:r>
    </w:p>
    <w:p w14:paraId="1303DB44" w14:textId="77777777" w:rsidR="001A63FE" w:rsidRPr="00545240" w:rsidRDefault="001A63FE" w:rsidP="00DB4449">
      <w:pPr>
        <w:pStyle w:val="ProductList-Body"/>
        <w:numPr>
          <w:ilvl w:val="0"/>
          <w:numId w:val="22"/>
        </w:numPr>
        <w:ind w:left="720"/>
        <w:rPr>
          <w:rFonts w:ascii="Calibri" w:hAnsi="Calibri" w:cs="Calibri"/>
          <w:b/>
          <w:bCs/>
          <w:szCs w:val="18"/>
        </w:rPr>
      </w:pPr>
      <w:r>
        <w:rPr>
          <w:rFonts w:ascii="Calibri" w:eastAsia="Times New Roman" w:hAnsi="Calibri" w:cs="Calibri"/>
          <w:b/>
          <w:bCs/>
          <w:color w:val="000000"/>
          <w:szCs w:val="18"/>
        </w:rPr>
        <w:t>Skrzynka pocztowa hostowana w chmurze Microsoft 365 wysyłająca do odbiorcy zewnętrznego</w:t>
      </w:r>
      <w:r w:rsidRPr="001D70B7">
        <w:rPr>
          <w:rFonts w:ascii="Calibri" w:eastAsia="Times New Roman" w:hAnsi="Calibri" w:cs="Calibri"/>
          <w:b/>
          <w:bCs/>
          <w:color w:val="000000"/>
          <w:szCs w:val="18"/>
        </w:rPr>
        <w:t>:</w:t>
      </w:r>
      <w:r>
        <w:rPr>
          <w:rFonts w:ascii="Calibri" w:eastAsia="Times New Roman" w:hAnsi="Calibri" w:cs="Calibri"/>
          <w:color w:val="000000"/>
          <w:szCs w:val="18"/>
        </w:rPr>
        <w:t xml:space="preserve"> Czas, jaki upłynął od wysłania poczty ze skrzynki pocztowej hostowanej w chmurze platformy Microsoft 365 do odbiorcy zewnętrznego, w przypadku gdy opóźnienie zostało zidentyfikowane jako awaria w granicach dzierżawy platformy Microsoft 365</w:t>
      </w:r>
      <w:r>
        <w:rPr>
          <w:rFonts w:ascii="Calibri" w:hAnsi="Calibri" w:cs="Calibri"/>
          <w:szCs w:val="18"/>
        </w:rPr>
        <w:t>.</w:t>
      </w:r>
    </w:p>
    <w:p w14:paraId="15FF7FEB" w14:textId="77777777" w:rsidR="001A63FE" w:rsidRPr="00545240" w:rsidRDefault="001A63FE" w:rsidP="00DB4449">
      <w:pPr>
        <w:pStyle w:val="ProductList-Body"/>
        <w:numPr>
          <w:ilvl w:val="0"/>
          <w:numId w:val="22"/>
        </w:numPr>
        <w:ind w:left="720"/>
        <w:rPr>
          <w:rFonts w:ascii="Calibri" w:hAnsi="Calibri" w:cs="Calibri"/>
          <w:szCs w:val="18"/>
        </w:rPr>
      </w:pPr>
      <w:r>
        <w:rPr>
          <w:rFonts w:ascii="Calibri" w:eastAsia="Times New Roman" w:hAnsi="Calibri" w:cs="Calibri"/>
          <w:b/>
          <w:bCs/>
          <w:color w:val="000000"/>
          <w:szCs w:val="18"/>
        </w:rPr>
        <w:t>Przekazywanie usługi Microsoft 365 do odbiorcy zewnętrznego</w:t>
      </w:r>
      <w:r w:rsidRPr="001D70B7">
        <w:rPr>
          <w:rFonts w:ascii="Calibri" w:eastAsia="Times New Roman" w:hAnsi="Calibri" w:cs="Calibri"/>
          <w:b/>
          <w:bCs/>
          <w:color w:val="000000"/>
          <w:szCs w:val="18"/>
        </w:rPr>
        <w:t>:</w:t>
      </w:r>
      <w:r>
        <w:rPr>
          <w:rFonts w:ascii="Calibri" w:eastAsia="Times New Roman" w:hAnsi="Calibri" w:cs="Calibri"/>
          <w:color w:val="000000"/>
          <w:szCs w:val="18"/>
        </w:rPr>
        <w:t xml:space="preserve"> Czas, jaki upłynął od momentu, gdy poczta wchodzi w granice Microsoft 365 ze środowiska lokalnego klienta za pośrednictwem łącznika przychodzącego i opuszcza granice dzierżawy Microsoft 365, a opóźnienie zostało zidentyfikowane jako awaria w granicach Microsoft 365.</w:t>
      </w:r>
    </w:p>
    <w:p w14:paraId="05DB2767" w14:textId="77777777" w:rsidR="001A63FE" w:rsidRPr="00545240" w:rsidRDefault="001A63FE" w:rsidP="001A63FE">
      <w:pPr>
        <w:pStyle w:val="ProductList-Body"/>
        <w:ind w:left="720"/>
        <w:rPr>
          <w:rFonts w:ascii="Calibri" w:hAnsi="Calibri" w:cs="Calibri"/>
          <w:szCs w:val="18"/>
        </w:rPr>
      </w:pPr>
    </w:p>
    <w:p w14:paraId="43834367" w14:textId="77777777" w:rsidR="001A63FE" w:rsidRPr="00545240" w:rsidRDefault="001A63FE" w:rsidP="001A63FE">
      <w:pPr>
        <w:pStyle w:val="ProductList-Body"/>
        <w:rPr>
          <w:rFonts w:ascii="Calibri" w:hAnsi="Calibri" w:cs="Calibri"/>
          <w:bCs/>
          <w:szCs w:val="18"/>
        </w:rPr>
      </w:pPr>
      <w:r>
        <w:rPr>
          <w:rFonts w:ascii="Calibri" w:hAnsi="Calibri" w:cs="Calibri"/>
          <w:bCs/>
          <w:szCs w:val="18"/>
        </w:rPr>
        <w:t>Wewnętrzna Dostawa Wiadomości E-mail M365 jest mierzona, a następnie sortowana według czasu, który upłynął. Najszybsze 95% wyników pomiarów jest wykorzystywane do stworzenia średniego czasu dostarczania dla danego Właściwego Okresu.</w:t>
      </w:r>
    </w:p>
    <w:p w14:paraId="1DBDADF9" w14:textId="77777777" w:rsidR="001A63FE" w:rsidRPr="00545240" w:rsidRDefault="001A63FE" w:rsidP="001A63FE">
      <w:pPr>
        <w:pStyle w:val="ProductList-Body"/>
        <w:rPr>
          <w:rFonts w:ascii="Calibri" w:hAnsi="Calibri" w:cs="Calibri"/>
          <w:szCs w:val="18"/>
        </w:rPr>
      </w:pPr>
    </w:p>
    <w:p w14:paraId="10C7DDFC" w14:textId="77777777" w:rsidR="001A63FE" w:rsidRPr="00545240" w:rsidRDefault="001A63FE" w:rsidP="001A63FE">
      <w:pPr>
        <w:pStyle w:val="ProductList-Body"/>
        <w:rPr>
          <w:rFonts w:ascii="Calibri" w:hAnsi="Calibri" w:cs="Calibri"/>
          <w:szCs w:val="18"/>
        </w:rPr>
      </w:pPr>
      <w:r>
        <w:rPr>
          <w:rFonts w:ascii="Calibri" w:eastAsia="Times New Roman" w:hAnsi="Calibri" w:cs="Calibri"/>
          <w:color w:val="000000"/>
          <w:szCs w:val="18"/>
        </w:rPr>
        <w:t>Klienci kwalifikują się do zwrotu kosztów usługi, gdy 95% najszybszej dostawy wiadomości e-mail w danym Właściwym Okresie przekracza następujące progi</w:t>
      </w:r>
      <w:r>
        <w:rPr>
          <w:rFonts w:ascii="Calibri" w:hAnsi="Calibri" w:cs="Calibri"/>
          <w:szCs w:val="18"/>
        </w:rPr>
        <w:t>:</w:t>
      </w:r>
    </w:p>
    <w:tbl>
      <w:tblPr>
        <w:tblW w:w="5005"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5671"/>
      </w:tblGrid>
      <w:tr w:rsidR="001A63FE" w14:paraId="49D8A71B" w14:textId="77777777" w:rsidTr="00215B1F">
        <w:trPr>
          <w:trHeight w:val="170"/>
          <w:tblHeader/>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E9BCCAF" w14:textId="77777777" w:rsidR="001A63FE" w:rsidRPr="00726397" w:rsidRDefault="001A63FE" w:rsidP="00215B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Średni czas dostarczenia wiadomości e-mail</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A084200" w14:textId="77777777" w:rsidR="001A63FE" w:rsidRPr="00726397" w:rsidRDefault="001A63FE" w:rsidP="00215B1F">
            <w:pPr>
              <w:pStyle w:val="ProductList-OfferingBody"/>
              <w:spacing w:line="256" w:lineRule="auto"/>
              <w:jc w:val="center"/>
              <w:rPr>
                <w:rFonts w:ascii="Calibri" w:hAnsi="Calibri" w:cs="Calibri"/>
                <w:bCs/>
                <w:color w:val="FFFFFF" w:themeColor="background1"/>
                <w:szCs w:val="16"/>
                <w:lang w:eastAsia="ko-KR"/>
              </w:rPr>
            </w:pPr>
            <w:r>
              <w:rPr>
                <w:rFonts w:ascii="Calibri" w:hAnsi="Calibri" w:cs="Calibri"/>
                <w:bCs/>
                <w:color w:val="FFFFFF" w:themeColor="background1"/>
                <w:szCs w:val="16"/>
              </w:rPr>
              <w:t>Środki na Używanie Usług</w:t>
            </w:r>
          </w:p>
        </w:tc>
      </w:tr>
      <w:tr w:rsidR="001A63FE" w14:paraId="2A274DC0" w14:textId="77777777" w:rsidTr="00215B1F">
        <w:trPr>
          <w:trHeight w:val="242"/>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8F9DFD" w14:textId="77777777" w:rsidR="001A63FE" w:rsidRPr="00726397" w:rsidRDefault="001A63FE" w:rsidP="00215B1F">
            <w:pPr>
              <w:pStyle w:val="ProductList-OfferingBody"/>
              <w:spacing w:line="257" w:lineRule="auto"/>
              <w:jc w:val="center"/>
              <w:rPr>
                <w:rFonts w:ascii="Calibri" w:hAnsi="Calibri" w:cs="Calibri"/>
                <w:szCs w:val="16"/>
                <w:lang w:eastAsia="ko-KR"/>
              </w:rPr>
            </w:pPr>
            <w:r>
              <w:rPr>
                <w:rFonts w:ascii="Calibri" w:hAnsi="Calibri" w:cs="Calibri"/>
                <w:szCs w:val="16"/>
              </w:rPr>
              <w:t>&gt;1 minuta</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CAAF4" w14:textId="77777777" w:rsidR="001A63FE" w:rsidRPr="00726397" w:rsidRDefault="001A63FE" w:rsidP="00215B1F">
            <w:pPr>
              <w:pStyle w:val="ProductList-OfferingBody"/>
              <w:spacing w:line="257" w:lineRule="auto"/>
              <w:jc w:val="center"/>
              <w:rPr>
                <w:rFonts w:ascii="Calibri" w:hAnsi="Calibri" w:cs="Calibri"/>
                <w:szCs w:val="16"/>
                <w:lang w:eastAsia="ko-KR"/>
              </w:rPr>
            </w:pPr>
            <w:r>
              <w:rPr>
                <w:rFonts w:ascii="Calibri" w:hAnsi="Calibri" w:cs="Calibri"/>
                <w:szCs w:val="16"/>
              </w:rPr>
              <w:t>25%</w:t>
            </w:r>
          </w:p>
        </w:tc>
      </w:tr>
      <w:tr w:rsidR="001A63FE" w14:paraId="57B3B5EC" w14:textId="77777777" w:rsidTr="00215B1F">
        <w:trPr>
          <w:trHeight w:val="170"/>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E8303" w14:textId="77777777" w:rsidR="001A63FE" w:rsidRPr="00726397" w:rsidRDefault="001A63F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&gt;4 minuty</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54CFC6" w14:textId="77777777" w:rsidR="001A63FE" w:rsidRPr="00726397" w:rsidRDefault="001A63F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50%</w:t>
            </w:r>
          </w:p>
        </w:tc>
      </w:tr>
      <w:tr w:rsidR="001A63FE" w14:paraId="7E14D7BD" w14:textId="77777777" w:rsidTr="00215B1F">
        <w:trPr>
          <w:trHeight w:val="188"/>
        </w:trPr>
        <w:tc>
          <w:tcPr>
            <w:tcW w:w="237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56F428" w14:textId="77777777" w:rsidR="001A63FE" w:rsidRPr="00726397" w:rsidRDefault="001A63F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&gt;10 minut</w:t>
            </w:r>
          </w:p>
        </w:tc>
        <w:tc>
          <w:tcPr>
            <w:tcW w:w="2625"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E158B5" w14:textId="77777777" w:rsidR="001A63FE" w:rsidRPr="00726397" w:rsidRDefault="001A63FE" w:rsidP="00215B1F">
            <w:pPr>
              <w:pStyle w:val="ProductList-OfferingBody"/>
              <w:spacing w:line="257" w:lineRule="auto"/>
              <w:jc w:val="center"/>
              <w:rPr>
                <w:rFonts w:ascii="Calibri" w:hAnsi="Calibri" w:cs="Calibri"/>
                <w:bCs/>
                <w:szCs w:val="16"/>
                <w:lang w:eastAsia="ko-KR"/>
              </w:rPr>
            </w:pPr>
            <w:r>
              <w:rPr>
                <w:rFonts w:ascii="Calibri" w:hAnsi="Calibri" w:cs="Calibri"/>
                <w:bCs/>
                <w:szCs w:val="16"/>
              </w:rPr>
              <w:t>100%</w:t>
            </w:r>
          </w:p>
        </w:tc>
      </w:tr>
    </w:tbl>
    <w:p w14:paraId="00A57283" w14:textId="77777777" w:rsidR="001A63FE" w:rsidRPr="00C63332" w:rsidRDefault="001A63FE" w:rsidP="001A63FE">
      <w:pPr>
        <w:pStyle w:val="ProductList-Body"/>
        <w:rPr>
          <w:sz w:val="12"/>
          <w:szCs w:val="12"/>
        </w:rPr>
      </w:pPr>
    </w:p>
    <w:p w14:paraId="6626C103" w14:textId="77777777" w:rsidR="001A63FE" w:rsidRPr="00C07B33" w:rsidRDefault="001A63FE" w:rsidP="001A63FE">
      <w:pPr>
        <w:pStyle w:val="ProductList-Body"/>
        <w:rPr>
          <w:rFonts w:ascii="Calibri" w:hAnsi="Calibri" w:cs="Calibri"/>
          <w:b/>
          <w:color w:val="00188F"/>
          <w:szCs w:val="18"/>
        </w:rPr>
      </w:pPr>
      <w:r>
        <w:rPr>
          <w:rFonts w:ascii="Calibri" w:hAnsi="Calibri" w:cs="Calibri"/>
          <w:b/>
          <w:color w:val="00188F"/>
          <w:szCs w:val="18"/>
        </w:rPr>
        <w:t>Gwarantowana Dostawa Wiadomości E-mail</w:t>
      </w:r>
    </w:p>
    <w:p w14:paraId="77C77D7C" w14:textId="77777777" w:rsidR="001A63FE" w:rsidRPr="0034032D" w:rsidRDefault="001A63FE" w:rsidP="001A63FE">
      <w:pPr>
        <w:pStyle w:val="ProductList-Body"/>
        <w:rPr>
          <w:rFonts w:ascii="Calibri" w:hAnsi="Calibri" w:cs="Calibri"/>
          <w:b/>
          <w:bCs/>
          <w:szCs w:val="18"/>
        </w:rPr>
      </w:pPr>
      <w:r w:rsidRPr="0034032D">
        <w:rPr>
          <w:rFonts w:ascii="Calibri" w:hAnsi="Calibri" w:cs="Calibri"/>
        </w:rPr>
        <w:t>Gwarantowana Dostawa Wiadomości E-mail</w:t>
      </w:r>
      <w:r w:rsidRPr="0034032D">
        <w:rPr>
          <w:rFonts w:ascii="Calibri" w:hAnsi="Calibri" w:cs="Calibri"/>
          <w:bCs/>
          <w:szCs w:val="18"/>
        </w:rPr>
        <w:t xml:space="preserve"> w obrębie Microsoft 365 odnosi się do pomyślnego dostarczenia wiadomości e-mail. Nie ma w tym przypadku zaplanowanego przestoju i dotyczy to wyłącznie awarii w obrębie M365.</w:t>
      </w:r>
    </w:p>
    <w:p w14:paraId="3B25EAD8" w14:textId="77777777" w:rsidR="001A63FE" w:rsidRPr="002A0A04" w:rsidRDefault="001A63FE" w:rsidP="001A63FE">
      <w:pPr>
        <w:pStyle w:val="ProductList-Body"/>
        <w:rPr>
          <w:rFonts w:ascii="Calibri" w:hAnsi="Calibri" w:cs="Calibri"/>
          <w:bCs/>
        </w:rPr>
      </w:pPr>
    </w:p>
    <w:p w14:paraId="38AF306B" w14:textId="77777777" w:rsidR="001A63FE" w:rsidRPr="003B48E1" w:rsidRDefault="001A63FE" w:rsidP="001A63FE">
      <w:pPr>
        <w:pStyle w:val="ProductList-Body"/>
        <w:rPr>
          <w:rFonts w:ascii="Calibri" w:hAnsi="Calibri" w:cs="Calibri"/>
          <w:b/>
          <w:bCs/>
          <w:szCs w:val="18"/>
        </w:rPr>
      </w:pPr>
      <w:r>
        <w:rPr>
          <w:rFonts w:ascii="Calibri" w:hAnsi="Calibri" w:cs="Calibri"/>
        </w:rPr>
        <w:t xml:space="preserve">Procent </w:t>
      </w:r>
      <w:r>
        <w:rPr>
          <w:rFonts w:ascii="Calibri" w:hAnsi="Calibri" w:cs="Calibri"/>
          <w:szCs w:val="18"/>
        </w:rPr>
        <w:t>Czasu Sprawnego Działania:</w:t>
      </w:r>
      <w:r>
        <w:rPr>
          <w:rFonts w:ascii="Calibri" w:hAnsi="Calibri" w:cs="Calibri"/>
          <w:bCs/>
          <w:szCs w:val="18"/>
        </w:rPr>
        <w:t xml:space="preserve"> Procent Czasu Sprawnego Działania jest obliczany przy użyciu następującego wzoru:</w:t>
      </w:r>
    </w:p>
    <w:p w14:paraId="33E14B71" w14:textId="77777777" w:rsidR="001A63FE" w:rsidRPr="002A0A04" w:rsidRDefault="001A63FE" w:rsidP="001A63FE">
      <w:pPr>
        <w:pStyle w:val="ProductList-Body"/>
        <w:rPr>
          <w:rFonts w:ascii="Calibri" w:hAnsi="Calibri" w:cs="Calibri"/>
          <w:bCs/>
        </w:rPr>
      </w:pPr>
    </w:p>
    <w:p w14:paraId="65180E55" w14:textId="77777777" w:rsidR="001A63FE" w:rsidRPr="002A0A04" w:rsidRDefault="00000000" w:rsidP="001A63FE">
      <w:pPr>
        <w:pStyle w:val="ProductList-Body"/>
        <w:rPr>
          <w:rFonts w:ascii="Calibri" w:eastAsiaTheme="minorEastAsia" w:hAnsi="Calibri" w:cs="Calibri"/>
          <w:b/>
        </w:rPr>
      </w:pPr>
      <m:oMathPara>
        <m:oMath>
          <m:f>
            <m:fPr>
              <m:ctrlPr>
                <w:rPr>
                  <w:rFonts w:ascii="Cambria Math" w:hAnsi="Cambria Math" w:cs="Calibri"/>
                  <w:bCs/>
                  <w:i/>
                </w:rPr>
              </m:ctrlPr>
            </m:fPr>
            <m:num>
              <m:r>
                <m:rPr>
                  <m:nor/>
                </m:rPr>
                <w:rPr>
                  <w:rFonts w:ascii="Cambria Math" w:hAnsi="Cambria Math" w:cs="Calibri"/>
                  <w:i/>
                  <w:iCs/>
                </w:rPr>
                <m:t>Łączna</m:t>
              </m:r>
              <m:r>
                <w:rPr>
                  <w:rFonts w:ascii="Cambria Math" w:hAnsi="Cambria Math" w:cs="Calibri"/>
                </w:rPr>
                <m:t xml:space="preserve"> </m:t>
              </m:r>
              <m:r>
                <m:rPr>
                  <m:nor/>
                </m:rPr>
                <w:rPr>
                  <w:rFonts w:ascii="Cambria Math" w:hAnsi="Cambria Math" w:cs="Calibri"/>
                  <w:i/>
                  <w:iCs/>
                </w:rPr>
                <m:t>liczba minut w miesiącu – Przestój</m:t>
              </m:r>
            </m:num>
            <m:den>
              <w:proofErr w:type="spellStart"/>
              <m:r>
                <m:rPr>
                  <m:nor/>
                </m:rPr>
                <w:rPr>
                  <w:rFonts w:ascii="Cambria Math" w:hAnsi="Cambria Math" w:cs="Calibri"/>
                  <w:i/>
                  <w:iCs/>
                </w:rPr>
                <m:t>Łączna</m:t>
              </m:r>
              <w:proofErr w:type="spellEnd"/>
              <m:r>
                <m:rPr>
                  <m:nor/>
                </m:rPr>
                <w:rPr>
                  <w:rFonts w:ascii="Cambria Math" w:hAnsi="Cambria Math" w:cs="Calibri"/>
                  <w:i/>
                  <w:iCs/>
                </w:rPr>
                <m:t xml:space="preserve"> liczba minut w miesiącu</m:t>
              </m:r>
            </m:den>
          </m:f>
          <m:r>
            <m:rPr>
              <m:sty m:val="bi"/>
            </m:rPr>
            <w:rPr>
              <w:rFonts w:ascii="Cambria Math" w:hAnsi="Cambria Math" w:cs="Calibri"/>
            </w:rPr>
            <m:t xml:space="preserve"> </m:t>
          </m:r>
          <m:r>
            <w:rPr>
              <w:rFonts w:ascii="Cambria Math" w:hAnsi="Cambria Math" w:cs="Calibri"/>
            </w:rPr>
            <m:t>x 100</m:t>
          </m:r>
        </m:oMath>
      </m:oMathPara>
    </w:p>
    <w:p w14:paraId="66EABC60" w14:textId="77777777" w:rsidR="001A63FE" w:rsidRPr="002A0A04" w:rsidRDefault="001A63FE" w:rsidP="001A63FE">
      <w:pPr>
        <w:pStyle w:val="ProductList-Body"/>
        <w:rPr>
          <w:rFonts w:ascii="Calibri" w:hAnsi="Calibri" w:cs="Calibri"/>
          <w:bCs/>
        </w:rPr>
      </w:pPr>
    </w:p>
    <w:p w14:paraId="5649A57C" w14:textId="77777777" w:rsidR="001A63FE" w:rsidRPr="003B48E1" w:rsidRDefault="001A63FE" w:rsidP="001A63FE">
      <w:pPr>
        <w:pStyle w:val="ProductList-Body"/>
        <w:rPr>
          <w:rFonts w:ascii="Calibri" w:hAnsi="Calibri" w:cs="Calibri"/>
          <w:b/>
          <w:bCs/>
          <w:szCs w:val="18"/>
        </w:rPr>
      </w:pPr>
      <w:r>
        <w:rPr>
          <w:rFonts w:ascii="Calibri" w:hAnsi="Calibri" w:cs="Calibri"/>
        </w:rPr>
        <w:t>gdzie</w:t>
      </w:r>
      <w:r>
        <w:rPr>
          <w:rFonts w:ascii="Calibri" w:hAnsi="Calibri" w:cs="Calibri"/>
          <w:bCs/>
          <w:szCs w:val="18"/>
        </w:rPr>
        <w:t xml:space="preserve"> Przestój to suma czasu (w minutach) pomnożona przez część usługi, która jest niedostępna, zsumowana w ciągu miesiąca kalendarzowego.</w:t>
      </w:r>
    </w:p>
    <w:p w14:paraId="625E747D" w14:textId="77777777" w:rsidR="001A63FE" w:rsidRPr="002A0A04" w:rsidRDefault="001A63FE" w:rsidP="001A63FE">
      <w:pPr>
        <w:pStyle w:val="ProductList-Body"/>
        <w:rPr>
          <w:rFonts w:ascii="Calibri" w:hAnsi="Calibri" w:cs="Calibri"/>
          <w:bCs/>
        </w:rPr>
      </w:pPr>
    </w:p>
    <w:p w14:paraId="5CA7D592" w14:textId="77777777" w:rsidR="001A63FE" w:rsidRDefault="001A63FE" w:rsidP="001A63FE">
      <w:pPr>
        <w:pStyle w:val="ProductList-Body"/>
        <w:rPr>
          <w:rFonts w:ascii="Calibri" w:hAnsi="Calibri" w:cs="Calibri"/>
          <w:szCs w:val="18"/>
        </w:rPr>
      </w:pPr>
      <w:r>
        <w:rPr>
          <w:rFonts w:ascii="Calibri" w:hAnsi="Calibri" w:cs="Calibri"/>
          <w:b/>
          <w:color w:val="00188F"/>
        </w:rPr>
        <w:t>Środki na Używanie Usług:</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1A63FE" w:rsidRPr="00C574D6" w14:paraId="3C9C467F"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2DB92D0A" w14:textId="77777777" w:rsidR="001A63FE" w:rsidRPr="002A0A04" w:rsidRDefault="001A63FE" w:rsidP="00215B1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Procent Czasu Sprawnego Działania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34019ACC" w14:textId="77777777" w:rsidR="001A63FE" w:rsidRPr="002A0A04" w:rsidRDefault="001A63FE" w:rsidP="00215B1F">
            <w:pPr>
              <w:pStyle w:val="ProductList-OfferingBody"/>
              <w:jc w:val="center"/>
              <w:rPr>
                <w:rFonts w:ascii="Calibri" w:hAnsi="Calibri" w:cs="Calibri"/>
                <w:color w:val="FFFFFF" w:themeColor="background1"/>
              </w:rPr>
            </w:pPr>
            <w:r>
              <w:rPr>
                <w:rFonts w:ascii="Calibri" w:hAnsi="Calibri" w:cs="Calibri"/>
                <w:color w:val="FFFFFF" w:themeColor="background1"/>
              </w:rPr>
              <w:t xml:space="preserve">Środki na Używanie Usług </w:t>
            </w:r>
          </w:p>
        </w:tc>
      </w:tr>
      <w:tr w:rsidR="001A63FE" w:rsidRPr="000F19E0" w14:paraId="799BD9E1"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52494D6D" w14:textId="77777777" w:rsidR="001A63FE" w:rsidRPr="002B6E2A" w:rsidRDefault="001A63FE" w:rsidP="00215B1F">
            <w:pPr>
              <w:pStyle w:val="ProductList-OfferingBody"/>
              <w:jc w:val="center"/>
              <w:rPr>
                <w:rFonts w:ascii="Calibri" w:hAnsi="Calibri" w:cs="Calibri"/>
                <w:szCs w:val="16"/>
                <w:lang w:eastAsia="ko-KR"/>
              </w:rPr>
            </w:pPr>
            <w:r>
              <w:rPr>
                <w:rFonts w:ascii="Calibri" w:hAnsi="Calibri" w:cs="Calibri"/>
                <w:szCs w:val="16"/>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612C3FE3" w14:textId="77777777" w:rsidR="001A63FE" w:rsidRPr="002B6E2A" w:rsidRDefault="001A63FE" w:rsidP="00215B1F">
            <w:pPr>
              <w:pStyle w:val="ProductList-OfferingBody"/>
              <w:jc w:val="center"/>
              <w:rPr>
                <w:rFonts w:ascii="Calibri" w:hAnsi="Calibri" w:cs="Calibri"/>
                <w:szCs w:val="16"/>
                <w:lang w:eastAsia="ko-KR"/>
              </w:rPr>
            </w:pPr>
            <w:r>
              <w:rPr>
                <w:rFonts w:ascii="Calibri" w:hAnsi="Calibri" w:cs="Calibri"/>
                <w:szCs w:val="16"/>
              </w:rPr>
              <w:t xml:space="preserve">25% </w:t>
            </w:r>
          </w:p>
        </w:tc>
      </w:tr>
      <w:tr w:rsidR="001A63FE" w:rsidRPr="000F19E0" w14:paraId="1A537473"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6B027496" w14:textId="77777777" w:rsidR="001A63FE" w:rsidRPr="002B6E2A" w:rsidRDefault="001A63FE" w:rsidP="00215B1F">
            <w:pPr>
              <w:pStyle w:val="ProductList-OfferingBody"/>
              <w:jc w:val="center"/>
              <w:rPr>
                <w:rFonts w:ascii="Calibri" w:hAnsi="Calibri" w:cs="Calibri"/>
                <w:szCs w:val="16"/>
                <w:lang w:eastAsia="ko-KR"/>
              </w:rPr>
            </w:pPr>
            <w:r>
              <w:rPr>
                <w:rFonts w:ascii="Calibri" w:hAnsi="Calibri" w:cs="Calibri"/>
                <w:szCs w:val="16"/>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583F9567" w14:textId="77777777" w:rsidR="001A63FE" w:rsidRPr="002B6E2A" w:rsidRDefault="001A63FE" w:rsidP="00215B1F">
            <w:pPr>
              <w:pStyle w:val="ProductList-OfferingBody"/>
              <w:jc w:val="center"/>
              <w:rPr>
                <w:rFonts w:ascii="Calibri" w:hAnsi="Calibri" w:cs="Calibri"/>
                <w:szCs w:val="16"/>
                <w:lang w:eastAsia="ko-KR"/>
              </w:rPr>
            </w:pPr>
            <w:r>
              <w:rPr>
                <w:rFonts w:ascii="Calibri" w:hAnsi="Calibri" w:cs="Calibri"/>
                <w:szCs w:val="16"/>
              </w:rPr>
              <w:t xml:space="preserve">50% </w:t>
            </w:r>
          </w:p>
        </w:tc>
      </w:tr>
      <w:tr w:rsidR="001A63FE" w:rsidRPr="000F19E0" w14:paraId="71C27A76" w14:textId="77777777" w:rsidTr="00215B1F">
        <w:trPr>
          <w:trHeight w:val="20"/>
        </w:trPr>
        <w:tc>
          <w:tcPr>
            <w:tcW w:w="5122" w:type="dxa"/>
            <w:tcBorders>
              <w:top w:val="single" w:sz="6" w:space="0" w:color="000000"/>
              <w:left w:val="single" w:sz="6" w:space="0" w:color="000000"/>
              <w:bottom w:val="single" w:sz="6" w:space="0" w:color="000000"/>
              <w:right w:val="single" w:sz="6" w:space="0" w:color="000000"/>
            </w:tcBorders>
            <w:hideMark/>
          </w:tcPr>
          <w:p w14:paraId="0EA72610" w14:textId="77777777" w:rsidR="001A63FE" w:rsidRPr="002B6E2A" w:rsidRDefault="001A63FE" w:rsidP="00215B1F">
            <w:pPr>
              <w:pStyle w:val="ProductList-OfferingBody"/>
              <w:jc w:val="center"/>
              <w:rPr>
                <w:rFonts w:ascii="Calibri" w:hAnsi="Calibri" w:cs="Calibri"/>
                <w:szCs w:val="16"/>
                <w:lang w:eastAsia="ko-KR"/>
              </w:rPr>
            </w:pPr>
            <w:r>
              <w:rPr>
                <w:rFonts w:ascii="Calibri" w:hAnsi="Calibri" w:cs="Calibri"/>
                <w:szCs w:val="16"/>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3D6BF5D3" w14:textId="77777777" w:rsidR="001A63FE" w:rsidRPr="002B6E2A" w:rsidRDefault="001A63FE" w:rsidP="00215B1F">
            <w:pPr>
              <w:pStyle w:val="ProductList-OfferingBody"/>
              <w:jc w:val="center"/>
              <w:rPr>
                <w:rFonts w:ascii="Calibri" w:hAnsi="Calibri" w:cs="Calibri"/>
                <w:szCs w:val="16"/>
                <w:lang w:eastAsia="ko-KR"/>
              </w:rPr>
            </w:pPr>
            <w:r>
              <w:rPr>
                <w:rFonts w:ascii="Calibri" w:hAnsi="Calibri" w:cs="Calibri"/>
                <w:szCs w:val="16"/>
              </w:rPr>
              <w:t xml:space="preserve">100% </w:t>
            </w:r>
          </w:p>
        </w:tc>
      </w:tr>
    </w:tbl>
    <w:p w14:paraId="4CE106C3" w14:textId="77777777" w:rsidR="001A63FE" w:rsidRPr="00C63332" w:rsidRDefault="001A63FE" w:rsidP="001A63FE">
      <w:pPr>
        <w:pStyle w:val="ProductList-Body"/>
        <w:rPr>
          <w:rFonts w:ascii="Calibri" w:hAnsi="Calibri" w:cs="Calibri"/>
          <w:bCs/>
          <w:sz w:val="12"/>
          <w:szCs w:val="12"/>
        </w:rPr>
      </w:pPr>
    </w:p>
    <w:p w14:paraId="6FCD5774" w14:textId="77777777" w:rsidR="001A63FE" w:rsidRPr="00074E40" w:rsidRDefault="001A63FE" w:rsidP="001A63FE">
      <w:pPr>
        <w:spacing w:after="0"/>
        <w:rPr>
          <w:rFonts w:ascii="Calibri" w:hAnsi="Calibri" w:cs="Calibri"/>
          <w:b/>
          <w:color w:val="00188F"/>
          <w:sz w:val="18"/>
        </w:rPr>
      </w:pPr>
      <w:r>
        <w:rPr>
          <w:rFonts w:ascii="Calibri" w:hAnsi="Calibri" w:cs="Calibri"/>
          <w:b/>
          <w:color w:val="00188F"/>
          <w:sz w:val="18"/>
        </w:rPr>
        <w:t>Dostępność Poczty Przychodzącej/Wychodzącej M365 </w:t>
      </w:r>
    </w:p>
    <w:p w14:paraId="33A0FD92" w14:textId="77777777" w:rsidR="001A63FE" w:rsidRPr="00D30804" w:rsidRDefault="001A63FE" w:rsidP="001A63FE">
      <w:pPr>
        <w:rPr>
          <w:rFonts w:ascii="Calibri" w:hAnsi="Calibri" w:cs="Calibri"/>
          <w:sz w:val="18"/>
          <w:szCs w:val="18"/>
        </w:rPr>
      </w:pPr>
      <w:r>
        <w:rPr>
          <w:rFonts w:ascii="Calibri" w:hAnsi="Calibri" w:cs="Calibri"/>
          <w:sz w:val="18"/>
          <w:szCs w:val="18"/>
        </w:rPr>
        <w:t>Dostępność Poczty Przychodzącej/Wychodzącej w ramach usługi M365 jest definiowana jako dowolny okres czasu, w którym usługa M365 nie jest w stanie odbierać lub wysyłać wiadomości e-mail z powodu problemu występującego w obrębie usługi M365. Nie przewidziano żadnych planowanych przestojów w tym zakresie. </w:t>
      </w:r>
    </w:p>
    <w:p w14:paraId="422C8A67" w14:textId="77777777" w:rsidR="001A63FE" w:rsidRPr="00D30804" w:rsidRDefault="001A63FE" w:rsidP="001A63FE">
      <w:pPr>
        <w:rPr>
          <w:rFonts w:ascii="Calibri" w:hAnsi="Calibri" w:cs="Calibri"/>
          <w:sz w:val="18"/>
          <w:szCs w:val="18"/>
        </w:rPr>
      </w:pPr>
      <w:r>
        <w:rPr>
          <w:rFonts w:ascii="Calibri" w:hAnsi="Calibri" w:cs="Calibri"/>
          <w:sz w:val="18"/>
          <w:szCs w:val="18"/>
        </w:rPr>
        <w:t>Dostępność dzieli się na dwie kategorie: </w:t>
      </w:r>
    </w:p>
    <w:p w14:paraId="41C66C62" w14:textId="77777777" w:rsidR="001A63FE" w:rsidRPr="00D30804" w:rsidRDefault="001A63FE" w:rsidP="00DB4449">
      <w:pPr>
        <w:numPr>
          <w:ilvl w:val="0"/>
          <w:numId w:val="28"/>
        </w:numPr>
        <w:tabs>
          <w:tab w:val="clear" w:pos="720"/>
          <w:tab w:val="left" w:pos="783"/>
        </w:tabs>
        <w:spacing w:after="0"/>
        <w:ind w:left="783" w:hanging="423"/>
        <w:rPr>
          <w:rFonts w:ascii="Calibri" w:hAnsi="Calibri" w:cs="Calibri"/>
          <w:sz w:val="18"/>
          <w:szCs w:val="18"/>
        </w:rPr>
      </w:pPr>
      <w:r>
        <w:rPr>
          <w:rFonts w:ascii="Calibri" w:hAnsi="Calibri" w:cs="Calibri"/>
          <w:sz w:val="18"/>
          <w:szCs w:val="18"/>
        </w:rPr>
        <w:t>Stałe odrzucenia z powodu problemów z M365 </w:t>
      </w:r>
    </w:p>
    <w:p w14:paraId="7438B2B5" w14:textId="77777777" w:rsidR="001A63FE" w:rsidRPr="00D30804" w:rsidRDefault="001A63FE" w:rsidP="00DB4449">
      <w:pPr>
        <w:numPr>
          <w:ilvl w:val="0"/>
          <w:numId w:val="29"/>
        </w:numPr>
        <w:tabs>
          <w:tab w:val="clear" w:pos="720"/>
          <w:tab w:val="num" w:pos="837"/>
        </w:tabs>
        <w:spacing w:after="0"/>
        <w:ind w:left="792" w:hanging="432"/>
        <w:rPr>
          <w:rFonts w:ascii="Calibri" w:hAnsi="Calibri" w:cs="Calibri"/>
          <w:sz w:val="18"/>
          <w:szCs w:val="18"/>
        </w:rPr>
      </w:pPr>
      <w:r>
        <w:rPr>
          <w:rFonts w:ascii="Calibri" w:hAnsi="Calibri" w:cs="Calibri"/>
          <w:sz w:val="18"/>
          <w:szCs w:val="18"/>
        </w:rPr>
        <w:t>Przejściowe odrzucenia z powodu problemów z M365 </w:t>
      </w:r>
    </w:p>
    <w:p w14:paraId="3E2CB20E" w14:textId="77777777" w:rsidR="001A63FE" w:rsidRPr="00D30804" w:rsidRDefault="001A63FE" w:rsidP="001A63FE">
      <w:pPr>
        <w:spacing w:after="0"/>
        <w:rPr>
          <w:rFonts w:ascii="Calibri" w:hAnsi="Calibri" w:cs="Calibri"/>
          <w:sz w:val="18"/>
          <w:szCs w:val="18"/>
        </w:rPr>
      </w:pPr>
    </w:p>
    <w:p w14:paraId="53B796EE" w14:textId="77777777" w:rsidR="001A63FE" w:rsidRPr="00074E40" w:rsidRDefault="001A63FE" w:rsidP="001A63FE">
      <w:pPr>
        <w:spacing w:after="0"/>
        <w:rPr>
          <w:rFonts w:ascii="Calibri" w:hAnsi="Calibri" w:cs="Calibri"/>
          <w:b/>
          <w:color w:val="00188F"/>
          <w:sz w:val="18"/>
        </w:rPr>
      </w:pPr>
      <w:r>
        <w:rPr>
          <w:rFonts w:ascii="Calibri" w:hAnsi="Calibri" w:cs="Calibri"/>
          <w:b/>
          <w:color w:val="00188F"/>
          <w:sz w:val="18"/>
        </w:rPr>
        <w:t xml:space="preserve">Procent Czasu Sprawnego Działania </w:t>
      </w:r>
    </w:p>
    <w:p w14:paraId="45260C1E" w14:textId="77777777" w:rsidR="001A63FE" w:rsidRPr="00D30804" w:rsidRDefault="001A63FE" w:rsidP="00DB4449">
      <w:pPr>
        <w:numPr>
          <w:ilvl w:val="0"/>
          <w:numId w:val="30"/>
        </w:numPr>
        <w:tabs>
          <w:tab w:val="clear" w:pos="720"/>
        </w:tabs>
        <w:ind w:left="801" w:hanging="441"/>
        <w:rPr>
          <w:rFonts w:ascii="Calibri" w:hAnsi="Calibri" w:cs="Calibri"/>
          <w:sz w:val="18"/>
          <w:szCs w:val="18"/>
        </w:rPr>
      </w:pPr>
      <w:r>
        <w:rPr>
          <w:rFonts w:ascii="Calibri" w:hAnsi="Calibri" w:cs="Calibri"/>
          <w:sz w:val="18"/>
          <w:szCs w:val="18"/>
        </w:rPr>
        <w:t>Stałe odrzucenia z powodu problemów z M365 </w:t>
      </w:r>
    </w:p>
    <w:p w14:paraId="5FABA4B4" w14:textId="77777777" w:rsidR="001A63FE" w:rsidRDefault="001A63FE" w:rsidP="001A63FE">
      <w:pPr>
        <w:pStyle w:val="ProductList-Body"/>
        <w:rPr>
          <w:rFonts w:ascii="Calibri" w:hAnsi="Calibri" w:cs="Calibri"/>
        </w:rPr>
      </w:pPr>
      <w:r>
        <w:rPr>
          <w:rFonts w:ascii="Calibri" w:hAnsi="Calibri" w:cs="Calibri"/>
        </w:rPr>
        <w:t>Procent Czasu Sprawnego Działania jest obliczany przy użyciu następującego wzoru:</w:t>
      </w:r>
    </w:p>
    <w:p w14:paraId="56DA6402" w14:textId="77777777" w:rsidR="001A63FE" w:rsidRPr="00545240" w:rsidRDefault="001A63FE" w:rsidP="001A63FE">
      <w:pPr>
        <w:pStyle w:val="ProductList-Body"/>
        <w:rPr>
          <w:rFonts w:ascii="Calibri" w:hAnsi="Calibri" w:cs="Calibri"/>
        </w:rPr>
      </w:pPr>
    </w:p>
    <w:p w14:paraId="133B79AB" w14:textId="77777777" w:rsidR="001A63FE" w:rsidRPr="002A0A04" w:rsidRDefault="00000000" w:rsidP="001A63FE">
      <w:pPr>
        <w:pStyle w:val="ProductList-Body"/>
        <w:rPr>
          <w:rFonts w:ascii="Cambria Math" w:hAnsi="Cambria Math" w:cs="Calibri"/>
          <w:b/>
          <w:i/>
        </w:rPr>
      </w:pPr>
      <m:oMathPara>
        <m:oMath>
          <m:f>
            <m:fPr>
              <m:ctrlPr>
                <w:rPr>
                  <w:rFonts w:ascii="Cambria Math" w:hAnsi="Cambria Math" w:cs="Calibri"/>
                  <w:bCs/>
                  <w:i/>
                </w:rPr>
              </m:ctrlPr>
            </m:fPr>
            <m:num>
              <m:r>
                <m:rPr>
                  <m:nor/>
                </m:rPr>
                <w:rPr>
                  <w:rFonts w:ascii="Cambria Math" w:hAnsi="Cambria Math" w:cs="Calibri"/>
                  <w:i/>
                  <w:iCs/>
                </w:rPr>
                <m:t>Łączna</m:t>
              </m:r>
              <m:r>
                <w:rPr>
                  <w:rFonts w:ascii="Cambria Math" w:hAnsi="Cambria Math" w:cs="Calibri"/>
                </w:rPr>
                <m:t xml:space="preserve"> </m:t>
              </m:r>
              <m:r>
                <m:rPr>
                  <m:nor/>
                </m:rPr>
                <w:rPr>
                  <w:rFonts w:ascii="Cambria Math" w:hAnsi="Cambria Math" w:cs="Calibri"/>
                  <w:i/>
                  <w:iCs/>
                </w:rPr>
                <m:t>liczba minut w miesiącu – Przestój</m:t>
              </m:r>
            </m:num>
            <m:den>
              <w:proofErr w:type="spellStart"/>
              <m:r>
                <m:rPr>
                  <m:nor/>
                </m:rPr>
                <w:rPr>
                  <w:rFonts w:ascii="Cambria Math" w:hAnsi="Cambria Math" w:cs="Calibri"/>
                  <w:i/>
                  <w:iCs/>
                </w:rPr>
                <m:t>Łączna</m:t>
              </m:r>
              <w:proofErr w:type="spellEnd"/>
              <m:r>
                <m:rPr>
                  <m:nor/>
                </m:rPr>
                <w:rPr>
                  <w:rFonts w:ascii="Cambria Math" w:hAnsi="Cambria Math" w:cs="Calibri"/>
                  <w:i/>
                  <w:iCs/>
                </w:rPr>
                <m:t xml:space="preserve"> liczba minut w miesiącu</m:t>
              </m:r>
            </m:den>
          </m:f>
          <m:r>
            <m:rPr>
              <m:sty m:val="bi"/>
            </m:rPr>
            <w:rPr>
              <w:rFonts w:ascii="Cambria Math" w:hAnsi="Cambria Math" w:cs="Calibri"/>
            </w:rPr>
            <m:t xml:space="preserve"> </m:t>
          </m:r>
          <m:r>
            <w:rPr>
              <w:rFonts w:ascii="Cambria Math" w:hAnsi="Cambria Math" w:cs="Calibri"/>
            </w:rPr>
            <m:t>x 100</m:t>
          </m:r>
        </m:oMath>
      </m:oMathPara>
    </w:p>
    <w:p w14:paraId="6BB75FE6" w14:textId="77777777" w:rsidR="001A63FE" w:rsidRDefault="001A63FE" w:rsidP="001A63FE">
      <w:pPr>
        <w:pStyle w:val="ProductList-Body"/>
      </w:pPr>
    </w:p>
    <w:p w14:paraId="74E6DF08" w14:textId="77777777" w:rsidR="001A63FE" w:rsidRDefault="001A63FE" w:rsidP="001A63FE">
      <w:pPr>
        <w:pStyle w:val="ProductList-Body"/>
        <w:rPr>
          <w:rFonts w:ascii="Calibri" w:hAnsi="Calibri" w:cs="Calibri"/>
        </w:rPr>
      </w:pPr>
      <w:r>
        <w:rPr>
          <w:rFonts w:ascii="Calibri" w:hAnsi="Calibri" w:cs="Calibri"/>
        </w:rPr>
        <w:t>gdzie Przestój to suma czasu (w minutach) pomnożona przez część usługi, która jest niedostępna, zsumowana w ciągu miesiąca kalendarzowego.</w:t>
      </w:r>
    </w:p>
    <w:p w14:paraId="58072613" w14:textId="77777777" w:rsidR="001A63FE" w:rsidRPr="002A0A04" w:rsidRDefault="001A63FE" w:rsidP="001A63FE">
      <w:pPr>
        <w:pStyle w:val="ProductList-Body"/>
        <w:rPr>
          <w:rFonts w:ascii="Calibri" w:hAnsi="Calibri" w:cs="Calibri"/>
        </w:rPr>
      </w:pPr>
    </w:p>
    <w:p w14:paraId="254C7D99" w14:textId="77777777" w:rsidR="001A63FE" w:rsidRPr="008F32C8" w:rsidRDefault="001A63FE" w:rsidP="00DB4449">
      <w:pPr>
        <w:numPr>
          <w:ilvl w:val="0"/>
          <w:numId w:val="30"/>
        </w:numPr>
        <w:rPr>
          <w:rFonts w:ascii="Calibri" w:hAnsi="Calibri" w:cs="Calibri"/>
          <w:b/>
          <w:bCs/>
          <w:sz w:val="18"/>
          <w:szCs w:val="18"/>
        </w:rPr>
      </w:pPr>
      <w:r>
        <w:rPr>
          <w:rFonts w:ascii="Calibri" w:hAnsi="Calibri" w:cs="Calibri"/>
          <w:bCs/>
          <w:sz w:val="18"/>
          <w:szCs w:val="18"/>
        </w:rPr>
        <w:t>Przejściowe odrzucenia z powodu problemów z M365</w:t>
      </w:r>
    </w:p>
    <w:p w14:paraId="027B1022" w14:textId="77777777" w:rsidR="001A63FE" w:rsidRPr="00C56933" w:rsidRDefault="001A63FE" w:rsidP="001A63FE">
      <w:pPr>
        <w:spacing w:after="0"/>
        <w:rPr>
          <w:rFonts w:ascii="Calibri" w:hAnsi="Calibri" w:cs="Calibri"/>
          <w:sz w:val="18"/>
        </w:rPr>
      </w:pPr>
      <w:r>
        <w:rPr>
          <w:rFonts w:ascii="Calibri" w:hAnsi="Calibri" w:cs="Calibri"/>
          <w:b/>
          <w:color w:val="00188F"/>
          <w:sz w:val="18"/>
        </w:rPr>
        <w:t>Procent Czasu Sprawnego Działania</w:t>
      </w:r>
    </w:p>
    <w:p w14:paraId="462688A5" w14:textId="61266052" w:rsidR="001A63FE" w:rsidRPr="002A0A04" w:rsidRDefault="00000000" w:rsidP="001A63FE">
      <w:pPr>
        <w:pStyle w:val="ProductList-Body"/>
        <w:rPr>
          <w:rFonts w:ascii="Calibri" w:hAnsi="Calibri" w:cs="Calibri"/>
          <w:b/>
          <w:i/>
        </w:rPr>
      </w:pPr>
      <m:oMathPara>
        <m:oMath>
          <m:f>
            <m:fPr>
              <m:ctrlPr>
                <w:rPr>
                  <w:rFonts w:ascii="Cambria Math" w:hAnsi="Cambria Math" w:cs="Calibri"/>
                  <w:i/>
                </w:rPr>
              </m:ctrlPr>
            </m:fPr>
            <m:num>
              <m:r>
                <m:rPr>
                  <m:nor/>
                </m:rPr>
                <w:rPr>
                  <w:rFonts w:ascii="Cambria Math" w:hAnsi="Cambria Math" w:cs="Calibri"/>
                  <w:i/>
                  <w:iCs/>
                </w:rPr>
                <m:t xml:space="preserve">Łączna liczba </m:t>
              </m:r>
              <w:proofErr w:type="spellStart"/>
              <m:r>
                <m:rPr>
                  <m:nor/>
                </m:rPr>
                <w:rPr>
                  <w:rFonts w:ascii="Calibri" w:hAnsi="Calibri" w:cs="Calibri"/>
                  <w:i/>
                  <w:iCs/>
                </w:rPr>
                <m:t>wiadomości</m:t>
              </m:r>
              <m:r>
                <m:rPr>
                  <m:nor/>
                </m:rPr>
                <w:rPr>
                  <w:rFonts w:ascii="Cambria Math" w:hAnsi="Cambria Math" w:cs="Calibri"/>
                  <w:i/>
                  <w:iCs/>
                </w:rPr>
                <m:t>w</m:t>
              </m:r>
              <w:proofErr w:type="spellEnd"/>
              <m:r>
                <m:rPr>
                  <m:nor/>
                </m:rPr>
                <w:rPr>
                  <w:rFonts w:ascii="Cambria Math" w:hAnsi="Cambria Math" w:cs="Calibri"/>
                  <w:i/>
                  <w:iCs/>
                </w:rPr>
                <m:t xml:space="preserve"> miesiącu – Wiadomości, których dotyczy </m:t>
              </m:r>
            </m:num>
            <m:den>
              <m:r>
                <m:rPr>
                  <m:nor/>
                </m:rPr>
                <w:rPr>
                  <w:rFonts w:ascii="Cambria Math" w:hAnsi="Cambria Math" w:cs="Calibri"/>
                  <w:i/>
                  <w:iCs/>
                </w:rPr>
                <m:t xml:space="preserve">Łączna liczba </m:t>
              </m:r>
              <w:proofErr w:type="spellStart"/>
              <m:r>
                <m:rPr>
                  <m:nor/>
                </m:rPr>
                <w:rPr>
                  <w:rFonts w:ascii="Calibri" w:hAnsi="Calibri" w:cs="Calibri"/>
                  <w:i/>
                  <w:iCs/>
                </w:rPr>
                <m:t>wiadomości</m:t>
              </m:r>
              <m:r>
                <m:rPr>
                  <m:nor/>
                </m:rPr>
                <w:rPr>
                  <w:rFonts w:ascii="Cambria Math" w:hAnsi="Cambria Math" w:cs="Calibri"/>
                  <w:i/>
                  <w:iCs/>
                </w:rPr>
                <m:t>na</m:t>
              </m:r>
              <w:proofErr w:type="spellEnd"/>
              <m:r>
                <m:rPr>
                  <m:nor/>
                </m:rPr>
                <w:rPr>
                  <w:rFonts w:ascii="Cambria Math" w:hAnsi="Cambria Math" w:cs="Calibri"/>
                  <w:i/>
                  <w:iCs/>
                </w:rPr>
                <m:t xml:space="preserve"> miesiąc</m:t>
              </m:r>
            </m:den>
          </m:f>
          <m:r>
            <w:rPr>
              <w:rFonts w:ascii="Cambria Math" w:hAnsi="Cambria Math" w:cs="Calibri"/>
            </w:rPr>
            <m:t xml:space="preserve"> x 100</m:t>
          </m:r>
        </m:oMath>
      </m:oMathPara>
    </w:p>
    <w:p w14:paraId="4F5506CC" w14:textId="77777777" w:rsidR="001A63FE" w:rsidRPr="002A0A04" w:rsidRDefault="001A63FE" w:rsidP="001A63FE">
      <w:pPr>
        <w:pStyle w:val="ProductList-Body"/>
        <w:rPr>
          <w:rFonts w:ascii="Calibri" w:hAnsi="Calibri" w:cs="Calibri"/>
          <w:b/>
        </w:rPr>
      </w:pPr>
    </w:p>
    <w:p w14:paraId="0BF29D53" w14:textId="77777777" w:rsidR="001A63FE" w:rsidRPr="002A0A04" w:rsidRDefault="001A63FE" w:rsidP="001A63FE">
      <w:pPr>
        <w:pStyle w:val="ProductList-Body"/>
        <w:rPr>
          <w:rFonts w:ascii="Calibri" w:hAnsi="Calibri" w:cs="Calibri"/>
        </w:rPr>
      </w:pPr>
      <w:r>
        <w:rPr>
          <w:rFonts w:ascii="Calibri" w:hAnsi="Calibri" w:cs="Calibri"/>
        </w:rPr>
        <w:t>Za Wiadomości, których Dotyczą Problemy uważa się wiadomości opóźnione o więcej niż (10) minut w trakcie trwania problemów zsumowanych w ciągu miesiąca kalendarzowego.</w:t>
      </w:r>
    </w:p>
    <w:p w14:paraId="758A2B20" w14:textId="77777777" w:rsidR="001A63FE" w:rsidRPr="00DE2B55" w:rsidRDefault="001A63FE" w:rsidP="001A63FE">
      <w:pPr>
        <w:pStyle w:val="ProductList-Body"/>
        <w:rPr>
          <w:rFonts w:ascii="Calibri" w:hAnsi="Calibri" w:cs="Calibri"/>
        </w:rPr>
      </w:pPr>
    </w:p>
    <w:p w14:paraId="50A570BF" w14:textId="77777777" w:rsidR="001A63FE" w:rsidRPr="00C56933" w:rsidRDefault="001A63FE" w:rsidP="001A63FE">
      <w:pPr>
        <w:pStyle w:val="ProductList-Body"/>
        <w:rPr>
          <w:rFonts w:ascii="Calibri" w:hAnsi="Calibri" w:cs="Calibri"/>
        </w:rPr>
      </w:pPr>
      <w:r>
        <w:rPr>
          <w:rFonts w:ascii="Calibri" w:hAnsi="Calibri" w:cs="Calibri"/>
          <w:b/>
          <w:color w:val="00188F"/>
        </w:rPr>
        <w:t>Środki na Używanie Usług</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2"/>
        <w:gridCol w:w="5670"/>
      </w:tblGrid>
      <w:tr w:rsidR="001A63FE" w:rsidRPr="00C574D6" w14:paraId="02B385B2" w14:textId="77777777" w:rsidTr="00215B1F">
        <w:trPr>
          <w:trHeight w:val="135"/>
        </w:trPr>
        <w:tc>
          <w:tcPr>
            <w:tcW w:w="5122" w:type="dxa"/>
            <w:tcBorders>
              <w:top w:val="single" w:sz="6" w:space="0" w:color="000000"/>
              <w:left w:val="single" w:sz="6" w:space="0" w:color="000000"/>
              <w:bottom w:val="single" w:sz="6" w:space="0" w:color="000000"/>
              <w:right w:val="single" w:sz="6" w:space="0" w:color="000000"/>
            </w:tcBorders>
            <w:shd w:val="clear" w:color="auto" w:fill="0072C6"/>
            <w:hideMark/>
          </w:tcPr>
          <w:p w14:paraId="75E32E9E" w14:textId="77777777" w:rsidR="001A63FE" w:rsidRPr="00787DF4" w:rsidRDefault="001A63FE" w:rsidP="00215B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Procent Czasu Sprawnego Działania </w:t>
            </w:r>
          </w:p>
        </w:tc>
        <w:tc>
          <w:tcPr>
            <w:tcW w:w="5670" w:type="dxa"/>
            <w:tcBorders>
              <w:top w:val="single" w:sz="6" w:space="0" w:color="000000"/>
              <w:left w:val="single" w:sz="6" w:space="0" w:color="000000"/>
              <w:bottom w:val="single" w:sz="6" w:space="0" w:color="000000"/>
              <w:right w:val="single" w:sz="6" w:space="0" w:color="000000"/>
            </w:tcBorders>
            <w:shd w:val="clear" w:color="auto" w:fill="0072C6"/>
            <w:hideMark/>
          </w:tcPr>
          <w:p w14:paraId="27805E6F" w14:textId="77777777" w:rsidR="001A63FE" w:rsidRPr="00787DF4" w:rsidRDefault="001A63FE" w:rsidP="00215B1F">
            <w:pPr>
              <w:pStyle w:val="ProductList-OfferingBody"/>
              <w:jc w:val="center"/>
              <w:rPr>
                <w:rFonts w:ascii="Calibri" w:hAnsi="Calibri" w:cs="Calibri"/>
                <w:b/>
                <w:bCs/>
                <w:color w:val="FFFFFF" w:themeColor="background1"/>
              </w:rPr>
            </w:pPr>
            <w:r>
              <w:rPr>
                <w:rFonts w:ascii="Calibri" w:hAnsi="Calibri" w:cs="Calibri"/>
                <w:b/>
                <w:bCs/>
                <w:color w:val="FFFFFF" w:themeColor="background1"/>
              </w:rPr>
              <w:t>Środki na Używanie Usług </w:t>
            </w:r>
          </w:p>
        </w:tc>
      </w:tr>
      <w:tr w:rsidR="001A63FE" w:rsidRPr="000F19E0" w14:paraId="75B7405F"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C1CA813" w14:textId="77777777" w:rsidR="001A63FE" w:rsidRPr="000F19E0" w:rsidRDefault="001A63FE" w:rsidP="00215B1F">
            <w:pPr>
              <w:pStyle w:val="ProductList-OfferingBody"/>
              <w:jc w:val="center"/>
              <w:rPr>
                <w:rFonts w:ascii="Calibri" w:hAnsi="Calibri" w:cs="Calibri"/>
              </w:rPr>
            </w:pPr>
            <w:r>
              <w:rPr>
                <w:rFonts w:ascii="Calibri" w:hAnsi="Calibri" w:cs="Calibri"/>
              </w:rPr>
              <w:t xml:space="preserve">&lt; 99,9% </w:t>
            </w:r>
          </w:p>
        </w:tc>
        <w:tc>
          <w:tcPr>
            <w:tcW w:w="5670" w:type="dxa"/>
            <w:tcBorders>
              <w:top w:val="single" w:sz="6" w:space="0" w:color="000000"/>
              <w:left w:val="single" w:sz="6" w:space="0" w:color="000000"/>
              <w:bottom w:val="single" w:sz="6" w:space="0" w:color="000000"/>
              <w:right w:val="single" w:sz="6" w:space="0" w:color="000000"/>
            </w:tcBorders>
            <w:hideMark/>
          </w:tcPr>
          <w:p w14:paraId="3268B367" w14:textId="77777777" w:rsidR="001A63FE" w:rsidRPr="000F19E0" w:rsidRDefault="001A63FE" w:rsidP="00215B1F">
            <w:pPr>
              <w:pStyle w:val="ProductList-OfferingBody"/>
              <w:jc w:val="center"/>
              <w:rPr>
                <w:rFonts w:ascii="Calibri" w:hAnsi="Calibri" w:cs="Calibri"/>
              </w:rPr>
            </w:pPr>
            <w:r>
              <w:rPr>
                <w:rFonts w:ascii="Calibri" w:hAnsi="Calibri" w:cs="Calibri"/>
              </w:rPr>
              <w:t xml:space="preserve">25% </w:t>
            </w:r>
          </w:p>
        </w:tc>
      </w:tr>
      <w:tr w:rsidR="001A63FE" w:rsidRPr="000F19E0" w14:paraId="5CAEB1A5"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122D6112" w14:textId="77777777" w:rsidR="001A63FE" w:rsidRPr="000F19E0" w:rsidRDefault="001A63FE" w:rsidP="00215B1F">
            <w:pPr>
              <w:pStyle w:val="ProductList-OfferingBody"/>
              <w:jc w:val="center"/>
              <w:rPr>
                <w:rFonts w:ascii="Calibri" w:hAnsi="Calibri" w:cs="Calibri"/>
              </w:rPr>
            </w:pPr>
            <w:r>
              <w:rPr>
                <w:rFonts w:ascii="Calibri" w:hAnsi="Calibri" w:cs="Calibri"/>
              </w:rPr>
              <w:t xml:space="preserve">&lt; 99% </w:t>
            </w:r>
          </w:p>
        </w:tc>
        <w:tc>
          <w:tcPr>
            <w:tcW w:w="5670" w:type="dxa"/>
            <w:tcBorders>
              <w:top w:val="single" w:sz="6" w:space="0" w:color="000000"/>
              <w:left w:val="single" w:sz="6" w:space="0" w:color="000000"/>
              <w:bottom w:val="single" w:sz="6" w:space="0" w:color="000000"/>
              <w:right w:val="single" w:sz="6" w:space="0" w:color="000000"/>
            </w:tcBorders>
            <w:hideMark/>
          </w:tcPr>
          <w:p w14:paraId="71F19A05" w14:textId="77777777" w:rsidR="001A63FE" w:rsidRPr="000F19E0" w:rsidRDefault="001A63FE" w:rsidP="00215B1F">
            <w:pPr>
              <w:pStyle w:val="ProductList-OfferingBody"/>
              <w:jc w:val="center"/>
              <w:rPr>
                <w:rFonts w:ascii="Calibri" w:hAnsi="Calibri" w:cs="Calibri"/>
              </w:rPr>
            </w:pPr>
            <w:r>
              <w:rPr>
                <w:rFonts w:ascii="Calibri" w:hAnsi="Calibri" w:cs="Calibri"/>
              </w:rPr>
              <w:t xml:space="preserve">50% </w:t>
            </w:r>
          </w:p>
        </w:tc>
      </w:tr>
      <w:tr w:rsidR="001A63FE" w:rsidRPr="000F19E0" w14:paraId="62D8E077" w14:textId="77777777" w:rsidTr="00215B1F">
        <w:trPr>
          <w:trHeight w:val="270"/>
        </w:trPr>
        <w:tc>
          <w:tcPr>
            <w:tcW w:w="5122" w:type="dxa"/>
            <w:tcBorders>
              <w:top w:val="single" w:sz="6" w:space="0" w:color="000000"/>
              <w:left w:val="single" w:sz="6" w:space="0" w:color="000000"/>
              <w:bottom w:val="single" w:sz="6" w:space="0" w:color="000000"/>
              <w:right w:val="single" w:sz="6" w:space="0" w:color="000000"/>
            </w:tcBorders>
            <w:hideMark/>
          </w:tcPr>
          <w:p w14:paraId="34E1DC49" w14:textId="77777777" w:rsidR="001A63FE" w:rsidRPr="000F19E0" w:rsidRDefault="001A63FE" w:rsidP="00215B1F">
            <w:pPr>
              <w:pStyle w:val="ProductList-OfferingBody"/>
              <w:jc w:val="center"/>
              <w:rPr>
                <w:rFonts w:ascii="Calibri" w:hAnsi="Calibri" w:cs="Calibri"/>
              </w:rPr>
            </w:pPr>
            <w:r>
              <w:rPr>
                <w:rFonts w:ascii="Calibri" w:hAnsi="Calibri" w:cs="Calibri"/>
              </w:rPr>
              <w:t xml:space="preserve">&lt; 95% </w:t>
            </w:r>
          </w:p>
        </w:tc>
        <w:tc>
          <w:tcPr>
            <w:tcW w:w="5670" w:type="dxa"/>
            <w:tcBorders>
              <w:top w:val="single" w:sz="6" w:space="0" w:color="000000"/>
              <w:left w:val="single" w:sz="6" w:space="0" w:color="000000"/>
              <w:bottom w:val="single" w:sz="6" w:space="0" w:color="000000"/>
              <w:right w:val="single" w:sz="6" w:space="0" w:color="000000"/>
            </w:tcBorders>
            <w:hideMark/>
          </w:tcPr>
          <w:p w14:paraId="57CCB216" w14:textId="77777777" w:rsidR="001A63FE" w:rsidRPr="000F19E0" w:rsidRDefault="001A63FE" w:rsidP="00215B1F">
            <w:pPr>
              <w:pStyle w:val="ProductList-OfferingBody"/>
              <w:jc w:val="center"/>
              <w:rPr>
                <w:rFonts w:ascii="Calibri" w:hAnsi="Calibri" w:cs="Calibri"/>
              </w:rPr>
            </w:pPr>
            <w:r>
              <w:rPr>
                <w:rFonts w:ascii="Calibri" w:hAnsi="Calibri" w:cs="Calibri"/>
              </w:rPr>
              <w:t xml:space="preserve">100% </w:t>
            </w:r>
          </w:p>
        </w:tc>
      </w:tr>
    </w:tbl>
    <w:p w14:paraId="35281357" w14:textId="77777777" w:rsidR="001A63FE" w:rsidRPr="00C63332" w:rsidRDefault="001A63FE" w:rsidP="001A63FE">
      <w:pPr>
        <w:pStyle w:val="ProductList-Body"/>
        <w:rPr>
          <w:rFonts w:ascii="Calibri" w:hAnsi="Calibri" w:cs="Calibri"/>
          <w:sz w:val="12"/>
          <w:szCs w:val="12"/>
        </w:rPr>
      </w:pPr>
    </w:p>
    <w:p w14:paraId="5D7ACFD6" w14:textId="77777777" w:rsidR="001A63FE" w:rsidRPr="002A0A04" w:rsidRDefault="001A63FE" w:rsidP="001A63FE">
      <w:pPr>
        <w:pStyle w:val="ProductList-Body"/>
        <w:rPr>
          <w:rFonts w:ascii="Calibri" w:hAnsi="Calibri" w:cs="Calibri"/>
          <w:szCs w:val="18"/>
        </w:rPr>
      </w:pPr>
      <w:r>
        <w:rPr>
          <w:rFonts w:ascii="Calibri" w:hAnsi="Calibri" w:cs="Calibri"/>
          <w:szCs w:val="18"/>
        </w:rPr>
        <w:t>Poziom Usługi Dostarczania Wiadomości E-mail ma zastosowanie wyłącznie do uzasadnionych firmowych wiadomości e-mail dostarczanych na ważne konta e-mail z licencją Microsoft 365 lub wysyłanych za ich pośrednictwem. Ten Poziom Usługi Dostarczania Wiadomości E-mail nie ma zastosowania w następujących przypadkach:</w:t>
      </w:r>
    </w:p>
    <w:p w14:paraId="4B843FC6"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Zmasowane ataki na skrzynki pocztowe wywołane przez klientów</w:t>
      </w:r>
    </w:p>
    <w:p w14:paraId="2B8F7283"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Masowe wiadomości e-mail (maile reklamowe, biuletyny itp.)</w:t>
      </w:r>
    </w:p>
    <w:p w14:paraId="3928CE6D"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Dostarczanie wiadomości e-mail do archiwum</w:t>
      </w:r>
    </w:p>
    <w:p w14:paraId="6D840655"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Ataki typu „odmowa usługi” (</w:t>
      </w:r>
      <w:proofErr w:type="spellStart"/>
      <w:r>
        <w:rPr>
          <w:rFonts w:ascii="Calibri" w:hAnsi="Calibri" w:cs="Calibri"/>
          <w:szCs w:val="18"/>
        </w:rPr>
        <w:t>DoS</w:t>
      </w:r>
      <w:proofErr w:type="spellEnd"/>
      <w:r>
        <w:rPr>
          <w:rFonts w:ascii="Calibri" w:hAnsi="Calibri" w:cs="Calibri"/>
          <w:szCs w:val="18"/>
        </w:rPr>
        <w:t>)</w:t>
      </w:r>
    </w:p>
    <w:p w14:paraId="7CF3E9CE"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Błędna konfiguracja Dzierżawcy Microsoft 365</w:t>
      </w:r>
    </w:p>
    <w:p w14:paraId="345D78A6"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Opóźnienia poczty e-mail, gdy tryb awarii mieści się w granicach klientów lokalnych i/lub zewnętrznych dostawców usług.</w:t>
      </w:r>
    </w:p>
    <w:p w14:paraId="00EA590B"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Opóźnienie sieciowe między usługą Microsoft 365 a klientami poczty e-mail użytkowników końcowych</w:t>
      </w:r>
    </w:p>
    <w:p w14:paraId="39669B37"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eastAsia="Times New Roman" w:hAnsi="Calibri" w:cs="Calibri"/>
          <w:color w:val="000000"/>
          <w:szCs w:val="18"/>
        </w:rPr>
        <w:t>Poczta, która jest ograniczana przez platformę Microsoft 365 w celu ochrony kondycji usługi lub z powodu przekroczenia przez dzierżawcę zdefiniowanych limitów wysyłania i/lub odbierania wiadomości</w:t>
      </w:r>
      <w:r>
        <w:rPr>
          <w:rFonts w:ascii="Calibri" w:hAnsi="Calibri" w:cs="Calibri"/>
          <w:szCs w:val="18"/>
        </w:rPr>
        <w:t>.</w:t>
      </w:r>
    </w:p>
    <w:p w14:paraId="305D6ADE" w14:textId="77777777" w:rsidR="001A63FE" w:rsidRPr="002A0A04" w:rsidRDefault="001A63FE" w:rsidP="00DB4449">
      <w:pPr>
        <w:pStyle w:val="ProductList-Body"/>
        <w:numPr>
          <w:ilvl w:val="0"/>
          <w:numId w:val="23"/>
        </w:numPr>
        <w:ind w:left="720"/>
        <w:rPr>
          <w:rFonts w:ascii="Calibri" w:hAnsi="Calibri" w:cs="Calibri"/>
          <w:szCs w:val="18"/>
        </w:rPr>
      </w:pPr>
      <w:r>
        <w:rPr>
          <w:rFonts w:ascii="Calibri" w:hAnsi="Calibri" w:cs="Calibri"/>
          <w:szCs w:val="18"/>
        </w:rPr>
        <w:t>Wiadomości pozbawione priorytetu przez Microsoft 365 w celu ochrony ogólnego stanu usługi, (np. duże wiadomości, wiadomości wysyłane do dużej liczby odbiorców lub list dystrybucyjnych, które zawierają znaczącą liczbę odbiorców).</w:t>
      </w:r>
    </w:p>
    <w:p w14:paraId="0AD99C72" w14:textId="77777777" w:rsidR="001A63FE" w:rsidRDefault="001A63FE" w:rsidP="00DB4449">
      <w:pPr>
        <w:pStyle w:val="ProductList-Body"/>
        <w:numPr>
          <w:ilvl w:val="0"/>
          <w:numId w:val="23"/>
        </w:numPr>
        <w:ind w:left="720"/>
        <w:rPr>
          <w:rFonts w:ascii="Calibri" w:hAnsi="Calibri" w:cs="Calibri"/>
          <w:szCs w:val="18"/>
        </w:rPr>
      </w:pPr>
      <w:r>
        <w:rPr>
          <w:rFonts w:ascii="Calibri" w:hAnsi="Calibri" w:cs="Calibri"/>
          <w:szCs w:val="18"/>
        </w:rPr>
        <w:t>Wiadomości opóźnione z powodu skonfigurowanych przez klientów drogich zasad.</w:t>
      </w:r>
    </w:p>
    <w:p w14:paraId="59537410" w14:textId="77777777" w:rsidR="001A63FE" w:rsidRPr="002A0A04" w:rsidRDefault="001A63FE" w:rsidP="001A63FE">
      <w:pPr>
        <w:pStyle w:val="ProductList-Body"/>
        <w:rPr>
          <w:rFonts w:ascii="Calibri" w:hAnsi="Calibri" w:cs="Calibri"/>
          <w:szCs w:val="18"/>
        </w:rPr>
      </w:pPr>
    </w:p>
    <w:p w14:paraId="719881EB" w14:textId="77777777" w:rsidR="001A63FE" w:rsidRPr="002A0A04" w:rsidRDefault="001A63FE" w:rsidP="001A63FE">
      <w:pPr>
        <w:pStyle w:val="ProductList-Body"/>
        <w:tabs>
          <w:tab w:val="clear" w:pos="360"/>
          <w:tab w:val="clear" w:pos="720"/>
          <w:tab w:val="clear" w:pos="1080"/>
        </w:tabs>
        <w:rPr>
          <w:rFonts w:ascii="Calibri" w:hAnsi="Calibri" w:cs="Calibri"/>
          <w:szCs w:val="18"/>
        </w:rPr>
      </w:pPr>
      <w:r>
        <w:rPr>
          <w:rFonts w:ascii="Calibri" w:hAnsi="Calibri" w:cs="Calibri"/>
          <w:b/>
          <w:color w:val="00188F"/>
          <w:szCs w:val="18"/>
        </w:rPr>
        <w:t>Dodatkowe postanowienia</w:t>
      </w:r>
      <w:r w:rsidRPr="001D70B7">
        <w:rPr>
          <w:rFonts w:ascii="Calibri" w:hAnsi="Calibri" w:cs="Calibri"/>
          <w:b/>
          <w:bCs/>
          <w:szCs w:val="18"/>
        </w:rPr>
        <w:t>:</w:t>
      </w:r>
      <w:r>
        <w:rPr>
          <w:rFonts w:ascii="Calibri" w:hAnsi="Calibri" w:cs="Calibri"/>
          <w:szCs w:val="18"/>
        </w:rPr>
        <w:t xml:space="preserve"> Zob. Załącznik 1 - Zadeklarowanie poziomu usług w zakresie wykrywania i blokowania wirusów, skuteczności wykrywania spamu lub trafień fałszywie dodatnich.</w:t>
      </w:r>
    </w:p>
    <w:p w14:paraId="3350FB96" w14:textId="010E751A"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4A7A089" w14:textId="11E22E78" w:rsidR="008C5EDB" w:rsidRPr="00EF7CF9" w:rsidRDefault="008C5EDB" w:rsidP="002A586E">
      <w:pPr>
        <w:pStyle w:val="ProductList-Offering2Heading"/>
        <w:outlineLvl w:val="2"/>
      </w:pPr>
      <w:bookmarkStart w:id="69" w:name="_Toc239174933"/>
      <w:r>
        <w:t xml:space="preserve">Exchange Online </w:t>
      </w:r>
      <w:proofErr w:type="spellStart"/>
      <w:r>
        <w:t>Archiving</w:t>
      </w:r>
      <w:bookmarkEnd w:id="68"/>
      <w:bookmarkEnd w:id="69"/>
      <w:proofErr w:type="spellEnd"/>
    </w:p>
    <w:p w14:paraId="4DC67B77" w14:textId="3471ADC7" w:rsidR="008C5EDB" w:rsidRPr="00EF7CF9" w:rsidRDefault="008C5EDB" w:rsidP="002A586E">
      <w:pPr>
        <w:pStyle w:val="ProductList-Body"/>
      </w:pPr>
      <w:r>
        <w:rPr>
          <w:b/>
          <w:color w:val="00188F"/>
        </w:rPr>
        <w:t>Przestój</w:t>
      </w:r>
      <w:r w:rsidRPr="007B038A">
        <w:rPr>
          <w:b/>
          <w:color w:val="00188F"/>
        </w:rPr>
        <w:t>:</w:t>
      </w:r>
      <w:r>
        <w:t xml:space="preserve"> Dowolny okres, w którym użytkownicy nie mogą uzyskać dostępu do wiadomości e-mail przechowywanych w ich archiwum. W przypadku tej usługi nie ma Planowego Przestoju.</w:t>
      </w:r>
    </w:p>
    <w:p w14:paraId="61369152" w14:textId="21C6E652" w:rsidR="008C5EDB" w:rsidRDefault="00AC48A7" w:rsidP="00657A3A">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2C4BD72B" w14:textId="77777777" w:rsidR="001A6663" w:rsidRPr="00EF7CF9" w:rsidRDefault="001A6663" w:rsidP="00657A3A">
      <w:pPr>
        <w:pStyle w:val="ProductList-Body"/>
      </w:pPr>
    </w:p>
    <w:p w14:paraId="7F84E6CC" w14:textId="16478368" w:rsidR="008C5EDB"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897141A" w14:textId="24E46580" w:rsidR="008C5EDB"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7E6F61C6" w14:textId="77777777" w:rsidR="0007032F" w:rsidRPr="00EF7CF9" w:rsidRDefault="0007032F" w:rsidP="002A586E">
      <w:pPr>
        <w:pStyle w:val="ProductList-Body"/>
      </w:pPr>
    </w:p>
    <w:p w14:paraId="3C328F82" w14:textId="3776FCBA" w:rsidR="008C5EDB" w:rsidRPr="00EF7CF9" w:rsidRDefault="008C5EDB" w:rsidP="002A586E">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A430552" w14:textId="77777777" w:rsidTr="00C86427">
        <w:trPr>
          <w:tblHeader/>
        </w:trPr>
        <w:tc>
          <w:tcPr>
            <w:tcW w:w="5400" w:type="dxa"/>
            <w:shd w:val="clear" w:color="auto" w:fill="0072C6"/>
          </w:tcPr>
          <w:p w14:paraId="7AB84C1C" w14:textId="69169CA4" w:rsidR="008C5EDB"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B4CBEDE" w14:textId="77777777" w:rsidR="008C5EDB" w:rsidRPr="00EF7CF9" w:rsidRDefault="008C5EDB" w:rsidP="002A586E">
            <w:pPr>
              <w:pStyle w:val="ProductList-OfferingBody"/>
              <w:jc w:val="center"/>
              <w:rPr>
                <w:color w:val="FFFFFF" w:themeColor="background1"/>
              </w:rPr>
            </w:pPr>
            <w:r>
              <w:rPr>
                <w:color w:val="FFFFFF" w:themeColor="background1"/>
              </w:rPr>
              <w:t>Środki Serwisowe na Używanie Usług</w:t>
            </w:r>
          </w:p>
        </w:tc>
      </w:tr>
      <w:tr w:rsidR="008C5EDB" w:rsidRPr="00B44CF9" w14:paraId="610345B0" w14:textId="77777777" w:rsidTr="00C86427">
        <w:tc>
          <w:tcPr>
            <w:tcW w:w="5400" w:type="dxa"/>
          </w:tcPr>
          <w:p w14:paraId="182FD6E2" w14:textId="21EC2136" w:rsidR="008C5EDB" w:rsidRPr="00EF7CF9" w:rsidRDefault="008C5EDB" w:rsidP="002A586E">
            <w:pPr>
              <w:pStyle w:val="ProductList-OfferingBody"/>
              <w:jc w:val="center"/>
            </w:pPr>
            <w:r>
              <w:t>&lt; 99,9%</w:t>
            </w:r>
          </w:p>
        </w:tc>
        <w:tc>
          <w:tcPr>
            <w:tcW w:w="5400" w:type="dxa"/>
          </w:tcPr>
          <w:p w14:paraId="7E536980" w14:textId="77777777" w:rsidR="008C5EDB" w:rsidRPr="00EF7CF9" w:rsidRDefault="008C5EDB" w:rsidP="002A586E">
            <w:pPr>
              <w:pStyle w:val="ProductList-OfferingBody"/>
              <w:jc w:val="center"/>
            </w:pPr>
            <w:r>
              <w:t>25%</w:t>
            </w:r>
          </w:p>
        </w:tc>
      </w:tr>
      <w:tr w:rsidR="008C5EDB" w:rsidRPr="00B44CF9" w14:paraId="593FE832" w14:textId="77777777" w:rsidTr="00C86427">
        <w:tc>
          <w:tcPr>
            <w:tcW w:w="5400" w:type="dxa"/>
          </w:tcPr>
          <w:p w14:paraId="55956A3F" w14:textId="7AC2D0B5" w:rsidR="008C5EDB" w:rsidRPr="00EF7CF9" w:rsidRDefault="008C5EDB" w:rsidP="002A586E">
            <w:pPr>
              <w:pStyle w:val="ProductList-OfferingBody"/>
              <w:jc w:val="center"/>
            </w:pPr>
            <w:r>
              <w:t>&lt; 99%</w:t>
            </w:r>
          </w:p>
        </w:tc>
        <w:tc>
          <w:tcPr>
            <w:tcW w:w="5400" w:type="dxa"/>
          </w:tcPr>
          <w:p w14:paraId="6019CFA5" w14:textId="77777777" w:rsidR="008C5EDB" w:rsidRPr="00EF7CF9" w:rsidRDefault="008C5EDB" w:rsidP="002A586E">
            <w:pPr>
              <w:pStyle w:val="ProductList-OfferingBody"/>
              <w:jc w:val="center"/>
            </w:pPr>
            <w:r>
              <w:t>50%</w:t>
            </w:r>
          </w:p>
        </w:tc>
      </w:tr>
      <w:tr w:rsidR="008C5EDB" w:rsidRPr="00B44CF9" w14:paraId="5D8417F0" w14:textId="77777777" w:rsidTr="00C86427">
        <w:tc>
          <w:tcPr>
            <w:tcW w:w="5400" w:type="dxa"/>
          </w:tcPr>
          <w:p w14:paraId="03BBBEA7" w14:textId="77777777" w:rsidR="008C5EDB" w:rsidRPr="00EF7CF9" w:rsidRDefault="008C5EDB" w:rsidP="002A586E">
            <w:pPr>
              <w:pStyle w:val="ProductList-OfferingBody"/>
              <w:jc w:val="center"/>
            </w:pPr>
            <w:r>
              <w:t>&lt; 95%</w:t>
            </w:r>
          </w:p>
        </w:tc>
        <w:tc>
          <w:tcPr>
            <w:tcW w:w="5400" w:type="dxa"/>
          </w:tcPr>
          <w:p w14:paraId="548DC324" w14:textId="77777777" w:rsidR="008C5EDB" w:rsidRPr="00EF7CF9" w:rsidRDefault="008C5EDB" w:rsidP="002A586E">
            <w:pPr>
              <w:pStyle w:val="ProductList-OfferingBody"/>
              <w:jc w:val="center"/>
            </w:pPr>
            <w:r>
              <w:t>100%</w:t>
            </w:r>
          </w:p>
        </w:tc>
      </w:tr>
    </w:tbl>
    <w:p w14:paraId="2F97468D" w14:textId="77777777" w:rsidR="008C5EDB" w:rsidRPr="00EF7CF9" w:rsidRDefault="008C5EDB" w:rsidP="002A586E">
      <w:pPr>
        <w:pStyle w:val="ProductList-Body"/>
        <w:tabs>
          <w:tab w:val="clear" w:pos="360"/>
          <w:tab w:val="clear" w:pos="720"/>
          <w:tab w:val="clear" w:pos="1080"/>
        </w:tabs>
      </w:pPr>
    </w:p>
    <w:p w14:paraId="597A6C6F" w14:textId="7CA5BD00" w:rsidR="008C5EDB" w:rsidRPr="00EF7CF9" w:rsidRDefault="008C5EDB" w:rsidP="002A586E">
      <w:pPr>
        <w:pStyle w:val="ProductList-Body"/>
      </w:pPr>
      <w:r>
        <w:rPr>
          <w:b/>
          <w:color w:val="00188F"/>
        </w:rPr>
        <w:t>Wyjątki dotyczące Poziomu Usługi</w:t>
      </w:r>
      <w:r>
        <w:t>. Niniejsza umowa SLA nie dotyczy pakietu Enterprise CAL zakupionego w ramach umów licencjonowania zbiorowego Open Value i Open Value Subscription.</w:t>
      </w:r>
    </w:p>
    <w:bookmarkStart w:id="70" w:name="_Toc457821515"/>
    <w:p w14:paraId="44D07D90" w14:textId="1BAE6469"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2039F28" w14:textId="77777777" w:rsidR="00A57C32" w:rsidRDefault="00A57C32">
      <w:pPr>
        <w:rPr>
          <w:rFonts w:asciiTheme="majorHAnsi" w:hAnsiTheme="majorHAnsi"/>
          <w:b/>
          <w:color w:val="0072C6"/>
          <w:sz w:val="28"/>
        </w:rPr>
      </w:pPr>
      <w:r>
        <w:br w:type="page"/>
      </w:r>
    </w:p>
    <w:p w14:paraId="34F2BB32" w14:textId="5522C59B" w:rsidR="008C5EDB" w:rsidRPr="00EF7CF9" w:rsidRDefault="008C5EDB" w:rsidP="002A586E">
      <w:pPr>
        <w:pStyle w:val="ProductList-Offering2Heading"/>
        <w:outlineLvl w:val="2"/>
      </w:pPr>
      <w:bookmarkStart w:id="71" w:name="_Toc239174934"/>
      <w:r>
        <w:t xml:space="preserve">Exchange Online </w:t>
      </w:r>
      <w:proofErr w:type="spellStart"/>
      <w:r>
        <w:t>Protection</w:t>
      </w:r>
      <w:bookmarkEnd w:id="70"/>
      <w:bookmarkEnd w:id="71"/>
      <w:proofErr w:type="spellEnd"/>
    </w:p>
    <w:p w14:paraId="004F7C4E" w14:textId="77777777" w:rsidR="00767E1D" w:rsidRPr="00F44E97" w:rsidRDefault="00767E1D" w:rsidP="00767E1D">
      <w:pPr>
        <w:pStyle w:val="ProductList-Body"/>
        <w:rPr>
          <w:rFonts w:ascii="Calibri" w:hAnsi="Calibri" w:cs="Calibri"/>
        </w:rPr>
      </w:pPr>
      <w:bookmarkStart w:id="72" w:name="_Toc526859624"/>
      <w:bookmarkStart w:id="73" w:name="_Toc457821516"/>
      <w:r>
        <w:rPr>
          <w:rFonts w:ascii="Calibri" w:hAnsi="Calibri" w:cs="Calibri"/>
          <w:b/>
          <w:color w:val="00188F"/>
        </w:rPr>
        <w:t>Przestój</w:t>
      </w:r>
      <w:r>
        <w:rPr>
          <w:rFonts w:ascii="Calibri" w:hAnsi="Calibri" w:cs="Calibri"/>
        </w:rPr>
        <w:t>: Okres, w którym Microsoft 365 nie jest w stanie akceptować lub wysyłać wiadomości e-mail z powodu problemu występującego w obrębie Microsoft 365. Nie przewidziano żadnych Planowanych Przestojów dla tej usługi.</w:t>
      </w:r>
    </w:p>
    <w:p w14:paraId="04606B65" w14:textId="77777777" w:rsidR="00767E1D" w:rsidRDefault="00767E1D" w:rsidP="00767E1D">
      <w:pPr>
        <w:pStyle w:val="ProductList-Body"/>
      </w:pPr>
    </w:p>
    <w:p w14:paraId="0204B7DF" w14:textId="77777777" w:rsidR="00767E1D" w:rsidRPr="005F70A3" w:rsidRDefault="00767E1D" w:rsidP="00767E1D">
      <w:pPr>
        <w:pStyle w:val="ProductList-Body"/>
        <w:rPr>
          <w:rFonts w:ascii="Calibri" w:hAnsi="Calibri" w:cs="Calibri"/>
          <w:bCs/>
        </w:rPr>
      </w:pPr>
      <w:r>
        <w:rPr>
          <w:rFonts w:ascii="Calibri" w:hAnsi="Calibri" w:cs="Calibri"/>
          <w:bCs/>
        </w:rPr>
        <w:t xml:space="preserve">Dostępność Exchange Online </w:t>
      </w:r>
      <w:proofErr w:type="spellStart"/>
      <w:r>
        <w:rPr>
          <w:rFonts w:ascii="Calibri" w:hAnsi="Calibri" w:cs="Calibri"/>
          <w:bCs/>
        </w:rPr>
        <w:t>Protection</w:t>
      </w:r>
      <w:proofErr w:type="spellEnd"/>
      <w:r>
        <w:rPr>
          <w:rFonts w:ascii="Calibri" w:hAnsi="Calibri" w:cs="Calibri"/>
          <w:bCs/>
        </w:rPr>
        <w:t xml:space="preserve"> dzieli się na dwie kategorie:</w:t>
      </w:r>
    </w:p>
    <w:p w14:paraId="0A0E8E03" w14:textId="77777777" w:rsidR="00767E1D" w:rsidRPr="00F44E97" w:rsidRDefault="00767E1D" w:rsidP="00DB4449">
      <w:pPr>
        <w:pStyle w:val="ProductList-Body"/>
        <w:numPr>
          <w:ilvl w:val="0"/>
          <w:numId w:val="35"/>
        </w:numPr>
        <w:rPr>
          <w:rFonts w:ascii="Calibri" w:hAnsi="Calibri" w:cs="Calibri"/>
        </w:rPr>
      </w:pPr>
      <w:r>
        <w:rPr>
          <w:rFonts w:ascii="Calibri" w:hAnsi="Calibri" w:cs="Calibri"/>
        </w:rPr>
        <w:t>Stałe odrzucenia z powodu problemów z Microsoft 365.</w:t>
      </w:r>
    </w:p>
    <w:p w14:paraId="6B6ACBE5" w14:textId="77777777" w:rsidR="00767E1D" w:rsidRPr="00F44E97" w:rsidRDefault="00767E1D" w:rsidP="00DB4449">
      <w:pPr>
        <w:pStyle w:val="ProductList-Body"/>
        <w:numPr>
          <w:ilvl w:val="0"/>
          <w:numId w:val="35"/>
        </w:numPr>
        <w:rPr>
          <w:rFonts w:ascii="Calibri" w:hAnsi="Calibri" w:cs="Calibri"/>
        </w:rPr>
      </w:pPr>
      <w:r>
        <w:rPr>
          <w:rFonts w:ascii="Calibri" w:hAnsi="Calibri" w:cs="Calibri"/>
        </w:rPr>
        <w:t>Przejściowe odrzucenia z powodu problemów z Microsoft 365.</w:t>
      </w:r>
    </w:p>
    <w:p w14:paraId="7B1CF2E3" w14:textId="77777777" w:rsidR="00767E1D" w:rsidRPr="00EF7CF9" w:rsidRDefault="00767E1D" w:rsidP="00767E1D">
      <w:pPr>
        <w:pStyle w:val="ProductList-Body"/>
      </w:pPr>
    </w:p>
    <w:p w14:paraId="209EEF6B" w14:textId="77777777" w:rsidR="00767E1D" w:rsidRDefault="00767E1D" w:rsidP="00767E1D">
      <w:pPr>
        <w:pStyle w:val="ProductList-Body"/>
        <w:rPr>
          <w:rFonts w:ascii="Calibri" w:hAnsi="Calibri" w:cs="Calibri"/>
        </w:rPr>
      </w:pPr>
      <w:r>
        <w:rPr>
          <w:rFonts w:ascii="Calibri" w:hAnsi="Calibri" w:cs="Calibri"/>
          <w:b/>
          <w:color w:val="00188F"/>
        </w:rPr>
        <w:t>Procent Czasu Sprawnego Działania</w:t>
      </w:r>
      <w:r>
        <w:rPr>
          <w:rFonts w:ascii="Calibri" w:hAnsi="Calibri" w:cs="Calibri"/>
        </w:rPr>
        <w:t xml:space="preserve">: </w:t>
      </w:r>
    </w:p>
    <w:p w14:paraId="0C53A694" w14:textId="77777777" w:rsidR="00767E1D" w:rsidRDefault="00767E1D" w:rsidP="00DB4449">
      <w:pPr>
        <w:pStyle w:val="ProductList-Body"/>
        <w:numPr>
          <w:ilvl w:val="0"/>
          <w:numId w:val="37"/>
        </w:numPr>
        <w:spacing w:after="120"/>
        <w:rPr>
          <w:rFonts w:ascii="Calibri" w:hAnsi="Calibri" w:cs="Calibri"/>
        </w:rPr>
      </w:pPr>
      <w:r>
        <w:rPr>
          <w:rFonts w:ascii="Calibri" w:hAnsi="Calibri" w:cs="Calibri"/>
        </w:rPr>
        <w:t xml:space="preserve">Stałe odrzucenia z powodu problemów z Microsoft 365. </w:t>
      </w:r>
    </w:p>
    <w:p w14:paraId="002A32EB" w14:textId="77777777" w:rsidR="00767E1D" w:rsidRPr="00F44E97" w:rsidRDefault="00767E1D" w:rsidP="00767E1D">
      <w:pPr>
        <w:pStyle w:val="ProductList-Body"/>
        <w:rPr>
          <w:rFonts w:ascii="Calibri" w:hAnsi="Calibri" w:cs="Calibri"/>
        </w:rPr>
      </w:pPr>
      <w:r>
        <w:rPr>
          <w:rFonts w:ascii="Calibri" w:hAnsi="Calibri" w:cs="Calibri"/>
        </w:rPr>
        <w:t>Procent Czasu Sprawnego Działania jest obliczany przy użyciu następującego wzoru:</w:t>
      </w:r>
    </w:p>
    <w:p w14:paraId="2C90AF33" w14:textId="77777777" w:rsidR="00767E1D" w:rsidRPr="002270F1" w:rsidRDefault="00000000" w:rsidP="00767E1D">
      <w:pPr>
        <w:spacing w:before="120" w:after="120" w:line="240" w:lineRule="auto"/>
        <w:jc w:val="both"/>
        <w:rPr>
          <w:rFonts w:eastAsiaTheme="minorEastAsia"/>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Łączna liczba minut w miesiącu - Przestój </m:t>
              </m:r>
            </m:num>
            <m:den>
              <m:r>
                <w:rPr>
                  <w:rFonts w:ascii="Cambria Math" w:hAnsi="Cambria Math" w:cs="Calibri"/>
                  <w:sz w:val="18"/>
                  <w:szCs w:val="18"/>
                </w:rPr>
                <m:t>Łączna liczba minut w miesiącu</m:t>
              </m:r>
            </m:den>
          </m:f>
          <m:r>
            <w:rPr>
              <w:rFonts w:ascii="Cambria Math" w:hAnsi="Cambria Math" w:cs="Calibri"/>
              <w:sz w:val="18"/>
              <w:szCs w:val="18"/>
            </w:rPr>
            <m:t xml:space="preserve"> x 100</m:t>
          </m:r>
        </m:oMath>
      </m:oMathPara>
    </w:p>
    <w:p w14:paraId="5977F290" w14:textId="77777777" w:rsidR="00767E1D" w:rsidRPr="00F44E97" w:rsidRDefault="00767E1D" w:rsidP="00767E1D">
      <w:pPr>
        <w:pStyle w:val="ProductList-Body"/>
        <w:rPr>
          <w:rFonts w:ascii="Calibri" w:hAnsi="Calibri" w:cs="Calibri"/>
        </w:rPr>
      </w:pPr>
      <w:r>
        <w:rPr>
          <w:rFonts w:ascii="Calibri" w:hAnsi="Calibri" w:cs="Calibri"/>
        </w:rPr>
        <w:t xml:space="preserve">gdzie Przestój to czas trwania problemu (w minutach) pomnożony przez część usługi, która jest niedostępna, zsumowany w ciągu miesiąca kalendarzowego. </w:t>
      </w:r>
    </w:p>
    <w:p w14:paraId="69A172D3" w14:textId="77777777" w:rsidR="00767E1D" w:rsidRPr="00F44E97" w:rsidRDefault="00767E1D" w:rsidP="00767E1D">
      <w:pPr>
        <w:pStyle w:val="ProductList-Body"/>
        <w:rPr>
          <w:rFonts w:ascii="Calibri" w:hAnsi="Calibri" w:cs="Calibri"/>
        </w:rPr>
      </w:pPr>
    </w:p>
    <w:p w14:paraId="71BEF3CC" w14:textId="77777777" w:rsidR="00767E1D" w:rsidRDefault="00767E1D" w:rsidP="00DB4449">
      <w:pPr>
        <w:pStyle w:val="ProductList-Body"/>
        <w:numPr>
          <w:ilvl w:val="0"/>
          <w:numId w:val="37"/>
        </w:numPr>
        <w:spacing w:after="120"/>
        <w:rPr>
          <w:rFonts w:ascii="Calibri" w:hAnsi="Calibri" w:cs="Calibri"/>
        </w:rPr>
      </w:pPr>
      <w:r>
        <w:rPr>
          <w:rFonts w:ascii="Calibri" w:hAnsi="Calibri" w:cs="Calibri"/>
        </w:rPr>
        <w:t>Przejściowe odrzucenia z powodu problemów z Microsoft 365</w:t>
      </w:r>
    </w:p>
    <w:p w14:paraId="459BCF92" w14:textId="77777777" w:rsidR="00767E1D" w:rsidRDefault="00767E1D" w:rsidP="00767E1D">
      <w:pPr>
        <w:pStyle w:val="ProductList-Body"/>
        <w:rPr>
          <w:rFonts w:ascii="Calibri" w:hAnsi="Calibri" w:cs="Calibri"/>
        </w:rPr>
      </w:pPr>
      <w:r>
        <w:rPr>
          <w:rFonts w:ascii="Calibri" w:hAnsi="Calibri" w:cs="Calibri"/>
          <w:b/>
          <w:color w:val="00188F"/>
        </w:rPr>
        <w:t>Procent Czasu Sprawnego Działania</w:t>
      </w:r>
      <w:r>
        <w:rPr>
          <w:rFonts w:ascii="Calibri" w:hAnsi="Calibri" w:cs="Calibri"/>
        </w:rPr>
        <w:t xml:space="preserve">: </w:t>
      </w:r>
    </w:p>
    <w:p w14:paraId="0576F4A0" w14:textId="77777777" w:rsidR="00767E1D" w:rsidRPr="00EF7CF9" w:rsidRDefault="00000000" w:rsidP="00767E1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w:rPr>
                  <w:rFonts w:ascii="Cambria Math" w:hAnsi="Cambria Math" w:cs="Calibri"/>
                  <w:sz w:val="18"/>
                  <w:szCs w:val="18"/>
                </w:rPr>
                <m:t xml:space="preserve">Łączna liczba wiadomości w miesiącu - Wiadomości, których dotyczy </m:t>
              </m:r>
            </m:num>
            <m:den>
              <m:r>
                <w:rPr>
                  <w:rFonts w:ascii="Cambria Math" w:hAnsi="Cambria Math" w:cs="Calibri"/>
                  <w:sz w:val="18"/>
                  <w:szCs w:val="18"/>
                </w:rPr>
                <m:t>Łączna liczba wiadomości w miesiącu</m:t>
              </m:r>
            </m:den>
          </m:f>
          <m:r>
            <w:rPr>
              <w:rFonts w:ascii="Cambria Math" w:hAnsi="Cambria Math" w:cs="Calibri"/>
              <w:sz w:val="18"/>
              <w:szCs w:val="18"/>
            </w:rPr>
            <m:t xml:space="preserve"> x 100</m:t>
          </m:r>
        </m:oMath>
      </m:oMathPara>
    </w:p>
    <w:p w14:paraId="3F9356C5" w14:textId="77777777" w:rsidR="00767E1D" w:rsidRPr="00FF1ABA" w:rsidRDefault="00767E1D" w:rsidP="00767E1D">
      <w:pPr>
        <w:pStyle w:val="ProductList-Body"/>
        <w:rPr>
          <w:rFonts w:ascii="Calibri" w:hAnsi="Calibri" w:cs="Calibri"/>
        </w:rPr>
      </w:pPr>
      <w:r>
        <w:rPr>
          <w:rFonts w:ascii="Calibri" w:hAnsi="Calibri" w:cs="Calibri"/>
        </w:rPr>
        <w:t>Za Wiadomości, których Dotyczą Problemy uważa się wiadomości opóźnione o więcej niż (10) minut w trakcie trwania problemu zsumowanych w ciągu miesiąca kalendarzowego.</w:t>
      </w:r>
    </w:p>
    <w:p w14:paraId="1274A9B2" w14:textId="77777777" w:rsidR="00767E1D" w:rsidRPr="00EF7CF9" w:rsidRDefault="00767E1D" w:rsidP="00767E1D">
      <w:pPr>
        <w:pStyle w:val="ProductList-Body"/>
      </w:pPr>
    </w:p>
    <w:p w14:paraId="209EDB3F" w14:textId="77777777" w:rsidR="00767E1D" w:rsidRPr="00F44E97" w:rsidRDefault="00767E1D" w:rsidP="00767E1D">
      <w:pPr>
        <w:pStyle w:val="ProductList-Body"/>
        <w:rPr>
          <w:rFonts w:ascii="Calibri" w:hAnsi="Calibri" w:cs="Calibri"/>
        </w:rPr>
      </w:pPr>
      <w:r>
        <w:rPr>
          <w:rFonts w:ascii="Calibri" w:hAnsi="Calibri" w:cs="Calibri"/>
          <w:b/>
          <w:color w:val="00188F"/>
        </w:rPr>
        <w:t>Środki na Używanie Usług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67E1D" w14:paraId="7CE7A11E" w14:textId="77777777" w:rsidTr="00C33532">
        <w:trPr>
          <w:tblHeader/>
        </w:trPr>
        <w:tc>
          <w:tcPr>
            <w:tcW w:w="5400" w:type="dxa"/>
            <w:shd w:val="clear" w:color="auto" w:fill="0072C6"/>
          </w:tcPr>
          <w:p w14:paraId="094DC19A" w14:textId="77777777" w:rsidR="00767E1D" w:rsidRPr="00FF1ABA" w:rsidRDefault="00767E1D"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0708EFE4" w14:textId="77777777" w:rsidR="00767E1D" w:rsidRPr="00FF1ABA" w:rsidRDefault="00767E1D"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767E1D" w14:paraId="4C24B611" w14:textId="77777777" w:rsidTr="00C33532">
        <w:tc>
          <w:tcPr>
            <w:tcW w:w="5400" w:type="dxa"/>
          </w:tcPr>
          <w:p w14:paraId="5D1CEAF1" w14:textId="77777777" w:rsidR="00767E1D" w:rsidRPr="00FF1ABA" w:rsidRDefault="00767E1D" w:rsidP="00C33532">
            <w:pPr>
              <w:pStyle w:val="ProductList-OfferingBody"/>
              <w:jc w:val="center"/>
              <w:rPr>
                <w:rFonts w:ascii="Calibri" w:hAnsi="Calibri" w:cs="Calibri"/>
                <w:szCs w:val="16"/>
              </w:rPr>
            </w:pPr>
            <w:r>
              <w:rPr>
                <w:rFonts w:ascii="Calibri" w:hAnsi="Calibri" w:cs="Calibri"/>
                <w:szCs w:val="16"/>
              </w:rPr>
              <w:t>&lt; 99,9%</w:t>
            </w:r>
          </w:p>
        </w:tc>
        <w:tc>
          <w:tcPr>
            <w:tcW w:w="5400" w:type="dxa"/>
          </w:tcPr>
          <w:p w14:paraId="396E00E2" w14:textId="77777777" w:rsidR="00767E1D" w:rsidRPr="00FF1ABA" w:rsidRDefault="00767E1D" w:rsidP="00C33532">
            <w:pPr>
              <w:pStyle w:val="ProductList-OfferingBody"/>
              <w:jc w:val="center"/>
              <w:rPr>
                <w:rFonts w:ascii="Calibri" w:hAnsi="Calibri" w:cs="Calibri"/>
                <w:szCs w:val="16"/>
              </w:rPr>
            </w:pPr>
            <w:r>
              <w:rPr>
                <w:rFonts w:ascii="Calibri" w:hAnsi="Calibri" w:cs="Calibri"/>
                <w:szCs w:val="16"/>
              </w:rPr>
              <w:t>25%</w:t>
            </w:r>
          </w:p>
        </w:tc>
      </w:tr>
      <w:tr w:rsidR="00767E1D" w14:paraId="17C8463E" w14:textId="77777777" w:rsidTr="00C33532">
        <w:tc>
          <w:tcPr>
            <w:tcW w:w="5400" w:type="dxa"/>
          </w:tcPr>
          <w:p w14:paraId="37698D75" w14:textId="77777777" w:rsidR="00767E1D" w:rsidRPr="00FF1ABA" w:rsidRDefault="00767E1D" w:rsidP="00C33532">
            <w:pPr>
              <w:pStyle w:val="ProductList-OfferingBody"/>
              <w:jc w:val="center"/>
              <w:rPr>
                <w:rFonts w:ascii="Calibri" w:hAnsi="Calibri" w:cs="Calibri"/>
                <w:szCs w:val="16"/>
              </w:rPr>
            </w:pPr>
            <w:r>
              <w:rPr>
                <w:rFonts w:ascii="Calibri" w:hAnsi="Calibri" w:cs="Calibri"/>
                <w:szCs w:val="16"/>
              </w:rPr>
              <w:t>&lt; 99%</w:t>
            </w:r>
          </w:p>
        </w:tc>
        <w:tc>
          <w:tcPr>
            <w:tcW w:w="5400" w:type="dxa"/>
          </w:tcPr>
          <w:p w14:paraId="67648ED4" w14:textId="77777777" w:rsidR="00767E1D" w:rsidRPr="00FF1ABA" w:rsidRDefault="00767E1D" w:rsidP="00C33532">
            <w:pPr>
              <w:pStyle w:val="ProductList-OfferingBody"/>
              <w:jc w:val="center"/>
              <w:rPr>
                <w:rFonts w:ascii="Calibri" w:hAnsi="Calibri" w:cs="Calibri"/>
                <w:szCs w:val="16"/>
              </w:rPr>
            </w:pPr>
            <w:r>
              <w:rPr>
                <w:rFonts w:ascii="Calibri" w:hAnsi="Calibri" w:cs="Calibri"/>
                <w:szCs w:val="16"/>
              </w:rPr>
              <w:t>50%</w:t>
            </w:r>
          </w:p>
        </w:tc>
      </w:tr>
      <w:tr w:rsidR="00767E1D" w14:paraId="080B0AFF" w14:textId="77777777" w:rsidTr="00C33532">
        <w:tc>
          <w:tcPr>
            <w:tcW w:w="5400" w:type="dxa"/>
          </w:tcPr>
          <w:p w14:paraId="793B6939" w14:textId="77777777" w:rsidR="00767E1D" w:rsidRPr="00FF1ABA" w:rsidRDefault="00767E1D" w:rsidP="00C33532">
            <w:pPr>
              <w:pStyle w:val="ProductList-OfferingBody"/>
              <w:jc w:val="center"/>
              <w:rPr>
                <w:rFonts w:ascii="Calibri" w:hAnsi="Calibri" w:cs="Calibri"/>
                <w:szCs w:val="16"/>
              </w:rPr>
            </w:pPr>
            <w:r>
              <w:rPr>
                <w:rFonts w:ascii="Calibri" w:hAnsi="Calibri" w:cs="Calibri"/>
                <w:szCs w:val="16"/>
              </w:rPr>
              <w:t>&lt; 95%</w:t>
            </w:r>
          </w:p>
        </w:tc>
        <w:tc>
          <w:tcPr>
            <w:tcW w:w="5400" w:type="dxa"/>
          </w:tcPr>
          <w:p w14:paraId="7740B274" w14:textId="77777777" w:rsidR="00767E1D" w:rsidRPr="00FF1ABA" w:rsidRDefault="00767E1D" w:rsidP="00C33532">
            <w:pPr>
              <w:pStyle w:val="ProductList-OfferingBody"/>
              <w:jc w:val="center"/>
              <w:rPr>
                <w:rFonts w:ascii="Calibri" w:hAnsi="Calibri" w:cs="Calibri"/>
                <w:szCs w:val="16"/>
              </w:rPr>
            </w:pPr>
            <w:r>
              <w:rPr>
                <w:rFonts w:ascii="Calibri" w:hAnsi="Calibri" w:cs="Calibri"/>
                <w:szCs w:val="16"/>
              </w:rPr>
              <w:t>100%</w:t>
            </w:r>
          </w:p>
        </w:tc>
      </w:tr>
    </w:tbl>
    <w:p w14:paraId="2AB1A00C" w14:textId="77777777" w:rsidR="00767E1D" w:rsidRPr="00FF1ABA" w:rsidRDefault="00767E1D" w:rsidP="00767E1D">
      <w:pPr>
        <w:pStyle w:val="ProductList-Body"/>
        <w:spacing w:before="120"/>
        <w:rPr>
          <w:rFonts w:ascii="Calibri" w:hAnsi="Calibri" w:cs="Calibri"/>
        </w:rPr>
      </w:pPr>
      <w:r>
        <w:rPr>
          <w:rFonts w:ascii="Calibri" w:hAnsi="Calibri" w:cs="Calibri"/>
        </w:rPr>
        <w:t xml:space="preserve">Exchange Online </w:t>
      </w:r>
      <w:proofErr w:type="spellStart"/>
      <w:r>
        <w:rPr>
          <w:rFonts w:ascii="Calibri" w:hAnsi="Calibri" w:cs="Calibri"/>
        </w:rPr>
        <w:t>Protection</w:t>
      </w:r>
      <w:proofErr w:type="spellEnd"/>
      <w:r>
        <w:rPr>
          <w:rFonts w:ascii="Calibri" w:hAnsi="Calibri" w:cs="Calibri"/>
        </w:rPr>
        <w:t xml:space="preserve"> ma zastosowanie wyłącznie do uzasadnionych firmowych wiadomości e-mail dostarczanych na ważne konta e-mail z licencją Microsoft 365 lub wysyłanych za ich pośrednictwem. Powyższe nie ma zastosowania do następujących:  </w:t>
      </w:r>
    </w:p>
    <w:p w14:paraId="7B55A3CE"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Zmasowane ataki na skrzynki pocztowe wywołane przez klientów</w:t>
      </w:r>
    </w:p>
    <w:p w14:paraId="1F79FF90"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Masowe wiadomości e-mail (maile reklamowe, biuletyny itp.)</w:t>
      </w:r>
    </w:p>
    <w:p w14:paraId="264DF62E"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Dostarczanie wiadomości e-mail do archiwum</w:t>
      </w:r>
    </w:p>
    <w:p w14:paraId="17EA0566"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Ataki typu „odmowa usługi” (</w:t>
      </w:r>
      <w:proofErr w:type="spellStart"/>
      <w:r>
        <w:rPr>
          <w:rFonts w:ascii="Calibri" w:hAnsi="Calibri" w:cs="Calibri"/>
          <w:bCs/>
        </w:rPr>
        <w:t>DoS</w:t>
      </w:r>
      <w:proofErr w:type="spellEnd"/>
      <w:r>
        <w:rPr>
          <w:rFonts w:ascii="Calibri" w:hAnsi="Calibri" w:cs="Calibri"/>
          <w:bCs/>
        </w:rPr>
        <w:t>)</w:t>
      </w:r>
    </w:p>
    <w:p w14:paraId="07DDE6DC"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Błędna konfiguracja Dzierżawcy Microsoft 365</w:t>
      </w:r>
    </w:p>
    <w:p w14:paraId="66EE405D"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Opóźnienia poczty e-mail, gdy tryb awarii mieści się w granicach klientów lokalnych i/lub zewnętrznych dostawców usług.</w:t>
      </w:r>
    </w:p>
    <w:p w14:paraId="5D2823B3"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Opóźnienie sieciowe między usługą Microsoft 365 a klientami poczty e-mail użytkowników końcowych</w:t>
      </w:r>
    </w:p>
    <w:p w14:paraId="67EE63CA"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Poczta, która jest ograniczana przez platformę Microsoft 365 w celu ochrony kondycji usługi lub z powodu przekroczenia przez dzierżawcę zdefiniowanych limitów wysyłania i/lub odbierania wiadomości.</w:t>
      </w:r>
    </w:p>
    <w:p w14:paraId="3F772D73"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Wiadomości, którym Microsoft 365 obniżył priorytet w celu ochrony ogólnego stanu usługi (na przykład: duże wiadomości, wiadomości wysyłane do dużej liczby odbiorców lub listy dystrybucyjne zawierające znaczną liczbę odbiorców)</w:t>
      </w:r>
    </w:p>
    <w:p w14:paraId="5A177249" w14:textId="77777777" w:rsidR="00767E1D" w:rsidRPr="00FF1ABA" w:rsidRDefault="00767E1D" w:rsidP="00DB4449">
      <w:pPr>
        <w:pStyle w:val="ProductList-Body"/>
        <w:numPr>
          <w:ilvl w:val="0"/>
          <w:numId w:val="36"/>
        </w:numPr>
        <w:tabs>
          <w:tab w:val="left" w:pos="720"/>
        </w:tabs>
        <w:rPr>
          <w:rFonts w:ascii="Calibri" w:hAnsi="Calibri" w:cs="Calibri"/>
          <w:bCs/>
        </w:rPr>
      </w:pPr>
      <w:r>
        <w:rPr>
          <w:rFonts w:ascii="Calibri" w:hAnsi="Calibri" w:cs="Calibri"/>
          <w:bCs/>
        </w:rPr>
        <w:t>Wiadomości opóźnione z powodu kosztownych reguł i zasad skonfigurowanych przez klienta</w:t>
      </w:r>
    </w:p>
    <w:p w14:paraId="50884EBC" w14:textId="77777777" w:rsidR="00767E1D" w:rsidRPr="00D70287" w:rsidRDefault="00767E1D" w:rsidP="00767E1D">
      <w:pPr>
        <w:pStyle w:val="ProductList-Body"/>
        <w:rPr>
          <w:sz w:val="16"/>
          <w:szCs w:val="21"/>
        </w:rPr>
      </w:pPr>
    </w:p>
    <w:p w14:paraId="18415193" w14:textId="77777777" w:rsidR="00767E1D" w:rsidRPr="00F44E97" w:rsidRDefault="00767E1D" w:rsidP="00767E1D">
      <w:pPr>
        <w:rPr>
          <w:rFonts w:ascii="Calibri" w:hAnsi="Calibri" w:cs="Calibri"/>
          <w:sz w:val="18"/>
        </w:rPr>
      </w:pPr>
      <w:r>
        <w:rPr>
          <w:rFonts w:ascii="Calibri" w:hAnsi="Calibri" w:cs="Calibri"/>
          <w:b/>
          <w:color w:val="00188F"/>
          <w:sz w:val="18"/>
        </w:rPr>
        <w:t>Dodatkowe postanowienia:</w:t>
      </w:r>
      <w:r>
        <w:rPr>
          <w:rFonts w:ascii="Calibri" w:hAnsi="Calibri" w:cs="Calibri"/>
          <w:sz w:val="18"/>
        </w:rPr>
        <w:t xml:space="preserve"> Zob. (i) Załącznik 1 - Zadeklarowanie poziomu usług w zakresie wykrywania i blokowania wirusów, skuteczności wykrywania spamu lub trafień fałszywie dodatnich.</w:t>
      </w:r>
    </w:p>
    <w:p w14:paraId="0D6DCF83" w14:textId="38C25D46"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AF72E75" w14:textId="77777777" w:rsidR="00A57C32" w:rsidRDefault="00A57C32">
      <w:pPr>
        <w:rPr>
          <w:rFonts w:asciiTheme="majorHAnsi" w:hAnsiTheme="majorHAnsi"/>
          <w:b/>
          <w:color w:val="0072C6"/>
          <w:sz w:val="28"/>
        </w:rPr>
      </w:pPr>
      <w:r>
        <w:br w:type="page"/>
      </w:r>
    </w:p>
    <w:p w14:paraId="4DBC3626" w14:textId="4FFD7ED2" w:rsidR="00F601F4" w:rsidRDefault="00F601F4" w:rsidP="00CC3273">
      <w:pPr>
        <w:pStyle w:val="ProductList-Offering2Heading"/>
        <w:outlineLvl w:val="2"/>
      </w:pPr>
      <w:bookmarkStart w:id="74" w:name="_Toc239174935"/>
      <w:r>
        <w:t xml:space="preserve">Microsoft </w:t>
      </w:r>
      <w:proofErr w:type="spellStart"/>
      <w:r>
        <w:t>MyAnalytics</w:t>
      </w:r>
      <w:bookmarkEnd w:id="72"/>
      <w:bookmarkEnd w:id="74"/>
      <w:proofErr w:type="spellEnd"/>
    </w:p>
    <w:p w14:paraId="48761BDB" w14:textId="77777777" w:rsidR="00F601F4" w:rsidRPr="00C27DCF" w:rsidRDefault="00F601F4" w:rsidP="002A586E">
      <w:pPr>
        <w:pStyle w:val="ProductList-Body"/>
        <w:rPr>
          <w:i/>
        </w:rPr>
      </w:pPr>
      <w:r>
        <w:rPr>
          <w:b/>
          <w:color w:val="00188F"/>
        </w:rPr>
        <w:t>Przestój</w:t>
      </w:r>
      <w:r w:rsidRPr="007B038A">
        <w:rPr>
          <w:b/>
          <w:color w:val="00188F"/>
        </w:rPr>
        <w:t>:</w:t>
      </w:r>
      <w:r>
        <w:t xml:space="preserve"> </w:t>
      </w:r>
      <w:r>
        <w:rPr>
          <w:iCs/>
        </w:rPr>
        <w:t xml:space="preserve">Dowolny okres, w którym użytkownicy nie mogą uzyskać dostępu do pulpitu nawigacyjnego </w:t>
      </w:r>
      <w:proofErr w:type="spellStart"/>
      <w:r>
        <w:rPr>
          <w:iCs/>
        </w:rPr>
        <w:t>MyAnalytics</w:t>
      </w:r>
      <w:proofErr w:type="spellEnd"/>
      <w:r>
        <w:rPr>
          <w:i/>
        </w:rPr>
        <w:t>.</w:t>
      </w:r>
    </w:p>
    <w:p w14:paraId="0529F6AA" w14:textId="36F9EF92" w:rsidR="00D64CD1" w:rsidRDefault="00AC48A7" w:rsidP="00943212">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3BF78BEA" w14:textId="77777777" w:rsidR="001A6663" w:rsidRPr="00EF7CF9" w:rsidRDefault="001A6663" w:rsidP="002A586E">
      <w:pPr>
        <w:pStyle w:val="ProductList-Body"/>
      </w:pPr>
    </w:p>
    <w:p w14:paraId="32BFAAAA" w14:textId="324BC4E5" w:rsidR="00D64CD1" w:rsidRPr="00EF7CF9" w:rsidRDefault="00000000" w:rsidP="002A586E">
      <w:pPr>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7E02FED1" w14:textId="1FB8BB2C" w:rsidR="00D64CD1"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65736513" w14:textId="77777777" w:rsidR="0007032F" w:rsidRPr="00EF7CF9" w:rsidRDefault="0007032F" w:rsidP="002A586E">
      <w:pPr>
        <w:pStyle w:val="ProductList-Body"/>
      </w:pPr>
    </w:p>
    <w:p w14:paraId="33BBB864" w14:textId="77777777" w:rsidR="00D64CD1" w:rsidRPr="00EF7CF9" w:rsidRDefault="00D64CD1" w:rsidP="00BA33EB">
      <w:pPr>
        <w:pStyle w:val="ProductList-Body"/>
        <w:keepNext/>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64CD1" w:rsidRPr="00B44CF9" w14:paraId="5E3A7C7F" w14:textId="77777777" w:rsidTr="00C626F4">
        <w:trPr>
          <w:tblHeader/>
        </w:trPr>
        <w:tc>
          <w:tcPr>
            <w:tcW w:w="5400" w:type="dxa"/>
            <w:shd w:val="clear" w:color="auto" w:fill="0072C6"/>
          </w:tcPr>
          <w:p w14:paraId="439DB1B0" w14:textId="0CF1396A" w:rsidR="00D64CD1"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3B69338" w14:textId="77777777" w:rsidR="00D64CD1" w:rsidRPr="00EF7CF9" w:rsidRDefault="00D64CD1" w:rsidP="002A586E">
            <w:pPr>
              <w:pStyle w:val="ProductList-OfferingBody"/>
              <w:jc w:val="center"/>
              <w:rPr>
                <w:color w:val="FFFFFF" w:themeColor="background1"/>
              </w:rPr>
            </w:pPr>
            <w:r>
              <w:rPr>
                <w:color w:val="FFFFFF" w:themeColor="background1"/>
              </w:rPr>
              <w:t>Środki Serwisowe na Używanie Usług</w:t>
            </w:r>
          </w:p>
        </w:tc>
      </w:tr>
      <w:tr w:rsidR="00D64CD1" w:rsidRPr="00B44CF9" w14:paraId="593E0F6A" w14:textId="77777777" w:rsidTr="00C626F4">
        <w:tc>
          <w:tcPr>
            <w:tcW w:w="5400" w:type="dxa"/>
          </w:tcPr>
          <w:p w14:paraId="04C6F3F9" w14:textId="77777777" w:rsidR="00D64CD1" w:rsidRPr="00EF7CF9" w:rsidRDefault="00D64CD1" w:rsidP="002A586E">
            <w:pPr>
              <w:pStyle w:val="ProductList-OfferingBody"/>
              <w:jc w:val="center"/>
            </w:pPr>
            <w:r>
              <w:t>&lt; 99,9%</w:t>
            </w:r>
          </w:p>
        </w:tc>
        <w:tc>
          <w:tcPr>
            <w:tcW w:w="5400" w:type="dxa"/>
          </w:tcPr>
          <w:p w14:paraId="5F8A5725" w14:textId="77777777" w:rsidR="00D64CD1" w:rsidRPr="00EF7CF9" w:rsidRDefault="00D64CD1" w:rsidP="002A586E">
            <w:pPr>
              <w:pStyle w:val="ProductList-OfferingBody"/>
              <w:jc w:val="center"/>
            </w:pPr>
            <w:r>
              <w:t>25%</w:t>
            </w:r>
          </w:p>
        </w:tc>
      </w:tr>
      <w:tr w:rsidR="00D64CD1" w:rsidRPr="00B44CF9" w14:paraId="3A2AC5F7" w14:textId="77777777" w:rsidTr="00C626F4">
        <w:tc>
          <w:tcPr>
            <w:tcW w:w="5400" w:type="dxa"/>
          </w:tcPr>
          <w:p w14:paraId="3CE241B4" w14:textId="77777777" w:rsidR="00D64CD1" w:rsidRPr="00EF7CF9" w:rsidRDefault="00D64CD1" w:rsidP="002A586E">
            <w:pPr>
              <w:pStyle w:val="ProductList-OfferingBody"/>
              <w:jc w:val="center"/>
            </w:pPr>
            <w:r>
              <w:t>&lt; 99%</w:t>
            </w:r>
          </w:p>
        </w:tc>
        <w:tc>
          <w:tcPr>
            <w:tcW w:w="5400" w:type="dxa"/>
          </w:tcPr>
          <w:p w14:paraId="4EFF7B52" w14:textId="77777777" w:rsidR="00D64CD1" w:rsidRPr="00EF7CF9" w:rsidRDefault="00D64CD1" w:rsidP="002A586E">
            <w:pPr>
              <w:pStyle w:val="ProductList-OfferingBody"/>
              <w:jc w:val="center"/>
            </w:pPr>
            <w:r>
              <w:t>50%</w:t>
            </w:r>
          </w:p>
        </w:tc>
      </w:tr>
      <w:tr w:rsidR="00D64CD1" w:rsidRPr="00B44CF9" w14:paraId="66E32E7A" w14:textId="77777777" w:rsidTr="00C626F4">
        <w:tc>
          <w:tcPr>
            <w:tcW w:w="5400" w:type="dxa"/>
          </w:tcPr>
          <w:p w14:paraId="15F97205" w14:textId="77777777" w:rsidR="00D64CD1" w:rsidRPr="00EF7CF9" w:rsidRDefault="00D64CD1" w:rsidP="003C0B57">
            <w:pPr>
              <w:pStyle w:val="ProductList-OfferingBody"/>
              <w:jc w:val="center"/>
            </w:pPr>
            <w:r>
              <w:t>&lt; 95%</w:t>
            </w:r>
          </w:p>
        </w:tc>
        <w:tc>
          <w:tcPr>
            <w:tcW w:w="5400" w:type="dxa"/>
          </w:tcPr>
          <w:p w14:paraId="1D97E2C4" w14:textId="77777777" w:rsidR="00D64CD1" w:rsidRPr="00EF7CF9" w:rsidRDefault="00D64CD1" w:rsidP="001439A9">
            <w:pPr>
              <w:pStyle w:val="ProductList-OfferingBody"/>
              <w:keepNext/>
              <w:jc w:val="center"/>
            </w:pPr>
            <w:r>
              <w:t>100%</w:t>
            </w:r>
          </w:p>
        </w:tc>
      </w:tr>
    </w:tbl>
    <w:bookmarkStart w:id="75" w:name="Stream"/>
    <w:bookmarkStart w:id="76" w:name="_Toc526859625"/>
    <w:p w14:paraId="48BE9208" w14:textId="60315B35"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3403EA1" w14:textId="3B77B166" w:rsidR="00DD02FA" w:rsidRPr="00EF7CF9" w:rsidRDefault="00DD02FA" w:rsidP="002A586E">
      <w:pPr>
        <w:pStyle w:val="ProductList-Offering2Heading"/>
        <w:outlineLvl w:val="2"/>
      </w:pPr>
      <w:bookmarkStart w:id="77" w:name="_Toc239174936"/>
      <w:r>
        <w:t xml:space="preserve">Microsoft </w:t>
      </w:r>
      <w:proofErr w:type="spellStart"/>
      <w:r>
        <w:t>Stream</w:t>
      </w:r>
      <w:proofErr w:type="spellEnd"/>
      <w:r>
        <w:t xml:space="preserve"> (wersja klasyczna)</w:t>
      </w:r>
      <w:bookmarkEnd w:id="77"/>
    </w:p>
    <w:bookmarkEnd w:id="75"/>
    <w:p w14:paraId="42AF82E0" w14:textId="77777777" w:rsidR="00DD02FA" w:rsidRPr="00EF7CF9" w:rsidRDefault="00DD02FA" w:rsidP="002A586E">
      <w:pPr>
        <w:pStyle w:val="ProductList-Body"/>
      </w:pPr>
      <w:r>
        <w:rPr>
          <w:b/>
          <w:color w:val="00188F"/>
        </w:rPr>
        <w:t>Przestój</w:t>
      </w:r>
      <w:r w:rsidRPr="007B038A">
        <w:rPr>
          <w:b/>
          <w:color w:val="00188F"/>
        </w:rPr>
        <w:t>:</w:t>
      </w:r>
      <w:r>
        <w:t xml:space="preserve"> </w:t>
      </w:r>
      <w:r>
        <w:rPr>
          <w:szCs w:val="18"/>
        </w:rPr>
        <w:t>Dowolny okres, w którym użytkownicy nie mogą przesłać, odtworzyć lub usunąć filmu lub edytować jego metadanych w przypadku, gdy mają ku temu stosowne uprawnienia, a treści są odpowiednie z wyłączeniem nieobsługiwanych scenariuszy</w:t>
      </w:r>
      <w:r>
        <w:rPr>
          <w:szCs w:val="18"/>
          <w:vertAlign w:val="superscript"/>
        </w:rPr>
        <w:t>1</w:t>
      </w:r>
      <w:r>
        <w:rPr>
          <w:szCs w:val="18"/>
        </w:rPr>
        <w:t>.</w:t>
      </w:r>
    </w:p>
    <w:p w14:paraId="4B64631C" w14:textId="7B94C70D" w:rsidR="00DD02FA"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241A79D3" w14:textId="1FCD4B7A" w:rsidR="00DD02FA"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6C05597" w14:textId="7CBEBC04" w:rsidR="00DD02FA"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78F2BC00" w14:textId="77777777" w:rsidR="0007032F" w:rsidRPr="00EF7CF9" w:rsidRDefault="0007032F" w:rsidP="002A586E">
      <w:pPr>
        <w:pStyle w:val="ProductList-Body"/>
      </w:pPr>
    </w:p>
    <w:p w14:paraId="110497AF" w14:textId="77777777" w:rsidR="00DD02FA" w:rsidRPr="00EF7CF9" w:rsidRDefault="00DD02FA" w:rsidP="002A586E">
      <w:pPr>
        <w:pStyle w:val="ProductList-Body"/>
      </w:pPr>
      <w:r>
        <w:rPr>
          <w:b/>
          <w:color w:val="00188F"/>
        </w:rPr>
        <w:t>Zadeklarowanie Poziomu Usługi</w:t>
      </w:r>
      <w:r w:rsidRPr="007B038A">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DD02FA" w:rsidRPr="00B44CF9" w14:paraId="40207B80" w14:textId="77777777" w:rsidTr="00EA5FB1">
        <w:trPr>
          <w:tblHeader/>
        </w:trPr>
        <w:tc>
          <w:tcPr>
            <w:tcW w:w="2500" w:type="pct"/>
            <w:shd w:val="clear" w:color="auto" w:fill="0072C6"/>
          </w:tcPr>
          <w:p w14:paraId="783BDE60" w14:textId="3C3FD34C" w:rsidR="00DD02FA"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2500" w:type="pct"/>
            <w:shd w:val="clear" w:color="auto" w:fill="0072C6"/>
          </w:tcPr>
          <w:p w14:paraId="2BCF05DB" w14:textId="77777777" w:rsidR="00DD02FA" w:rsidRPr="00EF7CF9" w:rsidRDefault="00DD02FA" w:rsidP="002A586E">
            <w:pPr>
              <w:pStyle w:val="ProductList-OfferingBody"/>
              <w:jc w:val="center"/>
              <w:rPr>
                <w:color w:val="FFFFFF" w:themeColor="background1"/>
              </w:rPr>
            </w:pPr>
            <w:r>
              <w:rPr>
                <w:color w:val="FFFFFF" w:themeColor="background1"/>
              </w:rPr>
              <w:t>Środki Serwisowe na Używanie Usług</w:t>
            </w:r>
          </w:p>
        </w:tc>
      </w:tr>
      <w:tr w:rsidR="00DD02FA" w:rsidRPr="00B44CF9" w14:paraId="207D9729" w14:textId="77777777" w:rsidTr="00EA5FB1">
        <w:tc>
          <w:tcPr>
            <w:tcW w:w="2500" w:type="pct"/>
          </w:tcPr>
          <w:p w14:paraId="392EA847" w14:textId="77777777" w:rsidR="00DD02FA" w:rsidRPr="00EF7CF9" w:rsidRDefault="00DD02FA" w:rsidP="002A586E">
            <w:pPr>
              <w:pStyle w:val="ProductList-OfferingBody"/>
              <w:jc w:val="center"/>
            </w:pPr>
            <w:r>
              <w:t>&lt; 99,9%</w:t>
            </w:r>
          </w:p>
        </w:tc>
        <w:tc>
          <w:tcPr>
            <w:tcW w:w="2500" w:type="pct"/>
          </w:tcPr>
          <w:p w14:paraId="4DFA9045" w14:textId="77777777" w:rsidR="00DD02FA" w:rsidRPr="00EF7CF9" w:rsidRDefault="00DD02FA" w:rsidP="002A586E">
            <w:pPr>
              <w:pStyle w:val="ProductList-OfferingBody"/>
              <w:jc w:val="center"/>
            </w:pPr>
            <w:r>
              <w:t>25%</w:t>
            </w:r>
          </w:p>
        </w:tc>
      </w:tr>
      <w:tr w:rsidR="00DD02FA" w:rsidRPr="00B44CF9" w14:paraId="78170C5A" w14:textId="77777777" w:rsidTr="00EA5FB1">
        <w:tc>
          <w:tcPr>
            <w:tcW w:w="2500" w:type="pct"/>
          </w:tcPr>
          <w:p w14:paraId="0D1CCF8C" w14:textId="77777777" w:rsidR="00DD02FA" w:rsidRPr="00EF7CF9" w:rsidRDefault="00DD02FA" w:rsidP="002A586E">
            <w:pPr>
              <w:pStyle w:val="ProductList-OfferingBody"/>
              <w:jc w:val="center"/>
            </w:pPr>
            <w:r>
              <w:t>&lt; 99%</w:t>
            </w:r>
          </w:p>
        </w:tc>
        <w:tc>
          <w:tcPr>
            <w:tcW w:w="2500" w:type="pct"/>
          </w:tcPr>
          <w:p w14:paraId="2552E48F" w14:textId="77777777" w:rsidR="00DD02FA" w:rsidRPr="00EF7CF9" w:rsidRDefault="00DD02FA" w:rsidP="002A586E">
            <w:pPr>
              <w:pStyle w:val="ProductList-OfferingBody"/>
              <w:jc w:val="center"/>
            </w:pPr>
            <w:r>
              <w:t>50%</w:t>
            </w:r>
          </w:p>
        </w:tc>
      </w:tr>
      <w:tr w:rsidR="00DD02FA" w:rsidRPr="00B44CF9" w14:paraId="746C0CC6" w14:textId="77777777" w:rsidTr="00EA5FB1">
        <w:tc>
          <w:tcPr>
            <w:tcW w:w="2500" w:type="pct"/>
          </w:tcPr>
          <w:p w14:paraId="2741C0B3" w14:textId="77777777" w:rsidR="00DD02FA" w:rsidRPr="00EF7CF9" w:rsidRDefault="00DD02FA" w:rsidP="002A586E">
            <w:pPr>
              <w:pStyle w:val="ProductList-OfferingBody"/>
              <w:jc w:val="center"/>
            </w:pPr>
            <w:r>
              <w:t>&lt; 95%</w:t>
            </w:r>
          </w:p>
        </w:tc>
        <w:tc>
          <w:tcPr>
            <w:tcW w:w="2500" w:type="pct"/>
          </w:tcPr>
          <w:p w14:paraId="208A4B00" w14:textId="77777777" w:rsidR="00DD02FA" w:rsidRPr="00EF7CF9" w:rsidRDefault="00DD02FA" w:rsidP="002A586E">
            <w:pPr>
              <w:pStyle w:val="ProductList-OfferingBody"/>
              <w:jc w:val="center"/>
            </w:pPr>
            <w:r>
              <w:t>100%</w:t>
            </w:r>
          </w:p>
        </w:tc>
      </w:tr>
    </w:tbl>
    <w:p w14:paraId="09EB1F1A" w14:textId="77777777" w:rsidR="00DD02FA" w:rsidRPr="00EF7CF9" w:rsidRDefault="00DD02FA" w:rsidP="001D4503">
      <w:pPr>
        <w:pStyle w:val="ProductList-Body"/>
        <w:spacing w:before="120"/>
      </w:pPr>
      <w:r>
        <w:rPr>
          <w:vertAlign w:val="superscript"/>
        </w:rPr>
        <w:t>1</w:t>
      </w:r>
      <w:r>
        <w:t>Nieobsługiwane scenariusze mogą obejmować odtwarzanie na nieobsługiwanych urządzeniach lub systemach operacyjnych, problemy z siecią po stronie klienta oraz błędy użytkownika.</w:t>
      </w:r>
    </w:p>
    <w:p w14:paraId="51F514A6" w14:textId="4A20B840"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144E1BC" w14:textId="1323563F" w:rsidR="00F601F4" w:rsidRPr="00EF7CF9" w:rsidRDefault="00F601F4" w:rsidP="002A586E">
      <w:pPr>
        <w:pStyle w:val="ProductList-Offering2Heading"/>
        <w:outlineLvl w:val="2"/>
      </w:pPr>
      <w:bookmarkStart w:id="78" w:name="_Toc239174937"/>
      <w:r>
        <w:t xml:space="preserve">Microsoft </w:t>
      </w:r>
      <w:proofErr w:type="spellStart"/>
      <w:r>
        <w:t>Teams</w:t>
      </w:r>
      <w:bookmarkEnd w:id="76"/>
      <w:bookmarkEnd w:id="78"/>
      <w:proofErr w:type="spellEnd"/>
    </w:p>
    <w:p w14:paraId="5A94C708" w14:textId="773C295D" w:rsidR="00F601F4" w:rsidRPr="00C27DCF" w:rsidRDefault="00F601F4" w:rsidP="002A586E">
      <w:pPr>
        <w:pStyle w:val="ProductList-Body"/>
      </w:pPr>
      <w:r>
        <w:rPr>
          <w:b/>
          <w:color w:val="00188F"/>
        </w:rPr>
        <w:t>Przestój</w:t>
      </w:r>
      <w:r w:rsidRPr="007B038A">
        <w:rPr>
          <w:b/>
          <w:color w:val="00188F"/>
        </w:rPr>
        <w:t>:</w:t>
      </w:r>
      <w:r>
        <w:t xml:space="preserve"> </w:t>
      </w:r>
      <w:r w:rsidR="008E5895">
        <w:rPr>
          <w:rFonts w:ascii="Calibri" w:hAnsi="Calibri" w:cs="Calibri"/>
        </w:rPr>
        <w:t>Dowolny okres którym użytkownicy końcowi nie mogą prowadzić rozmów za pomocą komunikatorów ani inicjować spotkań online</w:t>
      </w:r>
      <w:r w:rsidR="008E5895">
        <w:rPr>
          <w:vertAlign w:val="superscript"/>
        </w:rPr>
        <w:t xml:space="preserve"> </w:t>
      </w:r>
      <w:r>
        <w:rPr>
          <w:vertAlign w:val="superscript"/>
        </w:rPr>
        <w:t>1</w:t>
      </w:r>
    </w:p>
    <w:p w14:paraId="6E301193" w14:textId="7D95A798" w:rsidR="00111C8E"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5557FC57" w14:textId="21D54956" w:rsidR="00111C8E"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B786914" w14:textId="757A361A" w:rsidR="00111C8E" w:rsidRPr="00EF7CF9"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24580EAD" w14:textId="77777777" w:rsidR="00111C8E" w:rsidRPr="00EF7CF9" w:rsidRDefault="00111C8E" w:rsidP="00CC3273">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11C8E" w:rsidRPr="00B44CF9" w14:paraId="353AA27F" w14:textId="77777777" w:rsidTr="00C626F4">
        <w:trPr>
          <w:tblHeader/>
        </w:trPr>
        <w:tc>
          <w:tcPr>
            <w:tcW w:w="5400" w:type="dxa"/>
            <w:shd w:val="clear" w:color="auto" w:fill="0072C6"/>
          </w:tcPr>
          <w:p w14:paraId="6137D797" w14:textId="6C7A6D04" w:rsidR="00111C8E"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656A668" w14:textId="77777777" w:rsidR="00111C8E" w:rsidRPr="00EF7CF9" w:rsidRDefault="00111C8E" w:rsidP="002A586E">
            <w:pPr>
              <w:pStyle w:val="ProductList-OfferingBody"/>
              <w:jc w:val="center"/>
              <w:rPr>
                <w:color w:val="FFFFFF" w:themeColor="background1"/>
              </w:rPr>
            </w:pPr>
            <w:r>
              <w:rPr>
                <w:color w:val="FFFFFF" w:themeColor="background1"/>
              </w:rPr>
              <w:t>Środki Serwisowe na Używanie Usług</w:t>
            </w:r>
          </w:p>
        </w:tc>
      </w:tr>
      <w:tr w:rsidR="00111C8E" w:rsidRPr="00B44CF9" w14:paraId="589ABE4E" w14:textId="77777777" w:rsidTr="00C626F4">
        <w:tc>
          <w:tcPr>
            <w:tcW w:w="5400" w:type="dxa"/>
          </w:tcPr>
          <w:p w14:paraId="2578BD40" w14:textId="77777777" w:rsidR="00111C8E" w:rsidRPr="00EF7CF9" w:rsidRDefault="00111C8E" w:rsidP="002A586E">
            <w:pPr>
              <w:pStyle w:val="ProductList-OfferingBody"/>
              <w:jc w:val="center"/>
            </w:pPr>
            <w:r>
              <w:t>&lt; 99,9%</w:t>
            </w:r>
          </w:p>
        </w:tc>
        <w:tc>
          <w:tcPr>
            <w:tcW w:w="5400" w:type="dxa"/>
          </w:tcPr>
          <w:p w14:paraId="2401154C" w14:textId="77777777" w:rsidR="00111C8E" w:rsidRPr="00EF7CF9" w:rsidRDefault="00111C8E" w:rsidP="002A586E">
            <w:pPr>
              <w:pStyle w:val="ProductList-OfferingBody"/>
              <w:jc w:val="center"/>
            </w:pPr>
            <w:r>
              <w:t>25%</w:t>
            </w:r>
          </w:p>
        </w:tc>
      </w:tr>
      <w:tr w:rsidR="00111C8E" w:rsidRPr="00B44CF9" w14:paraId="44E404DC" w14:textId="77777777" w:rsidTr="00C626F4">
        <w:tc>
          <w:tcPr>
            <w:tcW w:w="5400" w:type="dxa"/>
          </w:tcPr>
          <w:p w14:paraId="43838AEE" w14:textId="77777777" w:rsidR="00111C8E" w:rsidRPr="00EF7CF9" w:rsidRDefault="00111C8E" w:rsidP="002A586E">
            <w:pPr>
              <w:pStyle w:val="ProductList-OfferingBody"/>
              <w:jc w:val="center"/>
            </w:pPr>
            <w:r>
              <w:t>&lt; 99%</w:t>
            </w:r>
          </w:p>
        </w:tc>
        <w:tc>
          <w:tcPr>
            <w:tcW w:w="5400" w:type="dxa"/>
          </w:tcPr>
          <w:p w14:paraId="2875A913" w14:textId="77777777" w:rsidR="00111C8E" w:rsidRPr="00EF7CF9" w:rsidRDefault="00111C8E" w:rsidP="002A586E">
            <w:pPr>
              <w:pStyle w:val="ProductList-OfferingBody"/>
              <w:jc w:val="center"/>
            </w:pPr>
            <w:r>
              <w:t>50%</w:t>
            </w:r>
          </w:p>
        </w:tc>
      </w:tr>
      <w:tr w:rsidR="00111C8E" w:rsidRPr="00B44CF9" w14:paraId="1BA92F4B" w14:textId="77777777" w:rsidTr="00C626F4">
        <w:tc>
          <w:tcPr>
            <w:tcW w:w="5400" w:type="dxa"/>
          </w:tcPr>
          <w:p w14:paraId="7A9B4648" w14:textId="77777777" w:rsidR="00111C8E" w:rsidRPr="00EF7CF9" w:rsidRDefault="00111C8E" w:rsidP="002A586E">
            <w:pPr>
              <w:pStyle w:val="ProductList-OfferingBody"/>
              <w:keepNext/>
              <w:jc w:val="center"/>
            </w:pPr>
            <w:r>
              <w:t>&lt; 95%</w:t>
            </w:r>
          </w:p>
        </w:tc>
        <w:tc>
          <w:tcPr>
            <w:tcW w:w="5400" w:type="dxa"/>
          </w:tcPr>
          <w:p w14:paraId="31E43A9C" w14:textId="77777777" w:rsidR="00111C8E" w:rsidRPr="00EF7CF9" w:rsidRDefault="00111C8E" w:rsidP="002A586E">
            <w:pPr>
              <w:pStyle w:val="ProductList-OfferingBody"/>
              <w:keepNext/>
              <w:jc w:val="center"/>
            </w:pPr>
            <w:r>
              <w:t>100%</w:t>
            </w:r>
          </w:p>
        </w:tc>
      </w:tr>
    </w:tbl>
    <w:p w14:paraId="4225F2AE" w14:textId="66859DD8"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C31189D" w14:textId="0488C3C2" w:rsidR="008C5EDB" w:rsidRPr="00EF7CF9" w:rsidRDefault="008E68F7" w:rsidP="0007032F">
      <w:pPr>
        <w:pStyle w:val="ProductList-Offering2Heading"/>
        <w:outlineLvl w:val="2"/>
      </w:pPr>
      <w:bookmarkStart w:id="79" w:name="_Hlk37926720"/>
      <w:bookmarkStart w:id="80" w:name="_Toc239174938"/>
      <w:bookmarkEnd w:id="73"/>
      <w:r>
        <w:t>Aplikacje Microsoft 365 dla firm</w:t>
      </w:r>
      <w:bookmarkEnd w:id="79"/>
      <w:bookmarkEnd w:id="80"/>
    </w:p>
    <w:p w14:paraId="7289F7AE" w14:textId="59B03AB1" w:rsidR="008C5EDB" w:rsidRPr="00EF7CF9" w:rsidRDefault="008C5EDB" w:rsidP="002A586E">
      <w:pPr>
        <w:pStyle w:val="ProductList-Body"/>
      </w:pPr>
      <w:r>
        <w:rPr>
          <w:b/>
          <w:color w:val="00188F"/>
        </w:rPr>
        <w:t>Przestój</w:t>
      </w:r>
      <w:r w:rsidRPr="007B038A">
        <w:rPr>
          <w:b/>
          <w:color w:val="00188F"/>
        </w:rPr>
        <w:t>:</w:t>
      </w:r>
      <w:r>
        <w:t xml:space="preserve"> </w:t>
      </w:r>
      <w:r>
        <w:rPr>
          <w:szCs w:val="18"/>
        </w:rPr>
        <w:t>Dowolny okres, w którym aplikacje pakietu Office są przełączane w tryb ograniczonej funkcjonalności z powodu problemu z aktywacją usługi Office 365</w:t>
      </w:r>
      <w:r>
        <w:t>.</w:t>
      </w:r>
    </w:p>
    <w:p w14:paraId="53E63742" w14:textId="44FD96EE" w:rsidR="008C5EDB"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35067700" w14:textId="0E6B1CB2" w:rsidR="008C5EDB"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54100507" w14:textId="7A6B89B0" w:rsidR="008C5EDB"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58CDFA65" w14:textId="77777777" w:rsidR="0007032F" w:rsidRPr="00EF7CF9" w:rsidRDefault="0007032F" w:rsidP="002A586E">
      <w:pPr>
        <w:pStyle w:val="ProductList-Body"/>
      </w:pPr>
    </w:p>
    <w:p w14:paraId="11375DC1" w14:textId="42DEC6C3" w:rsidR="008C5EDB" w:rsidRPr="00EF7CF9" w:rsidRDefault="008C5EDB" w:rsidP="002A586E">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C5EDB" w:rsidRPr="00B44CF9" w14:paraId="1465FECB" w14:textId="77777777" w:rsidTr="00C86427">
        <w:trPr>
          <w:tblHeader/>
        </w:trPr>
        <w:tc>
          <w:tcPr>
            <w:tcW w:w="5400" w:type="dxa"/>
            <w:shd w:val="clear" w:color="auto" w:fill="0072C6"/>
          </w:tcPr>
          <w:p w14:paraId="14148105" w14:textId="0A8E1748" w:rsidR="008C5EDB"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1A6505D" w14:textId="77777777" w:rsidR="008C5EDB" w:rsidRPr="00EF7CF9" w:rsidRDefault="008C5EDB" w:rsidP="002A586E">
            <w:pPr>
              <w:pStyle w:val="ProductList-OfferingBody"/>
              <w:jc w:val="center"/>
              <w:rPr>
                <w:color w:val="FFFFFF" w:themeColor="background1"/>
              </w:rPr>
            </w:pPr>
            <w:r>
              <w:rPr>
                <w:color w:val="FFFFFF" w:themeColor="background1"/>
              </w:rPr>
              <w:t>Środki Serwisowe na Używanie Usług</w:t>
            </w:r>
          </w:p>
        </w:tc>
      </w:tr>
      <w:tr w:rsidR="008C5EDB" w:rsidRPr="00B44CF9" w14:paraId="7F314A2F" w14:textId="77777777" w:rsidTr="00C86427">
        <w:tc>
          <w:tcPr>
            <w:tcW w:w="5400" w:type="dxa"/>
          </w:tcPr>
          <w:p w14:paraId="27EC60BA" w14:textId="491322A6" w:rsidR="008C5EDB" w:rsidRPr="00EF7CF9" w:rsidRDefault="008C5EDB" w:rsidP="002A586E">
            <w:pPr>
              <w:pStyle w:val="ProductList-OfferingBody"/>
              <w:jc w:val="center"/>
            </w:pPr>
            <w:r>
              <w:t>&lt; 99,9%</w:t>
            </w:r>
          </w:p>
        </w:tc>
        <w:tc>
          <w:tcPr>
            <w:tcW w:w="5400" w:type="dxa"/>
          </w:tcPr>
          <w:p w14:paraId="32479524" w14:textId="77777777" w:rsidR="008C5EDB" w:rsidRPr="00EF7CF9" w:rsidRDefault="008C5EDB" w:rsidP="002A586E">
            <w:pPr>
              <w:pStyle w:val="ProductList-OfferingBody"/>
              <w:jc w:val="center"/>
            </w:pPr>
            <w:r>
              <w:t>25%</w:t>
            </w:r>
          </w:p>
        </w:tc>
      </w:tr>
      <w:tr w:rsidR="008C5EDB" w:rsidRPr="00B44CF9" w14:paraId="3B51D863" w14:textId="77777777" w:rsidTr="00C86427">
        <w:tc>
          <w:tcPr>
            <w:tcW w:w="5400" w:type="dxa"/>
          </w:tcPr>
          <w:p w14:paraId="20F7F18D" w14:textId="7E2505C1" w:rsidR="008C5EDB" w:rsidRPr="00EF7CF9" w:rsidRDefault="008C5EDB" w:rsidP="002A586E">
            <w:pPr>
              <w:pStyle w:val="ProductList-OfferingBody"/>
              <w:jc w:val="center"/>
            </w:pPr>
            <w:r>
              <w:t>&lt; 99%</w:t>
            </w:r>
          </w:p>
        </w:tc>
        <w:tc>
          <w:tcPr>
            <w:tcW w:w="5400" w:type="dxa"/>
          </w:tcPr>
          <w:p w14:paraId="62FA6717" w14:textId="77777777" w:rsidR="008C5EDB" w:rsidRPr="00EF7CF9" w:rsidRDefault="008C5EDB" w:rsidP="002A586E">
            <w:pPr>
              <w:pStyle w:val="ProductList-OfferingBody"/>
              <w:jc w:val="center"/>
            </w:pPr>
            <w:r>
              <w:t>50%</w:t>
            </w:r>
          </w:p>
        </w:tc>
      </w:tr>
      <w:tr w:rsidR="008C5EDB" w:rsidRPr="00B44CF9" w14:paraId="6129A967" w14:textId="77777777" w:rsidTr="00C86427">
        <w:tc>
          <w:tcPr>
            <w:tcW w:w="5400" w:type="dxa"/>
          </w:tcPr>
          <w:p w14:paraId="4DE7318B" w14:textId="77777777" w:rsidR="008C5EDB" w:rsidRPr="00EF7CF9" w:rsidRDefault="008C5EDB" w:rsidP="002A586E">
            <w:pPr>
              <w:pStyle w:val="ProductList-OfferingBody"/>
              <w:jc w:val="center"/>
            </w:pPr>
            <w:r>
              <w:t>&lt; 95%</w:t>
            </w:r>
          </w:p>
        </w:tc>
        <w:tc>
          <w:tcPr>
            <w:tcW w:w="5400" w:type="dxa"/>
          </w:tcPr>
          <w:p w14:paraId="39648AB2" w14:textId="77777777" w:rsidR="008C5EDB" w:rsidRPr="00EF7CF9" w:rsidRDefault="008C5EDB" w:rsidP="002A586E">
            <w:pPr>
              <w:pStyle w:val="ProductList-OfferingBody"/>
              <w:jc w:val="center"/>
            </w:pPr>
            <w:r>
              <w:t>100%</w:t>
            </w:r>
          </w:p>
        </w:tc>
      </w:tr>
    </w:tbl>
    <w:bookmarkStart w:id="81" w:name="_Toc457821517"/>
    <w:p w14:paraId="44DBD6E6" w14:textId="43B998E7"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FC93245" w14:textId="61DCE41C" w:rsidR="000C13D4" w:rsidRPr="00EF7CF9" w:rsidRDefault="008E68F7" w:rsidP="001D4503">
      <w:pPr>
        <w:pStyle w:val="ProductList-Offering2Heading"/>
        <w:keepNext/>
        <w:outlineLvl w:val="2"/>
      </w:pPr>
      <w:bookmarkStart w:id="82" w:name="_Hlk37926721"/>
      <w:bookmarkStart w:id="83" w:name="_Toc239174939"/>
      <w:bookmarkEnd w:id="81"/>
      <w:r>
        <w:t>Aplikacje Microsoft 365 dla przedsiębiorstw</w:t>
      </w:r>
      <w:bookmarkEnd w:id="82"/>
      <w:bookmarkEnd w:id="83"/>
    </w:p>
    <w:p w14:paraId="449A5D9A" w14:textId="602C4994" w:rsidR="000C13D4" w:rsidRPr="00EF7CF9" w:rsidRDefault="000C13D4" w:rsidP="002A586E">
      <w:pPr>
        <w:pStyle w:val="ProductList-Body"/>
      </w:pPr>
      <w:r>
        <w:rPr>
          <w:b/>
          <w:color w:val="00188F"/>
        </w:rPr>
        <w:t>Przestój</w:t>
      </w:r>
      <w:r w:rsidRPr="007B038A">
        <w:rPr>
          <w:b/>
          <w:color w:val="00188F"/>
        </w:rPr>
        <w:t>:</w:t>
      </w:r>
      <w:r>
        <w:t xml:space="preserve"> </w:t>
      </w:r>
      <w:r>
        <w:rPr>
          <w:szCs w:val="18"/>
        </w:rPr>
        <w:t>Dowolny okres, w którym aplikacje pakietu Office są przełączane w tryb ograniczonej funkcjonalności z powodu problemu z aktywacją usługi Office 365.</w:t>
      </w:r>
    </w:p>
    <w:p w14:paraId="05221919" w14:textId="49DA841C" w:rsidR="000C13D4"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3C8D0742" w14:textId="3E3891D6" w:rsidR="000C13D4"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095C5050" w14:textId="422F1A3B" w:rsidR="000C13D4"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4D7C630A" w14:textId="1FC61854" w:rsidR="000C13D4" w:rsidRPr="00EF7CF9" w:rsidRDefault="000C13D4" w:rsidP="003C0B57">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2444FD24" w14:textId="77777777" w:rsidTr="00C86427">
        <w:trPr>
          <w:tblHeader/>
        </w:trPr>
        <w:tc>
          <w:tcPr>
            <w:tcW w:w="5400" w:type="dxa"/>
            <w:shd w:val="clear" w:color="auto" w:fill="0072C6"/>
          </w:tcPr>
          <w:p w14:paraId="37F043F6" w14:textId="240E1C62" w:rsidR="000C13D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76BF93B" w14:textId="77777777" w:rsidR="000C13D4" w:rsidRPr="00EF7CF9" w:rsidRDefault="000C13D4" w:rsidP="002A586E">
            <w:pPr>
              <w:pStyle w:val="ProductList-OfferingBody"/>
              <w:jc w:val="center"/>
              <w:rPr>
                <w:color w:val="FFFFFF" w:themeColor="background1"/>
              </w:rPr>
            </w:pPr>
            <w:r>
              <w:rPr>
                <w:color w:val="FFFFFF" w:themeColor="background1"/>
              </w:rPr>
              <w:t>Środki Serwisowe na Używanie Usług</w:t>
            </w:r>
          </w:p>
        </w:tc>
      </w:tr>
      <w:tr w:rsidR="000C13D4" w:rsidRPr="00B44CF9" w14:paraId="5277ABA6" w14:textId="77777777" w:rsidTr="00C86427">
        <w:tc>
          <w:tcPr>
            <w:tcW w:w="5400" w:type="dxa"/>
          </w:tcPr>
          <w:p w14:paraId="05B0041B" w14:textId="445FE07F" w:rsidR="000C13D4" w:rsidRPr="00EF7CF9" w:rsidRDefault="000C13D4" w:rsidP="002A586E">
            <w:pPr>
              <w:pStyle w:val="ProductList-OfferingBody"/>
              <w:jc w:val="center"/>
            </w:pPr>
            <w:r>
              <w:t>&lt; 99,9%</w:t>
            </w:r>
          </w:p>
        </w:tc>
        <w:tc>
          <w:tcPr>
            <w:tcW w:w="5400" w:type="dxa"/>
          </w:tcPr>
          <w:p w14:paraId="4C9A31DC" w14:textId="77777777" w:rsidR="000C13D4" w:rsidRPr="00EF7CF9" w:rsidRDefault="000C13D4" w:rsidP="002A586E">
            <w:pPr>
              <w:pStyle w:val="ProductList-OfferingBody"/>
              <w:jc w:val="center"/>
            </w:pPr>
            <w:r>
              <w:t>25%</w:t>
            </w:r>
          </w:p>
        </w:tc>
      </w:tr>
      <w:tr w:rsidR="000C13D4" w:rsidRPr="00B44CF9" w14:paraId="1C8A9049" w14:textId="77777777" w:rsidTr="00C86427">
        <w:tc>
          <w:tcPr>
            <w:tcW w:w="5400" w:type="dxa"/>
          </w:tcPr>
          <w:p w14:paraId="5400DA44" w14:textId="2D3443A0" w:rsidR="000C13D4" w:rsidRPr="00EF7CF9" w:rsidRDefault="000C13D4" w:rsidP="002A586E">
            <w:pPr>
              <w:pStyle w:val="ProductList-OfferingBody"/>
              <w:jc w:val="center"/>
            </w:pPr>
            <w:r>
              <w:t>&lt; 99%</w:t>
            </w:r>
          </w:p>
        </w:tc>
        <w:tc>
          <w:tcPr>
            <w:tcW w:w="5400" w:type="dxa"/>
          </w:tcPr>
          <w:p w14:paraId="3FC2502C" w14:textId="77777777" w:rsidR="000C13D4" w:rsidRPr="00EF7CF9" w:rsidRDefault="000C13D4" w:rsidP="002A586E">
            <w:pPr>
              <w:pStyle w:val="ProductList-OfferingBody"/>
              <w:jc w:val="center"/>
            </w:pPr>
            <w:r>
              <w:t>50%</w:t>
            </w:r>
          </w:p>
        </w:tc>
      </w:tr>
      <w:tr w:rsidR="000C13D4" w:rsidRPr="00B44CF9" w14:paraId="7BC013DA" w14:textId="77777777" w:rsidTr="00C86427">
        <w:tc>
          <w:tcPr>
            <w:tcW w:w="5400" w:type="dxa"/>
          </w:tcPr>
          <w:p w14:paraId="0ACE145E" w14:textId="77777777" w:rsidR="000C13D4" w:rsidRPr="00EF7CF9" w:rsidRDefault="000C13D4" w:rsidP="002A586E">
            <w:pPr>
              <w:pStyle w:val="ProductList-OfferingBody"/>
              <w:jc w:val="center"/>
            </w:pPr>
            <w:r>
              <w:t>&lt; 95%</w:t>
            </w:r>
          </w:p>
        </w:tc>
        <w:tc>
          <w:tcPr>
            <w:tcW w:w="5400" w:type="dxa"/>
          </w:tcPr>
          <w:p w14:paraId="1EF01771" w14:textId="77777777" w:rsidR="000C13D4" w:rsidRPr="00EF7CF9" w:rsidRDefault="000C13D4" w:rsidP="002A586E">
            <w:pPr>
              <w:pStyle w:val="ProductList-OfferingBody"/>
              <w:jc w:val="center"/>
            </w:pPr>
            <w:r>
              <w:t>100%</w:t>
            </w:r>
          </w:p>
        </w:tc>
      </w:tr>
    </w:tbl>
    <w:bookmarkStart w:id="84" w:name="_Toc457821519"/>
    <w:p w14:paraId="0B5B2B4E" w14:textId="579FC461"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1076233" w14:textId="77777777" w:rsidR="00C93943" w:rsidRPr="00FC1992" w:rsidRDefault="00C93943" w:rsidP="00C93943">
      <w:pPr>
        <w:pStyle w:val="ProductList-Offering2Heading"/>
        <w:keepNext/>
        <w:tabs>
          <w:tab w:val="clear" w:pos="360"/>
          <w:tab w:val="clear" w:pos="720"/>
          <w:tab w:val="clear" w:pos="1080"/>
        </w:tabs>
        <w:outlineLvl w:val="2"/>
        <w:rPr>
          <w:rFonts w:ascii="Calibri Light" w:hAnsi="Calibri Light" w:cs="Calibri Light"/>
        </w:rPr>
      </w:pPr>
      <w:bookmarkStart w:id="85" w:name="_Toc239174940"/>
      <w:bookmarkStart w:id="86" w:name="_Toc225443066"/>
      <w:r>
        <w:rPr>
          <w:rFonts w:ascii="Calibri Light" w:hAnsi="Calibri Light" w:cs="Calibri Light"/>
        </w:rPr>
        <w:t xml:space="preserve">Microsoft 365 </w:t>
      </w:r>
      <w:proofErr w:type="spellStart"/>
      <w:r>
        <w:rPr>
          <w:rFonts w:ascii="Calibri Light" w:hAnsi="Calibri Light" w:cs="Calibri Light"/>
        </w:rPr>
        <w:t>Copilot</w:t>
      </w:r>
      <w:bookmarkEnd w:id="85"/>
      <w:proofErr w:type="spellEnd"/>
    </w:p>
    <w:bookmarkEnd w:id="86"/>
    <w:p w14:paraId="734F27B9" w14:textId="77777777" w:rsidR="00C93943" w:rsidRPr="0054418C" w:rsidRDefault="00C93943" w:rsidP="00C93943">
      <w:pPr>
        <w:spacing w:after="0"/>
        <w:rPr>
          <w:rFonts w:ascii="Calibri" w:eastAsia="Calibri" w:hAnsi="Calibri" w:cs="Arial"/>
        </w:rPr>
      </w:pPr>
      <w:r w:rsidRPr="00AD5475">
        <w:rPr>
          <w:rFonts w:ascii="Calibri" w:eastAsia="Calibri" w:hAnsi="Calibri" w:cs="Arial"/>
          <w:sz w:val="18"/>
        </w:rPr>
        <w:t>„</w:t>
      </w:r>
      <w:r>
        <w:rPr>
          <w:rFonts w:ascii="Calibri" w:eastAsia="Calibri" w:hAnsi="Calibri" w:cs="Arial"/>
          <w:b/>
          <w:color w:val="00188F"/>
          <w:sz w:val="18"/>
        </w:rPr>
        <w:t>Przestój</w:t>
      </w:r>
      <w:r w:rsidRPr="00AD5475">
        <w:rPr>
          <w:rFonts w:ascii="Calibri" w:eastAsia="Calibri" w:hAnsi="Calibri" w:cs="Arial"/>
          <w:sz w:val="18"/>
        </w:rPr>
        <w:t>”</w:t>
      </w:r>
      <w:r>
        <w:rPr>
          <w:rFonts w:ascii="Calibri" w:eastAsia="Calibri" w:hAnsi="Calibri" w:cs="Arial"/>
          <w:sz w:val="18"/>
        </w:rPr>
        <w:t xml:space="preserve"> </w:t>
      </w:r>
      <w:r>
        <w:rPr>
          <w:rFonts w:ascii="Calibri" w:eastAsia="Calibri" w:hAnsi="Calibri" w:cs="Arial"/>
          <w:sz w:val="18"/>
          <w:szCs w:val="18"/>
        </w:rPr>
        <w:t xml:space="preserve">Kiedy końcowi użytkownicy Microsoft 365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z licencją prześlą ważne żądanie w czacie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w ramach aplikacji Microsoft 365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(w sieci, komputerze stacjonarnym, systemie </w:t>
      </w:r>
      <w:proofErr w:type="spellStart"/>
      <w:r>
        <w:rPr>
          <w:rFonts w:ascii="Calibri" w:eastAsia="Calibri" w:hAnsi="Calibri" w:cs="Arial"/>
          <w:sz w:val="18"/>
          <w:szCs w:val="18"/>
        </w:rPr>
        <w:t>macOS</w:t>
      </w:r>
      <w:proofErr w:type="spellEnd"/>
      <w:r>
        <w:rPr>
          <w:rFonts w:ascii="Calibri" w:eastAsia="Calibri" w:hAnsi="Calibri" w:cs="Arial"/>
          <w:sz w:val="18"/>
          <w:szCs w:val="18"/>
        </w:rPr>
        <w:t xml:space="preserve"> lub na urządzeniu mobilnym) i otrzymają nieskuteczną odpowiedź ze strony </w:t>
      </w:r>
      <w:proofErr w:type="spellStart"/>
      <w:r>
        <w:rPr>
          <w:rFonts w:ascii="Calibri" w:eastAsia="Calibri" w:hAnsi="Calibri" w:cs="Arial"/>
          <w:sz w:val="18"/>
          <w:szCs w:val="18"/>
        </w:rPr>
        <w:t>Copilot</w:t>
      </w:r>
      <w:proofErr w:type="spellEnd"/>
      <w:r>
        <w:rPr>
          <w:rFonts w:ascii="Calibri" w:eastAsia="Calibri" w:hAnsi="Calibri" w:cs="Arial"/>
          <w:sz w:val="18"/>
          <w:szCs w:val="18"/>
        </w:rPr>
        <w:t xml:space="preserve"> ze względu na błąd serwera po stronie LLM. Ważne żądanie to takie, które nie zostało zablokowane przez filtry odpowiedzialnej SI firmy Microsoft oraz inne zabezpieczenia systemu. Nieskuteczna odpowiedź to taka, kiedy LLM wysyła komunikat o błędzie serwera. To SLA dotyczy LLM dla modeli SI hostowanych i obsługiwanych przez firmę Microsoft. To SLA nie ma zastosowania do innych funkcji konsumenckich </w:t>
      </w:r>
      <w:proofErr w:type="spellStart"/>
      <w:r>
        <w:rPr>
          <w:rFonts w:ascii="Calibri" w:eastAsia="Calibri" w:hAnsi="Calibri" w:cs="Arial"/>
          <w:sz w:val="18"/>
          <w:szCs w:val="18"/>
        </w:rPr>
        <w:t>Copilot</w:t>
      </w:r>
      <w:proofErr w:type="spellEnd"/>
      <w:r>
        <w:rPr>
          <w:rFonts w:ascii="Calibri" w:eastAsia="Calibri" w:hAnsi="Calibri" w:cs="Arial"/>
          <w:sz w:val="18"/>
          <w:szCs w:val="18"/>
        </w:rPr>
        <w:t>.</w:t>
      </w:r>
      <w:r>
        <w:rPr>
          <w:rFonts w:ascii="Calibri" w:eastAsia="Calibri" w:hAnsi="Calibri" w:cs="Arial"/>
        </w:rPr>
        <w:t xml:space="preserve"> </w:t>
      </w:r>
    </w:p>
    <w:p w14:paraId="3EB3E54F" w14:textId="77777777" w:rsidR="00C93943" w:rsidRPr="0054418C" w:rsidRDefault="00C93943" w:rsidP="00C93943">
      <w:pPr>
        <w:spacing w:after="0"/>
        <w:rPr>
          <w:rFonts w:ascii="Calibri" w:eastAsia="Calibri" w:hAnsi="Calibri" w:cs="Arial"/>
          <w:sz w:val="18"/>
          <w:szCs w:val="18"/>
        </w:rPr>
      </w:pPr>
      <w:r>
        <w:rPr>
          <w:rFonts w:ascii="Calibri" w:eastAsia="Calibri" w:hAnsi="Calibri" w:cs="Arial"/>
          <w:b/>
          <w:bCs/>
          <w:color w:val="00188F"/>
          <w:sz w:val="18"/>
          <w:szCs w:val="18"/>
        </w:rPr>
        <w:t>Procent Czasu Sprawnego Działania</w:t>
      </w:r>
      <w:r>
        <w:rPr>
          <w:rFonts w:ascii="Calibri" w:eastAsia="Calibri" w:hAnsi="Calibri" w:cs="Arial"/>
          <w:sz w:val="18"/>
          <w:szCs w:val="18"/>
        </w:rPr>
        <w:t xml:space="preserve">: Procent Czasu Sprawnego Działania jest obliczany przy użyciu następującego wzoru: </w:t>
      </w:r>
    </w:p>
    <w:p w14:paraId="1670E058" w14:textId="77777777" w:rsidR="00C93943" w:rsidRPr="0054418C" w:rsidRDefault="00000000" w:rsidP="00C93943">
      <w:pPr>
        <w:spacing w:before="120" w:after="12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Łączna liczba ważnych żądań - nieskuteczne odpowiedzi </m:t>
              </m:r>
            </m:num>
            <m:den>
              <m:r>
                <w:rPr>
                  <w:rFonts w:ascii="Cambria Math" w:eastAsia="Calibri" w:hAnsi="Cambria Math" w:cs="Arial"/>
                  <w:sz w:val="18"/>
                  <w:szCs w:val="18"/>
                </w:rPr>
                <m:t>Łączna liczba ważnych żądań</m:t>
              </m:r>
            </m:den>
          </m:f>
          <m:r>
            <w:rPr>
              <w:rFonts w:ascii="Cambria Math" w:eastAsia="Calibri" w:hAnsi="Cambria Math" w:cs="Arial"/>
              <w:sz w:val="18"/>
              <w:szCs w:val="18"/>
            </w:rPr>
            <m:t xml:space="preserve"> x 100 </m:t>
          </m:r>
        </m:oMath>
      </m:oMathPara>
    </w:p>
    <w:p w14:paraId="035B3EE1" w14:textId="77777777" w:rsidR="00C93943" w:rsidRPr="0054418C" w:rsidRDefault="00C93943" w:rsidP="00C93943">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gdzie Przestój jest mierzony jako procent nieskutecznych odpowiedzi podczas Właściwego Okresu.</w:t>
      </w:r>
    </w:p>
    <w:p w14:paraId="5E87E5F9" w14:textId="77777777" w:rsidR="00C93943" w:rsidRPr="0054418C" w:rsidRDefault="00C93943" w:rsidP="00C93943">
      <w:pPr>
        <w:keepNext/>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rPr>
        <w:t>Środki na Używanie Usługi</w:t>
      </w:r>
      <w:r>
        <w:rPr>
          <w:rFonts w:ascii="Calibri" w:eastAsia="Calibri" w:hAnsi="Calibri" w:cs="Arial"/>
          <w:sz w:val="18"/>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C93943" w:rsidRPr="0054418C" w14:paraId="58E5EB42" w14:textId="77777777" w:rsidTr="00D81B11">
        <w:trPr>
          <w:tblHeader/>
        </w:trPr>
        <w:tc>
          <w:tcPr>
            <w:tcW w:w="5400" w:type="dxa"/>
            <w:shd w:val="clear" w:color="auto" w:fill="0072C6"/>
            <w:tcMar>
              <w:top w:w="0" w:type="dxa"/>
              <w:left w:w="108" w:type="dxa"/>
              <w:bottom w:w="0" w:type="dxa"/>
              <w:right w:w="108" w:type="dxa"/>
            </w:tcMar>
            <w:hideMark/>
          </w:tcPr>
          <w:p w14:paraId="1E8E700E"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Mar>
              <w:top w:w="0" w:type="dxa"/>
              <w:left w:w="108" w:type="dxa"/>
              <w:bottom w:w="0" w:type="dxa"/>
              <w:right w:w="108" w:type="dxa"/>
            </w:tcMar>
            <w:hideMark/>
          </w:tcPr>
          <w:p w14:paraId="596D8075"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color w:val="FFFFFF"/>
                <w:sz w:val="16"/>
              </w:rPr>
            </w:pPr>
            <w:r>
              <w:rPr>
                <w:rFonts w:ascii="Calibri" w:eastAsia="Calibri" w:hAnsi="Calibri" w:cs="Arial"/>
                <w:color w:val="FFFFFF"/>
                <w:sz w:val="16"/>
              </w:rPr>
              <w:t>Środki na Używanie Usługi</w:t>
            </w:r>
          </w:p>
        </w:tc>
      </w:tr>
      <w:tr w:rsidR="00C93943" w:rsidRPr="0054418C" w14:paraId="6280AF72" w14:textId="77777777" w:rsidTr="00D81B11">
        <w:tc>
          <w:tcPr>
            <w:tcW w:w="5400" w:type="dxa"/>
            <w:tcMar>
              <w:top w:w="0" w:type="dxa"/>
              <w:left w:w="108" w:type="dxa"/>
              <w:bottom w:w="0" w:type="dxa"/>
              <w:right w:w="108" w:type="dxa"/>
            </w:tcMar>
            <w:hideMark/>
          </w:tcPr>
          <w:p w14:paraId="077F2C41"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 99,5%</w:t>
            </w:r>
          </w:p>
        </w:tc>
        <w:tc>
          <w:tcPr>
            <w:tcW w:w="5400" w:type="dxa"/>
            <w:tcMar>
              <w:top w:w="0" w:type="dxa"/>
              <w:left w:w="108" w:type="dxa"/>
              <w:bottom w:w="0" w:type="dxa"/>
              <w:right w:w="108" w:type="dxa"/>
            </w:tcMar>
            <w:hideMark/>
          </w:tcPr>
          <w:p w14:paraId="34D174F5"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25%</w:t>
            </w:r>
          </w:p>
        </w:tc>
      </w:tr>
      <w:tr w:rsidR="00C93943" w:rsidRPr="0054418C" w14:paraId="108AF54C" w14:textId="77777777" w:rsidTr="00D81B11">
        <w:tc>
          <w:tcPr>
            <w:tcW w:w="5400" w:type="dxa"/>
            <w:tcMar>
              <w:top w:w="0" w:type="dxa"/>
              <w:left w:w="108" w:type="dxa"/>
              <w:bottom w:w="0" w:type="dxa"/>
              <w:right w:w="108" w:type="dxa"/>
            </w:tcMar>
            <w:hideMark/>
          </w:tcPr>
          <w:p w14:paraId="7DD79D73"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Mar>
              <w:top w:w="0" w:type="dxa"/>
              <w:left w:w="108" w:type="dxa"/>
              <w:bottom w:w="0" w:type="dxa"/>
              <w:right w:w="108" w:type="dxa"/>
            </w:tcMar>
            <w:hideMark/>
          </w:tcPr>
          <w:p w14:paraId="53C03A57"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50%</w:t>
            </w:r>
          </w:p>
        </w:tc>
      </w:tr>
      <w:tr w:rsidR="00C93943" w:rsidRPr="0054418C" w14:paraId="5702766C" w14:textId="77777777" w:rsidTr="00D81B11">
        <w:tc>
          <w:tcPr>
            <w:tcW w:w="5400" w:type="dxa"/>
            <w:tcMar>
              <w:top w:w="0" w:type="dxa"/>
              <w:left w:w="108" w:type="dxa"/>
              <w:bottom w:w="0" w:type="dxa"/>
              <w:right w:w="108" w:type="dxa"/>
            </w:tcMar>
          </w:tcPr>
          <w:p w14:paraId="3DF12858"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&lt;95%</w:t>
            </w:r>
          </w:p>
        </w:tc>
        <w:tc>
          <w:tcPr>
            <w:tcW w:w="5400" w:type="dxa"/>
            <w:tcMar>
              <w:top w:w="0" w:type="dxa"/>
              <w:left w:w="108" w:type="dxa"/>
              <w:bottom w:w="0" w:type="dxa"/>
              <w:right w:w="108" w:type="dxa"/>
            </w:tcMar>
          </w:tcPr>
          <w:p w14:paraId="67A59999" w14:textId="77777777" w:rsidR="00C93943" w:rsidRPr="0054418C" w:rsidRDefault="00C93943" w:rsidP="00D81B11">
            <w:pPr>
              <w:tabs>
                <w:tab w:val="left" w:pos="360"/>
                <w:tab w:val="left" w:pos="720"/>
                <w:tab w:val="left" w:pos="1080"/>
              </w:tabs>
              <w:spacing w:before="20" w:after="20" w:line="252" w:lineRule="auto"/>
              <w:ind w:left="-14" w:right="-101"/>
              <w:jc w:val="center"/>
              <w:rPr>
                <w:rFonts w:ascii="Calibri" w:eastAsia="Calibri" w:hAnsi="Calibri" w:cs="Arial"/>
                <w:sz w:val="16"/>
              </w:rPr>
            </w:pPr>
            <w:r>
              <w:rPr>
                <w:rFonts w:ascii="Calibri" w:eastAsia="Calibri" w:hAnsi="Calibri" w:cs="Arial"/>
                <w:sz w:val="16"/>
              </w:rPr>
              <w:t>100%</w:t>
            </w:r>
          </w:p>
        </w:tc>
      </w:tr>
    </w:tbl>
    <w:p w14:paraId="09976ED5" w14:textId="77777777" w:rsidR="00325C22" w:rsidRPr="00EF7CF9" w:rsidRDefault="00325C22" w:rsidP="00325C2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D4ACF6A" w14:textId="7FF25590" w:rsidR="008E68F7" w:rsidRPr="00EF7CF9" w:rsidRDefault="008E68F7" w:rsidP="008E68F7">
      <w:pPr>
        <w:pStyle w:val="ProductList-Offering2Heading"/>
        <w:outlineLvl w:val="2"/>
      </w:pPr>
      <w:bookmarkStart w:id="87" w:name="_Toc239174941"/>
      <w:r>
        <w:t xml:space="preserve">Office 365 Advanced </w:t>
      </w:r>
      <w:proofErr w:type="spellStart"/>
      <w:r>
        <w:t>Compliance</w:t>
      </w:r>
      <w:bookmarkEnd w:id="87"/>
      <w:proofErr w:type="spellEnd"/>
    </w:p>
    <w:p w14:paraId="7A03DE1C" w14:textId="77777777" w:rsidR="008E68F7" w:rsidRPr="00EF7CF9" w:rsidRDefault="008E68F7" w:rsidP="008E68F7">
      <w:pPr>
        <w:pStyle w:val="ProductList-Body"/>
        <w:tabs>
          <w:tab w:val="clear" w:pos="360"/>
        </w:tabs>
      </w:pPr>
      <w:r>
        <w:rPr>
          <w:b/>
          <w:bCs/>
          <w:color w:val="00188F"/>
        </w:rPr>
        <w:t>Przestój</w:t>
      </w:r>
      <w:r w:rsidRPr="007B038A">
        <w:rPr>
          <w:b/>
          <w:color w:val="00188F"/>
        </w:rPr>
        <w:t>:</w:t>
      </w:r>
      <w:r>
        <w:t xml:space="preserve"> Dowolny okres, w którym stanowiąca element usługi Office 365 Advanced </w:t>
      </w:r>
      <w:proofErr w:type="spellStart"/>
      <w:r>
        <w:t>Compliance</w:t>
      </w:r>
      <w:proofErr w:type="spellEnd"/>
      <w:r>
        <w:t xml:space="preserve"> funkcja </w:t>
      </w:r>
      <w:proofErr w:type="spellStart"/>
      <w:r>
        <w:t>Customer</w:t>
      </w:r>
      <w:proofErr w:type="spellEnd"/>
      <w:r>
        <w:t xml:space="preserve"> </w:t>
      </w:r>
      <w:proofErr w:type="spellStart"/>
      <w:r>
        <w:t>Lockbox</w:t>
      </w:r>
      <w:proofErr w:type="spellEnd"/>
      <w:r>
        <w:t xml:space="preserve"> jest w trybie ograniczonej funkcjonalności ze względu na problemy z usługą Office 365.</w:t>
      </w:r>
    </w:p>
    <w:p w14:paraId="47C40BE6" w14:textId="4147C950" w:rsidR="008E68F7" w:rsidRPr="00EF7CF9" w:rsidRDefault="00AC48A7" w:rsidP="008E68F7">
      <w:pPr>
        <w:pStyle w:val="ProductList-Body"/>
        <w:tabs>
          <w:tab w:val="clear" w:pos="360"/>
        </w:tabs>
      </w:pPr>
      <w:r>
        <w:rPr>
          <w:b/>
          <w:bCs/>
          <w:color w:val="00188F"/>
        </w:rPr>
        <w:t>Procent Czasu Sprawnego Działania</w:t>
      </w:r>
      <w:r w:rsidRPr="007B038A">
        <w:rPr>
          <w:b/>
          <w:color w:val="00188F"/>
        </w:rPr>
        <w:t>:</w:t>
      </w:r>
      <w:r>
        <w:t xml:space="preserve"> Procent Czasu Sprawnego Działania jest obliczany przy użyciu następującego wzoru:</w:t>
      </w:r>
    </w:p>
    <w:p w14:paraId="4DF611F4" w14:textId="1B3F88EC" w:rsidR="008E68F7" w:rsidRPr="00EF7CF9" w:rsidRDefault="00000000" w:rsidP="006F4F38">
      <w:pPr>
        <w:spacing w:before="120" w:after="120" w:line="240" w:lineRule="auto"/>
        <w:ind w:left="360"/>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741B9621" w14:textId="5B2DF96A" w:rsidR="008E68F7" w:rsidRDefault="00AC48A7" w:rsidP="008E68F7">
      <w:pPr>
        <w:pStyle w:val="ProductList-Body"/>
        <w:tabs>
          <w:tab w:val="clear" w:pos="360"/>
        </w:tabs>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925D96B" w14:textId="77777777" w:rsidR="008E68F7" w:rsidRPr="00EF7CF9" w:rsidRDefault="008E68F7" w:rsidP="00943212">
      <w:pPr>
        <w:pStyle w:val="ProductList-Body"/>
      </w:pPr>
      <w:r>
        <w:rPr>
          <w:b/>
          <w:bCs/>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68F7" w:rsidRPr="00B44CF9" w14:paraId="378ED190" w14:textId="77777777" w:rsidTr="00CC3273">
        <w:trPr>
          <w:tblHeader/>
        </w:trPr>
        <w:tc>
          <w:tcPr>
            <w:tcW w:w="5400" w:type="dxa"/>
            <w:shd w:val="clear" w:color="auto" w:fill="0072C6"/>
          </w:tcPr>
          <w:p w14:paraId="0C12A55B" w14:textId="0DC64C06" w:rsidR="008E68F7" w:rsidRPr="00EF7CF9" w:rsidRDefault="00AC48A7" w:rsidP="00CC3273">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25E5279" w14:textId="77777777" w:rsidR="008E68F7" w:rsidRPr="00EF7CF9" w:rsidRDefault="008E68F7" w:rsidP="00CC3273">
            <w:pPr>
              <w:pStyle w:val="ProductList-OfferingBody"/>
              <w:jc w:val="center"/>
              <w:rPr>
                <w:color w:val="FFFFFF" w:themeColor="background1"/>
              </w:rPr>
            </w:pPr>
            <w:r>
              <w:rPr>
                <w:color w:val="FFFFFF" w:themeColor="background1"/>
              </w:rPr>
              <w:t>Środki Serwisowe na Używanie Usług</w:t>
            </w:r>
          </w:p>
        </w:tc>
      </w:tr>
      <w:tr w:rsidR="008E68F7" w:rsidRPr="00B44CF9" w14:paraId="136FA892" w14:textId="77777777" w:rsidTr="00CC3273">
        <w:tc>
          <w:tcPr>
            <w:tcW w:w="5400" w:type="dxa"/>
          </w:tcPr>
          <w:p w14:paraId="7D0A4079" w14:textId="77777777" w:rsidR="008E68F7" w:rsidRPr="00EF7CF9" w:rsidRDefault="008E68F7" w:rsidP="00CC3273">
            <w:pPr>
              <w:pStyle w:val="ProductList-OfferingBody"/>
              <w:jc w:val="center"/>
            </w:pPr>
            <w:r>
              <w:t>&lt; 99,9%</w:t>
            </w:r>
          </w:p>
        </w:tc>
        <w:tc>
          <w:tcPr>
            <w:tcW w:w="5400" w:type="dxa"/>
          </w:tcPr>
          <w:p w14:paraId="0D5866E2" w14:textId="77777777" w:rsidR="008E68F7" w:rsidRPr="00EF7CF9" w:rsidRDefault="008E68F7" w:rsidP="00CC3273">
            <w:pPr>
              <w:pStyle w:val="ProductList-OfferingBody"/>
              <w:jc w:val="center"/>
            </w:pPr>
            <w:r>
              <w:t>25%</w:t>
            </w:r>
          </w:p>
        </w:tc>
      </w:tr>
      <w:tr w:rsidR="008E68F7" w:rsidRPr="00B44CF9" w14:paraId="6EC891D2" w14:textId="77777777" w:rsidTr="00CC3273">
        <w:tc>
          <w:tcPr>
            <w:tcW w:w="5400" w:type="dxa"/>
          </w:tcPr>
          <w:p w14:paraId="3DA2B2EB" w14:textId="77777777" w:rsidR="008E68F7" w:rsidRPr="00EF7CF9" w:rsidRDefault="008E68F7" w:rsidP="00CC3273">
            <w:pPr>
              <w:pStyle w:val="ProductList-OfferingBody"/>
              <w:jc w:val="center"/>
            </w:pPr>
            <w:r>
              <w:t>&lt; 99%</w:t>
            </w:r>
          </w:p>
        </w:tc>
        <w:tc>
          <w:tcPr>
            <w:tcW w:w="5400" w:type="dxa"/>
          </w:tcPr>
          <w:p w14:paraId="25B6BEF5" w14:textId="77777777" w:rsidR="008E68F7" w:rsidRPr="00EF7CF9" w:rsidRDefault="008E68F7" w:rsidP="00CC3273">
            <w:pPr>
              <w:pStyle w:val="ProductList-OfferingBody"/>
              <w:jc w:val="center"/>
            </w:pPr>
            <w:r>
              <w:t>50%</w:t>
            </w:r>
          </w:p>
        </w:tc>
      </w:tr>
      <w:tr w:rsidR="008E68F7" w:rsidRPr="00B44CF9" w14:paraId="4D02D01B" w14:textId="77777777" w:rsidTr="00CC3273">
        <w:tc>
          <w:tcPr>
            <w:tcW w:w="5400" w:type="dxa"/>
          </w:tcPr>
          <w:p w14:paraId="1F8F16CF" w14:textId="77777777" w:rsidR="008E68F7" w:rsidRPr="00EF7CF9" w:rsidRDefault="008E68F7" w:rsidP="00CC3273">
            <w:pPr>
              <w:pStyle w:val="ProductList-OfferingBody"/>
              <w:jc w:val="center"/>
            </w:pPr>
            <w:r>
              <w:t>&lt; 95%</w:t>
            </w:r>
          </w:p>
        </w:tc>
        <w:tc>
          <w:tcPr>
            <w:tcW w:w="5400" w:type="dxa"/>
          </w:tcPr>
          <w:p w14:paraId="4F6ABDDE" w14:textId="77777777" w:rsidR="008E68F7" w:rsidRPr="00EF7CF9" w:rsidRDefault="008E68F7" w:rsidP="00CC3273">
            <w:pPr>
              <w:pStyle w:val="ProductList-OfferingBody"/>
              <w:jc w:val="center"/>
            </w:pPr>
            <w:r>
              <w:t>100%</w:t>
            </w:r>
          </w:p>
        </w:tc>
      </w:tr>
    </w:tbl>
    <w:p w14:paraId="7FF66935" w14:textId="26253BC3" w:rsidR="008E68F7" w:rsidRPr="00EF7CF9" w:rsidRDefault="00C71F89" w:rsidP="008E68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F8FB09B" w14:textId="337A94B6" w:rsidR="000C13D4" w:rsidRPr="00EF7CF9" w:rsidRDefault="004F25AA" w:rsidP="00BA33EB">
      <w:pPr>
        <w:pStyle w:val="ProductList-Offering2Heading"/>
        <w:keepNext/>
        <w:outlineLvl w:val="2"/>
      </w:pPr>
      <w:bookmarkStart w:id="88" w:name="_Toc239174942"/>
      <w:r>
        <w:t>Office Online</w:t>
      </w:r>
      <w:bookmarkEnd w:id="84"/>
      <w:bookmarkEnd w:id="88"/>
    </w:p>
    <w:p w14:paraId="1676D4F2" w14:textId="198689E9" w:rsidR="000C13D4" w:rsidRPr="00EF7CF9" w:rsidRDefault="000C13D4" w:rsidP="002A586E">
      <w:pPr>
        <w:pStyle w:val="ProductList-Body"/>
      </w:pPr>
      <w:r>
        <w:rPr>
          <w:b/>
          <w:color w:val="00188F"/>
        </w:rPr>
        <w:t>Przestój</w:t>
      </w:r>
      <w:r w:rsidRPr="007B038A">
        <w:rPr>
          <w:b/>
          <w:color w:val="00188F"/>
        </w:rPr>
        <w:t>:</w:t>
      </w:r>
      <w:r>
        <w:t xml:space="preserve"> </w:t>
      </w:r>
      <w:r>
        <w:rPr>
          <w:szCs w:val="18"/>
        </w:rPr>
        <w:t>Dowolny okres, w którym użytkownicy nie mogą używać Web Applications do przeglądania i edytowania dokumentów pakietu Office przechowywanych w witrynie usługi SharePoint Online, do której mają odpowiednie uprawnienia.</w:t>
      </w:r>
    </w:p>
    <w:p w14:paraId="4C684597" w14:textId="445E60EC" w:rsidR="000C13D4"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 </w:t>
      </w:r>
    </w:p>
    <w:p w14:paraId="3217F941" w14:textId="7D878F57" w:rsidR="000C13D4"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5CC20D20" w14:textId="2176554C" w:rsidR="000C13D4"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5C67B0F7" w14:textId="19C963F4" w:rsidR="000C13D4" w:rsidRPr="00EF7CF9" w:rsidRDefault="00187BF4" w:rsidP="002A586E">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497068E" w14:textId="77777777" w:rsidTr="00C86427">
        <w:trPr>
          <w:tblHeader/>
        </w:trPr>
        <w:tc>
          <w:tcPr>
            <w:tcW w:w="5400" w:type="dxa"/>
            <w:shd w:val="clear" w:color="auto" w:fill="0072C6"/>
          </w:tcPr>
          <w:p w14:paraId="10FCEBB2" w14:textId="53B30845" w:rsidR="000C13D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1EAB7B9" w14:textId="77777777" w:rsidR="000C13D4" w:rsidRPr="00EF7CF9" w:rsidRDefault="000C13D4" w:rsidP="002A586E">
            <w:pPr>
              <w:pStyle w:val="ProductList-OfferingBody"/>
              <w:jc w:val="center"/>
              <w:rPr>
                <w:color w:val="FFFFFF" w:themeColor="background1"/>
              </w:rPr>
            </w:pPr>
            <w:r>
              <w:rPr>
                <w:color w:val="FFFFFF" w:themeColor="background1"/>
              </w:rPr>
              <w:t>Środki Serwisowe na Używanie Usług</w:t>
            </w:r>
          </w:p>
        </w:tc>
      </w:tr>
      <w:tr w:rsidR="000C13D4" w:rsidRPr="00B44CF9" w14:paraId="3A2E8D8F" w14:textId="77777777" w:rsidTr="00C86427">
        <w:tc>
          <w:tcPr>
            <w:tcW w:w="5400" w:type="dxa"/>
          </w:tcPr>
          <w:p w14:paraId="20E340F7" w14:textId="24EBE8E7" w:rsidR="000C13D4" w:rsidRPr="00EF7CF9" w:rsidRDefault="000C13D4" w:rsidP="002A586E">
            <w:pPr>
              <w:pStyle w:val="ProductList-OfferingBody"/>
              <w:jc w:val="center"/>
            </w:pPr>
            <w:r>
              <w:t>&lt; 99,9%</w:t>
            </w:r>
          </w:p>
        </w:tc>
        <w:tc>
          <w:tcPr>
            <w:tcW w:w="5400" w:type="dxa"/>
          </w:tcPr>
          <w:p w14:paraId="4940133B" w14:textId="77777777" w:rsidR="000C13D4" w:rsidRPr="00EF7CF9" w:rsidRDefault="000C13D4" w:rsidP="002A586E">
            <w:pPr>
              <w:pStyle w:val="ProductList-OfferingBody"/>
              <w:jc w:val="center"/>
            </w:pPr>
            <w:r>
              <w:t>25%</w:t>
            </w:r>
          </w:p>
        </w:tc>
      </w:tr>
      <w:tr w:rsidR="000C13D4" w:rsidRPr="00B44CF9" w14:paraId="521E17F9" w14:textId="77777777" w:rsidTr="00C86427">
        <w:tc>
          <w:tcPr>
            <w:tcW w:w="5400" w:type="dxa"/>
          </w:tcPr>
          <w:p w14:paraId="26F97999" w14:textId="0952B113" w:rsidR="000C13D4" w:rsidRPr="00EF7CF9" w:rsidRDefault="000C13D4" w:rsidP="002A586E">
            <w:pPr>
              <w:pStyle w:val="ProductList-OfferingBody"/>
              <w:jc w:val="center"/>
            </w:pPr>
            <w:r>
              <w:t>&lt; 99%</w:t>
            </w:r>
          </w:p>
        </w:tc>
        <w:tc>
          <w:tcPr>
            <w:tcW w:w="5400" w:type="dxa"/>
          </w:tcPr>
          <w:p w14:paraId="4BBAA378" w14:textId="77777777" w:rsidR="000C13D4" w:rsidRPr="00EF7CF9" w:rsidRDefault="000C13D4" w:rsidP="002A586E">
            <w:pPr>
              <w:pStyle w:val="ProductList-OfferingBody"/>
              <w:jc w:val="center"/>
            </w:pPr>
            <w:r>
              <w:t>50%</w:t>
            </w:r>
          </w:p>
        </w:tc>
      </w:tr>
      <w:tr w:rsidR="000C13D4" w:rsidRPr="00B44CF9" w14:paraId="59DF70FE" w14:textId="77777777" w:rsidTr="00C86427">
        <w:tc>
          <w:tcPr>
            <w:tcW w:w="5400" w:type="dxa"/>
          </w:tcPr>
          <w:p w14:paraId="678A7C14" w14:textId="77777777" w:rsidR="000C13D4" w:rsidRPr="00EF7CF9" w:rsidRDefault="000C13D4" w:rsidP="002A586E">
            <w:pPr>
              <w:pStyle w:val="ProductList-OfferingBody"/>
              <w:jc w:val="center"/>
            </w:pPr>
            <w:r>
              <w:t>&lt; 95%</w:t>
            </w:r>
          </w:p>
        </w:tc>
        <w:tc>
          <w:tcPr>
            <w:tcW w:w="5400" w:type="dxa"/>
          </w:tcPr>
          <w:p w14:paraId="46C6F630" w14:textId="77777777" w:rsidR="000C13D4" w:rsidRPr="00EF7CF9" w:rsidRDefault="000C13D4" w:rsidP="002A586E">
            <w:pPr>
              <w:pStyle w:val="ProductList-OfferingBody"/>
              <w:jc w:val="center"/>
            </w:pPr>
            <w:r>
              <w:t>100%</w:t>
            </w:r>
          </w:p>
        </w:tc>
      </w:tr>
    </w:tbl>
    <w:bookmarkStart w:id="89" w:name="_Toc457821520"/>
    <w:p w14:paraId="4398F673" w14:textId="09AE31E7"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D4E9369" w14:textId="591EABAD" w:rsidR="000C13D4" w:rsidRPr="00EF7CF9" w:rsidRDefault="000C13D4" w:rsidP="00FD5737">
      <w:pPr>
        <w:pStyle w:val="ProductList-Offering2Heading"/>
        <w:keepNext/>
        <w:outlineLvl w:val="2"/>
      </w:pPr>
      <w:bookmarkStart w:id="90" w:name="_Toc239174943"/>
      <w:r>
        <w:t>Office 365 Video</w:t>
      </w:r>
      <w:bookmarkEnd w:id="89"/>
      <w:bookmarkEnd w:id="90"/>
    </w:p>
    <w:p w14:paraId="3A79F112" w14:textId="74321ABC" w:rsidR="000C13D4" w:rsidRPr="00EF7CF9" w:rsidRDefault="000C13D4" w:rsidP="002A586E">
      <w:pPr>
        <w:pStyle w:val="ProductList-Body"/>
      </w:pPr>
      <w:r>
        <w:rPr>
          <w:b/>
          <w:color w:val="00188F"/>
        </w:rPr>
        <w:t>Przestój</w:t>
      </w:r>
      <w:r w:rsidRPr="007B038A">
        <w:rPr>
          <w:b/>
          <w:color w:val="00188F"/>
        </w:rPr>
        <w:t>:</w:t>
      </w:r>
      <w:r>
        <w:t xml:space="preserve"> </w:t>
      </w:r>
      <w:r>
        <w:rPr>
          <w:szCs w:val="18"/>
        </w:rPr>
        <w:t>Dowolny okres, w którym użytkownicy nie mogą przesyłać, przeglądać ani edytować filmów wideo w portalu wideo, mając odpowiednie uprawnienia oraz prawidłową treść.</w:t>
      </w:r>
    </w:p>
    <w:p w14:paraId="7DAA761D" w14:textId="4054EC88" w:rsidR="000C13D4"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12553895" w14:textId="5492F311" w:rsidR="000C13D4"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6A685FD4" w14:textId="2CB76A5D" w:rsidR="000C13D4"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16D54A3F" w14:textId="15B50594" w:rsidR="000C13D4" w:rsidRPr="00EF7CF9" w:rsidRDefault="000C13D4" w:rsidP="002A586E">
      <w:pPr>
        <w:pStyle w:val="ProductList-Body"/>
      </w:pPr>
      <w:r>
        <w:rPr>
          <w:b/>
          <w:color w:val="00188F"/>
        </w:rPr>
        <w:t>Zadeklarowanie Poziomu Usługi</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35BF1439" w14:textId="77777777" w:rsidTr="00C86427">
        <w:trPr>
          <w:tblHeader/>
        </w:trPr>
        <w:tc>
          <w:tcPr>
            <w:tcW w:w="5400" w:type="dxa"/>
            <w:shd w:val="clear" w:color="auto" w:fill="0072C6"/>
          </w:tcPr>
          <w:p w14:paraId="0F8E223D" w14:textId="13783D2B" w:rsidR="000C13D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AC43F59" w14:textId="77777777" w:rsidR="000C13D4" w:rsidRPr="00EF7CF9" w:rsidRDefault="000C13D4" w:rsidP="002A586E">
            <w:pPr>
              <w:pStyle w:val="ProductList-OfferingBody"/>
              <w:jc w:val="center"/>
              <w:rPr>
                <w:color w:val="FFFFFF" w:themeColor="background1"/>
              </w:rPr>
            </w:pPr>
            <w:r>
              <w:rPr>
                <w:color w:val="FFFFFF" w:themeColor="background1"/>
              </w:rPr>
              <w:t>Środki Serwisowe na Używanie Usług</w:t>
            </w:r>
          </w:p>
        </w:tc>
      </w:tr>
      <w:tr w:rsidR="000C13D4" w:rsidRPr="00B44CF9" w14:paraId="35535E60" w14:textId="77777777" w:rsidTr="00C86427">
        <w:tc>
          <w:tcPr>
            <w:tcW w:w="5400" w:type="dxa"/>
          </w:tcPr>
          <w:p w14:paraId="7E778ED8" w14:textId="31E565B6" w:rsidR="000C13D4" w:rsidRPr="00EF7CF9" w:rsidRDefault="000C13D4" w:rsidP="002A586E">
            <w:pPr>
              <w:pStyle w:val="ProductList-OfferingBody"/>
              <w:jc w:val="center"/>
            </w:pPr>
            <w:r>
              <w:t>&lt; 99,9%</w:t>
            </w:r>
          </w:p>
        </w:tc>
        <w:tc>
          <w:tcPr>
            <w:tcW w:w="5400" w:type="dxa"/>
          </w:tcPr>
          <w:p w14:paraId="4BAFE0E4" w14:textId="77777777" w:rsidR="000C13D4" w:rsidRPr="00EF7CF9" w:rsidRDefault="000C13D4" w:rsidP="002A586E">
            <w:pPr>
              <w:pStyle w:val="ProductList-OfferingBody"/>
              <w:jc w:val="center"/>
            </w:pPr>
            <w:r>
              <w:t>25%</w:t>
            </w:r>
          </w:p>
        </w:tc>
      </w:tr>
      <w:tr w:rsidR="000C13D4" w:rsidRPr="00B44CF9" w14:paraId="6F5A79E8" w14:textId="77777777" w:rsidTr="00C86427">
        <w:tc>
          <w:tcPr>
            <w:tcW w:w="5400" w:type="dxa"/>
          </w:tcPr>
          <w:p w14:paraId="5A5850A8" w14:textId="487BB396" w:rsidR="000C13D4" w:rsidRPr="00EF7CF9" w:rsidRDefault="000C13D4" w:rsidP="002A586E">
            <w:pPr>
              <w:pStyle w:val="ProductList-OfferingBody"/>
              <w:jc w:val="center"/>
            </w:pPr>
            <w:r>
              <w:t>&lt; 99%</w:t>
            </w:r>
          </w:p>
        </w:tc>
        <w:tc>
          <w:tcPr>
            <w:tcW w:w="5400" w:type="dxa"/>
          </w:tcPr>
          <w:p w14:paraId="091B1753" w14:textId="77777777" w:rsidR="000C13D4" w:rsidRPr="00EF7CF9" w:rsidRDefault="000C13D4" w:rsidP="002A586E">
            <w:pPr>
              <w:pStyle w:val="ProductList-OfferingBody"/>
              <w:jc w:val="center"/>
            </w:pPr>
            <w:r>
              <w:t>50%</w:t>
            </w:r>
          </w:p>
        </w:tc>
      </w:tr>
      <w:tr w:rsidR="000C13D4" w:rsidRPr="00B44CF9" w14:paraId="50CD9FEA" w14:textId="77777777" w:rsidTr="00C86427">
        <w:tc>
          <w:tcPr>
            <w:tcW w:w="5400" w:type="dxa"/>
          </w:tcPr>
          <w:p w14:paraId="7D03A04E" w14:textId="77777777" w:rsidR="000C13D4" w:rsidRPr="00EF7CF9" w:rsidRDefault="000C13D4" w:rsidP="002A586E">
            <w:pPr>
              <w:pStyle w:val="ProductList-OfferingBody"/>
              <w:jc w:val="center"/>
            </w:pPr>
            <w:r>
              <w:t>&lt; 95%</w:t>
            </w:r>
          </w:p>
        </w:tc>
        <w:tc>
          <w:tcPr>
            <w:tcW w:w="5400" w:type="dxa"/>
          </w:tcPr>
          <w:p w14:paraId="0F29C740" w14:textId="77777777" w:rsidR="000C13D4" w:rsidRPr="00EF7CF9" w:rsidRDefault="000C13D4" w:rsidP="002A586E">
            <w:pPr>
              <w:pStyle w:val="ProductList-OfferingBody"/>
              <w:jc w:val="center"/>
            </w:pPr>
            <w:r>
              <w:t>100%</w:t>
            </w:r>
          </w:p>
        </w:tc>
      </w:tr>
    </w:tbl>
    <w:bookmarkStart w:id="91" w:name="_Toc457821521"/>
    <w:p w14:paraId="5E336C92" w14:textId="24086913"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18C17177" w14:textId="77777777" w:rsidR="00325C22" w:rsidRDefault="00325C22">
      <w:pPr>
        <w:rPr>
          <w:rFonts w:asciiTheme="majorHAnsi" w:hAnsiTheme="majorHAnsi"/>
          <w:b/>
          <w:color w:val="0072C6"/>
          <w:sz w:val="28"/>
        </w:rPr>
      </w:pPr>
      <w:r>
        <w:br w:type="page"/>
      </w:r>
    </w:p>
    <w:p w14:paraId="7FA062E2" w14:textId="4A5778C8" w:rsidR="000C13D4" w:rsidRPr="00EF7CF9" w:rsidRDefault="000C13D4" w:rsidP="00D76F8C">
      <w:pPr>
        <w:pStyle w:val="ProductList-Offering2Heading"/>
        <w:keepNext/>
        <w:outlineLvl w:val="2"/>
      </w:pPr>
      <w:bookmarkStart w:id="92" w:name="_Toc239174944"/>
      <w:r>
        <w:t>OneDrive</w:t>
      </w:r>
      <w:bookmarkEnd w:id="91"/>
      <w:r w:rsidR="00067A0F">
        <w:t xml:space="preserve"> </w:t>
      </w:r>
      <w:r w:rsidR="00067A0F" w:rsidRPr="00067A0F">
        <w:t>praca lub szkota</w:t>
      </w:r>
      <w:bookmarkEnd w:id="92"/>
    </w:p>
    <w:p w14:paraId="54108DA2" w14:textId="77777777" w:rsidR="0020664F" w:rsidRPr="000363FC" w:rsidRDefault="000C13D4" w:rsidP="0020664F">
      <w:pPr>
        <w:pStyle w:val="ProductList-Body"/>
        <w:rPr>
          <w:rFonts w:ascii="Calibri" w:hAnsi="Calibri" w:cs="Calibri"/>
          <w:b/>
          <w:bCs/>
          <w:color w:val="00188F"/>
        </w:rPr>
      </w:pPr>
      <w:r>
        <w:rPr>
          <w:b/>
          <w:color w:val="00188F"/>
        </w:rPr>
        <w:t>Przestój</w:t>
      </w:r>
      <w:r w:rsidRPr="007B038A">
        <w:rPr>
          <w:b/>
          <w:color w:val="00188F"/>
        </w:rPr>
        <w:t>:</w:t>
      </w:r>
      <w:r>
        <w:t xml:space="preserve"> </w:t>
      </w:r>
      <w:r w:rsidR="0020664F">
        <w:rPr>
          <w:rFonts w:ascii="Calibri" w:hAnsi="Calibri" w:cs="Calibri"/>
        </w:rPr>
        <w:t>Dowolny okres, w którym użytkownicy nie mogą wyświetlać ani edytować plików przechowywanych w OneDrive (służbowym lub szkolnym).</w:t>
      </w:r>
    </w:p>
    <w:p w14:paraId="6DEA7661" w14:textId="5867389A" w:rsidR="000C13D4"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76BB190F" w14:textId="2483B3C3" w:rsidR="000C13D4" w:rsidRPr="00EF7CF9" w:rsidRDefault="00000000" w:rsidP="006F4F3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02BD4BBD" w14:textId="30B50E1C" w:rsidR="000C13D4"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6CD91602" w14:textId="773E259C" w:rsidR="000C13D4" w:rsidRPr="00EF7CF9" w:rsidRDefault="00187BF4" w:rsidP="002A586E">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13D4" w:rsidRPr="00B44CF9" w14:paraId="7837DA2D" w14:textId="77777777" w:rsidTr="00C86427">
        <w:trPr>
          <w:tblHeader/>
        </w:trPr>
        <w:tc>
          <w:tcPr>
            <w:tcW w:w="5400" w:type="dxa"/>
            <w:shd w:val="clear" w:color="auto" w:fill="0072C6"/>
          </w:tcPr>
          <w:p w14:paraId="5F2E29BC" w14:textId="2CEB0730" w:rsidR="000C13D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903F76E" w14:textId="77777777" w:rsidR="000C13D4" w:rsidRPr="00EF7CF9" w:rsidRDefault="000C13D4" w:rsidP="002A586E">
            <w:pPr>
              <w:pStyle w:val="ProductList-OfferingBody"/>
              <w:jc w:val="center"/>
              <w:rPr>
                <w:color w:val="FFFFFF" w:themeColor="background1"/>
              </w:rPr>
            </w:pPr>
            <w:r>
              <w:rPr>
                <w:color w:val="FFFFFF" w:themeColor="background1"/>
              </w:rPr>
              <w:t>Środki Serwisowe na Używanie Usług</w:t>
            </w:r>
          </w:p>
        </w:tc>
      </w:tr>
      <w:tr w:rsidR="000C13D4" w:rsidRPr="00B44CF9" w14:paraId="0D0F33A9" w14:textId="77777777" w:rsidTr="00C86427">
        <w:tc>
          <w:tcPr>
            <w:tcW w:w="5400" w:type="dxa"/>
          </w:tcPr>
          <w:p w14:paraId="11B9D86D" w14:textId="4CA54B5F" w:rsidR="000C13D4" w:rsidRPr="00EF7CF9" w:rsidRDefault="000C13D4" w:rsidP="002A586E">
            <w:pPr>
              <w:pStyle w:val="ProductList-OfferingBody"/>
              <w:jc w:val="center"/>
            </w:pPr>
            <w:r>
              <w:t>&lt; 99,9%</w:t>
            </w:r>
          </w:p>
        </w:tc>
        <w:tc>
          <w:tcPr>
            <w:tcW w:w="5400" w:type="dxa"/>
          </w:tcPr>
          <w:p w14:paraId="21B08C9D" w14:textId="77777777" w:rsidR="000C13D4" w:rsidRPr="00EF7CF9" w:rsidRDefault="000C13D4" w:rsidP="002A586E">
            <w:pPr>
              <w:pStyle w:val="ProductList-OfferingBody"/>
              <w:jc w:val="center"/>
            </w:pPr>
            <w:r>
              <w:t>25%</w:t>
            </w:r>
          </w:p>
        </w:tc>
      </w:tr>
      <w:tr w:rsidR="000C13D4" w:rsidRPr="00B44CF9" w14:paraId="15FDE30A" w14:textId="77777777" w:rsidTr="00C86427">
        <w:tc>
          <w:tcPr>
            <w:tcW w:w="5400" w:type="dxa"/>
          </w:tcPr>
          <w:p w14:paraId="1B3D9EF5" w14:textId="7C495918" w:rsidR="000C13D4" w:rsidRPr="00EF7CF9" w:rsidRDefault="000C13D4" w:rsidP="002A586E">
            <w:pPr>
              <w:pStyle w:val="ProductList-OfferingBody"/>
              <w:jc w:val="center"/>
            </w:pPr>
            <w:r>
              <w:t>&lt; 99%</w:t>
            </w:r>
          </w:p>
        </w:tc>
        <w:tc>
          <w:tcPr>
            <w:tcW w:w="5400" w:type="dxa"/>
          </w:tcPr>
          <w:p w14:paraId="2607D833" w14:textId="77777777" w:rsidR="000C13D4" w:rsidRPr="00EF7CF9" w:rsidRDefault="000C13D4" w:rsidP="002A586E">
            <w:pPr>
              <w:pStyle w:val="ProductList-OfferingBody"/>
              <w:jc w:val="center"/>
            </w:pPr>
            <w:r>
              <w:t>50%</w:t>
            </w:r>
          </w:p>
        </w:tc>
      </w:tr>
      <w:tr w:rsidR="000C13D4" w:rsidRPr="00B44CF9" w14:paraId="512DA71F" w14:textId="77777777" w:rsidTr="00C86427">
        <w:tc>
          <w:tcPr>
            <w:tcW w:w="5400" w:type="dxa"/>
          </w:tcPr>
          <w:p w14:paraId="47FBA730" w14:textId="77777777" w:rsidR="000C13D4" w:rsidRPr="00EF7CF9" w:rsidRDefault="000C13D4" w:rsidP="00BA33EB">
            <w:pPr>
              <w:pStyle w:val="ProductList-OfferingBody"/>
              <w:keepNext/>
              <w:jc w:val="center"/>
            </w:pPr>
            <w:r>
              <w:t>&lt; 95%</w:t>
            </w:r>
          </w:p>
        </w:tc>
        <w:tc>
          <w:tcPr>
            <w:tcW w:w="5400" w:type="dxa"/>
          </w:tcPr>
          <w:p w14:paraId="1C49AAE4" w14:textId="77777777" w:rsidR="000C13D4" w:rsidRPr="00EF7CF9" w:rsidRDefault="000C13D4" w:rsidP="002A586E">
            <w:pPr>
              <w:pStyle w:val="ProductList-OfferingBody"/>
              <w:jc w:val="center"/>
            </w:pPr>
            <w:r>
              <w:t>100%</w:t>
            </w:r>
          </w:p>
        </w:tc>
      </w:tr>
    </w:tbl>
    <w:bookmarkStart w:id="93" w:name="_Toc457821522"/>
    <w:p w14:paraId="75D91239" w14:textId="7EB5B37D"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5750250" w14:textId="4BB04D05" w:rsidR="00C86427" w:rsidRPr="00EF7CF9" w:rsidRDefault="00C86427" w:rsidP="0007032F">
      <w:pPr>
        <w:pStyle w:val="ProductList-Offering2Heading"/>
        <w:outlineLvl w:val="2"/>
      </w:pPr>
      <w:bookmarkStart w:id="94" w:name="_Toc239174945"/>
      <w:r>
        <w:t>Project</w:t>
      </w:r>
      <w:bookmarkEnd w:id="93"/>
      <w:bookmarkEnd w:id="94"/>
    </w:p>
    <w:p w14:paraId="14E68B6F" w14:textId="0B3F1D78" w:rsidR="00C86427" w:rsidRPr="00EF7CF9" w:rsidRDefault="00C86427" w:rsidP="002A586E">
      <w:pPr>
        <w:pStyle w:val="ProductList-Body"/>
      </w:pPr>
      <w:r>
        <w:rPr>
          <w:b/>
          <w:color w:val="00188F"/>
        </w:rPr>
        <w:t>Przestój</w:t>
      </w:r>
      <w:r w:rsidRPr="007B038A">
        <w:rPr>
          <w:b/>
          <w:color w:val="00188F"/>
        </w:rPr>
        <w:t>:</w:t>
      </w:r>
      <w:r>
        <w:t xml:space="preserve"> </w:t>
      </w:r>
      <w:r>
        <w:rPr>
          <w:szCs w:val="18"/>
        </w:rPr>
        <w:t xml:space="preserve">Dowolny okres, w którym użytkownicy nie mogą odczytywać ani zapisywać żadnej części zbioru witryn usługi SharePoint Online z Project Web </w:t>
      </w:r>
      <w:proofErr w:type="spellStart"/>
      <w:r>
        <w:rPr>
          <w:szCs w:val="18"/>
        </w:rPr>
        <w:t>App</w:t>
      </w:r>
      <w:proofErr w:type="spellEnd"/>
      <w:r>
        <w:rPr>
          <w:szCs w:val="18"/>
        </w:rPr>
        <w:t>, do której mają odpowiednie uprawnienia.</w:t>
      </w:r>
    </w:p>
    <w:p w14:paraId="251BAB3A" w14:textId="6B53635F" w:rsidR="00C86427"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4960225A" w14:textId="6B93F87C" w:rsidR="00C86427" w:rsidRPr="00EF7CF9" w:rsidRDefault="00000000" w:rsidP="00325C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0812AAB2" w14:textId="79181511" w:rsidR="00C86427"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429909F8" w14:textId="1AF0D3B0" w:rsidR="00C86427" w:rsidRPr="00EF7CF9" w:rsidRDefault="00C86427" w:rsidP="002A586E">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47439D22" w14:textId="77777777" w:rsidTr="00C86427">
        <w:trPr>
          <w:tblHeader/>
        </w:trPr>
        <w:tc>
          <w:tcPr>
            <w:tcW w:w="5400" w:type="dxa"/>
            <w:shd w:val="clear" w:color="auto" w:fill="0072C6"/>
          </w:tcPr>
          <w:p w14:paraId="04204677" w14:textId="2BED1A33" w:rsidR="00C86427"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53BEEC3" w14:textId="77777777" w:rsidR="00C86427" w:rsidRPr="00EF7CF9" w:rsidRDefault="00C86427" w:rsidP="002A586E">
            <w:pPr>
              <w:pStyle w:val="ProductList-OfferingBody"/>
              <w:jc w:val="center"/>
              <w:rPr>
                <w:color w:val="FFFFFF" w:themeColor="background1"/>
              </w:rPr>
            </w:pPr>
            <w:r>
              <w:rPr>
                <w:color w:val="FFFFFF" w:themeColor="background1"/>
              </w:rPr>
              <w:t>Środki Serwisowe na Używanie Usług</w:t>
            </w:r>
          </w:p>
        </w:tc>
      </w:tr>
      <w:tr w:rsidR="00C86427" w:rsidRPr="00B44CF9" w14:paraId="51125E5A" w14:textId="77777777" w:rsidTr="00C86427">
        <w:tc>
          <w:tcPr>
            <w:tcW w:w="5400" w:type="dxa"/>
          </w:tcPr>
          <w:p w14:paraId="07F00995" w14:textId="576DCEAF" w:rsidR="00C86427" w:rsidRPr="00EF7CF9" w:rsidRDefault="00C86427" w:rsidP="002A586E">
            <w:pPr>
              <w:pStyle w:val="ProductList-OfferingBody"/>
              <w:jc w:val="center"/>
            </w:pPr>
            <w:r>
              <w:t>&lt; 99,9%</w:t>
            </w:r>
          </w:p>
        </w:tc>
        <w:tc>
          <w:tcPr>
            <w:tcW w:w="5400" w:type="dxa"/>
          </w:tcPr>
          <w:p w14:paraId="1EAC3FA5" w14:textId="77777777" w:rsidR="00C86427" w:rsidRPr="00EF7CF9" w:rsidRDefault="00C86427" w:rsidP="002A586E">
            <w:pPr>
              <w:pStyle w:val="ProductList-OfferingBody"/>
              <w:jc w:val="center"/>
            </w:pPr>
            <w:r>
              <w:t>25%</w:t>
            </w:r>
          </w:p>
        </w:tc>
      </w:tr>
      <w:tr w:rsidR="00C86427" w:rsidRPr="00B44CF9" w14:paraId="6BFFAB67" w14:textId="77777777" w:rsidTr="00C86427">
        <w:tc>
          <w:tcPr>
            <w:tcW w:w="5400" w:type="dxa"/>
          </w:tcPr>
          <w:p w14:paraId="48BA927D" w14:textId="2A9F073D" w:rsidR="00C86427" w:rsidRPr="00EF7CF9" w:rsidRDefault="00C86427" w:rsidP="002A586E">
            <w:pPr>
              <w:pStyle w:val="ProductList-OfferingBody"/>
              <w:jc w:val="center"/>
            </w:pPr>
            <w:r>
              <w:t>&lt; 99%</w:t>
            </w:r>
          </w:p>
        </w:tc>
        <w:tc>
          <w:tcPr>
            <w:tcW w:w="5400" w:type="dxa"/>
          </w:tcPr>
          <w:p w14:paraId="38929F8D" w14:textId="77777777" w:rsidR="00C86427" w:rsidRPr="00EF7CF9" w:rsidRDefault="00C86427" w:rsidP="002A586E">
            <w:pPr>
              <w:pStyle w:val="ProductList-OfferingBody"/>
              <w:jc w:val="center"/>
            </w:pPr>
            <w:r>
              <w:t>50%</w:t>
            </w:r>
          </w:p>
        </w:tc>
      </w:tr>
      <w:tr w:rsidR="00C86427" w:rsidRPr="00B44CF9" w14:paraId="70A14F4B" w14:textId="77777777" w:rsidTr="00C86427">
        <w:tc>
          <w:tcPr>
            <w:tcW w:w="5400" w:type="dxa"/>
          </w:tcPr>
          <w:p w14:paraId="4A5F7DB0" w14:textId="77777777" w:rsidR="00C86427" w:rsidRPr="00EF7CF9" w:rsidRDefault="00C86427" w:rsidP="002A586E">
            <w:pPr>
              <w:pStyle w:val="ProductList-OfferingBody"/>
              <w:jc w:val="center"/>
            </w:pPr>
            <w:r>
              <w:t>&lt; 95%</w:t>
            </w:r>
          </w:p>
        </w:tc>
        <w:tc>
          <w:tcPr>
            <w:tcW w:w="5400" w:type="dxa"/>
          </w:tcPr>
          <w:p w14:paraId="4C6598BC" w14:textId="77777777" w:rsidR="00C86427" w:rsidRPr="00EF7CF9" w:rsidRDefault="00C86427" w:rsidP="002A586E">
            <w:pPr>
              <w:pStyle w:val="ProductList-OfferingBody"/>
              <w:jc w:val="center"/>
            </w:pPr>
            <w:r>
              <w:t>100%</w:t>
            </w:r>
          </w:p>
        </w:tc>
      </w:tr>
    </w:tbl>
    <w:bookmarkStart w:id="95" w:name="_Toc457821523"/>
    <w:p w14:paraId="239D1835" w14:textId="711A1A39"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051EC5D" w14:textId="20237168" w:rsidR="00C86427" w:rsidRPr="00EF7CF9" w:rsidRDefault="00C86427" w:rsidP="002A586E">
      <w:pPr>
        <w:pStyle w:val="ProductList-Offering2Heading"/>
        <w:outlineLvl w:val="2"/>
      </w:pPr>
      <w:bookmarkStart w:id="96" w:name="_Toc239174946"/>
      <w:r>
        <w:t>SharePoint Online</w:t>
      </w:r>
      <w:bookmarkEnd w:id="95"/>
      <w:bookmarkEnd w:id="96"/>
    </w:p>
    <w:p w14:paraId="41E58B9E" w14:textId="0F2B3227" w:rsidR="00C86427" w:rsidRPr="00EF7CF9" w:rsidRDefault="00C86427" w:rsidP="002A586E">
      <w:pPr>
        <w:pStyle w:val="ProductList-Body"/>
      </w:pPr>
      <w:r>
        <w:rPr>
          <w:b/>
          <w:color w:val="00188F"/>
        </w:rPr>
        <w:t>Przestój</w:t>
      </w:r>
      <w:r w:rsidRPr="007B038A">
        <w:rPr>
          <w:b/>
          <w:color w:val="00188F"/>
        </w:rPr>
        <w:t>:</w:t>
      </w:r>
      <w:r>
        <w:t xml:space="preserve"> </w:t>
      </w:r>
      <w:r>
        <w:rPr>
          <w:szCs w:val="18"/>
        </w:rPr>
        <w:t>Dowolny okres, w którym użytkownicy nie mogą odczytywać ani zapisywać żadnej części zbioru witryn usługi SharePoint Online, do której mają odpowiednie uprawnienia.</w:t>
      </w:r>
    </w:p>
    <w:p w14:paraId="4F12AEC0" w14:textId="6785C6E5" w:rsidR="00C86427" w:rsidRPr="00EF7CF9" w:rsidRDefault="00AC48A7" w:rsidP="003C0B57">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 </w:t>
      </w:r>
    </w:p>
    <w:p w14:paraId="5BBD13D7" w14:textId="26B0932D" w:rsidR="00C86427" w:rsidRPr="00EF7CF9" w:rsidRDefault="00000000" w:rsidP="00325C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7FAF12A4" w14:textId="414D53A1" w:rsidR="00C86427"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7AE68D73" w14:textId="0D290067" w:rsidR="00C86427" w:rsidRPr="00EF7CF9" w:rsidRDefault="00187BF4" w:rsidP="002A586E">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2A3F63FE" w14:textId="77777777" w:rsidTr="00C86427">
        <w:trPr>
          <w:tblHeader/>
        </w:trPr>
        <w:tc>
          <w:tcPr>
            <w:tcW w:w="5400" w:type="dxa"/>
            <w:shd w:val="clear" w:color="auto" w:fill="0072C6"/>
          </w:tcPr>
          <w:p w14:paraId="79CD7DD1" w14:textId="4E8E2320" w:rsidR="00C86427"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B60C3AB" w14:textId="77777777" w:rsidR="00C86427" w:rsidRPr="00EF7CF9" w:rsidRDefault="00C86427" w:rsidP="002A586E">
            <w:pPr>
              <w:pStyle w:val="ProductList-OfferingBody"/>
              <w:jc w:val="center"/>
              <w:rPr>
                <w:color w:val="FFFFFF" w:themeColor="background1"/>
              </w:rPr>
            </w:pPr>
            <w:r>
              <w:rPr>
                <w:color w:val="FFFFFF" w:themeColor="background1"/>
              </w:rPr>
              <w:t>Środki Serwisowe na Używanie Usług</w:t>
            </w:r>
          </w:p>
        </w:tc>
      </w:tr>
      <w:tr w:rsidR="00C86427" w:rsidRPr="00B44CF9" w14:paraId="292393E9" w14:textId="77777777" w:rsidTr="00C86427">
        <w:tc>
          <w:tcPr>
            <w:tcW w:w="5400" w:type="dxa"/>
          </w:tcPr>
          <w:p w14:paraId="5CEBDE30" w14:textId="512D833F" w:rsidR="00C86427" w:rsidRPr="00EF7CF9" w:rsidRDefault="00C86427" w:rsidP="002A586E">
            <w:pPr>
              <w:pStyle w:val="ProductList-OfferingBody"/>
              <w:jc w:val="center"/>
            </w:pPr>
            <w:r>
              <w:t>&lt; 99,9%</w:t>
            </w:r>
          </w:p>
        </w:tc>
        <w:tc>
          <w:tcPr>
            <w:tcW w:w="5400" w:type="dxa"/>
          </w:tcPr>
          <w:p w14:paraId="5FB7CC40" w14:textId="77777777" w:rsidR="00C86427" w:rsidRPr="00EF7CF9" w:rsidRDefault="00C86427" w:rsidP="002A586E">
            <w:pPr>
              <w:pStyle w:val="ProductList-OfferingBody"/>
              <w:jc w:val="center"/>
            </w:pPr>
            <w:r>
              <w:t>25%</w:t>
            </w:r>
          </w:p>
        </w:tc>
      </w:tr>
      <w:tr w:rsidR="00C86427" w:rsidRPr="00B44CF9" w14:paraId="742E7780" w14:textId="77777777" w:rsidTr="00C86427">
        <w:tc>
          <w:tcPr>
            <w:tcW w:w="5400" w:type="dxa"/>
          </w:tcPr>
          <w:p w14:paraId="54EE1142" w14:textId="5A10F402" w:rsidR="00C86427" w:rsidRPr="00EF7CF9" w:rsidRDefault="00C86427" w:rsidP="002A586E">
            <w:pPr>
              <w:pStyle w:val="ProductList-OfferingBody"/>
              <w:jc w:val="center"/>
            </w:pPr>
            <w:r>
              <w:t>&lt; 99%</w:t>
            </w:r>
          </w:p>
        </w:tc>
        <w:tc>
          <w:tcPr>
            <w:tcW w:w="5400" w:type="dxa"/>
          </w:tcPr>
          <w:p w14:paraId="4C18F2FB" w14:textId="77777777" w:rsidR="00C86427" w:rsidRPr="00EF7CF9" w:rsidRDefault="00C86427" w:rsidP="002A586E">
            <w:pPr>
              <w:pStyle w:val="ProductList-OfferingBody"/>
              <w:jc w:val="center"/>
            </w:pPr>
            <w:r>
              <w:t>50%</w:t>
            </w:r>
          </w:p>
        </w:tc>
      </w:tr>
      <w:tr w:rsidR="00C86427" w:rsidRPr="00B44CF9" w14:paraId="74478D49" w14:textId="77777777" w:rsidTr="00C86427">
        <w:tc>
          <w:tcPr>
            <w:tcW w:w="5400" w:type="dxa"/>
          </w:tcPr>
          <w:p w14:paraId="35AB4E0E" w14:textId="77777777" w:rsidR="00C86427" w:rsidRPr="00EF7CF9" w:rsidRDefault="00C86427" w:rsidP="002A586E">
            <w:pPr>
              <w:pStyle w:val="ProductList-OfferingBody"/>
              <w:jc w:val="center"/>
            </w:pPr>
            <w:r>
              <w:t>&lt; 95%</w:t>
            </w:r>
          </w:p>
        </w:tc>
        <w:tc>
          <w:tcPr>
            <w:tcW w:w="5400" w:type="dxa"/>
          </w:tcPr>
          <w:p w14:paraId="07DE3FF0" w14:textId="77777777" w:rsidR="00C86427" w:rsidRPr="00EF7CF9" w:rsidRDefault="00C86427" w:rsidP="002A586E">
            <w:pPr>
              <w:pStyle w:val="ProductList-OfferingBody"/>
              <w:jc w:val="center"/>
            </w:pPr>
            <w:r>
              <w:t>100%</w:t>
            </w:r>
          </w:p>
        </w:tc>
      </w:tr>
    </w:tbl>
    <w:bookmarkStart w:id="97" w:name="_Toc457821524"/>
    <w:p w14:paraId="5CB67AB3" w14:textId="292E6CC5"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ED6D6E6" w14:textId="77777777" w:rsidR="00325C22" w:rsidRDefault="00325C22">
      <w:pPr>
        <w:rPr>
          <w:rFonts w:asciiTheme="majorHAnsi" w:hAnsiTheme="majorHAnsi"/>
          <w:b/>
          <w:color w:val="0072C6"/>
          <w:sz w:val="28"/>
        </w:rPr>
      </w:pPr>
      <w:bookmarkStart w:id="98" w:name="_Toc457821525"/>
      <w:bookmarkStart w:id="99" w:name="_Toc526859637"/>
      <w:bookmarkEnd w:id="97"/>
      <w:r>
        <w:br w:type="page"/>
      </w:r>
    </w:p>
    <w:p w14:paraId="35819662" w14:textId="18D92E6D" w:rsidR="00F601F4" w:rsidRPr="00EF7CF9" w:rsidRDefault="00AF793E" w:rsidP="002A586E">
      <w:pPr>
        <w:pStyle w:val="ProductList-Offering2Heading"/>
        <w:outlineLvl w:val="2"/>
      </w:pPr>
      <w:bookmarkStart w:id="100" w:name="_Toc239174947"/>
      <w:r>
        <w:t xml:space="preserve">Microsoft </w:t>
      </w:r>
      <w:proofErr w:type="spellStart"/>
      <w:r>
        <w:t>Teams</w:t>
      </w:r>
      <w:proofErr w:type="spellEnd"/>
      <w:r>
        <w:t xml:space="preserve"> – Plany telefoniczne, </w:t>
      </w:r>
      <w:r w:rsidR="00EF5F90">
        <w:t xml:space="preserve">Telefon w </w:t>
      </w:r>
      <w:proofErr w:type="spellStart"/>
      <w:r w:rsidR="00EF5F90">
        <w:t>Teams</w:t>
      </w:r>
      <w:proofErr w:type="spellEnd"/>
      <w:r>
        <w:t xml:space="preserve"> i Konferencje głosowe</w:t>
      </w:r>
      <w:bookmarkEnd w:id="98"/>
      <w:bookmarkEnd w:id="99"/>
      <w:bookmarkEnd w:id="100"/>
    </w:p>
    <w:p w14:paraId="4772F010" w14:textId="09B0C5FB" w:rsidR="00F601F4" w:rsidRPr="00EF7CF9" w:rsidRDefault="00F601F4"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Przestój</w:t>
      </w:r>
      <w:r w:rsidRPr="007B038A">
        <w:rPr>
          <w:b/>
          <w:color w:val="00188F"/>
          <w:sz w:val="18"/>
        </w:rPr>
        <w:t>:</w:t>
      </w:r>
      <w:r>
        <w:rPr>
          <w:rFonts w:ascii="Calibri" w:eastAsia="Calibri" w:hAnsi="Calibri" w:cs="Times New Roman"/>
          <w:sz w:val="18"/>
          <w:szCs w:val="18"/>
        </w:rPr>
        <w:t xml:space="preserve"> to dowolny okres, w którym użytkownicy końcowi nie mogą zainicjować rozmowy telefonicznej PSTN lub wdzwonić się na konferencję głosową za pośrednictwem usługi PSTN lub przetworzyć rozmów telefonicznych przy użyciu Kolejek połączeń lub Automatycznej recepcjonistki.</w:t>
      </w:r>
    </w:p>
    <w:p w14:paraId="7A5ADEFA" w14:textId="4C762566" w:rsidR="000D4219" w:rsidRPr="00EF7CF9" w:rsidRDefault="00AC48A7"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Procent Czasu Sprawnego Działania</w:t>
      </w:r>
      <w:r w:rsidRPr="007B038A">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Procent Czasu Sprawnego Działania jest obliczany dla każdej Usługi przy użyciu następującego wzoru:</w:t>
      </w:r>
    </w:p>
    <w:p w14:paraId="41B5F33D" w14:textId="417FC20B" w:rsidR="000D4219" w:rsidRPr="00EF7CF9" w:rsidRDefault="00000000" w:rsidP="006F4F38">
      <w:pPr>
        <w:spacing w:before="120" w:after="120" w:line="240" w:lineRule="auto"/>
        <w:jc w:val="both"/>
        <w:rPr>
          <w:rFonts w:ascii="Calibri" w:eastAsia="Calibri" w:hAnsi="Calibri" w:cs="Times New Roman"/>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1AE1DEBB" w14:textId="07BE1520" w:rsidR="0086376D" w:rsidRPr="0086376D" w:rsidRDefault="00331A48" w:rsidP="0086376D">
      <w:pPr>
        <w:spacing w:after="0" w:line="240" w:lineRule="auto"/>
        <w:rPr>
          <w:rFonts w:ascii="Calibri" w:eastAsia="Calibri" w:hAnsi="Calibri" w:cs="Times New Roman"/>
          <w:sz w:val="18"/>
          <w:szCs w:val="18"/>
        </w:rPr>
      </w:pPr>
      <w:r>
        <w:rPr>
          <w:rFonts w:ascii="Calibri" w:eastAsia="Calibri" w:hAnsi="Calibri" w:cs="Times New Roman"/>
          <w:sz w:val="18"/>
          <w:szCs w:val="18"/>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 Zniżka będzie przysługiwać tylko z tytułu usług rzeczywiście dotkniętych Przestojem.</w:t>
      </w:r>
    </w:p>
    <w:p w14:paraId="662A6062" w14:textId="77777777" w:rsidR="0086376D" w:rsidRPr="0086376D" w:rsidRDefault="0086376D" w:rsidP="0086376D">
      <w:pPr>
        <w:spacing w:after="0" w:line="240" w:lineRule="auto"/>
        <w:rPr>
          <w:rFonts w:ascii="Calibri" w:eastAsia="Calibri" w:hAnsi="Calibri" w:cs="Times New Roman"/>
          <w:sz w:val="18"/>
          <w:szCs w:val="18"/>
        </w:rPr>
      </w:pPr>
    </w:p>
    <w:p w14:paraId="6C1E23E8" w14:textId="02C06F24" w:rsidR="000D4219" w:rsidRPr="0007784F" w:rsidRDefault="0086376D" w:rsidP="0086376D">
      <w:pPr>
        <w:spacing w:after="0" w:line="240" w:lineRule="auto"/>
        <w:rPr>
          <w:rFonts w:ascii="Calibri" w:eastAsia="Calibri" w:hAnsi="Calibri" w:cs="Times New Roman"/>
          <w:spacing w:val="-2"/>
          <w:sz w:val="18"/>
          <w:szCs w:val="18"/>
        </w:rPr>
      </w:pPr>
      <w:r w:rsidRPr="0007784F">
        <w:rPr>
          <w:rFonts w:ascii="Calibri" w:eastAsia="Calibri" w:hAnsi="Calibri" w:cs="Times New Roman"/>
          <w:spacing w:val="-2"/>
          <w:sz w:val="18"/>
          <w:szCs w:val="18"/>
        </w:rPr>
        <w:t>Niniejsza umowa SLA nie ma zastosowania do przerw w usługach spowodowanych awarią oprogramowania, sprzętu lub usług osób trzecich, które nie są pod kontrolą Microsoft, lub awarią oprogramowania Microsoft, które nie zostało uruchomione bezpośrednio przez Microsoft w ramach Usługi.</w:t>
      </w:r>
    </w:p>
    <w:p w14:paraId="3C213E15" w14:textId="05449DE1" w:rsidR="00204453" w:rsidRPr="00EF7CF9" w:rsidRDefault="00187BF4" w:rsidP="002A586E">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04453" w:rsidRPr="00B44CF9" w14:paraId="446D5C61" w14:textId="77777777" w:rsidTr="00204453">
        <w:trPr>
          <w:tblHeader/>
        </w:trPr>
        <w:tc>
          <w:tcPr>
            <w:tcW w:w="5400" w:type="dxa"/>
            <w:shd w:val="clear" w:color="auto" w:fill="0072C6"/>
          </w:tcPr>
          <w:p w14:paraId="625770B6" w14:textId="0E860838" w:rsidR="00204453"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F8BE217" w14:textId="77777777" w:rsidR="00204453" w:rsidRPr="00EF7CF9" w:rsidRDefault="00204453" w:rsidP="002A586E">
            <w:pPr>
              <w:pStyle w:val="ProductList-OfferingBody"/>
              <w:jc w:val="center"/>
              <w:rPr>
                <w:color w:val="FFFFFF" w:themeColor="background1"/>
              </w:rPr>
            </w:pPr>
            <w:r>
              <w:rPr>
                <w:color w:val="FFFFFF" w:themeColor="background1"/>
              </w:rPr>
              <w:t>Środki Serwisowe na Używanie Usług</w:t>
            </w:r>
          </w:p>
        </w:tc>
      </w:tr>
      <w:tr w:rsidR="00184587" w:rsidRPr="00B44CF9" w14:paraId="6E250B34" w14:textId="77777777" w:rsidTr="00204453">
        <w:tc>
          <w:tcPr>
            <w:tcW w:w="5400" w:type="dxa"/>
          </w:tcPr>
          <w:p w14:paraId="20324EDE" w14:textId="01F70D24" w:rsidR="00184587" w:rsidRDefault="00184587" w:rsidP="00184587">
            <w:pPr>
              <w:pStyle w:val="ProductList-OfferingBody"/>
              <w:jc w:val="center"/>
            </w:pPr>
            <w:r>
              <w:t>&lt; 99,999%</w:t>
            </w:r>
          </w:p>
        </w:tc>
        <w:tc>
          <w:tcPr>
            <w:tcW w:w="5400" w:type="dxa"/>
          </w:tcPr>
          <w:p w14:paraId="4508655A" w14:textId="7DBFCC4E" w:rsidR="00184587" w:rsidRDefault="00184587" w:rsidP="00184587">
            <w:pPr>
              <w:pStyle w:val="ProductList-OfferingBody"/>
              <w:jc w:val="center"/>
            </w:pPr>
            <w:r>
              <w:t>5%</w:t>
            </w:r>
          </w:p>
        </w:tc>
      </w:tr>
      <w:tr w:rsidR="0086376D" w:rsidRPr="00B44CF9" w14:paraId="4F8767F1" w14:textId="77777777" w:rsidTr="00204453">
        <w:tc>
          <w:tcPr>
            <w:tcW w:w="5400" w:type="dxa"/>
          </w:tcPr>
          <w:p w14:paraId="651A7938" w14:textId="79414888" w:rsidR="0086376D" w:rsidRPr="00EF7CF9" w:rsidRDefault="00A866B3" w:rsidP="002A586E">
            <w:pPr>
              <w:pStyle w:val="ProductList-OfferingBody"/>
              <w:jc w:val="center"/>
            </w:pPr>
            <w:r>
              <w:t>&lt; 99,99%</w:t>
            </w:r>
          </w:p>
        </w:tc>
        <w:tc>
          <w:tcPr>
            <w:tcW w:w="5400" w:type="dxa"/>
          </w:tcPr>
          <w:p w14:paraId="43A9434B" w14:textId="60108545" w:rsidR="0086376D" w:rsidRPr="00EF7CF9" w:rsidRDefault="00A866B3" w:rsidP="002A586E">
            <w:pPr>
              <w:pStyle w:val="ProductList-OfferingBody"/>
              <w:jc w:val="center"/>
            </w:pPr>
            <w:r>
              <w:t>10%</w:t>
            </w:r>
          </w:p>
        </w:tc>
      </w:tr>
      <w:tr w:rsidR="00204453" w:rsidRPr="00B44CF9" w14:paraId="07504005" w14:textId="77777777" w:rsidTr="00204453">
        <w:tc>
          <w:tcPr>
            <w:tcW w:w="5400" w:type="dxa"/>
          </w:tcPr>
          <w:p w14:paraId="327DCEC7" w14:textId="77777777" w:rsidR="00204453" w:rsidRPr="00EF7CF9" w:rsidRDefault="00204453" w:rsidP="002A586E">
            <w:pPr>
              <w:pStyle w:val="ProductList-OfferingBody"/>
              <w:jc w:val="center"/>
            </w:pPr>
            <w:r>
              <w:t>&lt; 99,9%</w:t>
            </w:r>
          </w:p>
        </w:tc>
        <w:tc>
          <w:tcPr>
            <w:tcW w:w="5400" w:type="dxa"/>
          </w:tcPr>
          <w:p w14:paraId="1F728475" w14:textId="77777777" w:rsidR="00204453" w:rsidRPr="00EF7CF9" w:rsidRDefault="00204453" w:rsidP="002A586E">
            <w:pPr>
              <w:pStyle w:val="ProductList-OfferingBody"/>
              <w:jc w:val="center"/>
            </w:pPr>
            <w:r>
              <w:t>25%</w:t>
            </w:r>
          </w:p>
        </w:tc>
      </w:tr>
      <w:tr w:rsidR="00204453" w:rsidRPr="00B44CF9" w14:paraId="31E64EE5" w14:textId="77777777" w:rsidTr="00204453">
        <w:tc>
          <w:tcPr>
            <w:tcW w:w="5400" w:type="dxa"/>
          </w:tcPr>
          <w:p w14:paraId="2CB4A62E" w14:textId="77777777" w:rsidR="00204453" w:rsidRPr="00EF7CF9" w:rsidRDefault="00204453" w:rsidP="002A586E">
            <w:pPr>
              <w:pStyle w:val="ProductList-OfferingBody"/>
              <w:jc w:val="center"/>
            </w:pPr>
            <w:r>
              <w:t>&lt; 99%</w:t>
            </w:r>
          </w:p>
        </w:tc>
        <w:tc>
          <w:tcPr>
            <w:tcW w:w="5400" w:type="dxa"/>
          </w:tcPr>
          <w:p w14:paraId="29580C8D" w14:textId="77777777" w:rsidR="00204453" w:rsidRPr="00EF7CF9" w:rsidRDefault="00204453" w:rsidP="002A586E">
            <w:pPr>
              <w:pStyle w:val="ProductList-OfferingBody"/>
              <w:jc w:val="center"/>
            </w:pPr>
            <w:r>
              <w:t>50%</w:t>
            </w:r>
          </w:p>
        </w:tc>
      </w:tr>
      <w:tr w:rsidR="00204453" w:rsidRPr="00B44CF9" w14:paraId="5E6348CF" w14:textId="77777777" w:rsidTr="00204453">
        <w:tc>
          <w:tcPr>
            <w:tcW w:w="5400" w:type="dxa"/>
          </w:tcPr>
          <w:p w14:paraId="6B6D8094" w14:textId="77777777" w:rsidR="00204453" w:rsidRPr="00EF7CF9" w:rsidRDefault="00204453" w:rsidP="002A586E">
            <w:pPr>
              <w:pStyle w:val="ProductList-OfferingBody"/>
              <w:jc w:val="center"/>
            </w:pPr>
            <w:r>
              <w:t>&lt; 95%</w:t>
            </w:r>
          </w:p>
        </w:tc>
        <w:tc>
          <w:tcPr>
            <w:tcW w:w="5400" w:type="dxa"/>
          </w:tcPr>
          <w:p w14:paraId="62EAA25A" w14:textId="77777777" w:rsidR="00204453" w:rsidRPr="00EF7CF9" w:rsidRDefault="00204453" w:rsidP="002A586E">
            <w:pPr>
              <w:pStyle w:val="ProductList-OfferingBody"/>
              <w:jc w:val="center"/>
            </w:pPr>
            <w:r>
              <w:t>100%</w:t>
            </w:r>
          </w:p>
        </w:tc>
      </w:tr>
    </w:tbl>
    <w:bookmarkStart w:id="101" w:name="_Toc457821526"/>
    <w:p w14:paraId="6803DEF6" w14:textId="2830398D"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EE9CF4D" w14:textId="3AC11209" w:rsidR="00E25E0F" w:rsidRPr="00EF7CF9" w:rsidRDefault="00AF793E" w:rsidP="002A586E">
      <w:pPr>
        <w:pStyle w:val="ProductList-Offering2Heading"/>
        <w:outlineLvl w:val="2"/>
      </w:pPr>
      <w:bookmarkStart w:id="102" w:name="_Toc239174948"/>
      <w:r>
        <w:t xml:space="preserve">Microsoft </w:t>
      </w:r>
      <w:proofErr w:type="spellStart"/>
      <w:r>
        <w:t>Teams</w:t>
      </w:r>
      <w:proofErr w:type="spellEnd"/>
      <w:r>
        <w:t xml:space="preserve"> – jakość głosu</w:t>
      </w:r>
      <w:bookmarkEnd w:id="101"/>
      <w:bookmarkEnd w:id="102"/>
    </w:p>
    <w:p w14:paraId="37E23CD8" w14:textId="77777777" w:rsidR="001D70B9" w:rsidRPr="00EF7CF9" w:rsidRDefault="001D70B9" w:rsidP="002A586E">
      <w:pPr>
        <w:pStyle w:val="ProductList-Body"/>
      </w:pPr>
      <w:r>
        <w:t>Niniejsza Umowa dotycząca Poziomu Usług ma zastosowanie do wszelkich uprawnionych rozmów rozpoczętych przez dowolnego użytkownika usługi głosowej w ramach subskrypcji (umożliwiającej inicjowanie dowolnych rozmów VOIP lub PSTN).</w:t>
      </w:r>
    </w:p>
    <w:p w14:paraId="5AC299E2" w14:textId="4B9CEFBE" w:rsidR="00E25E0F" w:rsidRPr="00EF7CF9" w:rsidRDefault="00E25E0F" w:rsidP="00C25AAC">
      <w:pPr>
        <w:pStyle w:val="ProductList-Body"/>
      </w:pPr>
      <w:r>
        <w:rPr>
          <w:b/>
          <w:color w:val="00188F"/>
        </w:rPr>
        <w:t>Dodatkowe definicje</w:t>
      </w:r>
      <w:r w:rsidRPr="007B038A">
        <w:rPr>
          <w:b/>
          <w:color w:val="00188F"/>
        </w:rPr>
        <w:t>:</w:t>
      </w:r>
    </w:p>
    <w:p w14:paraId="769655EE" w14:textId="3743AE87" w:rsidR="00E25E0F" w:rsidRPr="00EF7CF9" w:rsidRDefault="00EF7CF9" w:rsidP="002A586E">
      <w:pPr>
        <w:pStyle w:val="ProductList-Body"/>
      </w:pPr>
      <w:r>
        <w:t>„</w:t>
      </w:r>
      <w:r>
        <w:rPr>
          <w:b/>
          <w:color w:val="00188F"/>
        </w:rPr>
        <w:t>Uprawniona Rozmowa</w:t>
      </w:r>
      <w:r>
        <w:t xml:space="preserve">” to rozmowa nawiązywana w usłudze Microsoft </w:t>
      </w:r>
      <w:proofErr w:type="spellStart"/>
      <w:r>
        <w:t>Teams</w:t>
      </w:r>
      <w:proofErr w:type="spellEnd"/>
      <w:r>
        <w:t xml:space="preserve"> (w ramach subskrypcji), która spełnia oba poniżej wymienione warunki: </w:t>
      </w:r>
    </w:p>
    <w:p w14:paraId="006B7BB5" w14:textId="75ED5DB2" w:rsidR="00E25E0F" w:rsidRPr="00EF7CF9" w:rsidRDefault="00E25E0F" w:rsidP="00DB4449">
      <w:pPr>
        <w:pStyle w:val="ProductList-Body"/>
        <w:numPr>
          <w:ilvl w:val="0"/>
          <w:numId w:val="7"/>
        </w:numPr>
      </w:pPr>
      <w:r>
        <w:t xml:space="preserve">Rozmowa została nawiązana z telefonów stacjonarnych IP z certyfikatem Microsoft </w:t>
      </w:r>
      <w:proofErr w:type="spellStart"/>
      <w:r>
        <w:t>Teams</w:t>
      </w:r>
      <w:proofErr w:type="spellEnd"/>
      <w:r>
        <w:t xml:space="preserve"> w przewodowej sieci Ethernet</w:t>
      </w:r>
    </w:p>
    <w:p w14:paraId="36758620" w14:textId="77777777" w:rsidR="00E25E0F" w:rsidRPr="00EF7CF9" w:rsidRDefault="00E25E0F" w:rsidP="00DB4449">
      <w:pPr>
        <w:pStyle w:val="ProductList-Body"/>
        <w:numPr>
          <w:ilvl w:val="0"/>
          <w:numId w:val="7"/>
        </w:numPr>
      </w:pPr>
      <w:r>
        <w:t xml:space="preserve">Problemy z utratą pakietów, zakłóceniami opóźnieniami w trakcie tej rozmowy wynikały z przyczyn związanych z sieciami zarządzanymi przez firmę Microsoft. </w:t>
      </w:r>
    </w:p>
    <w:p w14:paraId="55A75C61" w14:textId="58EFE431" w:rsidR="00E25E0F" w:rsidRPr="00EF7CF9" w:rsidRDefault="00EF7CF9" w:rsidP="002A586E">
      <w:pPr>
        <w:pStyle w:val="ProductList-Body"/>
      </w:pPr>
      <w:r>
        <w:t>„</w:t>
      </w:r>
      <w:r>
        <w:rPr>
          <w:b/>
          <w:color w:val="00188F"/>
        </w:rPr>
        <w:t>Łączna Liczba Rozmów</w:t>
      </w:r>
      <w:r>
        <w:t>” to łączna liczba Uprawnionych Rozmów</w:t>
      </w:r>
    </w:p>
    <w:p w14:paraId="108FE9FB" w14:textId="75CE06C0" w:rsidR="00E25E0F" w:rsidRPr="00EF7CF9" w:rsidRDefault="00EF7CF9" w:rsidP="002A586E">
      <w:pPr>
        <w:pStyle w:val="ProductList-Body"/>
      </w:pPr>
      <w:r>
        <w:t>„</w:t>
      </w:r>
      <w:r>
        <w:rPr>
          <w:b/>
          <w:color w:val="00188F"/>
        </w:rPr>
        <w:t>Rozmowy Słabej Jakości</w:t>
      </w:r>
      <w:r>
        <w:t xml:space="preserve">” to łączna liczba Uprawnionych Rozmów, których jakość uznano za słabą na podstawie licznych czynników mogących negatywnie wpłynąć na jakość rozmowy w sieciach zarządzanych przez Microsoft. Choć obecny klasyfikator Rozmów Słabej Jakości opiera się głównie na parametrach sieci, takich jak czas błądzenia RTT, współczynnik utraty pakietów, zakłócenia i czynniki ukrywania/utraty pakietów, jest on dynamiczny i aktualizowany na bieżąco na podstawie nowych wniosków z analiz milionów rozmów przez Skype, Skype dla firm i Microsoft </w:t>
      </w:r>
      <w:proofErr w:type="spellStart"/>
      <w:r>
        <w:t>Teams</w:t>
      </w:r>
      <w:proofErr w:type="spellEnd"/>
      <w:r>
        <w:t xml:space="preserve"> oraz rozwoju urządzeń, algorytmów i ocen użytkowników końcowych.</w:t>
      </w:r>
    </w:p>
    <w:p w14:paraId="0B4A6654" w14:textId="695DAAB0" w:rsidR="00E25E0F" w:rsidRPr="00EF7CF9" w:rsidRDefault="00E25E0F" w:rsidP="002A586E">
      <w:pPr>
        <w:spacing w:after="0" w:line="240" w:lineRule="auto"/>
        <w:rPr>
          <w:rFonts w:ascii="Calibri" w:eastAsia="Calibri" w:hAnsi="Calibri" w:cs="Times New Roman"/>
          <w:sz w:val="18"/>
          <w:szCs w:val="18"/>
        </w:rPr>
      </w:pPr>
      <w:r>
        <w:rPr>
          <w:rFonts w:ascii="Calibri" w:eastAsia="Calibri" w:hAnsi="Calibri" w:cs="Times New Roman"/>
          <w:b/>
          <w:color w:val="00188F"/>
          <w:sz w:val="18"/>
        </w:rPr>
        <w:t>Współczynnik Rozmów Dobrej Jakości</w:t>
      </w:r>
      <w:r w:rsidRPr="007B038A">
        <w:rPr>
          <w:b/>
          <w:color w:val="00188F"/>
          <w:sz w:val="18"/>
        </w:rPr>
        <w:t>:</w:t>
      </w:r>
      <w:r>
        <w:rPr>
          <w:rFonts w:ascii="Calibri" w:eastAsia="Calibri" w:hAnsi="Calibri" w:cs="Times New Roman"/>
          <w:color w:val="002060"/>
          <w:sz w:val="18"/>
          <w:szCs w:val="18"/>
        </w:rPr>
        <w:t xml:space="preserve"> </w:t>
      </w:r>
      <w:r>
        <w:rPr>
          <w:rFonts w:ascii="Calibri" w:eastAsia="Calibri" w:hAnsi="Calibri" w:cs="Times New Roman"/>
          <w:sz w:val="18"/>
          <w:szCs w:val="18"/>
        </w:rPr>
        <w:t>Współczynnik Rozmów Dobrej Jakości jest obliczany przy użyciu następującego wzoru:</w:t>
      </w:r>
    </w:p>
    <w:p w14:paraId="1A1B6F7F" w14:textId="5ED577C2" w:rsidR="00E25E0F" w:rsidRPr="00EF7CF9" w:rsidRDefault="00000000" w:rsidP="006F4F38">
      <w:pPr>
        <w:spacing w:before="120" w:after="0" w:line="240" w:lineRule="auto"/>
        <w:jc w:val="both"/>
        <w:rPr>
          <w:rFonts w:ascii="Calibri" w:eastAsia="Calibri" w:hAnsi="Calibri" w:cs="Times New Roman"/>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Łączna Liczba Rozmów – Rozmowy Słabej Jakości</m:t>
              </m:r>
            </m:num>
            <m:den>
              <m:r>
                <m:rPr>
                  <m:nor/>
                </m:rPr>
                <w:rPr>
                  <w:rFonts w:ascii="Cambria Math" w:eastAsia="Calibri" w:hAnsi="Cambria Math" w:cs="Calibri"/>
                  <w:i/>
                  <w:sz w:val="18"/>
                  <w:szCs w:val="18"/>
                </w:rPr>
                <m:t>Łączna Liczba Rozmów</m:t>
              </m:r>
            </m:den>
          </m:f>
          <m:r>
            <w:rPr>
              <w:rFonts w:ascii="Cambria Math" w:eastAsia="Calibri" w:hAnsi="Cambria Math" w:cs="Calibri"/>
              <w:sz w:val="18"/>
              <w:szCs w:val="18"/>
            </w:rPr>
            <m:t xml:space="preserve"> x 100</m:t>
          </m:r>
        </m:oMath>
      </m:oMathPara>
    </w:p>
    <w:p w14:paraId="29912DEF" w14:textId="780C1912" w:rsidR="00E25E0F" w:rsidRPr="00EF7CF9" w:rsidRDefault="00187BF4" w:rsidP="002A586E">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25E0F" w:rsidRPr="00B44CF9" w14:paraId="436F216C" w14:textId="77777777" w:rsidTr="005326DD">
        <w:trPr>
          <w:tblHeader/>
        </w:trPr>
        <w:tc>
          <w:tcPr>
            <w:tcW w:w="5400" w:type="dxa"/>
            <w:shd w:val="clear" w:color="auto" w:fill="0072C6"/>
          </w:tcPr>
          <w:p w14:paraId="419BF8A6" w14:textId="496A0FC8" w:rsidR="00E25E0F" w:rsidRPr="00EF7CF9" w:rsidRDefault="00E25E0F" w:rsidP="002A586E">
            <w:pPr>
              <w:pStyle w:val="ProductList-OfferingBody"/>
              <w:jc w:val="center"/>
              <w:rPr>
                <w:color w:val="FFFFFF" w:themeColor="background1"/>
              </w:rPr>
            </w:pPr>
            <w:r>
              <w:rPr>
                <w:color w:val="FFFFFF" w:themeColor="background1"/>
              </w:rPr>
              <w:t>Współczynnik Rozmów Dobrej Jakości</w:t>
            </w:r>
          </w:p>
        </w:tc>
        <w:tc>
          <w:tcPr>
            <w:tcW w:w="5400" w:type="dxa"/>
            <w:shd w:val="clear" w:color="auto" w:fill="0072C6"/>
          </w:tcPr>
          <w:p w14:paraId="179ED571" w14:textId="77777777" w:rsidR="00E25E0F" w:rsidRPr="00EF7CF9" w:rsidRDefault="00E25E0F" w:rsidP="002A586E">
            <w:pPr>
              <w:pStyle w:val="ProductList-OfferingBody"/>
              <w:jc w:val="center"/>
              <w:rPr>
                <w:color w:val="FFFFFF" w:themeColor="background1"/>
              </w:rPr>
            </w:pPr>
            <w:r>
              <w:rPr>
                <w:color w:val="FFFFFF" w:themeColor="background1"/>
              </w:rPr>
              <w:t>Środki Serwisowe na Używanie Usług</w:t>
            </w:r>
          </w:p>
        </w:tc>
      </w:tr>
      <w:tr w:rsidR="00E25E0F" w:rsidRPr="00B44CF9" w14:paraId="424FC624" w14:textId="77777777" w:rsidTr="005326DD">
        <w:tc>
          <w:tcPr>
            <w:tcW w:w="5400" w:type="dxa"/>
          </w:tcPr>
          <w:p w14:paraId="1962101E" w14:textId="77777777" w:rsidR="00E25E0F" w:rsidRPr="00EF7CF9" w:rsidRDefault="00E25E0F" w:rsidP="002A586E">
            <w:pPr>
              <w:pStyle w:val="ProductList-OfferingBody"/>
              <w:jc w:val="center"/>
            </w:pPr>
            <w:r>
              <w:t>&lt; 99,9%</w:t>
            </w:r>
          </w:p>
        </w:tc>
        <w:tc>
          <w:tcPr>
            <w:tcW w:w="5400" w:type="dxa"/>
          </w:tcPr>
          <w:p w14:paraId="6211073E" w14:textId="77777777" w:rsidR="00E25E0F" w:rsidRPr="00EF7CF9" w:rsidRDefault="00E25E0F" w:rsidP="002A586E">
            <w:pPr>
              <w:pStyle w:val="ProductList-OfferingBody"/>
              <w:jc w:val="center"/>
            </w:pPr>
            <w:r>
              <w:t>25%</w:t>
            </w:r>
          </w:p>
        </w:tc>
      </w:tr>
      <w:tr w:rsidR="00E25E0F" w:rsidRPr="00B44CF9" w14:paraId="33028E0F" w14:textId="77777777" w:rsidTr="005326DD">
        <w:tc>
          <w:tcPr>
            <w:tcW w:w="5400" w:type="dxa"/>
          </w:tcPr>
          <w:p w14:paraId="09712D25" w14:textId="77777777" w:rsidR="00E25E0F" w:rsidRPr="00EF7CF9" w:rsidRDefault="00E25E0F" w:rsidP="002A586E">
            <w:pPr>
              <w:pStyle w:val="ProductList-OfferingBody"/>
              <w:jc w:val="center"/>
            </w:pPr>
            <w:r>
              <w:t>&lt; 99%</w:t>
            </w:r>
          </w:p>
        </w:tc>
        <w:tc>
          <w:tcPr>
            <w:tcW w:w="5400" w:type="dxa"/>
          </w:tcPr>
          <w:p w14:paraId="55DDA4A7" w14:textId="77777777" w:rsidR="00E25E0F" w:rsidRPr="00EF7CF9" w:rsidRDefault="00E25E0F" w:rsidP="002A586E">
            <w:pPr>
              <w:pStyle w:val="ProductList-OfferingBody"/>
              <w:jc w:val="center"/>
            </w:pPr>
            <w:r>
              <w:t>50%</w:t>
            </w:r>
          </w:p>
        </w:tc>
      </w:tr>
      <w:tr w:rsidR="00E25E0F" w:rsidRPr="00B44CF9" w14:paraId="440BE748" w14:textId="77777777" w:rsidTr="005326DD">
        <w:tc>
          <w:tcPr>
            <w:tcW w:w="5400" w:type="dxa"/>
          </w:tcPr>
          <w:p w14:paraId="0410A4CD" w14:textId="77777777" w:rsidR="00E25E0F" w:rsidRPr="00EF7CF9" w:rsidRDefault="00E25E0F" w:rsidP="00943212">
            <w:pPr>
              <w:pStyle w:val="ProductList-OfferingBody"/>
              <w:jc w:val="center"/>
            </w:pPr>
            <w:r>
              <w:t>&lt; 95%</w:t>
            </w:r>
          </w:p>
        </w:tc>
        <w:tc>
          <w:tcPr>
            <w:tcW w:w="5400" w:type="dxa"/>
          </w:tcPr>
          <w:p w14:paraId="0D8F0DAA" w14:textId="77777777" w:rsidR="00E25E0F" w:rsidRPr="00EF7CF9" w:rsidRDefault="00E25E0F" w:rsidP="002A586E">
            <w:pPr>
              <w:pStyle w:val="ProductList-OfferingBody"/>
              <w:keepNext/>
              <w:jc w:val="center"/>
            </w:pPr>
            <w:r>
              <w:t>100%</w:t>
            </w:r>
          </w:p>
        </w:tc>
      </w:tr>
    </w:tbl>
    <w:bookmarkStart w:id="103" w:name="_Toc457821527"/>
    <w:p w14:paraId="778D745B" w14:textId="7BB604F9"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B8073DE" w14:textId="2C61C48D" w:rsidR="00006365" w:rsidRPr="00EF7CF9" w:rsidRDefault="00006365" w:rsidP="002A586E">
      <w:pPr>
        <w:pStyle w:val="ProductList-Offering2Heading"/>
        <w:outlineLvl w:val="2"/>
      </w:pPr>
      <w:bookmarkStart w:id="104" w:name="_Toc239174949"/>
      <w:proofErr w:type="spellStart"/>
      <w:r>
        <w:t>Workplace</w:t>
      </w:r>
      <w:proofErr w:type="spellEnd"/>
      <w:r>
        <w:t xml:space="preserve"> Analytics</w:t>
      </w:r>
      <w:bookmarkEnd w:id="104"/>
    </w:p>
    <w:p w14:paraId="39EA0E40" w14:textId="26873E2C" w:rsidR="00006365" w:rsidRPr="00EF7CF9" w:rsidRDefault="00006365" w:rsidP="002A586E">
      <w:pPr>
        <w:pStyle w:val="ProductList-Body"/>
      </w:pPr>
      <w:r>
        <w:rPr>
          <w:b/>
          <w:color w:val="00188F"/>
        </w:rPr>
        <w:t>Przestój</w:t>
      </w:r>
      <w:r w:rsidRPr="007B038A">
        <w:rPr>
          <w:b/>
          <w:color w:val="00188F"/>
        </w:rPr>
        <w:t>:</w:t>
      </w:r>
      <w:r>
        <w:t xml:space="preserve"> dowolny okres, w którym użytkownicy nie mogą uzyskać dostępu do witryny usługi </w:t>
      </w:r>
      <w:proofErr w:type="spellStart"/>
      <w:r>
        <w:t>Workplace</w:t>
      </w:r>
      <w:proofErr w:type="spellEnd"/>
      <w:r>
        <w:t xml:space="preserve"> Analytics.</w:t>
      </w:r>
    </w:p>
    <w:p w14:paraId="7BCDE968" w14:textId="78D697ED" w:rsidR="00006365" w:rsidRPr="00EF7CF9" w:rsidRDefault="00AC48A7" w:rsidP="00BA33EB">
      <w:pPr>
        <w:pStyle w:val="ProductList-Body"/>
        <w:keepNext/>
      </w:pPr>
      <w:r>
        <w:rPr>
          <w:b/>
          <w:color w:val="00188F"/>
        </w:rPr>
        <w:t>Procent Czasu Sprawnego Działania</w:t>
      </w:r>
      <w:r w:rsidRPr="007B038A">
        <w:rPr>
          <w:b/>
          <w:color w:val="00188F"/>
        </w:rPr>
        <w:t>:</w:t>
      </w:r>
      <w:r>
        <w:t xml:space="preserve"> Procent Czasu Sprawnego Działania jest obliczany przy użyciu następującego wzoru: </w:t>
      </w:r>
    </w:p>
    <w:p w14:paraId="42D3EDC3" w14:textId="3E603F11" w:rsidR="00006365" w:rsidRPr="00EF7CF9" w:rsidRDefault="00000000" w:rsidP="00325C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76D60245" w14:textId="22488CC3" w:rsidR="00006365"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B221A30" w14:textId="77777777" w:rsidR="00006365" w:rsidRPr="00EF7CF9" w:rsidRDefault="00006365" w:rsidP="0007784F">
      <w:pPr>
        <w:pStyle w:val="ProductList-Body"/>
        <w:keepNext/>
        <w:keepLines/>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06365" w:rsidRPr="00B44CF9" w14:paraId="083A95DD" w14:textId="77777777" w:rsidTr="00EE6CC5">
        <w:trPr>
          <w:tblHeader/>
        </w:trPr>
        <w:tc>
          <w:tcPr>
            <w:tcW w:w="5400" w:type="dxa"/>
            <w:shd w:val="clear" w:color="auto" w:fill="0072C6"/>
          </w:tcPr>
          <w:p w14:paraId="36536680" w14:textId="544CD820" w:rsidR="00006365" w:rsidRPr="00EF7CF9" w:rsidRDefault="00AC48A7" w:rsidP="0007784F">
            <w:pPr>
              <w:pStyle w:val="ProductList-OfferingBody"/>
              <w:keepNext/>
              <w:keepLines/>
              <w:jc w:val="center"/>
              <w:rPr>
                <w:color w:val="FFFFFF" w:themeColor="background1"/>
              </w:rPr>
            </w:pPr>
            <w:r>
              <w:rPr>
                <w:color w:val="FFFFFF" w:themeColor="background1"/>
              </w:rPr>
              <w:t>Procent Czasu Sprawnego Działania</w:t>
            </w:r>
          </w:p>
        </w:tc>
        <w:tc>
          <w:tcPr>
            <w:tcW w:w="5400" w:type="dxa"/>
            <w:shd w:val="clear" w:color="auto" w:fill="0072C6"/>
          </w:tcPr>
          <w:p w14:paraId="389005C8" w14:textId="64D79297" w:rsidR="00006365" w:rsidRPr="00EF7CF9" w:rsidRDefault="00CF3581" w:rsidP="0007784F">
            <w:pPr>
              <w:pStyle w:val="ProductList-OfferingBody"/>
              <w:keepNext/>
              <w:keepLines/>
              <w:jc w:val="center"/>
              <w:rPr>
                <w:color w:val="FFFFFF" w:themeColor="background1"/>
              </w:rPr>
            </w:pPr>
            <w:r>
              <w:rPr>
                <w:color w:val="FFFFFF" w:themeColor="background1"/>
              </w:rPr>
              <w:t>Środki Serwisowe na Używanie Usług</w:t>
            </w:r>
          </w:p>
        </w:tc>
      </w:tr>
      <w:tr w:rsidR="00CF3581" w:rsidRPr="00B44CF9" w14:paraId="2C79A02E" w14:textId="77777777" w:rsidTr="00EE6CC5">
        <w:tc>
          <w:tcPr>
            <w:tcW w:w="5400" w:type="dxa"/>
          </w:tcPr>
          <w:p w14:paraId="4A93E858" w14:textId="165BBF89" w:rsidR="00CF3581" w:rsidRPr="00EF7CF9" w:rsidRDefault="00CF3581" w:rsidP="0007784F">
            <w:pPr>
              <w:pStyle w:val="ProductList-OfferingBody"/>
              <w:keepNext/>
              <w:keepLines/>
              <w:jc w:val="center"/>
            </w:pPr>
            <w:r>
              <w:t>&lt; 99,9%</w:t>
            </w:r>
          </w:p>
        </w:tc>
        <w:tc>
          <w:tcPr>
            <w:tcW w:w="5400" w:type="dxa"/>
          </w:tcPr>
          <w:p w14:paraId="2745667D" w14:textId="58CFB147" w:rsidR="00CF3581" w:rsidRPr="00EF7CF9" w:rsidRDefault="00CF3581" w:rsidP="0007784F">
            <w:pPr>
              <w:pStyle w:val="ProductList-OfferingBody"/>
              <w:keepNext/>
              <w:keepLines/>
              <w:jc w:val="center"/>
            </w:pPr>
            <w:r>
              <w:t>25%</w:t>
            </w:r>
          </w:p>
        </w:tc>
      </w:tr>
      <w:tr w:rsidR="00CF3581" w:rsidRPr="00B44CF9" w14:paraId="429E9389" w14:textId="77777777" w:rsidTr="00EE6CC5">
        <w:tc>
          <w:tcPr>
            <w:tcW w:w="5400" w:type="dxa"/>
          </w:tcPr>
          <w:p w14:paraId="5102C539" w14:textId="32D0C7B6" w:rsidR="00CF3581" w:rsidRPr="00EF7CF9" w:rsidRDefault="00CF3581" w:rsidP="0007784F">
            <w:pPr>
              <w:pStyle w:val="ProductList-OfferingBody"/>
              <w:keepNext/>
              <w:keepLines/>
              <w:jc w:val="center"/>
            </w:pPr>
            <w:r>
              <w:t>&lt; 99%</w:t>
            </w:r>
          </w:p>
        </w:tc>
        <w:tc>
          <w:tcPr>
            <w:tcW w:w="5400" w:type="dxa"/>
          </w:tcPr>
          <w:p w14:paraId="7255049B" w14:textId="0E8A5F92" w:rsidR="00CF3581" w:rsidRPr="00EF7CF9" w:rsidRDefault="00CF3581" w:rsidP="0007784F">
            <w:pPr>
              <w:pStyle w:val="ProductList-OfferingBody"/>
              <w:keepNext/>
              <w:keepLines/>
              <w:jc w:val="center"/>
            </w:pPr>
            <w:r>
              <w:t>50%</w:t>
            </w:r>
          </w:p>
        </w:tc>
      </w:tr>
      <w:tr w:rsidR="00CF3581" w:rsidRPr="00B44CF9" w14:paraId="608B9D0D" w14:textId="77777777" w:rsidTr="00EE6CC5">
        <w:tc>
          <w:tcPr>
            <w:tcW w:w="5400" w:type="dxa"/>
          </w:tcPr>
          <w:p w14:paraId="588ED7E5" w14:textId="6D811E55" w:rsidR="00CF3581" w:rsidRPr="00EF7CF9" w:rsidRDefault="00CF3581" w:rsidP="002A586E">
            <w:pPr>
              <w:pStyle w:val="ProductList-OfferingBody"/>
              <w:jc w:val="center"/>
            </w:pPr>
            <w:r>
              <w:t>&lt; 95%</w:t>
            </w:r>
          </w:p>
        </w:tc>
        <w:tc>
          <w:tcPr>
            <w:tcW w:w="5400" w:type="dxa"/>
          </w:tcPr>
          <w:p w14:paraId="7AFD3FF5" w14:textId="0D7588DC" w:rsidR="00CF3581" w:rsidRPr="00EF7CF9" w:rsidRDefault="00CF3581" w:rsidP="002A586E">
            <w:pPr>
              <w:pStyle w:val="ProductList-OfferingBody"/>
              <w:jc w:val="center"/>
            </w:pPr>
            <w:r>
              <w:t>100%</w:t>
            </w:r>
          </w:p>
        </w:tc>
      </w:tr>
    </w:tbl>
    <w:p w14:paraId="08B5C3F8" w14:textId="45B23E74"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86C3629" w14:textId="1DE2D8AC" w:rsidR="00C86427" w:rsidRPr="00EF7CF9" w:rsidRDefault="00094558" w:rsidP="002A586E">
      <w:pPr>
        <w:pStyle w:val="ProductList-Offering2Heading"/>
        <w:outlineLvl w:val="2"/>
      </w:pPr>
      <w:bookmarkStart w:id="105" w:name="_Toc239174950"/>
      <w:bookmarkEnd w:id="103"/>
      <w:proofErr w:type="spellStart"/>
      <w:r>
        <w:t>Viva</w:t>
      </w:r>
      <w:proofErr w:type="spellEnd"/>
      <w:r>
        <w:t xml:space="preserve"> </w:t>
      </w:r>
      <w:proofErr w:type="spellStart"/>
      <w:r>
        <w:t>Engage</w:t>
      </w:r>
      <w:bookmarkEnd w:id="105"/>
      <w:proofErr w:type="spellEnd"/>
    </w:p>
    <w:p w14:paraId="5E2B4E8E" w14:textId="77777777" w:rsidR="00E61F06" w:rsidRPr="00E36382" w:rsidRDefault="00E61F06" w:rsidP="00E61F06">
      <w:pPr>
        <w:pStyle w:val="ProductList-Body"/>
        <w:rPr>
          <w:rFonts w:ascii="Calibri" w:hAnsi="Calibri" w:cs="Calibri"/>
        </w:rPr>
      </w:pPr>
      <w:r>
        <w:rPr>
          <w:rFonts w:ascii="Calibri" w:hAnsi="Calibri" w:cs="Calibri"/>
          <w:b/>
          <w:color w:val="00188F"/>
        </w:rPr>
        <w:t>Przestój</w:t>
      </w:r>
      <w:r w:rsidRPr="00024E8F">
        <w:rPr>
          <w:rFonts w:ascii="Calibri" w:hAnsi="Calibri" w:cs="Calibri"/>
          <w:b/>
          <w:color w:val="00188F"/>
        </w:rPr>
        <w:t>:</w:t>
      </w:r>
      <w:r>
        <w:rPr>
          <w:rFonts w:ascii="Calibri" w:hAnsi="Calibri" w:cs="Calibri"/>
        </w:rPr>
        <w:t xml:space="preserve"> </w:t>
      </w:r>
      <w:r>
        <w:rPr>
          <w:rFonts w:ascii="Calibri" w:hAnsi="Calibri" w:cs="Calibri"/>
          <w:szCs w:val="18"/>
        </w:rPr>
        <w:t xml:space="preserve">To okres czasu dłuższy niż dziesięć minut, w którym ponad pięć procent użytkowników końcowych nie jest w stanie publikować ani odczytywać wiadomości w żadnej części sieci </w:t>
      </w:r>
      <w:proofErr w:type="spellStart"/>
      <w:r>
        <w:rPr>
          <w:rFonts w:ascii="Calibri" w:hAnsi="Calibri" w:cs="Calibri"/>
          <w:szCs w:val="18"/>
        </w:rPr>
        <w:t>Viva</w:t>
      </w:r>
      <w:proofErr w:type="spellEnd"/>
      <w:r>
        <w:rPr>
          <w:rFonts w:ascii="Calibri" w:hAnsi="Calibri" w:cs="Calibri"/>
          <w:szCs w:val="18"/>
        </w:rPr>
        <w:t xml:space="preserve"> </w:t>
      </w:r>
      <w:proofErr w:type="spellStart"/>
      <w:r>
        <w:rPr>
          <w:rFonts w:ascii="Calibri" w:hAnsi="Calibri" w:cs="Calibri"/>
          <w:szCs w:val="18"/>
        </w:rPr>
        <w:t>Engage</w:t>
      </w:r>
      <w:proofErr w:type="spellEnd"/>
      <w:r>
        <w:rPr>
          <w:rFonts w:ascii="Calibri" w:hAnsi="Calibri" w:cs="Calibri"/>
          <w:szCs w:val="18"/>
        </w:rPr>
        <w:t>, do której użytkownicy ci posiadają odpowiednie uprawnienia.</w:t>
      </w:r>
    </w:p>
    <w:p w14:paraId="476BDF33" w14:textId="5A43C8BF" w:rsidR="00C86427" w:rsidRPr="00EF7CF9" w:rsidRDefault="00AC48A7" w:rsidP="002A586E">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13177606" w14:textId="29EEB056" w:rsidR="00C86427" w:rsidRPr="00EF7CF9" w:rsidRDefault="00000000" w:rsidP="00325C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06178239" w14:textId="43137EB5" w:rsidR="00C86427"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3CB8DA5D" w14:textId="10D482CB" w:rsidR="00C86427" w:rsidRPr="00EF7CF9" w:rsidRDefault="00C86427" w:rsidP="002A586E">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86427" w:rsidRPr="00B44CF9" w14:paraId="1977F559" w14:textId="77777777" w:rsidTr="00C86427">
        <w:trPr>
          <w:tblHeader/>
        </w:trPr>
        <w:tc>
          <w:tcPr>
            <w:tcW w:w="5400" w:type="dxa"/>
            <w:shd w:val="clear" w:color="auto" w:fill="0072C6"/>
          </w:tcPr>
          <w:p w14:paraId="1A9DFE79" w14:textId="5DF0C4B0" w:rsidR="00C86427"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A3835E2" w14:textId="77777777" w:rsidR="00C86427" w:rsidRPr="00EF7CF9" w:rsidRDefault="00C86427" w:rsidP="002A586E">
            <w:pPr>
              <w:pStyle w:val="ProductList-OfferingBody"/>
              <w:jc w:val="center"/>
              <w:rPr>
                <w:color w:val="FFFFFF" w:themeColor="background1"/>
              </w:rPr>
            </w:pPr>
            <w:r>
              <w:rPr>
                <w:color w:val="FFFFFF" w:themeColor="background1"/>
              </w:rPr>
              <w:t>Środki Serwisowe na Używanie Usług</w:t>
            </w:r>
          </w:p>
        </w:tc>
      </w:tr>
      <w:tr w:rsidR="00C86427" w:rsidRPr="00B44CF9" w14:paraId="6C555692" w14:textId="77777777" w:rsidTr="00C86427">
        <w:tc>
          <w:tcPr>
            <w:tcW w:w="5400" w:type="dxa"/>
          </w:tcPr>
          <w:p w14:paraId="2A0C0D6F" w14:textId="79723A54" w:rsidR="00C86427" w:rsidRPr="00EF7CF9" w:rsidRDefault="00C86427" w:rsidP="002A586E">
            <w:pPr>
              <w:pStyle w:val="ProductList-OfferingBody"/>
              <w:jc w:val="center"/>
            </w:pPr>
            <w:r>
              <w:t>&lt; 99,9%</w:t>
            </w:r>
          </w:p>
        </w:tc>
        <w:tc>
          <w:tcPr>
            <w:tcW w:w="5400" w:type="dxa"/>
          </w:tcPr>
          <w:p w14:paraId="2B6C1459" w14:textId="77777777" w:rsidR="00C86427" w:rsidRPr="00EF7CF9" w:rsidRDefault="00C86427" w:rsidP="002A586E">
            <w:pPr>
              <w:pStyle w:val="ProductList-OfferingBody"/>
              <w:jc w:val="center"/>
            </w:pPr>
            <w:r>
              <w:t>25%</w:t>
            </w:r>
          </w:p>
        </w:tc>
      </w:tr>
      <w:tr w:rsidR="00C86427" w:rsidRPr="00B44CF9" w14:paraId="7022003C" w14:textId="77777777" w:rsidTr="00C86427">
        <w:tc>
          <w:tcPr>
            <w:tcW w:w="5400" w:type="dxa"/>
          </w:tcPr>
          <w:p w14:paraId="20E720BE" w14:textId="2E34B42F" w:rsidR="00C86427" w:rsidRPr="00EF7CF9" w:rsidRDefault="00C86427" w:rsidP="002A586E">
            <w:pPr>
              <w:pStyle w:val="ProductList-OfferingBody"/>
              <w:jc w:val="center"/>
            </w:pPr>
            <w:r>
              <w:t>&lt; 99%</w:t>
            </w:r>
          </w:p>
        </w:tc>
        <w:tc>
          <w:tcPr>
            <w:tcW w:w="5400" w:type="dxa"/>
          </w:tcPr>
          <w:p w14:paraId="5DDFDCAF" w14:textId="77777777" w:rsidR="00C86427" w:rsidRPr="00EF7CF9" w:rsidRDefault="00C86427" w:rsidP="002A586E">
            <w:pPr>
              <w:pStyle w:val="ProductList-OfferingBody"/>
              <w:jc w:val="center"/>
            </w:pPr>
            <w:r>
              <w:t>50%</w:t>
            </w:r>
          </w:p>
        </w:tc>
      </w:tr>
      <w:tr w:rsidR="00C86427" w:rsidRPr="00B44CF9" w14:paraId="370A5AC6" w14:textId="77777777" w:rsidTr="00C86427">
        <w:tc>
          <w:tcPr>
            <w:tcW w:w="5400" w:type="dxa"/>
          </w:tcPr>
          <w:p w14:paraId="636FF5C1" w14:textId="77777777" w:rsidR="00C86427" w:rsidRPr="00EF7CF9" w:rsidRDefault="00C86427" w:rsidP="002A586E">
            <w:pPr>
              <w:pStyle w:val="ProductList-OfferingBody"/>
              <w:jc w:val="center"/>
            </w:pPr>
            <w:r>
              <w:t>&lt; 95%</w:t>
            </w:r>
          </w:p>
        </w:tc>
        <w:tc>
          <w:tcPr>
            <w:tcW w:w="5400" w:type="dxa"/>
          </w:tcPr>
          <w:p w14:paraId="5933E5F9" w14:textId="77777777" w:rsidR="00C86427" w:rsidRPr="00EF7CF9" w:rsidRDefault="00C86427" w:rsidP="002A586E">
            <w:pPr>
              <w:pStyle w:val="ProductList-OfferingBody"/>
              <w:jc w:val="center"/>
            </w:pPr>
            <w:r>
              <w:t>100%</w:t>
            </w:r>
          </w:p>
        </w:tc>
      </w:tr>
    </w:tbl>
    <w:bookmarkStart w:id="106" w:name="_Toc457821534"/>
    <w:p w14:paraId="402BACC7" w14:textId="49AFC9C2"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D5F8587" w14:textId="3EE7FBD4" w:rsidR="00DC0631" w:rsidRPr="00EF7CF9" w:rsidRDefault="00DC0631" w:rsidP="00DC0631">
      <w:pPr>
        <w:pStyle w:val="ProductList-OfferingGroupHeading"/>
        <w:tabs>
          <w:tab w:val="clear" w:pos="360"/>
          <w:tab w:val="clear" w:pos="720"/>
          <w:tab w:val="clear" w:pos="1080"/>
        </w:tabs>
        <w:outlineLvl w:val="1"/>
      </w:pPr>
      <w:bookmarkStart w:id="107" w:name="_Toc53474718"/>
      <w:bookmarkStart w:id="108" w:name="_Toc239174951"/>
      <w:bookmarkStart w:id="109" w:name="MicrosoftAzureServices"/>
      <w:bookmarkEnd w:id="106"/>
      <w:r>
        <w:t xml:space="preserve">Microsoft </w:t>
      </w:r>
      <w:proofErr w:type="spellStart"/>
      <w:r>
        <w:t>Azure</w:t>
      </w:r>
      <w:bookmarkEnd w:id="107"/>
      <w:proofErr w:type="spellEnd"/>
      <w:r>
        <w:t xml:space="preserve"> Usługi i Plany</w:t>
      </w:r>
      <w:bookmarkEnd w:id="108"/>
    </w:p>
    <w:p w14:paraId="0FE870F8" w14:textId="5BCCC59E" w:rsidR="00755B76" w:rsidRPr="00C84B0F" w:rsidRDefault="001F63AA" w:rsidP="00755B76">
      <w:pPr>
        <w:pStyle w:val="ProductList-Offering2Heading"/>
        <w:tabs>
          <w:tab w:val="clear" w:pos="360"/>
          <w:tab w:val="clear" w:pos="720"/>
          <w:tab w:val="clear" w:pos="1080"/>
        </w:tabs>
        <w:outlineLvl w:val="2"/>
        <w:rPr>
          <w:lang w:val="en-US"/>
        </w:rPr>
      </w:pPr>
      <w:bookmarkStart w:id="110" w:name="_Toc239174952"/>
      <w:bookmarkStart w:id="111" w:name="_Toc52348916"/>
      <w:bookmarkStart w:id="112" w:name="_Toc457821535"/>
      <w:bookmarkStart w:id="113" w:name="_Toc457821591"/>
      <w:bookmarkEnd w:id="109"/>
      <w:r>
        <w:rPr>
          <w:lang w:val="en-US"/>
        </w:rPr>
        <w:t>M</w:t>
      </w:r>
      <w:r w:rsidR="00B515A5">
        <w:rPr>
          <w:lang w:val="en-US"/>
        </w:rPr>
        <w:t>icrosoft Entra ID</w:t>
      </w:r>
      <w:bookmarkEnd w:id="110"/>
    </w:p>
    <w:p w14:paraId="18A02057" w14:textId="77777777" w:rsidR="008A5229" w:rsidRPr="00523950" w:rsidRDefault="008A5229" w:rsidP="008A5229">
      <w:pPr>
        <w:pStyle w:val="ProductList-Body"/>
        <w:rPr>
          <w:rFonts w:ascii="Calibri" w:hAnsi="Calibri" w:cs="Calibri"/>
          <w:b/>
          <w:color w:val="00188F"/>
        </w:rPr>
      </w:pPr>
      <w:r>
        <w:rPr>
          <w:rFonts w:ascii="Calibri" w:hAnsi="Calibri" w:cs="Calibri"/>
          <w:b/>
          <w:color w:val="00188F"/>
        </w:rPr>
        <w:t xml:space="preserve">Microsoft </w:t>
      </w:r>
      <w:proofErr w:type="spellStart"/>
      <w:r>
        <w:rPr>
          <w:rFonts w:ascii="Calibri" w:hAnsi="Calibri" w:cs="Calibri"/>
          <w:b/>
          <w:color w:val="00188F"/>
        </w:rPr>
        <w:t>Entra</w:t>
      </w:r>
      <w:proofErr w:type="spellEnd"/>
      <w:r>
        <w:rPr>
          <w:rFonts w:ascii="Calibri" w:hAnsi="Calibri" w:cs="Calibri"/>
          <w:b/>
          <w:color w:val="00188F"/>
        </w:rPr>
        <w:t xml:space="preserve"> ID Basic i Microsoft </w:t>
      </w:r>
      <w:proofErr w:type="spellStart"/>
      <w:r>
        <w:rPr>
          <w:rFonts w:ascii="Calibri" w:hAnsi="Calibri" w:cs="Calibri"/>
          <w:b/>
          <w:color w:val="00188F"/>
        </w:rPr>
        <w:t>Entra</w:t>
      </w:r>
      <w:proofErr w:type="spellEnd"/>
      <w:r>
        <w:rPr>
          <w:rFonts w:ascii="Calibri" w:hAnsi="Calibri" w:cs="Calibri"/>
          <w:b/>
          <w:color w:val="00188F"/>
        </w:rPr>
        <w:t xml:space="preserve"> ID Premium</w:t>
      </w:r>
    </w:p>
    <w:p w14:paraId="372EEDFE" w14:textId="77777777" w:rsidR="008A5229" w:rsidRPr="00523950" w:rsidRDefault="008A5229" w:rsidP="008A5229">
      <w:pPr>
        <w:pStyle w:val="ProductList-Body"/>
        <w:rPr>
          <w:rFonts w:ascii="Calibri" w:hAnsi="Calibri" w:cs="Calibri"/>
        </w:rPr>
      </w:pPr>
      <w:r>
        <w:rPr>
          <w:rFonts w:ascii="Calibri" w:hAnsi="Calibri" w:cs="Calibri"/>
          <w:b/>
          <w:color w:val="00188F"/>
        </w:rPr>
        <w:t>Dodatkowe definicje</w:t>
      </w:r>
      <w:r w:rsidRPr="00E43ADE">
        <w:rPr>
          <w:rFonts w:ascii="Calibri" w:hAnsi="Calibri" w:cs="Calibri"/>
          <w:b/>
          <w:bCs/>
        </w:rPr>
        <w:t>:</w:t>
      </w:r>
    </w:p>
    <w:p w14:paraId="1E6D0AD5" w14:textId="77777777" w:rsidR="008A5229" w:rsidRPr="00523950" w:rsidRDefault="008A5229" w:rsidP="008A5229">
      <w:pPr>
        <w:pStyle w:val="ProductList-Body"/>
        <w:rPr>
          <w:rFonts w:ascii="Calibri" w:hAnsi="Calibri" w:cs="Calibri"/>
        </w:rPr>
      </w:pPr>
      <w:r>
        <w:rPr>
          <w:rFonts w:ascii="Calibri" w:hAnsi="Calibri" w:cs="Calibri"/>
          <w:b/>
          <w:color w:val="00188F"/>
        </w:rPr>
        <w:t>Przestój</w:t>
      </w:r>
      <w:r w:rsidRPr="00E43ADE">
        <w:rPr>
          <w:rFonts w:ascii="Calibri" w:hAnsi="Calibri" w:cs="Calibri"/>
          <w:b/>
          <w:bCs/>
        </w:rPr>
        <w:t>:</w:t>
      </w:r>
      <w:r>
        <w:rPr>
          <w:rFonts w:ascii="Calibri" w:hAnsi="Calibri" w:cs="Calibri"/>
        </w:rPr>
        <w:t xml:space="preserve"> </w:t>
      </w:r>
      <w:r>
        <w:rPr>
          <w:rFonts w:ascii="Calibri" w:hAnsi="Calibri" w:cs="Calibri"/>
          <w:szCs w:val="18"/>
        </w:rPr>
        <w:t xml:space="preserve">Dowolny okres, w którym użytkownicy nie mogą zalogować się do usługi Microsoft </w:t>
      </w:r>
      <w:proofErr w:type="spellStart"/>
      <w:r>
        <w:rPr>
          <w:rFonts w:ascii="Calibri" w:hAnsi="Calibri" w:cs="Calibri"/>
          <w:szCs w:val="18"/>
        </w:rPr>
        <w:t>Entra</w:t>
      </w:r>
      <w:proofErr w:type="spellEnd"/>
      <w:r>
        <w:rPr>
          <w:rFonts w:ascii="Calibri" w:hAnsi="Calibri" w:cs="Calibri"/>
          <w:szCs w:val="18"/>
        </w:rPr>
        <w:t xml:space="preserve"> ID lub gdy Microsoft </w:t>
      </w:r>
      <w:proofErr w:type="spellStart"/>
      <w:r>
        <w:rPr>
          <w:rFonts w:ascii="Calibri" w:hAnsi="Calibri" w:cs="Calibri"/>
          <w:szCs w:val="18"/>
        </w:rPr>
        <w:t>Entra</w:t>
      </w:r>
      <w:proofErr w:type="spellEnd"/>
      <w:r>
        <w:rPr>
          <w:rFonts w:ascii="Calibri" w:hAnsi="Calibri" w:cs="Calibri"/>
          <w:szCs w:val="18"/>
        </w:rPr>
        <w:t xml:space="preserve"> ID nie wyemituje pomyślnie </w:t>
      </w:r>
      <w:proofErr w:type="spellStart"/>
      <w:r>
        <w:rPr>
          <w:rFonts w:ascii="Calibri" w:hAnsi="Calibri" w:cs="Calibri"/>
          <w:szCs w:val="18"/>
        </w:rPr>
        <w:t>tokenów</w:t>
      </w:r>
      <w:proofErr w:type="spellEnd"/>
      <w:r>
        <w:rPr>
          <w:rFonts w:ascii="Calibri" w:hAnsi="Calibri" w:cs="Calibri"/>
          <w:szCs w:val="18"/>
        </w:rPr>
        <w:t xml:space="preserve"> uwierzytelniających i autoryzacyjnych wymaganych do logowania się użytkowników do aplikacji podłączonych do usługi.</w:t>
      </w:r>
    </w:p>
    <w:p w14:paraId="06A45494" w14:textId="0A6A53C9" w:rsidR="00755B76" w:rsidRPr="00EF7CF9" w:rsidRDefault="00AC48A7" w:rsidP="00755B76">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5AE99968" w14:textId="44EFA01E" w:rsidR="00755B76" w:rsidRPr="00EF7CF9" w:rsidRDefault="00000000" w:rsidP="00325C22">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4EAF19D3" w14:textId="70B2F6C0" w:rsidR="00755B76" w:rsidRPr="00EF7CF9" w:rsidRDefault="00AC48A7" w:rsidP="00755B76">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49209FC5" w14:textId="2720B2C4" w:rsidR="00755B76" w:rsidRPr="00EF7CF9" w:rsidRDefault="00755B76" w:rsidP="00755B76">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48E5F6BA" w14:textId="77777777" w:rsidTr="00277097">
        <w:trPr>
          <w:tblHeader/>
        </w:trPr>
        <w:tc>
          <w:tcPr>
            <w:tcW w:w="5400" w:type="dxa"/>
            <w:shd w:val="clear" w:color="auto" w:fill="0072C6"/>
          </w:tcPr>
          <w:p w14:paraId="039E3418" w14:textId="1CB12441" w:rsidR="00755B7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74122EE" w14:textId="77777777" w:rsidR="00755B76" w:rsidRPr="00EF7CF9" w:rsidRDefault="00755B76" w:rsidP="000F31B4">
            <w:pPr>
              <w:pStyle w:val="ProductList-OfferingBody"/>
              <w:jc w:val="center"/>
              <w:rPr>
                <w:color w:val="FFFFFF" w:themeColor="background1"/>
              </w:rPr>
            </w:pPr>
            <w:r>
              <w:rPr>
                <w:color w:val="FFFFFF" w:themeColor="background1"/>
              </w:rPr>
              <w:t>Środki Serwisowe na Używanie Usług</w:t>
            </w:r>
          </w:p>
        </w:tc>
      </w:tr>
      <w:tr w:rsidR="00755B76" w:rsidRPr="00B44CF9" w14:paraId="60FBDD34" w14:textId="77777777" w:rsidTr="00277097">
        <w:tc>
          <w:tcPr>
            <w:tcW w:w="5400" w:type="dxa"/>
          </w:tcPr>
          <w:p w14:paraId="3937177C" w14:textId="77777777" w:rsidR="00755B76" w:rsidRPr="00EF7CF9" w:rsidRDefault="00755B76" w:rsidP="000F31B4">
            <w:pPr>
              <w:pStyle w:val="ProductList-OfferingBody"/>
              <w:jc w:val="center"/>
            </w:pPr>
            <w:r>
              <w:t>&lt; 99,99%</w:t>
            </w:r>
          </w:p>
        </w:tc>
        <w:tc>
          <w:tcPr>
            <w:tcW w:w="5400" w:type="dxa"/>
          </w:tcPr>
          <w:p w14:paraId="118CC8B1" w14:textId="77777777" w:rsidR="00755B76" w:rsidRPr="00EF7CF9" w:rsidRDefault="00755B76" w:rsidP="000F31B4">
            <w:pPr>
              <w:pStyle w:val="ProductList-OfferingBody"/>
              <w:jc w:val="center"/>
            </w:pPr>
            <w:r>
              <w:t>10%</w:t>
            </w:r>
          </w:p>
        </w:tc>
      </w:tr>
      <w:tr w:rsidR="00755B76" w:rsidRPr="00B44CF9" w14:paraId="2552001F" w14:textId="77777777" w:rsidTr="00277097">
        <w:tc>
          <w:tcPr>
            <w:tcW w:w="5400" w:type="dxa"/>
          </w:tcPr>
          <w:p w14:paraId="396208DB" w14:textId="77777777" w:rsidR="00755B76" w:rsidRPr="00EF7CF9" w:rsidRDefault="00755B76" w:rsidP="000F31B4">
            <w:pPr>
              <w:pStyle w:val="ProductList-OfferingBody"/>
              <w:jc w:val="center"/>
            </w:pPr>
            <w:r>
              <w:t>&lt; 99,9%</w:t>
            </w:r>
          </w:p>
        </w:tc>
        <w:tc>
          <w:tcPr>
            <w:tcW w:w="5400" w:type="dxa"/>
          </w:tcPr>
          <w:p w14:paraId="00FA81CB" w14:textId="77777777" w:rsidR="00755B76" w:rsidRPr="00EF7CF9" w:rsidRDefault="00755B76" w:rsidP="000F31B4">
            <w:pPr>
              <w:pStyle w:val="ProductList-OfferingBody"/>
              <w:jc w:val="center"/>
            </w:pPr>
            <w:r>
              <w:t>25%</w:t>
            </w:r>
          </w:p>
        </w:tc>
      </w:tr>
      <w:tr w:rsidR="00755B76" w:rsidRPr="00B44CF9" w14:paraId="5A083771" w14:textId="77777777" w:rsidTr="00277097">
        <w:tc>
          <w:tcPr>
            <w:tcW w:w="5400" w:type="dxa"/>
          </w:tcPr>
          <w:p w14:paraId="55DB61A7" w14:textId="77777777" w:rsidR="00755B76" w:rsidRPr="00EF7CF9" w:rsidRDefault="00755B76" w:rsidP="000F31B4">
            <w:pPr>
              <w:pStyle w:val="ProductList-OfferingBody"/>
              <w:jc w:val="center"/>
            </w:pPr>
            <w:r>
              <w:t>&lt; 99%</w:t>
            </w:r>
          </w:p>
        </w:tc>
        <w:tc>
          <w:tcPr>
            <w:tcW w:w="5400" w:type="dxa"/>
          </w:tcPr>
          <w:p w14:paraId="5C3E3871" w14:textId="77777777" w:rsidR="00755B76" w:rsidRPr="00EF7CF9" w:rsidRDefault="00755B76" w:rsidP="000F31B4">
            <w:pPr>
              <w:pStyle w:val="ProductList-OfferingBody"/>
              <w:jc w:val="center"/>
            </w:pPr>
            <w:r>
              <w:t>50%</w:t>
            </w:r>
          </w:p>
        </w:tc>
      </w:tr>
      <w:tr w:rsidR="00755B76" w:rsidRPr="00B44CF9" w14:paraId="1EAE4D17" w14:textId="77777777" w:rsidTr="00277097">
        <w:tc>
          <w:tcPr>
            <w:tcW w:w="5400" w:type="dxa"/>
          </w:tcPr>
          <w:p w14:paraId="0843D594" w14:textId="77777777" w:rsidR="00755B76" w:rsidRPr="00EF7CF9" w:rsidRDefault="00755B76" w:rsidP="000F31B4">
            <w:pPr>
              <w:pStyle w:val="ProductList-OfferingBody"/>
              <w:jc w:val="center"/>
            </w:pPr>
            <w:r>
              <w:t>&lt; 95%</w:t>
            </w:r>
          </w:p>
        </w:tc>
        <w:tc>
          <w:tcPr>
            <w:tcW w:w="5400" w:type="dxa"/>
          </w:tcPr>
          <w:p w14:paraId="2D6534FB" w14:textId="77777777" w:rsidR="00755B76" w:rsidRPr="00EF7CF9" w:rsidRDefault="00755B76" w:rsidP="000F31B4">
            <w:pPr>
              <w:pStyle w:val="ProductList-OfferingBody"/>
              <w:jc w:val="center"/>
            </w:pPr>
            <w:r>
              <w:t>100%</w:t>
            </w:r>
          </w:p>
        </w:tc>
      </w:tr>
    </w:tbl>
    <w:p w14:paraId="3B3837C7" w14:textId="5048EC8D" w:rsidR="00755B76" w:rsidRPr="00EF7CF9" w:rsidRDefault="00C71F89"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7E0B282" w14:textId="77777777" w:rsidR="00755B76" w:rsidRPr="00EF7CF9" w:rsidRDefault="00755B76" w:rsidP="0007784F">
      <w:pPr>
        <w:pStyle w:val="ProductList-Offering2Heading"/>
        <w:keepNext/>
        <w:keepLines/>
        <w:tabs>
          <w:tab w:val="clear" w:pos="360"/>
          <w:tab w:val="clear" w:pos="720"/>
          <w:tab w:val="clear" w:pos="1080"/>
        </w:tabs>
        <w:outlineLvl w:val="2"/>
      </w:pPr>
      <w:bookmarkStart w:id="114" w:name="_Toc457821530"/>
      <w:bookmarkStart w:id="115" w:name="_Toc52349004"/>
      <w:bookmarkStart w:id="116" w:name="_Toc239174953"/>
      <w:proofErr w:type="spellStart"/>
      <w:r>
        <w:t>Azure</w:t>
      </w:r>
      <w:proofErr w:type="spellEnd"/>
      <w:r>
        <w:t xml:space="preserve"> Active Directory B2C</w:t>
      </w:r>
      <w:bookmarkEnd w:id="114"/>
      <w:bookmarkEnd w:id="115"/>
      <w:bookmarkEnd w:id="116"/>
    </w:p>
    <w:p w14:paraId="322D15EB" w14:textId="77777777" w:rsidR="00755B76" w:rsidRPr="00EF7CF9" w:rsidRDefault="00755B76" w:rsidP="0007784F">
      <w:pPr>
        <w:pStyle w:val="ProductList-Body"/>
        <w:keepNext/>
        <w:keepLines/>
      </w:pPr>
      <w:r>
        <w:rPr>
          <w:b/>
          <w:color w:val="00188F"/>
        </w:rPr>
        <w:t>Dodatkowe definicje</w:t>
      </w:r>
      <w:r w:rsidRPr="007B038A">
        <w:rPr>
          <w:b/>
          <w:color w:val="00188F"/>
        </w:rPr>
        <w:t>:</w:t>
      </w:r>
    </w:p>
    <w:p w14:paraId="06AEB968" w14:textId="52C898DF" w:rsidR="00755B76" w:rsidRPr="00EF7CF9" w:rsidRDefault="00755B76" w:rsidP="0007784F">
      <w:pPr>
        <w:pStyle w:val="ProductList-Body"/>
        <w:keepNext/>
        <w:keepLines/>
      </w:pPr>
      <w:r>
        <w:t>„</w:t>
      </w:r>
      <w:r>
        <w:rPr>
          <w:b/>
          <w:color w:val="00188F"/>
        </w:rPr>
        <w:t>Minuty Wdrożenia</w:t>
      </w:r>
      <w:r>
        <w:t xml:space="preserve">” to łączna liczba minut, przez którą katalog </w:t>
      </w:r>
      <w:proofErr w:type="spellStart"/>
      <w:r>
        <w:t>Azure</w:t>
      </w:r>
      <w:proofErr w:type="spellEnd"/>
      <w:r>
        <w:t xml:space="preserve"> AD B2C był wdrożony podczas Właściwego Okresu.</w:t>
      </w:r>
    </w:p>
    <w:p w14:paraId="780B86DF" w14:textId="749D72E2" w:rsidR="00755B76" w:rsidRPr="00EF7CF9" w:rsidRDefault="00755B76" w:rsidP="00755B76">
      <w:pPr>
        <w:pStyle w:val="ProductList-Body"/>
      </w:pPr>
      <w:r>
        <w:t>„</w:t>
      </w:r>
      <w:r>
        <w:rPr>
          <w:b/>
          <w:color w:val="00188F"/>
        </w:rPr>
        <w:t>Maksymalna Liczba Dostępnych Minut</w:t>
      </w:r>
      <w:r>
        <w:t xml:space="preserve">” to suma wszystkich Minut Wdrożenia we wszystkich katalogach </w:t>
      </w:r>
      <w:proofErr w:type="spellStart"/>
      <w:r>
        <w:t>Azure</w:t>
      </w:r>
      <w:proofErr w:type="spellEnd"/>
      <w:r>
        <w:t xml:space="preserve"> AD B2C w ramach danej subskrypcji Microsoft </w:t>
      </w:r>
      <w:proofErr w:type="spellStart"/>
      <w:r>
        <w:t>Azure</w:t>
      </w:r>
      <w:proofErr w:type="spellEnd"/>
      <w:r>
        <w:t xml:space="preserve"> we Właściwym Okresie. </w:t>
      </w:r>
    </w:p>
    <w:p w14:paraId="19F0FA33" w14:textId="77777777" w:rsidR="00755B76" w:rsidRPr="00EF7CF9" w:rsidRDefault="00755B76" w:rsidP="00755B76">
      <w:pPr>
        <w:pStyle w:val="ProductList-Body"/>
      </w:pPr>
      <w:r>
        <w:rPr>
          <w:b/>
          <w:color w:val="00188F"/>
        </w:rPr>
        <w:t>Przestój</w:t>
      </w:r>
      <w:r w:rsidRPr="007B038A">
        <w:rPr>
          <w:b/>
          <w:color w:val="00188F"/>
        </w:rPr>
        <w:t>:</w:t>
      </w:r>
      <w:r>
        <w:t xml:space="preserve"> to łączna zakumulowana liczba minut dla wszystkich katalogów </w:t>
      </w:r>
      <w:proofErr w:type="spellStart"/>
      <w:r>
        <w:t>Azure</w:t>
      </w:r>
      <w:proofErr w:type="spellEnd"/>
      <w:r>
        <w:t xml:space="preserve"> AD B2C wdrożonych przez Klienta w ramach określonej subskrypcji Microsoft </w:t>
      </w:r>
      <w:proofErr w:type="spellStart"/>
      <w:r>
        <w:t>Azure</w:t>
      </w:r>
      <w:proofErr w:type="spellEnd"/>
      <w:r>
        <w:t xml:space="preserve">, podczas których usługa </w:t>
      </w:r>
      <w:proofErr w:type="spellStart"/>
      <w:r>
        <w:t>Azure</w:t>
      </w:r>
      <w:proofErr w:type="spellEnd"/>
      <w:r>
        <w:t xml:space="preserve"> AD B2C jest niedostępna. Minuta jest uznawana za minutę niedostępności, jeśli wszystkie próby przetworzenia rejestracji i logowania użytkownika nie zwrócą </w:t>
      </w:r>
      <w:proofErr w:type="spellStart"/>
      <w:r>
        <w:t>tokenów</w:t>
      </w:r>
      <w:proofErr w:type="spellEnd"/>
      <w:r>
        <w:t>, prawidłowych kodów błędów lub odpowiedzi w ciągu dwóch minut.</w:t>
      </w:r>
    </w:p>
    <w:p w14:paraId="434CF9C7" w14:textId="48B982A8" w:rsidR="00755B76" w:rsidRPr="00EF7CF9" w:rsidRDefault="00AC48A7" w:rsidP="00755B76">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40117607" w14:textId="444DD2EC" w:rsidR="00755B76" w:rsidRPr="00EF7CF9" w:rsidRDefault="00000000" w:rsidP="001C1066">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8E9AF66" w14:textId="2B4B5FF7" w:rsidR="00755B76" w:rsidRDefault="00755B76" w:rsidP="00755B76">
      <w:pPr>
        <w:pStyle w:val="ProductList-Body"/>
        <w:rPr>
          <w:b/>
          <w:color w:val="00188F"/>
        </w:rPr>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55B76" w:rsidRPr="00B44CF9" w14:paraId="2D7EA87B" w14:textId="77777777" w:rsidTr="00277097">
        <w:trPr>
          <w:tblHeader/>
        </w:trPr>
        <w:tc>
          <w:tcPr>
            <w:tcW w:w="5400" w:type="dxa"/>
            <w:shd w:val="clear" w:color="auto" w:fill="0072C6"/>
          </w:tcPr>
          <w:p w14:paraId="37FAD97C" w14:textId="0FD630C4" w:rsidR="00755B7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D764696" w14:textId="77777777" w:rsidR="00755B76" w:rsidRPr="00EF7CF9" w:rsidRDefault="00755B76" w:rsidP="000F31B4">
            <w:pPr>
              <w:pStyle w:val="ProductList-OfferingBody"/>
              <w:jc w:val="center"/>
              <w:rPr>
                <w:color w:val="FFFFFF" w:themeColor="background1"/>
              </w:rPr>
            </w:pPr>
            <w:r>
              <w:rPr>
                <w:color w:val="FFFFFF" w:themeColor="background1"/>
              </w:rPr>
              <w:t>Środki Serwisowe na Używanie Usług</w:t>
            </w:r>
          </w:p>
        </w:tc>
      </w:tr>
      <w:tr w:rsidR="00755B76" w:rsidRPr="00B44CF9" w14:paraId="77B0594E" w14:textId="77777777" w:rsidTr="00277097">
        <w:tc>
          <w:tcPr>
            <w:tcW w:w="5400" w:type="dxa"/>
          </w:tcPr>
          <w:p w14:paraId="6F12552A" w14:textId="77777777" w:rsidR="00755B76" w:rsidRPr="00EF7CF9" w:rsidRDefault="00755B76" w:rsidP="000F31B4">
            <w:pPr>
              <w:pStyle w:val="ProductList-OfferingBody"/>
              <w:jc w:val="center"/>
            </w:pPr>
            <w:r>
              <w:t>&lt; 99,99%</w:t>
            </w:r>
          </w:p>
        </w:tc>
        <w:tc>
          <w:tcPr>
            <w:tcW w:w="5400" w:type="dxa"/>
          </w:tcPr>
          <w:p w14:paraId="2D5A2E56" w14:textId="77777777" w:rsidR="00755B76" w:rsidRPr="00EF7CF9" w:rsidRDefault="00755B76" w:rsidP="000F31B4">
            <w:pPr>
              <w:pStyle w:val="ProductList-OfferingBody"/>
              <w:jc w:val="center"/>
            </w:pPr>
            <w:r>
              <w:t>10%</w:t>
            </w:r>
          </w:p>
        </w:tc>
      </w:tr>
      <w:tr w:rsidR="00755B76" w:rsidRPr="00B44CF9" w14:paraId="6E50DCFF" w14:textId="77777777" w:rsidTr="00277097">
        <w:tc>
          <w:tcPr>
            <w:tcW w:w="5400" w:type="dxa"/>
          </w:tcPr>
          <w:p w14:paraId="435EEACA" w14:textId="77777777" w:rsidR="00755B76" w:rsidRPr="00EF7CF9" w:rsidRDefault="00755B76" w:rsidP="000F31B4">
            <w:pPr>
              <w:pStyle w:val="ProductList-OfferingBody"/>
              <w:jc w:val="center"/>
            </w:pPr>
            <w:r>
              <w:t>&lt; 99,9%</w:t>
            </w:r>
          </w:p>
        </w:tc>
        <w:tc>
          <w:tcPr>
            <w:tcW w:w="5400" w:type="dxa"/>
          </w:tcPr>
          <w:p w14:paraId="2B621F20" w14:textId="77777777" w:rsidR="00755B76" w:rsidRPr="00EF7CF9" w:rsidRDefault="00755B76" w:rsidP="000F31B4">
            <w:pPr>
              <w:pStyle w:val="ProductList-OfferingBody"/>
              <w:jc w:val="center"/>
            </w:pPr>
            <w:r>
              <w:t>25%</w:t>
            </w:r>
          </w:p>
        </w:tc>
      </w:tr>
      <w:tr w:rsidR="00755B76" w:rsidRPr="00B44CF9" w14:paraId="68DAAEC5" w14:textId="77777777" w:rsidTr="00277097">
        <w:tc>
          <w:tcPr>
            <w:tcW w:w="5400" w:type="dxa"/>
          </w:tcPr>
          <w:p w14:paraId="2F3B22B1" w14:textId="77777777" w:rsidR="00755B76" w:rsidRPr="00EF7CF9" w:rsidRDefault="00755B76" w:rsidP="000F31B4">
            <w:pPr>
              <w:pStyle w:val="ProductList-OfferingBody"/>
              <w:jc w:val="center"/>
            </w:pPr>
            <w:r>
              <w:t>&lt; 99%</w:t>
            </w:r>
          </w:p>
        </w:tc>
        <w:tc>
          <w:tcPr>
            <w:tcW w:w="5400" w:type="dxa"/>
          </w:tcPr>
          <w:p w14:paraId="0AAEA41D" w14:textId="77777777" w:rsidR="00755B76" w:rsidRPr="00EF7CF9" w:rsidRDefault="00755B76" w:rsidP="000F31B4">
            <w:pPr>
              <w:pStyle w:val="ProductList-OfferingBody"/>
              <w:jc w:val="center"/>
            </w:pPr>
            <w:r>
              <w:t>50%</w:t>
            </w:r>
          </w:p>
        </w:tc>
      </w:tr>
      <w:tr w:rsidR="00755B76" w:rsidRPr="00B44CF9" w14:paraId="3FA76B9B" w14:textId="77777777" w:rsidTr="00277097">
        <w:tc>
          <w:tcPr>
            <w:tcW w:w="5400" w:type="dxa"/>
          </w:tcPr>
          <w:p w14:paraId="286FAB49" w14:textId="77777777" w:rsidR="00755B76" w:rsidRPr="00EF7CF9" w:rsidRDefault="00755B76" w:rsidP="000F31B4">
            <w:pPr>
              <w:pStyle w:val="ProductList-OfferingBody"/>
              <w:jc w:val="center"/>
            </w:pPr>
            <w:r>
              <w:t>&lt; 95%</w:t>
            </w:r>
          </w:p>
        </w:tc>
        <w:tc>
          <w:tcPr>
            <w:tcW w:w="5400" w:type="dxa"/>
          </w:tcPr>
          <w:p w14:paraId="5F0AE2B0" w14:textId="77777777" w:rsidR="00755B76" w:rsidRPr="00EF7CF9" w:rsidRDefault="00755B76" w:rsidP="000F31B4">
            <w:pPr>
              <w:pStyle w:val="ProductList-OfferingBody"/>
              <w:jc w:val="center"/>
            </w:pPr>
            <w:r>
              <w:t>100%</w:t>
            </w:r>
          </w:p>
        </w:tc>
      </w:tr>
    </w:tbl>
    <w:bookmarkStart w:id="117" w:name="_Toc457821531"/>
    <w:p w14:paraId="38FFC85A" w14:textId="6635E477" w:rsidR="00755B76" w:rsidRPr="00EF7CF9" w:rsidRDefault="00C71F89" w:rsidP="00755B7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4CD06780" w14:textId="477EC1AE" w:rsidR="004005AF" w:rsidRPr="00EF7CF9" w:rsidRDefault="004005AF" w:rsidP="004005AF">
      <w:pPr>
        <w:pStyle w:val="ProductList-Offering2Heading"/>
        <w:tabs>
          <w:tab w:val="clear" w:pos="360"/>
          <w:tab w:val="clear" w:pos="720"/>
          <w:tab w:val="clear" w:pos="1080"/>
        </w:tabs>
        <w:outlineLvl w:val="2"/>
      </w:pPr>
      <w:bookmarkStart w:id="118" w:name="_Toc239174954"/>
      <w:bookmarkEnd w:id="117"/>
      <w:r>
        <w:t xml:space="preserve">Usługi </w:t>
      </w:r>
      <w:bookmarkEnd w:id="111"/>
      <w:r w:rsidR="00927816">
        <w:t xml:space="preserve">domeny Microsoft </w:t>
      </w:r>
      <w:proofErr w:type="spellStart"/>
      <w:r w:rsidR="00927816">
        <w:t>Entra</w:t>
      </w:r>
      <w:bookmarkEnd w:id="118"/>
      <w:proofErr w:type="spellEnd"/>
    </w:p>
    <w:p w14:paraId="721F8060" w14:textId="77777777" w:rsidR="004005AF" w:rsidRPr="00EF7CF9" w:rsidRDefault="004005AF" w:rsidP="004005AF">
      <w:pPr>
        <w:pStyle w:val="ProductList-Body"/>
      </w:pPr>
      <w:r>
        <w:rPr>
          <w:b/>
          <w:color w:val="00188F"/>
        </w:rPr>
        <w:t>Dodatkowe definicje</w:t>
      </w:r>
      <w:r w:rsidRPr="007B038A">
        <w:rPr>
          <w:b/>
          <w:color w:val="00188F"/>
        </w:rPr>
        <w:t>:</w:t>
      </w:r>
    </w:p>
    <w:p w14:paraId="3D8CCBC6" w14:textId="5CE364E2" w:rsidR="004005AF" w:rsidRPr="00EF7CF9" w:rsidRDefault="004005AF" w:rsidP="004005AF">
      <w:pPr>
        <w:spacing w:after="0" w:line="240" w:lineRule="auto"/>
        <w:rPr>
          <w:sz w:val="18"/>
        </w:rPr>
      </w:pPr>
      <w:r>
        <w:rPr>
          <w:sz w:val="18"/>
        </w:rPr>
        <w:t>„</w:t>
      </w:r>
      <w:r>
        <w:rPr>
          <w:b/>
          <w:color w:val="00188F"/>
          <w:sz w:val="18"/>
        </w:rPr>
        <w:t>Domena Zarządzana</w:t>
      </w:r>
      <w:r>
        <w:rPr>
          <w:sz w:val="18"/>
        </w:rPr>
        <w:t xml:space="preserve">” </w:t>
      </w:r>
      <w:r w:rsidR="00BE0B91">
        <w:rPr>
          <w:rFonts w:ascii="Calibri" w:hAnsi="Calibri" w:cs="Calibri"/>
          <w:sz w:val="18"/>
        </w:rPr>
        <w:t xml:space="preserve">to domena Active Directory, która jest udostępniona i zarządzana przez Microsoft </w:t>
      </w:r>
      <w:proofErr w:type="spellStart"/>
      <w:r w:rsidR="00BE0B91">
        <w:rPr>
          <w:rFonts w:ascii="Calibri" w:hAnsi="Calibri" w:cs="Calibri"/>
          <w:sz w:val="18"/>
        </w:rPr>
        <w:t>Entra</w:t>
      </w:r>
      <w:proofErr w:type="spellEnd"/>
      <w:r w:rsidR="00BE0B91">
        <w:rPr>
          <w:rFonts w:ascii="Calibri" w:hAnsi="Calibri" w:cs="Calibri"/>
          <w:sz w:val="18"/>
        </w:rPr>
        <w:t xml:space="preserve"> </w:t>
      </w:r>
      <w:proofErr w:type="spellStart"/>
      <w:r w:rsidR="00BE0B91">
        <w:rPr>
          <w:rFonts w:ascii="Calibri" w:hAnsi="Calibri" w:cs="Calibri"/>
          <w:sz w:val="18"/>
        </w:rPr>
        <w:t>Domain</w:t>
      </w:r>
      <w:proofErr w:type="spellEnd"/>
      <w:r w:rsidR="00BE0B91">
        <w:rPr>
          <w:rFonts w:ascii="Calibri" w:hAnsi="Calibri" w:cs="Calibri"/>
          <w:sz w:val="18"/>
        </w:rPr>
        <w:t xml:space="preserve"> Services.</w:t>
      </w:r>
    </w:p>
    <w:p w14:paraId="5D725028" w14:textId="2719787E" w:rsidR="004005AF" w:rsidRPr="00EF7CF9" w:rsidRDefault="004005AF" w:rsidP="004005AF">
      <w:pPr>
        <w:spacing w:after="0" w:line="240" w:lineRule="auto"/>
        <w:rPr>
          <w:sz w:val="18"/>
        </w:rPr>
      </w:pPr>
      <w:r>
        <w:rPr>
          <w:sz w:val="18"/>
        </w:rPr>
        <w:t>„</w:t>
      </w:r>
      <w:r>
        <w:rPr>
          <w:b/>
          <w:color w:val="00188F"/>
          <w:sz w:val="18"/>
        </w:rPr>
        <w:t>Maksymalna Liczba Dostępnych Minut</w:t>
      </w:r>
      <w:r>
        <w:rPr>
          <w:sz w:val="18"/>
        </w:rPr>
        <w:t xml:space="preserve">” to łączna liczba minut, przez które dana Domena Zarządzana została wdrożona przez klienta na platformie Microsoft </w:t>
      </w:r>
      <w:proofErr w:type="spellStart"/>
      <w:r>
        <w:rPr>
          <w:sz w:val="18"/>
        </w:rPr>
        <w:t>Azure</w:t>
      </w:r>
      <w:proofErr w:type="spellEnd"/>
      <w:r>
        <w:rPr>
          <w:sz w:val="18"/>
        </w:rPr>
        <w:t xml:space="preserve"> we Właściwym Okresie w ramach danej subskrypcji Microsoft </w:t>
      </w:r>
      <w:proofErr w:type="spellStart"/>
      <w:r>
        <w:rPr>
          <w:sz w:val="18"/>
        </w:rPr>
        <w:t>Azure</w:t>
      </w:r>
      <w:proofErr w:type="spellEnd"/>
      <w:r>
        <w:rPr>
          <w:sz w:val="18"/>
        </w:rPr>
        <w:t xml:space="preserve">. </w:t>
      </w:r>
    </w:p>
    <w:p w14:paraId="0579F796" w14:textId="2117498B" w:rsidR="004005AF" w:rsidRPr="00EF7CF9" w:rsidRDefault="004005AF" w:rsidP="004005AF">
      <w:pPr>
        <w:spacing w:after="0" w:line="240" w:lineRule="auto"/>
        <w:rPr>
          <w:sz w:val="18"/>
        </w:rPr>
      </w:pPr>
      <w:r>
        <w:rPr>
          <w:sz w:val="18"/>
        </w:rPr>
        <w:t>„</w:t>
      </w:r>
      <w:r>
        <w:rPr>
          <w:b/>
          <w:color w:val="00188F"/>
          <w:sz w:val="18"/>
        </w:rPr>
        <w:t>Przestój</w:t>
      </w:r>
      <w:r>
        <w:rPr>
          <w:sz w:val="18"/>
        </w:rPr>
        <w:t xml:space="preserve">” to łączna zakumulowana liczba minut we Właściwym Okresie dla danej subskrypcji Microsoft </w:t>
      </w:r>
      <w:proofErr w:type="spellStart"/>
      <w:r>
        <w:rPr>
          <w:sz w:val="18"/>
        </w:rPr>
        <w:t>Azure</w:t>
      </w:r>
      <w:proofErr w:type="spellEnd"/>
      <w:r>
        <w:rPr>
          <w:sz w:val="18"/>
        </w:rPr>
        <w:t xml:space="preserve">, podczas których dana Domena Zarządzana jest niedostępna. Minuta jest uznawana za minutę niedostępności, jeśli wszystkie żądania uwierzytelnienia w domenie kont użytkowników należących do Domeny Zarządzanej, prób powiązania głównego wpisu DSE z protokołem LDAP lub </w:t>
      </w:r>
      <w:proofErr w:type="spellStart"/>
      <w:r>
        <w:rPr>
          <w:sz w:val="18"/>
        </w:rPr>
        <w:t>wyszukań</w:t>
      </w:r>
      <w:proofErr w:type="spellEnd"/>
      <w:r>
        <w:rPr>
          <w:sz w:val="18"/>
        </w:rPr>
        <w:t xml:space="preserve"> rekordów DNS, wysłane</w:t>
      </w:r>
      <w:r w:rsidR="00E22971">
        <w:rPr>
          <w:sz w:val="18"/>
        </w:rPr>
        <w:t> </w:t>
      </w:r>
      <w:r>
        <w:rPr>
          <w:sz w:val="18"/>
        </w:rPr>
        <w:t>z sieci wirtualnej, w której jest włączona Domena Zarządzana, zwrócą Kod Błędu lub nie zwrócą Kodu Sukcesu w ciągu 30 sekund.</w:t>
      </w:r>
    </w:p>
    <w:p w14:paraId="331BDBEE" w14:textId="5EC213FE" w:rsidR="004005AF" w:rsidRPr="00EF7CF9" w:rsidRDefault="00AC48A7" w:rsidP="004005AF">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46E9969E" w14:textId="3E884681" w:rsidR="004005AF" w:rsidRPr="00A2017D" w:rsidRDefault="00000000" w:rsidP="000C34F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0A03798" w14:textId="77777777" w:rsidR="00C04A8E" w:rsidRPr="00523950" w:rsidRDefault="00C04A8E" w:rsidP="00C04A8E">
      <w:pPr>
        <w:pStyle w:val="ProductList-Body"/>
        <w:rPr>
          <w:rFonts w:ascii="Calibri" w:hAnsi="Calibri" w:cs="Calibri"/>
        </w:rPr>
      </w:pPr>
      <w:r>
        <w:rPr>
          <w:rFonts w:ascii="Calibri" w:hAnsi="Calibri" w:cs="Calibri"/>
          <w:b/>
          <w:color w:val="00188F"/>
        </w:rPr>
        <w:t xml:space="preserve">Następujące Poziomy Usługi i Środki na Używanie Usług mają zastosowanie do korzystania przez Klienta z Usług Domenowych Microsoft </w:t>
      </w:r>
      <w:proofErr w:type="spellStart"/>
      <w:r>
        <w:rPr>
          <w:rFonts w:ascii="Calibri" w:hAnsi="Calibri" w:cs="Calibri"/>
          <w:b/>
          <w:color w:val="00188F"/>
        </w:rPr>
        <w:t>Entra</w:t>
      </w:r>
      <w:proofErr w:type="spellEnd"/>
      <w:r w:rsidRPr="00E43AD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793AD96" w14:textId="77777777" w:rsidTr="00277097">
        <w:trPr>
          <w:tblHeader/>
        </w:trPr>
        <w:tc>
          <w:tcPr>
            <w:tcW w:w="5400" w:type="dxa"/>
            <w:shd w:val="clear" w:color="auto" w:fill="0072C6"/>
          </w:tcPr>
          <w:p w14:paraId="6E86E6F5" w14:textId="55E22CD0"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85748E1"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A555B0C" w14:textId="77777777" w:rsidTr="00277097">
        <w:tc>
          <w:tcPr>
            <w:tcW w:w="5400" w:type="dxa"/>
          </w:tcPr>
          <w:p w14:paraId="57774921" w14:textId="77777777" w:rsidR="004005AF" w:rsidRPr="00EF7CF9" w:rsidRDefault="004005AF" w:rsidP="000F31B4">
            <w:pPr>
              <w:pStyle w:val="ProductList-OfferingBody"/>
              <w:jc w:val="center"/>
            </w:pPr>
            <w:r>
              <w:t>&lt; 99,9%</w:t>
            </w:r>
          </w:p>
        </w:tc>
        <w:tc>
          <w:tcPr>
            <w:tcW w:w="5400" w:type="dxa"/>
          </w:tcPr>
          <w:p w14:paraId="163D5793" w14:textId="77777777" w:rsidR="004005AF" w:rsidRPr="00EF7CF9" w:rsidRDefault="004005AF" w:rsidP="000F31B4">
            <w:pPr>
              <w:pStyle w:val="ProductList-OfferingBody"/>
              <w:jc w:val="center"/>
            </w:pPr>
            <w:r>
              <w:t>10%</w:t>
            </w:r>
          </w:p>
        </w:tc>
      </w:tr>
      <w:tr w:rsidR="004005AF" w:rsidRPr="00B44CF9" w14:paraId="2CF44EFD" w14:textId="77777777" w:rsidTr="00277097">
        <w:tc>
          <w:tcPr>
            <w:tcW w:w="5400" w:type="dxa"/>
          </w:tcPr>
          <w:p w14:paraId="4792C17D" w14:textId="77777777" w:rsidR="004005AF" w:rsidRPr="00EF7CF9" w:rsidRDefault="004005AF" w:rsidP="000F31B4">
            <w:pPr>
              <w:pStyle w:val="ProductList-OfferingBody"/>
              <w:keepNext/>
              <w:jc w:val="center"/>
            </w:pPr>
            <w:r>
              <w:t>&lt; 99%</w:t>
            </w:r>
          </w:p>
        </w:tc>
        <w:tc>
          <w:tcPr>
            <w:tcW w:w="5400" w:type="dxa"/>
          </w:tcPr>
          <w:p w14:paraId="6415A1FD" w14:textId="77777777" w:rsidR="004005AF" w:rsidRPr="00EF7CF9" w:rsidRDefault="004005AF" w:rsidP="000F31B4">
            <w:pPr>
              <w:pStyle w:val="ProductList-OfferingBody"/>
              <w:jc w:val="center"/>
            </w:pPr>
            <w:r>
              <w:t>25%</w:t>
            </w:r>
          </w:p>
        </w:tc>
      </w:tr>
    </w:tbl>
    <w:p w14:paraId="3386FEDA" w14:textId="3E41671C"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CEBBAD9" w14:textId="64E8D196" w:rsidR="004005AF" w:rsidRPr="00EF7CF9" w:rsidRDefault="004005AF" w:rsidP="004005AF">
      <w:pPr>
        <w:pStyle w:val="ProductList-Offering2Heading"/>
        <w:tabs>
          <w:tab w:val="clear" w:pos="360"/>
          <w:tab w:val="clear" w:pos="720"/>
          <w:tab w:val="clear" w:pos="1080"/>
        </w:tabs>
        <w:outlineLvl w:val="2"/>
      </w:pPr>
      <w:bookmarkStart w:id="119" w:name="_Toc52348917"/>
      <w:bookmarkStart w:id="120" w:name="_Toc239174955"/>
      <w:r>
        <w:t>Analysis Services</w:t>
      </w:r>
      <w:bookmarkEnd w:id="119"/>
      <w:bookmarkEnd w:id="120"/>
    </w:p>
    <w:p w14:paraId="5A6C05E0" w14:textId="77777777" w:rsidR="004005AF" w:rsidRPr="00EF7CF9" w:rsidRDefault="004005AF" w:rsidP="004005AF">
      <w:pPr>
        <w:pStyle w:val="ProductList-Body"/>
      </w:pPr>
      <w:r>
        <w:rPr>
          <w:b/>
          <w:color w:val="00188F"/>
        </w:rPr>
        <w:t>Dodatkowe definicje</w:t>
      </w:r>
      <w:r w:rsidRPr="007B038A">
        <w:rPr>
          <w:b/>
          <w:color w:val="00188F"/>
        </w:rPr>
        <w:t>:</w:t>
      </w:r>
    </w:p>
    <w:p w14:paraId="7D2A438E" w14:textId="77777777" w:rsidR="004005AF" w:rsidRPr="00C84B0F" w:rsidRDefault="004005AF" w:rsidP="004005AF">
      <w:pPr>
        <w:pStyle w:val="ProductList-Body"/>
        <w:rPr>
          <w:lang w:val="en-US"/>
        </w:rPr>
      </w:pPr>
      <w:r w:rsidRPr="00C84B0F">
        <w:rPr>
          <w:lang w:val="en-US"/>
        </w:rPr>
        <w:t>„</w:t>
      </w:r>
      <w:r w:rsidRPr="00C84B0F">
        <w:rPr>
          <w:b/>
          <w:color w:val="00188F"/>
          <w:lang w:val="en-US"/>
        </w:rPr>
        <w:t>Serwer</w:t>
      </w:r>
      <w:r w:rsidRPr="00C84B0F">
        <w:rPr>
          <w:lang w:val="en-US"/>
        </w:rPr>
        <w:t xml:space="preserve">” to </w:t>
      </w:r>
      <w:proofErr w:type="spellStart"/>
      <w:r w:rsidRPr="00C84B0F">
        <w:rPr>
          <w:lang w:val="en-US"/>
        </w:rPr>
        <w:t>dowolny</w:t>
      </w:r>
      <w:proofErr w:type="spellEnd"/>
      <w:r w:rsidRPr="00C84B0F">
        <w:rPr>
          <w:lang w:val="en-US"/>
        </w:rPr>
        <w:t xml:space="preserve"> </w:t>
      </w:r>
      <w:proofErr w:type="spellStart"/>
      <w:r w:rsidRPr="00C84B0F">
        <w:rPr>
          <w:lang w:val="en-US"/>
        </w:rPr>
        <w:t>serwer</w:t>
      </w:r>
      <w:proofErr w:type="spellEnd"/>
      <w:r w:rsidRPr="00C84B0F">
        <w:rPr>
          <w:lang w:val="en-US"/>
        </w:rPr>
        <w:t xml:space="preserve"> Azure Analysis Services. </w:t>
      </w:r>
    </w:p>
    <w:p w14:paraId="596E8EFA" w14:textId="60DE163B" w:rsidR="004005AF" w:rsidRPr="00EF7CF9" w:rsidRDefault="004005AF" w:rsidP="004005AF">
      <w:pPr>
        <w:pStyle w:val="ProductList-Body"/>
      </w:pPr>
      <w:r>
        <w:t>„</w:t>
      </w:r>
      <w:r>
        <w:rPr>
          <w:b/>
          <w:color w:val="00188F"/>
        </w:rPr>
        <w:t>Maksymalna Liczba Dostępnych Minut</w:t>
      </w:r>
      <w:r>
        <w:t xml:space="preserve">” to łączna liczba minut, przez które dany Serwer został wdrożony na platformie Microsoft </w:t>
      </w:r>
      <w:proofErr w:type="spellStart"/>
      <w:r>
        <w:t>Azure</w:t>
      </w:r>
      <w:proofErr w:type="spellEnd"/>
      <w:r>
        <w:t xml:space="preserve"> we Właściwym Okresie w ramach danej subskrypcji Microsoft </w:t>
      </w:r>
      <w:proofErr w:type="spellStart"/>
      <w:r>
        <w:t>Azure</w:t>
      </w:r>
      <w:proofErr w:type="spellEnd"/>
      <w:r>
        <w:t xml:space="preserve">. </w:t>
      </w:r>
    </w:p>
    <w:p w14:paraId="016FF859" w14:textId="77777777" w:rsidR="004005AF" w:rsidRPr="00EF7CF9" w:rsidRDefault="004005AF" w:rsidP="004005AF">
      <w:pPr>
        <w:pStyle w:val="ProductList-Body"/>
      </w:pPr>
      <w:r>
        <w:t>„</w:t>
      </w:r>
      <w:r>
        <w:rPr>
          <w:b/>
          <w:color w:val="00188F"/>
        </w:rPr>
        <w:t>Operacje Klienta</w:t>
      </w:r>
      <w:r>
        <w:t xml:space="preserve">” to zestaw wszystkich udokumentowanych operacji obsługiwanych przez usługi </w:t>
      </w:r>
      <w:proofErr w:type="spellStart"/>
      <w:r>
        <w:t>Azure</w:t>
      </w:r>
      <w:proofErr w:type="spellEnd"/>
      <w:r>
        <w:t xml:space="preserve"> Analysis Services. </w:t>
      </w:r>
    </w:p>
    <w:p w14:paraId="21FC0AC4" w14:textId="1605D46A" w:rsidR="004005AF" w:rsidRPr="00EF7CF9" w:rsidRDefault="004005AF" w:rsidP="00C84B0F">
      <w:pPr>
        <w:pStyle w:val="ProductList-Body"/>
      </w:pPr>
      <w:r>
        <w:rPr>
          <w:b/>
          <w:color w:val="00188F"/>
        </w:rPr>
        <w:t>Przestój</w:t>
      </w:r>
      <w:r w:rsidRPr="007B038A">
        <w:rPr>
          <w:b/>
          <w:color w:val="00188F"/>
        </w:rPr>
        <w:t>:</w:t>
      </w:r>
      <w:r>
        <w:t xml:space="preserve"> to łączna zakumulowana liczba minut we Właściwym Okresie dla danej subskrypcji Microsoft </w:t>
      </w:r>
      <w:proofErr w:type="spellStart"/>
      <w:r>
        <w:t>Azure</w:t>
      </w:r>
      <w:proofErr w:type="spellEnd"/>
      <w:r>
        <w:t>, podczas których dany Serwer jest niedostępny. Minuta jest uznawana za minutę niedostępności dla danego Serwera, jeśli ponad 1% wszystkich Operacji Klienta zakończonych w</w:t>
      </w:r>
      <w:r w:rsidR="00C84B0F">
        <w:t> </w:t>
      </w:r>
      <w:r>
        <w:t>ciągu tej minuty zwraca Kod Błędu.</w:t>
      </w:r>
    </w:p>
    <w:p w14:paraId="721BF4F7" w14:textId="3C5FD2FB" w:rsidR="004005AF" w:rsidRPr="00EF7CF9" w:rsidRDefault="00AC48A7" w:rsidP="0007784F">
      <w:pPr>
        <w:pStyle w:val="ProductList-Body"/>
        <w:keepNext/>
        <w:keepLines/>
      </w:pPr>
      <w:r>
        <w:rPr>
          <w:b/>
          <w:color w:val="00188F"/>
        </w:rPr>
        <w:t>Procent Czasu Sprawnego Działania</w:t>
      </w:r>
      <w:r w:rsidRPr="007B038A">
        <w:rPr>
          <w:b/>
          <w:color w:val="00188F"/>
        </w:rPr>
        <w:t>:</w:t>
      </w:r>
      <w:r>
        <w:t xml:space="preserve"> Procent Czasu Sprawnego Działania dla danego Serwera jest obliczany przy użyciu następującego wzoru: </w:t>
      </w:r>
    </w:p>
    <w:p w14:paraId="2CB3F24D" w14:textId="0D058E78" w:rsidR="004005AF" w:rsidRPr="00EF7CF9" w:rsidRDefault="00000000" w:rsidP="000C34FA">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E634174" w14:textId="5DF02743" w:rsidR="004005AF" w:rsidRPr="00EF7CF9" w:rsidRDefault="00187BF4" w:rsidP="004005AF">
      <w:pPr>
        <w:pStyle w:val="ProductList-Body"/>
      </w:pPr>
      <w:r w:rsidRPr="00187BF4">
        <w:rPr>
          <w:b/>
          <w:color w:val="00188F"/>
        </w:rPr>
        <w:t>Kredyt za Usługę:</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5288F34" w14:textId="77777777" w:rsidTr="00277097">
        <w:trPr>
          <w:tblHeader/>
        </w:trPr>
        <w:tc>
          <w:tcPr>
            <w:tcW w:w="5400" w:type="dxa"/>
            <w:shd w:val="clear" w:color="auto" w:fill="0072C6"/>
          </w:tcPr>
          <w:p w14:paraId="10D2AB94" w14:textId="432DC55E"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D0CF539"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09B811D6" w14:textId="77777777" w:rsidTr="00277097">
        <w:tc>
          <w:tcPr>
            <w:tcW w:w="5400" w:type="dxa"/>
          </w:tcPr>
          <w:p w14:paraId="300AB5B4" w14:textId="77777777" w:rsidR="004005AF" w:rsidRPr="00EF7CF9" w:rsidRDefault="004005AF" w:rsidP="000F31B4">
            <w:pPr>
              <w:pStyle w:val="ProductList-OfferingBody"/>
              <w:jc w:val="center"/>
            </w:pPr>
            <w:r>
              <w:t>&lt; 99,9%</w:t>
            </w:r>
          </w:p>
        </w:tc>
        <w:tc>
          <w:tcPr>
            <w:tcW w:w="5400" w:type="dxa"/>
          </w:tcPr>
          <w:p w14:paraId="25E97EF4" w14:textId="77777777" w:rsidR="004005AF" w:rsidRPr="00EF7CF9" w:rsidRDefault="004005AF" w:rsidP="000F31B4">
            <w:pPr>
              <w:pStyle w:val="ProductList-OfferingBody"/>
              <w:jc w:val="center"/>
            </w:pPr>
            <w:r>
              <w:t>10%</w:t>
            </w:r>
          </w:p>
        </w:tc>
      </w:tr>
      <w:tr w:rsidR="004005AF" w:rsidRPr="00B44CF9" w14:paraId="611B2312" w14:textId="77777777" w:rsidTr="00277097">
        <w:tc>
          <w:tcPr>
            <w:tcW w:w="5400" w:type="dxa"/>
          </w:tcPr>
          <w:p w14:paraId="7591053F" w14:textId="77777777" w:rsidR="004005AF" w:rsidRPr="00EF7CF9" w:rsidRDefault="004005AF" w:rsidP="000F31B4">
            <w:pPr>
              <w:pStyle w:val="ProductList-OfferingBody"/>
              <w:jc w:val="center"/>
            </w:pPr>
            <w:r>
              <w:t>&lt; 99%</w:t>
            </w:r>
          </w:p>
        </w:tc>
        <w:tc>
          <w:tcPr>
            <w:tcW w:w="5400" w:type="dxa"/>
          </w:tcPr>
          <w:p w14:paraId="57833F2A" w14:textId="77777777" w:rsidR="004005AF" w:rsidRPr="00EF7CF9" w:rsidRDefault="004005AF" w:rsidP="000F31B4">
            <w:pPr>
              <w:pStyle w:val="ProductList-OfferingBody"/>
              <w:jc w:val="center"/>
            </w:pPr>
            <w:r>
              <w:t>25%</w:t>
            </w:r>
          </w:p>
        </w:tc>
      </w:tr>
    </w:tbl>
    <w:p w14:paraId="691D4A32" w14:textId="35D5E992"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DB89434" w14:textId="77777777" w:rsidR="00BE5E98" w:rsidRPr="00966705" w:rsidRDefault="00BE5E98" w:rsidP="00FD5737">
      <w:pPr>
        <w:pStyle w:val="ProductList-Offering2Heading"/>
        <w:keepNext/>
        <w:tabs>
          <w:tab w:val="clear" w:pos="360"/>
          <w:tab w:val="clear" w:pos="720"/>
          <w:tab w:val="clear" w:pos="1080"/>
        </w:tabs>
        <w:outlineLvl w:val="2"/>
      </w:pPr>
      <w:bookmarkStart w:id="121" w:name="_Toc239174956"/>
      <w:bookmarkStart w:id="122" w:name="_Toc52348918"/>
      <w:r>
        <w:t xml:space="preserve">Interfejs API platformy </w:t>
      </w:r>
      <w:proofErr w:type="spellStart"/>
      <w:r>
        <w:t>Azure</w:t>
      </w:r>
      <w:proofErr w:type="spellEnd"/>
      <w:r>
        <w:t xml:space="preserve"> dla standardu FHIR</w:t>
      </w:r>
      <w:bookmarkEnd w:id="121"/>
    </w:p>
    <w:p w14:paraId="0D1A6CEE" w14:textId="2ECC9515" w:rsidR="00BE5E98" w:rsidRDefault="00BE5E98" w:rsidP="00BE5E98">
      <w:pPr>
        <w:pStyle w:val="ProductList-Body"/>
      </w:pPr>
      <w:r>
        <w:t>„</w:t>
      </w:r>
      <w:r>
        <w:rPr>
          <w:b/>
          <w:color w:val="00188F"/>
        </w:rPr>
        <w:t>Łączna Liczba Prób Transakcji</w:t>
      </w:r>
      <w:r w:rsidR="00381145">
        <w:t>”</w:t>
      </w:r>
      <w:r>
        <w:t xml:space="preserve"> to łączna liczba uwierzytelnionych żądań interfejsu API platformy </w:t>
      </w:r>
      <w:proofErr w:type="spellStart"/>
      <w:r>
        <w:t>Azure</w:t>
      </w:r>
      <w:proofErr w:type="spellEnd"/>
      <w:r>
        <w:t xml:space="preserve"> dla standardu FHIR wykonanych przez klienta we Właściwym Okresie dla danej subskrypcji Microsoft </w:t>
      </w:r>
      <w:proofErr w:type="spellStart"/>
      <w:r>
        <w:t>Azure</w:t>
      </w:r>
      <w:proofErr w:type="spellEnd"/>
      <w:r>
        <w:t>. Łączna liczba prób transakcji nie obejmuje żądań interfejsu API zwracających Kod Błędu, które są stale powtarzane w ciągu pięciu minut od otrzymania pierwszego Kodu Błędu.</w:t>
      </w:r>
    </w:p>
    <w:p w14:paraId="08CF0094" w14:textId="77777777" w:rsidR="00BE5E98" w:rsidRDefault="00BE5E98" w:rsidP="00BE5E98">
      <w:pPr>
        <w:pStyle w:val="ProductList-Body"/>
      </w:pPr>
      <w:r>
        <w:t>„</w:t>
      </w:r>
      <w:r>
        <w:rPr>
          <w:b/>
          <w:color w:val="00188F"/>
        </w:rPr>
        <w:t>Nieudane Transakcje</w:t>
      </w:r>
      <w:r>
        <w:t xml:space="preserve">” to zbiór wszystkich żądań w ramach Łącznej Liczby Prób Transakcji, które zwracają Kod Błędu albo nie zwracają Kodu Sukcesu w ciągu 60 sekund od ich otrzymania przez usługę </w:t>
      </w:r>
      <w:proofErr w:type="spellStart"/>
      <w:r>
        <w:t>Azure</w:t>
      </w:r>
      <w:proofErr w:type="spellEnd"/>
      <w:r>
        <w:t xml:space="preserve"> API for FHIR.</w:t>
      </w:r>
    </w:p>
    <w:p w14:paraId="63162907" w14:textId="79B0863D" w:rsidR="00BE5E98" w:rsidRPr="00E53123" w:rsidRDefault="00EE6E3C" w:rsidP="00BE5E98">
      <w:pPr>
        <w:pStyle w:val="ProductList-Body"/>
        <w:rPr>
          <w:b/>
          <w:color w:val="00188F"/>
        </w:rPr>
      </w:pPr>
      <w:r>
        <w:rPr>
          <w:b/>
          <w:color w:val="00188F"/>
        </w:rPr>
        <w:t>Obliczanie Czasu Sprawnego Działania</w:t>
      </w:r>
    </w:p>
    <w:p w14:paraId="6430E0E2" w14:textId="15891A27" w:rsidR="00BE5E98" w:rsidRDefault="00BE5E98" w:rsidP="00BE5E98">
      <w:pPr>
        <w:pStyle w:val="ProductList-Body"/>
      </w:pPr>
      <w:r>
        <w:t xml:space="preserve">„Procent Czasu Sprawnego Działania” dla usługi </w:t>
      </w:r>
      <w:proofErr w:type="spellStart"/>
      <w:r>
        <w:t>Azure</w:t>
      </w:r>
      <w:proofErr w:type="spellEnd"/>
      <w:r>
        <w:t xml:space="preserve"> API for FHIR jest obliczany jako Łączna Liczba Prób Transakcji pomniejszona o Transakcje Zakończone Niepowodzeniem, podzielona przez Łączną Liczbę Prób Transakcji pomnożoną przez 100. Procent Czasu Sprawnego Działania przedstawia się za pomocą następującego wzoru:</w:t>
      </w:r>
    </w:p>
    <w:p w14:paraId="4F5A4D70" w14:textId="077A5384" w:rsidR="00BE5E98" w:rsidRPr="00EF7CF9" w:rsidRDefault="00000000" w:rsidP="000C34F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Prób Transakcji – Transakcje Zakończone Niepowodzeniem</m:t>
              </m:r>
            </m:num>
            <m:den>
              <m:r>
                <m:rPr>
                  <m:nor/>
                </m:rPr>
                <w:rPr>
                  <w:rFonts w:ascii="Cambria Math" w:hAnsi="Cambria Math" w:cs="Calibri"/>
                  <w:i/>
                  <w:sz w:val="18"/>
                  <w:szCs w:val="18"/>
                </w:rPr>
                <m:t>Łączna Liczba Prób Transakcji</m:t>
              </m:r>
            </m:den>
          </m:f>
          <m:r>
            <w:rPr>
              <w:rFonts w:ascii="Cambria Math" w:hAnsi="Cambria Math" w:cs="Calibri"/>
              <w:sz w:val="18"/>
              <w:szCs w:val="18"/>
            </w:rPr>
            <m:t xml:space="preserve"> x 100</m:t>
          </m:r>
        </m:oMath>
      </m:oMathPara>
    </w:p>
    <w:p w14:paraId="49903A9B" w14:textId="77777777" w:rsidR="00BE5E98" w:rsidRDefault="00BE5E98" w:rsidP="00BE5E98">
      <w:pPr>
        <w:pStyle w:val="ProductList-Body"/>
      </w:pPr>
      <w:r>
        <w:t xml:space="preserve">Następujące Poziomy Usługi i Środki na Używanie Usług mają zastosowanie do usługi </w:t>
      </w:r>
      <w:proofErr w:type="spellStart"/>
      <w:r>
        <w:t>Azure</w:t>
      </w:r>
      <w:proofErr w:type="spellEnd"/>
      <w:r>
        <w:t xml:space="preserve"> API for FHIR:</w:t>
      </w:r>
    </w:p>
    <w:p w14:paraId="3D2538E1" w14:textId="77777777" w:rsidR="00BE5E98" w:rsidRPr="00EF7CF9" w:rsidRDefault="00BE5E98" w:rsidP="00BE5E98">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E5E98" w:rsidRPr="00B44CF9" w14:paraId="7F8CFD08" w14:textId="77777777" w:rsidTr="000F31B4">
        <w:trPr>
          <w:tblHeader/>
        </w:trPr>
        <w:tc>
          <w:tcPr>
            <w:tcW w:w="5400" w:type="dxa"/>
            <w:shd w:val="clear" w:color="auto" w:fill="0072C6"/>
          </w:tcPr>
          <w:p w14:paraId="5803F125" w14:textId="377E1E92" w:rsidR="00BE5E98"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A46F761" w14:textId="77777777" w:rsidR="00BE5E98" w:rsidRPr="00EF7CF9" w:rsidRDefault="00BE5E98" w:rsidP="000F31B4">
            <w:pPr>
              <w:pStyle w:val="ProductList-OfferingBody"/>
              <w:jc w:val="center"/>
              <w:rPr>
                <w:color w:val="FFFFFF" w:themeColor="background1"/>
              </w:rPr>
            </w:pPr>
            <w:r>
              <w:rPr>
                <w:color w:val="FFFFFF" w:themeColor="background1"/>
              </w:rPr>
              <w:t>Środki Serwisowe na Używanie Usług</w:t>
            </w:r>
          </w:p>
        </w:tc>
      </w:tr>
      <w:tr w:rsidR="00BE5E98" w:rsidRPr="00B44CF9" w14:paraId="1F772872" w14:textId="77777777" w:rsidTr="000F31B4">
        <w:tc>
          <w:tcPr>
            <w:tcW w:w="5400" w:type="dxa"/>
          </w:tcPr>
          <w:p w14:paraId="5ED40FF8" w14:textId="77777777" w:rsidR="00BE5E98" w:rsidRPr="00EF7CF9" w:rsidRDefault="00BE5E98" w:rsidP="000F31B4">
            <w:pPr>
              <w:pStyle w:val="ProductList-OfferingBody"/>
              <w:jc w:val="center"/>
            </w:pPr>
            <w:r>
              <w:t>&lt; 99,9%</w:t>
            </w:r>
          </w:p>
        </w:tc>
        <w:tc>
          <w:tcPr>
            <w:tcW w:w="5400" w:type="dxa"/>
          </w:tcPr>
          <w:p w14:paraId="087584E0" w14:textId="77777777" w:rsidR="00BE5E98" w:rsidRPr="00EF7CF9" w:rsidRDefault="00BE5E98" w:rsidP="000F31B4">
            <w:pPr>
              <w:pStyle w:val="ProductList-OfferingBody"/>
              <w:jc w:val="center"/>
            </w:pPr>
            <w:r>
              <w:t>10%</w:t>
            </w:r>
          </w:p>
        </w:tc>
      </w:tr>
      <w:tr w:rsidR="00BE5E98" w:rsidRPr="00B44CF9" w14:paraId="59510B73" w14:textId="77777777" w:rsidTr="000F31B4">
        <w:tc>
          <w:tcPr>
            <w:tcW w:w="5400" w:type="dxa"/>
          </w:tcPr>
          <w:p w14:paraId="39575131" w14:textId="77777777" w:rsidR="00BE5E98" w:rsidRPr="00EF7CF9" w:rsidRDefault="00BE5E98" w:rsidP="000F31B4">
            <w:pPr>
              <w:pStyle w:val="ProductList-OfferingBody"/>
              <w:jc w:val="center"/>
            </w:pPr>
            <w:r>
              <w:t>&lt; 99%</w:t>
            </w:r>
          </w:p>
        </w:tc>
        <w:tc>
          <w:tcPr>
            <w:tcW w:w="5400" w:type="dxa"/>
          </w:tcPr>
          <w:p w14:paraId="65D28BFB" w14:textId="77777777" w:rsidR="00BE5E98" w:rsidRPr="00EF7CF9" w:rsidRDefault="00BE5E98" w:rsidP="000F31B4">
            <w:pPr>
              <w:pStyle w:val="ProductList-OfferingBody"/>
              <w:jc w:val="center"/>
            </w:pPr>
            <w:r>
              <w:t>25%</w:t>
            </w:r>
          </w:p>
        </w:tc>
      </w:tr>
    </w:tbl>
    <w:p w14:paraId="153130DE" w14:textId="6845C230" w:rsidR="00BE5E98" w:rsidRPr="00E53123" w:rsidRDefault="00C71F89" w:rsidP="00BE5E9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37DC797" w14:textId="3DC18A49" w:rsidR="009B376B" w:rsidRDefault="009B376B" w:rsidP="004005AF">
      <w:pPr>
        <w:pStyle w:val="ProductList-Offering2Heading"/>
        <w:tabs>
          <w:tab w:val="clear" w:pos="360"/>
          <w:tab w:val="clear" w:pos="720"/>
          <w:tab w:val="clear" w:pos="1080"/>
        </w:tabs>
        <w:outlineLvl w:val="2"/>
      </w:pPr>
      <w:bookmarkStart w:id="123" w:name="_Toc239174957"/>
      <w:r>
        <w:t>Usługi Centrum API</w:t>
      </w:r>
      <w:bookmarkEnd w:id="123"/>
    </w:p>
    <w:p w14:paraId="64AF5052" w14:textId="77777777" w:rsidR="00336E07" w:rsidRPr="0018346E" w:rsidRDefault="00336E07" w:rsidP="00336E07">
      <w:pPr>
        <w:spacing w:after="0" w:line="240" w:lineRule="auto"/>
        <w:textAlignment w:val="baseline"/>
        <w:rPr>
          <w:rFonts w:ascii="Calibri" w:hAnsi="Calibri" w:cs="Calibri"/>
          <w:b/>
          <w:color w:val="00188F"/>
          <w:sz w:val="18"/>
          <w:szCs w:val="18"/>
        </w:rPr>
      </w:pPr>
      <w:r>
        <w:rPr>
          <w:rFonts w:ascii="Calibri" w:hAnsi="Calibri" w:cs="Calibri"/>
          <w:b/>
          <w:color w:val="00188F"/>
          <w:sz w:val="18"/>
          <w:szCs w:val="18"/>
        </w:rPr>
        <w:t>Dodatkowe definicje: </w:t>
      </w:r>
    </w:p>
    <w:p w14:paraId="34A94EE7" w14:textId="77777777" w:rsidR="00336E07" w:rsidRPr="0018346E" w:rsidRDefault="00336E07" w:rsidP="00336E07">
      <w:pPr>
        <w:spacing w:after="0" w:line="240" w:lineRule="auto"/>
        <w:textAlignment w:val="baseline"/>
        <w:rPr>
          <w:rFonts w:ascii="Calibri" w:eastAsia="Calibri" w:hAnsi="Calibri" w:cs="Arial"/>
          <w:sz w:val="18"/>
        </w:rPr>
      </w:pPr>
      <w:r>
        <w:rPr>
          <w:rFonts w:ascii="Calibri" w:hAnsi="Calibri" w:cs="Calibri"/>
          <w:b/>
          <w:color w:val="00188F"/>
          <w:sz w:val="18"/>
          <w:szCs w:val="18"/>
        </w:rPr>
        <w:t>Minuty Wdrożenia</w:t>
      </w:r>
      <w:r>
        <w:rPr>
          <w:rFonts w:ascii="Calibri" w:eastAsia="Calibri" w:hAnsi="Calibri" w:cs="Arial"/>
          <w:color w:val="FF0000"/>
          <w:sz w:val="18"/>
        </w:rPr>
        <w:t xml:space="preserve"> </w:t>
      </w:r>
      <w:r>
        <w:rPr>
          <w:rFonts w:ascii="Calibri" w:eastAsia="Calibri" w:hAnsi="Calibri" w:cs="Arial"/>
          <w:sz w:val="18"/>
        </w:rPr>
        <w:t>to łączna liczba minut, na które dana instancja Centrum API została zakupiona we Właściwym Okresie. </w:t>
      </w:r>
    </w:p>
    <w:p w14:paraId="5E44CA15" w14:textId="77777777" w:rsidR="00336E07" w:rsidRPr="0018346E" w:rsidRDefault="00336E07" w:rsidP="00336E07">
      <w:pPr>
        <w:spacing w:after="0" w:line="240" w:lineRule="auto"/>
        <w:textAlignment w:val="baseline"/>
        <w:rPr>
          <w:rFonts w:ascii="Calibri" w:eastAsia="Calibri" w:hAnsi="Calibri" w:cs="Arial"/>
          <w:sz w:val="18"/>
        </w:rPr>
      </w:pPr>
      <w:r>
        <w:rPr>
          <w:rFonts w:ascii="Calibri" w:hAnsi="Calibri" w:cs="Calibri"/>
          <w:b/>
          <w:color w:val="00188F"/>
          <w:sz w:val="18"/>
          <w:szCs w:val="18"/>
        </w:rPr>
        <w:t>Zasoby:</w:t>
      </w:r>
      <w:r>
        <w:rPr>
          <w:rFonts w:ascii="Calibri" w:eastAsia="Calibri" w:hAnsi="Calibri" w:cs="Arial"/>
          <w:sz w:val="18"/>
        </w:rPr>
        <w:t xml:space="preserve"> oznacza dowolną rejestrację zasobów Centrum API w instancji Centrum API (np. Apis, Definicje API, Wersje API, Wdrożenia API, Środowiska, Metadane). </w:t>
      </w:r>
    </w:p>
    <w:p w14:paraId="1009837D" w14:textId="77777777" w:rsidR="00336E07" w:rsidRPr="005D18E1" w:rsidRDefault="00336E07" w:rsidP="00336E0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Maksymalna Liczba Dostępnych Minut:</w:t>
      </w:r>
      <w:r>
        <w:rPr>
          <w:rFonts w:ascii="Calibri" w:eastAsia="Calibri" w:hAnsi="Calibri" w:cs="Arial"/>
          <w:color w:val="FF0000"/>
          <w:sz w:val="18"/>
        </w:rPr>
        <w:t xml:space="preserve"> </w:t>
      </w:r>
      <w:r>
        <w:rPr>
          <w:rFonts w:ascii="Calibri" w:eastAsia="Calibri" w:hAnsi="Calibri" w:cs="Arial"/>
          <w:sz w:val="18"/>
        </w:rPr>
        <w:t xml:space="preserve">Suma wszystkich Minut Wykorzystania dla określonej instancji Centrum API powiązanej z daną subskrypcją Microsoft </w:t>
      </w:r>
      <w:proofErr w:type="spellStart"/>
      <w:r>
        <w:rPr>
          <w:rFonts w:ascii="Calibri" w:eastAsia="Calibri" w:hAnsi="Calibri" w:cs="Arial"/>
          <w:sz w:val="18"/>
        </w:rPr>
        <w:t>Azure</w:t>
      </w:r>
      <w:proofErr w:type="spellEnd"/>
      <w:r>
        <w:rPr>
          <w:rFonts w:ascii="Calibri" w:eastAsia="Calibri" w:hAnsi="Calibri" w:cs="Arial"/>
          <w:sz w:val="18"/>
        </w:rPr>
        <w:t xml:space="preserve"> we Właściwym Okresie. </w:t>
      </w:r>
    </w:p>
    <w:p w14:paraId="58060F8D" w14:textId="77777777" w:rsidR="00336E07" w:rsidRPr="005D18E1" w:rsidRDefault="00336E07" w:rsidP="00336E0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Przestój:</w:t>
      </w:r>
      <w:r>
        <w:rPr>
          <w:rFonts w:ascii="Calibri" w:eastAsia="Calibri" w:hAnsi="Calibri" w:cs="Arial"/>
          <w:color w:val="FF0000"/>
          <w:sz w:val="18"/>
        </w:rPr>
        <w:t xml:space="preserve"> </w:t>
      </w:r>
      <w:r>
        <w:rPr>
          <w:rFonts w:ascii="Calibri" w:eastAsia="Calibri" w:hAnsi="Calibri" w:cs="Arial"/>
          <w:sz w:val="18"/>
        </w:rPr>
        <w:t xml:space="preserve">to łączna zakumulowana liczba wszystkich minut, podczas których dana płaszczyzna danych Centrum API jest niedostępna. Minuta jest uznawana za minutę niedostępności dla danej instancji Centrum API, jeśli wszystkie próby wykonania przez użytkowników </w:t>
      </w:r>
      <w:proofErr w:type="spellStart"/>
      <w:r>
        <w:rPr>
          <w:rFonts w:ascii="Calibri" w:eastAsia="Calibri" w:hAnsi="Calibri" w:cs="Arial"/>
          <w:sz w:val="18"/>
        </w:rPr>
        <w:t>wywołań</w:t>
      </w:r>
      <w:proofErr w:type="spellEnd"/>
      <w:r>
        <w:rPr>
          <w:rFonts w:ascii="Calibri" w:eastAsia="Calibri" w:hAnsi="Calibri" w:cs="Arial"/>
          <w:sz w:val="18"/>
        </w:rPr>
        <w:t xml:space="preserve"> API względem płaszczyzny danych Centrum API skutkują kodem błędu lub nie generują odpowiedzi w ciągu pięciu minut. </w:t>
      </w:r>
    </w:p>
    <w:p w14:paraId="7B8F7673" w14:textId="77777777" w:rsidR="00336E07" w:rsidRPr="005D18E1" w:rsidRDefault="00336E07" w:rsidP="00336E07">
      <w:pPr>
        <w:spacing w:after="0" w:line="240" w:lineRule="auto"/>
        <w:textAlignment w:val="baseline"/>
        <w:rPr>
          <w:rFonts w:ascii="Calibri" w:eastAsia="Calibri" w:hAnsi="Calibri" w:cs="Arial"/>
          <w:color w:val="FF0000"/>
          <w:sz w:val="18"/>
        </w:rPr>
      </w:pPr>
      <w:r>
        <w:rPr>
          <w:rFonts w:ascii="Calibri" w:hAnsi="Calibri" w:cs="Calibri"/>
          <w:b/>
          <w:color w:val="00188F"/>
          <w:sz w:val="18"/>
          <w:szCs w:val="18"/>
        </w:rPr>
        <w:t>Procent Czasu Sprawnego Działania:</w:t>
      </w:r>
      <w:r>
        <w:rPr>
          <w:rFonts w:ascii="Calibri" w:eastAsia="Calibri" w:hAnsi="Calibri" w:cs="Arial"/>
          <w:color w:val="FF0000"/>
          <w:sz w:val="18"/>
        </w:rPr>
        <w:t xml:space="preserve"> </w:t>
      </w:r>
      <w:r>
        <w:rPr>
          <w:rFonts w:ascii="Calibri" w:eastAsia="Calibri" w:hAnsi="Calibri" w:cs="Arial"/>
          <w:sz w:val="18"/>
        </w:rPr>
        <w:t>Procent Czasu Sprawnego Działania jest obliczany przy użyciu następującego wzoru: </w:t>
      </w:r>
    </w:p>
    <w:p w14:paraId="49C01F00" w14:textId="77777777" w:rsidR="00336E07" w:rsidRPr="005D18E1" w:rsidRDefault="00336E07" w:rsidP="00336E07">
      <w:pPr>
        <w:spacing w:after="0" w:line="240" w:lineRule="auto"/>
        <w:textAlignment w:val="baseline"/>
        <w:rPr>
          <w:rFonts w:ascii="Calibri" w:eastAsia="Calibri" w:hAnsi="Calibri" w:cs="Arial"/>
          <w:color w:val="FF0000"/>
          <w:sz w:val="18"/>
        </w:rPr>
      </w:pPr>
    </w:p>
    <w:p w14:paraId="6A721B57" w14:textId="77777777" w:rsidR="00336E07" w:rsidRPr="005D18E1" w:rsidRDefault="00000000" w:rsidP="00336E07">
      <w:pPr>
        <w:jc w:val="both"/>
        <w:rPr>
          <w:rFonts w:ascii="Calibri" w:eastAsia="Calibri" w:hAnsi="Calibri" w:cs="Arial"/>
          <w:color w:val="FF0000"/>
          <w:sz w:val="18"/>
          <w:szCs w:val="18"/>
        </w:rPr>
      </w:pPr>
      <m:oMathPara>
        <m:oMathParaPr>
          <m:jc m:val="center"/>
        </m:oMathParaPr>
        <m:oMath>
          <m:f>
            <m:fPr>
              <m:ctrlPr>
                <w:rPr>
                  <w:rFonts w:ascii="Cambria Math" w:eastAsia="Calibri" w:hAnsi="Cambria Math" w:cs="Arial"/>
                  <w:i/>
                  <w:iCs/>
                  <w:sz w:val="18"/>
                  <w:szCs w:val="18"/>
                </w:rPr>
              </m:ctrlPr>
            </m:fPr>
            <m:num>
              <m:r>
                <w:rPr>
                  <w:rFonts w:ascii="Cambria Math" w:eastAsia="Calibri" w:hAnsi="Cambria Math" w:cs="Arial"/>
                  <w:sz w:val="18"/>
                  <w:szCs w:val="18"/>
                </w:rPr>
                <m:t xml:space="preserve">Maksymalna Liczba Minut Dostępności - Przestój </m:t>
              </m:r>
            </m:num>
            <m:den>
              <m:r>
                <w:rPr>
                  <w:rFonts w:ascii="Cambria Math" w:eastAsia="Calibri" w:hAnsi="Cambria Math" w:cs="Arial"/>
                  <w:sz w:val="18"/>
                  <w:szCs w:val="18"/>
                </w:rPr>
                <m:t>Maksymalna Liczba Dostępnych Minut</m:t>
              </m:r>
            </m:den>
          </m:f>
          <m:r>
            <w:rPr>
              <w:rFonts w:ascii="Cambria Math" w:eastAsia="Calibri" w:hAnsi="Cambria Math" w:cs="Arial"/>
              <w:sz w:val="18"/>
              <w:szCs w:val="18"/>
            </w:rPr>
            <m:t xml:space="preserve"> x 100</m:t>
          </m:r>
        </m:oMath>
      </m:oMathPara>
    </w:p>
    <w:p w14:paraId="368FB85D" w14:textId="77777777" w:rsidR="00336E07" w:rsidRPr="0018346E" w:rsidRDefault="00336E07" w:rsidP="00336E0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Środki Serwisowe na Używanie Usług dla Planu Bezpłatnego skalowane w obrębie jednego regionu: </w:t>
      </w:r>
    </w:p>
    <w:p w14:paraId="42A0A6DF" w14:textId="77777777" w:rsidR="00336E07" w:rsidRPr="0018346E" w:rsidRDefault="00336E07" w:rsidP="00336E07">
      <w:pPr>
        <w:spacing w:after="0" w:line="240" w:lineRule="auto"/>
        <w:textAlignment w:val="baseline"/>
        <w:rPr>
          <w:rFonts w:ascii="Calibri" w:eastAsia="Calibri" w:hAnsi="Calibri" w:cs="Arial"/>
          <w:sz w:val="18"/>
        </w:rPr>
      </w:pPr>
      <w:r>
        <w:rPr>
          <w:rFonts w:ascii="Calibri" w:eastAsia="Calibri" w:hAnsi="Calibri" w:cs="Arial"/>
          <w:sz w:val="18"/>
        </w:rPr>
        <w:t>Brak umowy SLA</w:t>
      </w:r>
    </w:p>
    <w:p w14:paraId="1AE787D9" w14:textId="77777777" w:rsidR="00336E07" w:rsidRPr="0018346E" w:rsidRDefault="00336E07" w:rsidP="00336E07">
      <w:pPr>
        <w:tabs>
          <w:tab w:val="left" w:pos="360"/>
          <w:tab w:val="left" w:pos="720"/>
          <w:tab w:val="left" w:pos="1080"/>
        </w:tabs>
        <w:spacing w:after="0" w:line="240" w:lineRule="auto"/>
        <w:rPr>
          <w:rFonts w:ascii="Calibri" w:hAnsi="Calibri" w:cs="Calibri"/>
          <w:b/>
          <w:color w:val="00188F"/>
          <w:sz w:val="18"/>
          <w:szCs w:val="18"/>
        </w:rPr>
      </w:pPr>
      <w:r>
        <w:rPr>
          <w:rFonts w:ascii="Calibri" w:hAnsi="Calibri" w:cs="Calibri"/>
          <w:b/>
          <w:color w:val="00188F"/>
          <w:sz w:val="18"/>
          <w:szCs w:val="18"/>
        </w:rPr>
        <w:t>Środki Serwisowe na Używanie Usług dla Planu Standardowego skalowane w obrębie jednego regionu: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92"/>
        <w:gridCol w:w="5392"/>
      </w:tblGrid>
      <w:tr w:rsidR="00336E07" w:rsidRPr="00E075C6" w14:paraId="49796195"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3F5351EB" w14:textId="77777777" w:rsidR="00336E07" w:rsidRPr="00E075C6" w:rsidRDefault="00336E07"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 </w:t>
            </w:r>
          </w:p>
        </w:tc>
        <w:tc>
          <w:tcPr>
            <w:tcW w:w="2500" w:type="pct"/>
            <w:tcBorders>
              <w:top w:val="single" w:sz="6" w:space="0" w:color="auto"/>
              <w:left w:val="single" w:sz="6" w:space="0" w:color="auto"/>
              <w:bottom w:val="single" w:sz="6" w:space="0" w:color="auto"/>
              <w:right w:val="single" w:sz="6" w:space="0" w:color="auto"/>
            </w:tcBorders>
            <w:shd w:val="clear" w:color="auto" w:fill="0072C6"/>
            <w:hideMark/>
          </w:tcPr>
          <w:p w14:paraId="7A7A8626" w14:textId="77777777" w:rsidR="00336E07" w:rsidRPr="00E075C6" w:rsidRDefault="00336E07" w:rsidP="009D172D">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 </w:t>
            </w:r>
          </w:p>
        </w:tc>
      </w:tr>
      <w:tr w:rsidR="00336E07" w:rsidRPr="00E075C6" w14:paraId="17763FE6" w14:textId="77777777" w:rsidTr="009D172D">
        <w:trPr>
          <w:trHeight w:val="255"/>
        </w:trPr>
        <w:tc>
          <w:tcPr>
            <w:tcW w:w="2500" w:type="pct"/>
            <w:tcBorders>
              <w:top w:val="single" w:sz="6" w:space="0" w:color="auto"/>
              <w:left w:val="single" w:sz="6" w:space="0" w:color="auto"/>
              <w:bottom w:val="single" w:sz="6" w:space="0" w:color="auto"/>
              <w:right w:val="single" w:sz="6" w:space="0" w:color="auto"/>
            </w:tcBorders>
            <w:hideMark/>
          </w:tcPr>
          <w:p w14:paraId="50A15BAF" w14:textId="77777777" w:rsidR="00336E07" w:rsidRPr="0018346E" w:rsidRDefault="00336E07"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 </w:t>
            </w:r>
          </w:p>
        </w:tc>
        <w:tc>
          <w:tcPr>
            <w:tcW w:w="2500" w:type="pct"/>
            <w:tcBorders>
              <w:top w:val="single" w:sz="6" w:space="0" w:color="auto"/>
              <w:left w:val="single" w:sz="6" w:space="0" w:color="auto"/>
              <w:bottom w:val="single" w:sz="6" w:space="0" w:color="auto"/>
              <w:right w:val="single" w:sz="6" w:space="0" w:color="auto"/>
            </w:tcBorders>
            <w:hideMark/>
          </w:tcPr>
          <w:p w14:paraId="59471826" w14:textId="77777777" w:rsidR="00336E07" w:rsidRPr="0018346E" w:rsidRDefault="00336E07"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10% </w:t>
            </w:r>
          </w:p>
        </w:tc>
      </w:tr>
      <w:tr w:rsidR="00336E07" w:rsidRPr="00E075C6" w14:paraId="086CCBB0" w14:textId="77777777" w:rsidTr="009D172D">
        <w:trPr>
          <w:trHeight w:val="165"/>
        </w:trPr>
        <w:tc>
          <w:tcPr>
            <w:tcW w:w="2500" w:type="pct"/>
            <w:tcBorders>
              <w:top w:val="single" w:sz="6" w:space="0" w:color="auto"/>
              <w:left w:val="single" w:sz="6" w:space="0" w:color="auto"/>
              <w:bottom w:val="single" w:sz="6" w:space="0" w:color="auto"/>
              <w:right w:val="single" w:sz="6" w:space="0" w:color="auto"/>
            </w:tcBorders>
            <w:hideMark/>
          </w:tcPr>
          <w:p w14:paraId="2E7E2915" w14:textId="77777777" w:rsidR="00336E07" w:rsidRPr="0018346E" w:rsidRDefault="00336E07"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 </w:t>
            </w:r>
          </w:p>
        </w:tc>
        <w:tc>
          <w:tcPr>
            <w:tcW w:w="2500" w:type="pct"/>
            <w:tcBorders>
              <w:top w:val="single" w:sz="6" w:space="0" w:color="auto"/>
              <w:left w:val="single" w:sz="6" w:space="0" w:color="auto"/>
              <w:bottom w:val="single" w:sz="6" w:space="0" w:color="auto"/>
              <w:right w:val="single" w:sz="6" w:space="0" w:color="auto"/>
            </w:tcBorders>
            <w:hideMark/>
          </w:tcPr>
          <w:p w14:paraId="38FACBE4" w14:textId="77777777" w:rsidR="00336E07" w:rsidRPr="0018346E" w:rsidRDefault="00336E07" w:rsidP="009D172D">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 xml:space="preserve">25% </w:t>
            </w:r>
          </w:p>
        </w:tc>
      </w:tr>
    </w:tbl>
    <w:p w14:paraId="5FF8AA2C" w14:textId="77777777" w:rsidR="00336E07" w:rsidRPr="00E53123" w:rsidRDefault="00336E07" w:rsidP="00336E0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3B44625" w14:textId="4D9475F3" w:rsidR="004005AF" w:rsidRPr="00EF7CF9" w:rsidRDefault="004005AF" w:rsidP="004005AF">
      <w:pPr>
        <w:pStyle w:val="ProductList-Offering2Heading"/>
        <w:tabs>
          <w:tab w:val="clear" w:pos="360"/>
          <w:tab w:val="clear" w:pos="720"/>
          <w:tab w:val="clear" w:pos="1080"/>
        </w:tabs>
        <w:outlineLvl w:val="2"/>
      </w:pPr>
      <w:bookmarkStart w:id="124" w:name="_Toc239174958"/>
      <w:r>
        <w:t>Usługi API Management</w:t>
      </w:r>
      <w:bookmarkEnd w:id="112"/>
      <w:bookmarkEnd w:id="122"/>
      <w:bookmarkEnd w:id="124"/>
    </w:p>
    <w:p w14:paraId="55F3B515" w14:textId="77777777" w:rsidR="004005AF" w:rsidRPr="00EF7CF9" w:rsidRDefault="004005AF" w:rsidP="004005AF">
      <w:pPr>
        <w:pStyle w:val="ProductList-Body"/>
      </w:pPr>
      <w:r>
        <w:rPr>
          <w:b/>
          <w:color w:val="00188F"/>
        </w:rPr>
        <w:t>Dodatkowe definicje</w:t>
      </w:r>
      <w:r w:rsidRPr="007B038A">
        <w:rPr>
          <w:b/>
          <w:color w:val="00188F"/>
        </w:rPr>
        <w:t>:</w:t>
      </w:r>
    </w:p>
    <w:p w14:paraId="0176D6F3" w14:textId="7C67AAD7" w:rsidR="004005AF" w:rsidRPr="00EF7CF9" w:rsidRDefault="004005AF" w:rsidP="004005AF">
      <w:pPr>
        <w:pStyle w:val="ProductList-Body"/>
        <w:spacing w:after="40"/>
      </w:pPr>
      <w:r>
        <w:t>„</w:t>
      </w:r>
      <w:r>
        <w:rPr>
          <w:b/>
          <w:color w:val="00188F"/>
        </w:rPr>
        <w:t>Minuty Wdrożenia</w:t>
      </w:r>
      <w:r>
        <w:t xml:space="preserve">” to łączna liczba minut, przez które dane wystąpienie Usługi API Management zostało wdrożone na platformie Microsoft </w:t>
      </w:r>
      <w:proofErr w:type="spellStart"/>
      <w:r>
        <w:t>Azure</w:t>
      </w:r>
      <w:proofErr w:type="spellEnd"/>
      <w:r>
        <w:t xml:space="preserve"> we Właściwym Okresie.</w:t>
      </w:r>
    </w:p>
    <w:p w14:paraId="4720E678" w14:textId="3011F836" w:rsidR="004005AF" w:rsidRPr="00EF7CF9" w:rsidRDefault="004005AF" w:rsidP="004005AF">
      <w:pPr>
        <w:pStyle w:val="ProductList-Body"/>
        <w:spacing w:after="40"/>
      </w:pPr>
      <w:r>
        <w:t>„</w:t>
      </w:r>
      <w:r>
        <w:rPr>
          <w:b/>
          <w:color w:val="00188F"/>
        </w:rPr>
        <w:t>Maksymalna Liczba Dostępnych Minut</w:t>
      </w:r>
      <w:r>
        <w:t xml:space="preserve">” to suma wszystkich Minut Wdrożenia we wszystkich wystąpieniach API Management wdrożonych przez użytkownika w ramach danej subskrypcji Microsoft </w:t>
      </w:r>
      <w:proofErr w:type="spellStart"/>
      <w:r>
        <w:t>Azure</w:t>
      </w:r>
      <w:proofErr w:type="spellEnd"/>
      <w:r>
        <w:t xml:space="preserve"> we Właściwym Okresie.</w:t>
      </w:r>
    </w:p>
    <w:p w14:paraId="54365A4B" w14:textId="78B2B122" w:rsidR="004005AF" w:rsidRPr="00EF7CF9" w:rsidRDefault="004005AF" w:rsidP="004005AF">
      <w:pPr>
        <w:pStyle w:val="ProductList-Body"/>
      </w:pPr>
      <w:r>
        <w:t>„</w:t>
      </w:r>
      <w:r>
        <w:rPr>
          <w:b/>
          <w:color w:val="00188F"/>
        </w:rPr>
        <w:t>Serwer Proxy</w:t>
      </w:r>
      <w:r>
        <w:t xml:space="preserve">” to składnik Usługi API Management służący do odbierania żądań API i przekazywania ich do skonfigurowanego zależnego </w:t>
      </w:r>
      <w:r w:rsidR="00C84B0F">
        <w:br/>
      </w:r>
      <w:r>
        <w:t>interfejsu API.</w:t>
      </w:r>
    </w:p>
    <w:p w14:paraId="6AEBE793" w14:textId="77777777" w:rsidR="004005AF" w:rsidRPr="00EF7CF9" w:rsidRDefault="004005AF" w:rsidP="004005AF">
      <w:pPr>
        <w:pStyle w:val="ProductList-Body"/>
      </w:pPr>
      <w:r>
        <w:rPr>
          <w:b/>
          <w:color w:val="00188F"/>
        </w:rPr>
        <w:t>Przestój</w:t>
      </w:r>
      <w:r w:rsidRPr="007B038A">
        <w:rPr>
          <w:b/>
          <w:color w:val="00188F"/>
        </w:rPr>
        <w:t>:</w:t>
      </w:r>
      <w:r>
        <w:t xml:space="preserve"> to łączna zakumulowana liczba Minut Wdrożenia dla wszystkich wystąpień Usługi API Management wdrożonych przez Klienta w ramach danej subskrypcji Microsoft </w:t>
      </w:r>
      <w:proofErr w:type="spellStart"/>
      <w:r>
        <w:t>Azure</w:t>
      </w:r>
      <w:proofErr w:type="spellEnd"/>
      <w:r>
        <w:t>, w czasie których Usługa API Management jest niedostępna. Minuta jest uznawana za minutę niedostępności dla danego wystąpienia usługi API Management, jeśli wszystkie kolejne próby wykonania operacji za pośrednictwem Serwera Proxy w ciągu minuty zwracają Kod Błędu albo nie zwracają Kodu Sukcesu przed upływem pięciu minut.</w:t>
      </w:r>
    </w:p>
    <w:p w14:paraId="20127167" w14:textId="15FEB2D6" w:rsidR="004005AF" w:rsidRPr="00EF7CF9" w:rsidRDefault="00AC48A7" w:rsidP="004005AF">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 </w:t>
      </w:r>
    </w:p>
    <w:p w14:paraId="3E1BA1B0" w14:textId="7AE2A892" w:rsidR="004005AF" w:rsidRPr="00EF7CF9" w:rsidRDefault="00000000" w:rsidP="007A3135">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516BFC5" w14:textId="77777777" w:rsidR="004005AF" w:rsidRPr="00EF7CF9" w:rsidRDefault="004005AF" w:rsidP="0007784F">
      <w:pPr>
        <w:pStyle w:val="ProductList-Body"/>
        <w:keepNext/>
        <w:keepLines/>
        <w:ind w:right="144"/>
      </w:pPr>
      <w:r>
        <w:rPr>
          <w:b/>
          <w:color w:val="00188F"/>
        </w:rPr>
        <w:t>Środki Serwisowe na Używanie Usług dla wdrożeń w Warstwach Zużycie, Podstawowa, Standardowa i Premium skalowanych w ramach jednego regionu</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434DDD1" w14:textId="77777777" w:rsidTr="00277097">
        <w:trPr>
          <w:tblHeader/>
        </w:trPr>
        <w:tc>
          <w:tcPr>
            <w:tcW w:w="5400" w:type="dxa"/>
            <w:shd w:val="clear" w:color="auto" w:fill="0072C6"/>
          </w:tcPr>
          <w:p w14:paraId="14C7B273" w14:textId="3DCC3411" w:rsidR="004005AF" w:rsidRPr="00EF7CF9" w:rsidRDefault="00AC48A7" w:rsidP="0007784F">
            <w:pPr>
              <w:pStyle w:val="ProductList-OfferingBody"/>
              <w:keepNext/>
              <w:keepLines/>
              <w:jc w:val="center"/>
              <w:rPr>
                <w:color w:val="FFFFFF" w:themeColor="background1"/>
              </w:rPr>
            </w:pPr>
            <w:r>
              <w:rPr>
                <w:color w:val="FFFFFF" w:themeColor="background1"/>
              </w:rPr>
              <w:t>Procent Czasu Sprawnego Działania</w:t>
            </w:r>
          </w:p>
        </w:tc>
        <w:tc>
          <w:tcPr>
            <w:tcW w:w="5400" w:type="dxa"/>
            <w:shd w:val="clear" w:color="auto" w:fill="0072C6"/>
          </w:tcPr>
          <w:p w14:paraId="4C159D00" w14:textId="77777777" w:rsidR="004005AF" w:rsidRPr="00EF7CF9" w:rsidRDefault="004005AF" w:rsidP="0007784F">
            <w:pPr>
              <w:pStyle w:val="ProductList-OfferingBody"/>
              <w:keepNext/>
              <w:keepLines/>
              <w:jc w:val="center"/>
              <w:rPr>
                <w:color w:val="FFFFFF" w:themeColor="background1"/>
              </w:rPr>
            </w:pPr>
            <w:r>
              <w:rPr>
                <w:color w:val="FFFFFF" w:themeColor="background1"/>
              </w:rPr>
              <w:t>Środki Serwisowe na Używanie Usług</w:t>
            </w:r>
          </w:p>
        </w:tc>
      </w:tr>
      <w:tr w:rsidR="004005AF" w:rsidRPr="00B44CF9" w14:paraId="1AAC8416" w14:textId="77777777" w:rsidTr="00277097">
        <w:tc>
          <w:tcPr>
            <w:tcW w:w="5400" w:type="dxa"/>
          </w:tcPr>
          <w:p w14:paraId="2B2E8C72" w14:textId="77777777" w:rsidR="004005AF" w:rsidRPr="00EF7CF9" w:rsidRDefault="004005AF" w:rsidP="0007784F">
            <w:pPr>
              <w:pStyle w:val="ProductList-OfferingBody"/>
              <w:keepNext/>
              <w:keepLines/>
              <w:jc w:val="center"/>
            </w:pPr>
            <w:r>
              <w:t>&lt; 99,95%</w:t>
            </w:r>
          </w:p>
        </w:tc>
        <w:tc>
          <w:tcPr>
            <w:tcW w:w="5400" w:type="dxa"/>
          </w:tcPr>
          <w:p w14:paraId="33CEAC16" w14:textId="77777777" w:rsidR="004005AF" w:rsidRPr="00EF7CF9" w:rsidRDefault="004005AF" w:rsidP="0007784F">
            <w:pPr>
              <w:pStyle w:val="ProductList-OfferingBody"/>
              <w:keepNext/>
              <w:keepLines/>
              <w:jc w:val="center"/>
            </w:pPr>
            <w:r>
              <w:t>10%</w:t>
            </w:r>
          </w:p>
        </w:tc>
      </w:tr>
      <w:tr w:rsidR="004005AF" w:rsidRPr="00B44CF9" w14:paraId="7B316C42" w14:textId="77777777" w:rsidTr="00277097">
        <w:tc>
          <w:tcPr>
            <w:tcW w:w="5400" w:type="dxa"/>
          </w:tcPr>
          <w:p w14:paraId="67540D64" w14:textId="77777777" w:rsidR="004005AF" w:rsidRPr="00EF7CF9" w:rsidRDefault="004005AF" w:rsidP="0007784F">
            <w:pPr>
              <w:pStyle w:val="ProductList-OfferingBody"/>
              <w:keepNext/>
              <w:keepLines/>
              <w:jc w:val="center"/>
            </w:pPr>
            <w:r>
              <w:t>&lt; 99%</w:t>
            </w:r>
          </w:p>
        </w:tc>
        <w:tc>
          <w:tcPr>
            <w:tcW w:w="5400" w:type="dxa"/>
          </w:tcPr>
          <w:p w14:paraId="1E92A785" w14:textId="77777777" w:rsidR="004005AF" w:rsidRPr="00EF7CF9" w:rsidRDefault="004005AF" w:rsidP="0007784F">
            <w:pPr>
              <w:pStyle w:val="ProductList-OfferingBody"/>
              <w:keepNext/>
              <w:keepLines/>
              <w:jc w:val="center"/>
            </w:pPr>
            <w:r>
              <w:t>25%</w:t>
            </w:r>
          </w:p>
        </w:tc>
      </w:tr>
    </w:tbl>
    <w:p w14:paraId="3213231A" w14:textId="77777777" w:rsidR="004005AF" w:rsidRPr="001A6663" w:rsidRDefault="004005AF" w:rsidP="004005AF">
      <w:pPr>
        <w:pStyle w:val="ProductList-Body"/>
      </w:pPr>
    </w:p>
    <w:p w14:paraId="2336717E" w14:textId="77777777" w:rsidR="004005AF" w:rsidRPr="00EF7CF9" w:rsidRDefault="004005AF" w:rsidP="004005AF">
      <w:pPr>
        <w:pStyle w:val="ProductList-Body"/>
        <w:rPr>
          <w:b/>
          <w:color w:val="00188F"/>
        </w:rPr>
      </w:pPr>
      <w:r>
        <w:rPr>
          <w:b/>
          <w:color w:val="00188F"/>
        </w:rPr>
        <w:t>Środki Serwisowe na Używanie Usług dla wdrożeń Warstwy Premium przeskalowanych na przynajmniej dwa regiony</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9BD8620" w14:textId="77777777" w:rsidTr="00277097">
        <w:trPr>
          <w:tblHeader/>
        </w:trPr>
        <w:tc>
          <w:tcPr>
            <w:tcW w:w="5400" w:type="dxa"/>
            <w:shd w:val="clear" w:color="auto" w:fill="0072C6"/>
          </w:tcPr>
          <w:p w14:paraId="7AACA877" w14:textId="5DF63A21"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CC7D830"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3A492BB1" w14:textId="77777777" w:rsidTr="00277097">
        <w:tc>
          <w:tcPr>
            <w:tcW w:w="5400" w:type="dxa"/>
            <w:tcBorders>
              <w:bottom w:val="single" w:sz="4" w:space="0" w:color="000000" w:themeColor="text1"/>
            </w:tcBorders>
          </w:tcPr>
          <w:p w14:paraId="66CF478C" w14:textId="77777777" w:rsidR="004005AF" w:rsidRPr="00EF7CF9" w:rsidRDefault="004005AF" w:rsidP="000F31B4">
            <w:pPr>
              <w:pStyle w:val="ProductList-OfferingBody"/>
              <w:jc w:val="center"/>
            </w:pPr>
            <w:r>
              <w:t>&lt; 99,99%</w:t>
            </w:r>
          </w:p>
        </w:tc>
        <w:tc>
          <w:tcPr>
            <w:tcW w:w="5400" w:type="dxa"/>
            <w:tcBorders>
              <w:bottom w:val="single" w:sz="4" w:space="0" w:color="000000" w:themeColor="text1"/>
            </w:tcBorders>
          </w:tcPr>
          <w:p w14:paraId="38F8C277" w14:textId="77777777" w:rsidR="004005AF" w:rsidRPr="00EF7CF9" w:rsidRDefault="004005AF" w:rsidP="000F31B4">
            <w:pPr>
              <w:pStyle w:val="ProductList-OfferingBody"/>
              <w:jc w:val="center"/>
            </w:pPr>
            <w:r>
              <w:t>10%</w:t>
            </w:r>
          </w:p>
        </w:tc>
      </w:tr>
      <w:tr w:rsidR="004005AF" w:rsidRPr="00B44CF9" w14:paraId="46F6100C" w14:textId="77777777" w:rsidTr="00277097">
        <w:tc>
          <w:tcPr>
            <w:tcW w:w="5400" w:type="dxa"/>
            <w:tcBorders>
              <w:bottom w:val="single" w:sz="4" w:space="0" w:color="auto"/>
            </w:tcBorders>
          </w:tcPr>
          <w:p w14:paraId="241E04B0" w14:textId="77777777" w:rsidR="004005AF" w:rsidRPr="00EF7CF9" w:rsidRDefault="004005AF" w:rsidP="000F31B4">
            <w:pPr>
              <w:pStyle w:val="ProductList-OfferingBody"/>
              <w:keepNext/>
              <w:jc w:val="center"/>
            </w:pPr>
            <w:r>
              <w:t>&lt; 99%</w:t>
            </w:r>
          </w:p>
        </w:tc>
        <w:tc>
          <w:tcPr>
            <w:tcW w:w="5400" w:type="dxa"/>
            <w:tcBorders>
              <w:bottom w:val="single" w:sz="4" w:space="0" w:color="auto"/>
            </w:tcBorders>
          </w:tcPr>
          <w:p w14:paraId="2EA6902E" w14:textId="77777777" w:rsidR="004005AF" w:rsidRPr="00EF7CF9" w:rsidRDefault="004005AF" w:rsidP="000F31B4">
            <w:pPr>
              <w:pStyle w:val="ProductList-OfferingBody"/>
              <w:jc w:val="center"/>
            </w:pPr>
            <w:r>
              <w:t>25%</w:t>
            </w:r>
          </w:p>
        </w:tc>
      </w:tr>
    </w:tbl>
    <w:bookmarkStart w:id="125" w:name="AppService"/>
    <w:bookmarkStart w:id="126" w:name="_Toc457821536"/>
    <w:bookmarkEnd w:id="125"/>
    <w:p w14:paraId="68D2864E" w14:textId="7E04D630"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6F39B64" w14:textId="29605318" w:rsidR="004F4126" w:rsidRPr="00EF7CF9" w:rsidRDefault="004F4126" w:rsidP="00FD5737">
      <w:pPr>
        <w:pStyle w:val="ProductList-Offering2Heading"/>
        <w:keepNext/>
        <w:tabs>
          <w:tab w:val="clear" w:pos="360"/>
          <w:tab w:val="clear" w:pos="720"/>
          <w:tab w:val="clear" w:pos="1080"/>
        </w:tabs>
        <w:outlineLvl w:val="2"/>
      </w:pPr>
      <w:bookmarkStart w:id="127" w:name="_Toc52348996"/>
      <w:bookmarkStart w:id="128" w:name="_Toc239174959"/>
      <w:bookmarkStart w:id="129" w:name="_Toc52348919"/>
      <w:proofErr w:type="spellStart"/>
      <w:r>
        <w:t>App</w:t>
      </w:r>
      <w:proofErr w:type="spellEnd"/>
      <w:r>
        <w:t xml:space="preserve"> Center</w:t>
      </w:r>
      <w:bookmarkEnd w:id="127"/>
      <w:bookmarkEnd w:id="128"/>
    </w:p>
    <w:p w14:paraId="3A9D0D7E" w14:textId="77777777" w:rsidR="004F4126" w:rsidRPr="00EF7CF9" w:rsidRDefault="004F4126" w:rsidP="00FD5737">
      <w:pPr>
        <w:pStyle w:val="ProductList-Body"/>
        <w:keepNext/>
        <w:rPr>
          <w:b/>
          <w:color w:val="00188F"/>
        </w:rPr>
      </w:pPr>
      <w:r>
        <w:rPr>
          <w:b/>
          <w:color w:val="00188F"/>
        </w:rPr>
        <w:t>Dodatkowe definicje</w:t>
      </w:r>
      <w:r w:rsidRPr="007B038A">
        <w:rPr>
          <w:b/>
          <w:color w:val="00188F"/>
        </w:rPr>
        <w:t>:</w:t>
      </w:r>
    </w:p>
    <w:p w14:paraId="361B5D29" w14:textId="77777777" w:rsidR="004F4126" w:rsidRPr="00EF7CF9" w:rsidRDefault="004F4126" w:rsidP="004F4126">
      <w:pPr>
        <w:pStyle w:val="ProductList-Body"/>
      </w:pPr>
      <w:r>
        <w:t>„</w:t>
      </w:r>
      <w:r>
        <w:rPr>
          <w:b/>
          <w:color w:val="00188F"/>
        </w:rPr>
        <w:t>Usługa Kompilacji</w:t>
      </w:r>
      <w:r>
        <w:t xml:space="preserve">” to funkcja, która umożliwia klientom kompilowanie aplikacji mobilnych w usłudze Visual Studio </w:t>
      </w:r>
      <w:proofErr w:type="spellStart"/>
      <w:r>
        <w:t>App</w:t>
      </w:r>
      <w:proofErr w:type="spellEnd"/>
      <w:r>
        <w:t xml:space="preserve"> Center.</w:t>
      </w:r>
    </w:p>
    <w:p w14:paraId="52D1C52F" w14:textId="77777777" w:rsidR="004F4126" w:rsidRPr="009E2B16" w:rsidRDefault="004F4126" w:rsidP="004F4126">
      <w:pPr>
        <w:spacing w:after="0" w:line="240" w:lineRule="auto"/>
        <w:rPr>
          <w:sz w:val="18"/>
          <w:szCs w:val="18"/>
        </w:rPr>
      </w:pPr>
      <w:r>
        <w:rPr>
          <w:sz w:val="18"/>
          <w:szCs w:val="18"/>
        </w:rPr>
        <w:t>„</w:t>
      </w:r>
      <w:r>
        <w:rPr>
          <w:b/>
          <w:color w:val="00188F"/>
          <w:sz w:val="18"/>
        </w:rPr>
        <w:t>Usługa Testowania</w:t>
      </w:r>
      <w:r>
        <w:rPr>
          <w:sz w:val="18"/>
          <w:szCs w:val="18"/>
        </w:rPr>
        <w:t xml:space="preserve">” to funkcja, która umożliwia klientom przesyłanie i testowanie aplikacji mobilnych na urządzeniach fizycznych uruchomionych w usłudze Visual Studio </w:t>
      </w:r>
      <w:proofErr w:type="spellStart"/>
      <w:r>
        <w:rPr>
          <w:sz w:val="18"/>
          <w:szCs w:val="18"/>
        </w:rPr>
        <w:t>App</w:t>
      </w:r>
      <w:proofErr w:type="spellEnd"/>
      <w:r>
        <w:rPr>
          <w:sz w:val="18"/>
          <w:szCs w:val="18"/>
        </w:rPr>
        <w:t xml:space="preserve"> Center. </w:t>
      </w:r>
    </w:p>
    <w:p w14:paraId="54868D5D" w14:textId="77777777" w:rsidR="004F4126" w:rsidRPr="00EF7CF9" w:rsidRDefault="004F4126" w:rsidP="004F4126">
      <w:pPr>
        <w:pStyle w:val="ProductList-Body"/>
      </w:pPr>
      <w:r>
        <w:rPr>
          <w:szCs w:val="18"/>
        </w:rPr>
        <w:t>„</w:t>
      </w:r>
      <w:r>
        <w:rPr>
          <w:b/>
          <w:color w:val="00188F"/>
          <w:szCs w:val="18"/>
        </w:rPr>
        <w:t>Usługa Powiadomień Wypychanych</w:t>
      </w:r>
      <w:r>
        <w:rPr>
          <w:szCs w:val="18"/>
        </w:rPr>
        <w:t xml:space="preserve">” to funkcja, która umożliwia klientom wypychanie wiadomości na konkretne urządzenia skonfigurowane do ich odbierania przy użyciu usługi Visual Studio </w:t>
      </w:r>
      <w:proofErr w:type="spellStart"/>
      <w:r>
        <w:rPr>
          <w:szCs w:val="18"/>
        </w:rPr>
        <w:t>App</w:t>
      </w:r>
      <w:proofErr w:type="spellEnd"/>
      <w:r>
        <w:rPr>
          <w:szCs w:val="18"/>
        </w:rPr>
        <w:t xml:space="preserve"> Center.</w:t>
      </w:r>
      <w:r>
        <w:t xml:space="preserve"> </w:t>
      </w:r>
    </w:p>
    <w:p w14:paraId="48EA1B33" w14:textId="4A20E88B" w:rsidR="004F4126" w:rsidRPr="00ED4527" w:rsidRDefault="00EE6E3C" w:rsidP="004F4126">
      <w:pPr>
        <w:pStyle w:val="ProductList-Body"/>
        <w:spacing w:before="120"/>
        <w:rPr>
          <w:b/>
          <w:bCs/>
          <w:color w:val="00188F"/>
        </w:rPr>
      </w:pPr>
      <w:r>
        <w:rPr>
          <w:b/>
          <w:bCs/>
          <w:color w:val="00188F"/>
        </w:rPr>
        <w:t xml:space="preserve">Obliczanie Czasu Sprawnego Działania oraz Poziomy Usługi dla Usługi Kompilacji Visual Studio </w:t>
      </w:r>
      <w:proofErr w:type="spellStart"/>
      <w:r>
        <w:rPr>
          <w:b/>
          <w:bCs/>
          <w:color w:val="00188F"/>
        </w:rPr>
        <w:t>App</w:t>
      </w:r>
      <w:proofErr w:type="spellEnd"/>
      <w:r>
        <w:rPr>
          <w:b/>
          <w:bCs/>
          <w:color w:val="00188F"/>
        </w:rPr>
        <w:t xml:space="preserve"> Center </w:t>
      </w:r>
      <w:proofErr w:type="spellStart"/>
      <w:r>
        <w:rPr>
          <w:b/>
          <w:bCs/>
          <w:color w:val="00188F"/>
        </w:rPr>
        <w:t>Build</w:t>
      </w:r>
      <w:proofErr w:type="spellEnd"/>
      <w:r>
        <w:rPr>
          <w:b/>
          <w:bCs/>
          <w:color w:val="00188F"/>
        </w:rPr>
        <w:t xml:space="preserve"> Service</w:t>
      </w:r>
    </w:p>
    <w:p w14:paraId="58225B60" w14:textId="2319EB11" w:rsidR="004F4126" w:rsidRPr="00EF7CF9" w:rsidRDefault="004F4126" w:rsidP="004F4126">
      <w:pPr>
        <w:pStyle w:val="ProductList-Body"/>
      </w:pPr>
      <w:r>
        <w:t>„</w:t>
      </w:r>
      <w:r>
        <w:rPr>
          <w:b/>
          <w:color w:val="00188F"/>
        </w:rPr>
        <w:t>Maksymalna Liczba Minut Dostępności</w:t>
      </w:r>
      <w:r w:rsidR="00A5025D" w:rsidRPr="00A5025D">
        <w:t>”</w:t>
      </w:r>
      <w:r w:rsidR="00A5025D">
        <w:rPr>
          <w:b/>
          <w:color w:val="00188F"/>
        </w:rPr>
        <w:t xml:space="preserve"> </w:t>
      </w:r>
      <w:r>
        <w:t xml:space="preserve">to łączna liczba minut, przez które usługa </w:t>
      </w:r>
      <w:proofErr w:type="spellStart"/>
      <w:r>
        <w:t>Build</w:t>
      </w:r>
      <w:proofErr w:type="spellEnd"/>
      <w:r>
        <w:t xml:space="preserve"> Service jest wdrażana przez Klienta w ramach podanych subskrypcji Microsoft </w:t>
      </w:r>
      <w:proofErr w:type="spellStart"/>
      <w:r>
        <w:t>Azure</w:t>
      </w:r>
      <w:proofErr w:type="spellEnd"/>
      <w:r>
        <w:t xml:space="preserve"> w trakcie Właściwego Okresu.</w:t>
      </w:r>
    </w:p>
    <w:p w14:paraId="391868A3" w14:textId="77777777" w:rsidR="004F4126" w:rsidRPr="00EF7CF9" w:rsidRDefault="004F4126" w:rsidP="004F4126">
      <w:pPr>
        <w:pStyle w:val="ProductList-Body"/>
      </w:pPr>
      <w:r>
        <w:t>„</w:t>
      </w:r>
      <w:r>
        <w:rPr>
          <w:b/>
          <w:color w:val="00188F"/>
        </w:rPr>
        <w:t>Przestój</w:t>
      </w:r>
      <w:r>
        <w:t>” to łączna liczba minut w ramach Maksymalnej Liczby Dostępnych Minut, w czasie których Usługa Kompilacji jest niedostępna. Minuta jest uznawana za minutę niedostępności, jeśli wszystkie zainicjowane przez Klienta w ciągu tej minuty kolejne żądania HTTP przesłane do Usługi Kompilacji w celu wykonania operacji zwracają Kod Błędu lub nie zwracają żadnej odpowiedzi w czasie jednej minuty.</w:t>
      </w:r>
    </w:p>
    <w:p w14:paraId="78730B3B" w14:textId="16C2028C" w:rsidR="004F4126" w:rsidRPr="00EF7CF9" w:rsidRDefault="00AC48A7" w:rsidP="004F4126">
      <w:pPr>
        <w:pStyle w:val="ProductList-Body"/>
      </w:pPr>
      <w:r>
        <w:rPr>
          <w:b/>
          <w:color w:val="00188F"/>
        </w:rPr>
        <w:t>Procent Czasu Sprawnego Działania</w:t>
      </w:r>
      <w:r w:rsidRPr="007B038A">
        <w:rPr>
          <w:b/>
          <w:color w:val="00188F"/>
        </w:rPr>
        <w:t>:</w:t>
      </w:r>
      <w:r>
        <w:t xml:space="preserve"> Procent Czasu Sprawnego Działania dla Usługi Kompilacji Visual Studio </w:t>
      </w:r>
      <w:proofErr w:type="spellStart"/>
      <w:r>
        <w:t>App</w:t>
      </w:r>
      <w:proofErr w:type="spellEnd"/>
      <w:r>
        <w:t xml:space="preserve"> Center </w:t>
      </w:r>
      <w:proofErr w:type="spellStart"/>
      <w:r>
        <w:t>Build</w:t>
      </w:r>
      <w:proofErr w:type="spellEnd"/>
      <w:r>
        <w:t xml:space="preserve"> Service to Maksymalna Liczba Dostępnych Minut pomniejszona o Przestój, podzielona przez Maksymalną Liczbę Dostępnych Minut i pomnożona przez 100. Procent Czasu Sprawnego Działania przedstawia się za pomocą następującego wzoru:</w:t>
      </w:r>
    </w:p>
    <w:p w14:paraId="63B39C84" w14:textId="15FA8B2C" w:rsidR="004F4126" w:rsidRPr="00EF7CF9" w:rsidRDefault="00000000" w:rsidP="007A3135">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A8F96D0" w14:textId="3AE0CA7D" w:rsidR="00881D39" w:rsidRDefault="004F4126" w:rsidP="007A3135">
      <w:pPr>
        <w:spacing w:after="0" w:line="240" w:lineRule="auto"/>
        <w:rPr>
          <w:rFonts w:eastAsiaTheme="minorEastAsia"/>
          <w:sz w:val="18"/>
          <w:szCs w:val="18"/>
          <w:lang w:eastAsia="zh-TW"/>
        </w:rPr>
      </w:pPr>
      <w:r>
        <w:rPr>
          <w:rFonts w:eastAsiaTheme="minorEastAsia"/>
          <w:sz w:val="18"/>
          <w:szCs w:val="18"/>
        </w:rPr>
        <w:t xml:space="preserve">Do używania przez Klienta Usługi Kompilacji Visual Studio </w:t>
      </w:r>
      <w:proofErr w:type="spellStart"/>
      <w:r>
        <w:rPr>
          <w:rFonts w:eastAsiaTheme="minorEastAsia"/>
          <w:sz w:val="18"/>
          <w:szCs w:val="18"/>
        </w:rPr>
        <w:t>App</w:t>
      </w:r>
      <w:proofErr w:type="spellEnd"/>
      <w:r>
        <w:rPr>
          <w:rFonts w:eastAsiaTheme="minorEastAsia"/>
          <w:sz w:val="18"/>
          <w:szCs w:val="18"/>
        </w:rPr>
        <w:t xml:space="preserve"> Center mają zastosowanie następujące Poziomy Usługi i Środki Serwisowe na Używanie Usług. </w:t>
      </w:r>
    </w:p>
    <w:p w14:paraId="16509D13" w14:textId="3CE4A4B5" w:rsidR="004F4126" w:rsidRPr="00EF7CF9" w:rsidRDefault="004F4126" w:rsidP="007C05A9">
      <w:pPr>
        <w:pStyle w:val="ProductList-Body"/>
        <w:keepNext/>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397A3689" w14:textId="77777777" w:rsidTr="00277097">
        <w:trPr>
          <w:tblHeader/>
        </w:trPr>
        <w:tc>
          <w:tcPr>
            <w:tcW w:w="5400" w:type="dxa"/>
            <w:tcBorders>
              <w:bottom w:val="single" w:sz="4" w:space="0" w:color="auto"/>
            </w:tcBorders>
            <w:shd w:val="clear" w:color="auto" w:fill="0072C6"/>
          </w:tcPr>
          <w:p w14:paraId="2DA692FB" w14:textId="2BE861E5" w:rsidR="004F412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tcBorders>
              <w:bottom w:val="single" w:sz="4" w:space="0" w:color="auto"/>
            </w:tcBorders>
            <w:shd w:val="clear" w:color="auto" w:fill="0072C6"/>
          </w:tcPr>
          <w:p w14:paraId="6A61800C" w14:textId="77777777" w:rsidR="004F4126" w:rsidRPr="00EF7CF9" w:rsidRDefault="004F4126" w:rsidP="000F31B4">
            <w:pPr>
              <w:pStyle w:val="ProductList-OfferingBody"/>
              <w:jc w:val="center"/>
              <w:rPr>
                <w:color w:val="FFFFFF" w:themeColor="background1"/>
              </w:rPr>
            </w:pPr>
            <w:r>
              <w:rPr>
                <w:color w:val="FFFFFF" w:themeColor="background1"/>
              </w:rPr>
              <w:t>Środki Serwisowe na Używanie Usług</w:t>
            </w:r>
          </w:p>
        </w:tc>
      </w:tr>
      <w:tr w:rsidR="004F4126" w:rsidRPr="00B44CF9" w14:paraId="126D1ECD" w14:textId="77777777" w:rsidTr="00277097">
        <w:tc>
          <w:tcPr>
            <w:tcW w:w="5400" w:type="dxa"/>
            <w:tcBorders>
              <w:top w:val="single" w:sz="4" w:space="0" w:color="auto"/>
              <w:left w:val="single" w:sz="4" w:space="0" w:color="auto"/>
              <w:bottom w:val="single" w:sz="4" w:space="0" w:color="auto"/>
              <w:right w:val="single" w:sz="4" w:space="0" w:color="auto"/>
            </w:tcBorders>
          </w:tcPr>
          <w:p w14:paraId="208AE802" w14:textId="77777777" w:rsidR="004F4126" w:rsidRPr="00EF7CF9" w:rsidRDefault="004F4126"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0BF35E16" w14:textId="77777777" w:rsidR="004F4126" w:rsidRPr="00EF7CF9" w:rsidRDefault="004F4126" w:rsidP="000F31B4">
            <w:pPr>
              <w:pStyle w:val="ProductList-OfferingBody"/>
              <w:jc w:val="center"/>
            </w:pPr>
            <w:r>
              <w:t>10%</w:t>
            </w:r>
          </w:p>
        </w:tc>
      </w:tr>
      <w:tr w:rsidR="004F4126" w:rsidRPr="00B44CF9" w14:paraId="53F4D4E6" w14:textId="77777777" w:rsidTr="00277097">
        <w:tc>
          <w:tcPr>
            <w:tcW w:w="5400" w:type="dxa"/>
            <w:tcBorders>
              <w:top w:val="single" w:sz="4" w:space="0" w:color="auto"/>
              <w:left w:val="single" w:sz="4" w:space="0" w:color="auto"/>
              <w:bottom w:val="single" w:sz="4" w:space="0" w:color="auto"/>
              <w:right w:val="single" w:sz="4" w:space="0" w:color="auto"/>
            </w:tcBorders>
          </w:tcPr>
          <w:p w14:paraId="7F4369C6" w14:textId="77777777" w:rsidR="004F4126" w:rsidRPr="00EF7CF9" w:rsidRDefault="004F4126" w:rsidP="004F4126">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583DBFD3" w14:textId="77777777" w:rsidR="004F4126" w:rsidRPr="00EF7CF9" w:rsidRDefault="004F4126" w:rsidP="004F4126">
            <w:pPr>
              <w:pStyle w:val="ProductList-OfferingBody"/>
              <w:jc w:val="center"/>
            </w:pPr>
            <w:r>
              <w:t>25%</w:t>
            </w:r>
          </w:p>
        </w:tc>
      </w:tr>
    </w:tbl>
    <w:p w14:paraId="72984DD3" w14:textId="5ED863CC" w:rsidR="004F4126" w:rsidRPr="00ED4527" w:rsidRDefault="00EE6E3C" w:rsidP="006505C6">
      <w:pPr>
        <w:pStyle w:val="ProductList-Body"/>
        <w:spacing w:before="120"/>
        <w:rPr>
          <w:b/>
          <w:bCs/>
          <w:color w:val="00188F"/>
        </w:rPr>
      </w:pPr>
      <w:r>
        <w:rPr>
          <w:b/>
          <w:bCs/>
          <w:color w:val="00188F"/>
        </w:rPr>
        <w:t xml:space="preserve">Obliczanie Czasu Sprawnego Działania oraz Poziomy Usługi dla Usługi Testowania Visual Studio </w:t>
      </w:r>
      <w:proofErr w:type="spellStart"/>
      <w:r>
        <w:rPr>
          <w:b/>
          <w:bCs/>
          <w:color w:val="00188F"/>
        </w:rPr>
        <w:t>App</w:t>
      </w:r>
      <w:proofErr w:type="spellEnd"/>
      <w:r>
        <w:rPr>
          <w:b/>
          <w:bCs/>
          <w:color w:val="00188F"/>
        </w:rPr>
        <w:t xml:space="preserve"> Center</w:t>
      </w:r>
    </w:p>
    <w:p w14:paraId="57EE826D" w14:textId="43C948FF" w:rsidR="004F4126" w:rsidRPr="00EF7CF9" w:rsidRDefault="004F4126" w:rsidP="004F4126">
      <w:pPr>
        <w:pStyle w:val="ProductList-Body"/>
      </w:pPr>
      <w:r>
        <w:t>„</w:t>
      </w:r>
      <w:r>
        <w:rPr>
          <w:b/>
          <w:color w:val="00188F"/>
        </w:rPr>
        <w:t>Maksymalna Liczba Minut Dostępności</w:t>
      </w:r>
      <w:r w:rsidR="00381145">
        <w:t>”</w:t>
      </w:r>
      <w:r>
        <w:t xml:space="preserve"> to łączna liczba minut, przez które Usługa Testowania jest wdrażana przez Klienta w ramach podanych subskrypcji Microsoft </w:t>
      </w:r>
      <w:proofErr w:type="spellStart"/>
      <w:r>
        <w:t>Azure</w:t>
      </w:r>
      <w:proofErr w:type="spellEnd"/>
      <w:r>
        <w:t xml:space="preserve"> w trakcie Właściwego Okresu.</w:t>
      </w:r>
    </w:p>
    <w:p w14:paraId="740E634A" w14:textId="0C920030" w:rsidR="004F4126" w:rsidRPr="00EF7CF9" w:rsidRDefault="004F4126" w:rsidP="004F4126">
      <w:pPr>
        <w:pStyle w:val="ProductList-Body"/>
      </w:pPr>
      <w:r>
        <w:rPr>
          <w:b/>
          <w:color w:val="00188F"/>
        </w:rPr>
        <w:t>Przestój</w:t>
      </w:r>
      <w:r w:rsidRPr="00A5025D">
        <w:rPr>
          <w:b/>
          <w:color w:val="00188F"/>
        </w:rPr>
        <w:t>:</w:t>
      </w:r>
      <w:r>
        <w:t xml:space="preserve"> to łączna liczba minut w ramach Maksymalnej Liczby Dostępnych Minut, w czasie których Usługa Testowania jest niedostępna. Minuta</w:t>
      </w:r>
      <w:r w:rsidR="002457AA">
        <w:t> </w:t>
      </w:r>
      <w:r>
        <w:t>jest</w:t>
      </w:r>
      <w:r w:rsidR="002457AA">
        <w:t> </w:t>
      </w:r>
      <w:r>
        <w:t>uznawana za minutę niedostępności, jeśli wszystkie zainicjowane przez Klienta w ciągu tej minuty kolejne żądania HTTP przesłane do</w:t>
      </w:r>
      <w:r w:rsidR="002457AA">
        <w:t> </w:t>
      </w:r>
      <w:r>
        <w:t>Usługi Testowania w celu wykonania operacji zwracają Kod Błędu lub nie zwracają żadnej odpowiedzi w czasie jednej minuty.</w:t>
      </w:r>
    </w:p>
    <w:p w14:paraId="670409F6" w14:textId="65EF2F12" w:rsidR="004F4126" w:rsidRPr="00EF7CF9" w:rsidRDefault="00AC48A7" w:rsidP="004F4126">
      <w:pPr>
        <w:pStyle w:val="ProductList-Body"/>
      </w:pPr>
      <w:r>
        <w:rPr>
          <w:b/>
          <w:color w:val="00188F"/>
        </w:rPr>
        <w:t>Procent Czasu Sprawnego Działania</w:t>
      </w:r>
      <w:r w:rsidRPr="007B038A">
        <w:rPr>
          <w:b/>
          <w:color w:val="00188F"/>
        </w:rPr>
        <w:t>:</w:t>
      </w:r>
      <w:r>
        <w:t xml:space="preserve"> Procent Czasu Sprawnego Działania dla Usługi Testowania Visual Studio </w:t>
      </w:r>
      <w:proofErr w:type="spellStart"/>
      <w:r>
        <w:t>App</w:t>
      </w:r>
      <w:proofErr w:type="spellEnd"/>
      <w:r>
        <w:t xml:space="preserve"> Center to Maksymalna Liczba Dostępnych Minut pomniejszona o Przestój, podzielona przez Maksymalną Liczbę Dostępnych Minut i pomnożona przez 100. Procent Czasu Sprawnego Działania przedstawia się za pomocą następującego wzoru:</w:t>
      </w:r>
    </w:p>
    <w:p w14:paraId="20FF1AC7" w14:textId="77777777" w:rsidR="004F4126" w:rsidRPr="00EF7CF9" w:rsidRDefault="004F4126" w:rsidP="004F4126">
      <w:pPr>
        <w:pStyle w:val="ProductList-Body"/>
      </w:pPr>
    </w:p>
    <w:p w14:paraId="75B31A28" w14:textId="47B9D1A7" w:rsidR="004F4126" w:rsidRPr="00EF7CF9" w:rsidRDefault="00000000" w:rsidP="004F4126">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2FF76E0" w14:textId="5CC4F79F" w:rsidR="004F4126" w:rsidRPr="00EF7CF9" w:rsidRDefault="004F4126" w:rsidP="004F4126">
      <w:pPr>
        <w:spacing w:after="0" w:line="240" w:lineRule="auto"/>
        <w:rPr>
          <w:rFonts w:eastAsiaTheme="minorEastAsia"/>
          <w:sz w:val="18"/>
          <w:szCs w:val="18"/>
          <w:lang w:eastAsia="zh-TW"/>
        </w:rPr>
      </w:pPr>
      <w:r>
        <w:rPr>
          <w:rFonts w:eastAsiaTheme="minorEastAsia"/>
          <w:sz w:val="18"/>
          <w:szCs w:val="18"/>
        </w:rPr>
        <w:t xml:space="preserve">Do używania przez Klienta Usługi Testowania Visual Studio </w:t>
      </w:r>
      <w:proofErr w:type="spellStart"/>
      <w:r>
        <w:rPr>
          <w:rFonts w:eastAsiaTheme="minorEastAsia"/>
          <w:sz w:val="18"/>
          <w:szCs w:val="18"/>
        </w:rPr>
        <w:t>App</w:t>
      </w:r>
      <w:proofErr w:type="spellEnd"/>
      <w:r>
        <w:rPr>
          <w:rFonts w:eastAsiaTheme="minorEastAsia"/>
          <w:sz w:val="18"/>
          <w:szCs w:val="18"/>
        </w:rPr>
        <w:t xml:space="preserve"> Center mają zastosowanie następujące Poziomy Usługi i Środki Serwisowe na Używanie Usług. </w:t>
      </w:r>
    </w:p>
    <w:p w14:paraId="5173A776" w14:textId="77777777" w:rsidR="004F4126" w:rsidRPr="00EF7CF9" w:rsidRDefault="004F4126" w:rsidP="004F4126">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0117F8F5" w14:textId="77777777" w:rsidTr="00277097">
        <w:trPr>
          <w:tblHeader/>
        </w:trPr>
        <w:tc>
          <w:tcPr>
            <w:tcW w:w="5400" w:type="dxa"/>
            <w:tcBorders>
              <w:bottom w:val="single" w:sz="4" w:space="0" w:color="auto"/>
            </w:tcBorders>
            <w:shd w:val="clear" w:color="auto" w:fill="0072C6"/>
          </w:tcPr>
          <w:p w14:paraId="5CEC49A9" w14:textId="23EDBFE6" w:rsidR="004F412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tcBorders>
              <w:bottom w:val="single" w:sz="4" w:space="0" w:color="auto"/>
            </w:tcBorders>
            <w:shd w:val="clear" w:color="auto" w:fill="0072C6"/>
          </w:tcPr>
          <w:p w14:paraId="6FD2B288" w14:textId="77777777" w:rsidR="004F4126" w:rsidRPr="00EF7CF9" w:rsidRDefault="004F4126" w:rsidP="000F31B4">
            <w:pPr>
              <w:pStyle w:val="ProductList-OfferingBody"/>
              <w:jc w:val="center"/>
              <w:rPr>
                <w:color w:val="FFFFFF" w:themeColor="background1"/>
              </w:rPr>
            </w:pPr>
            <w:r>
              <w:rPr>
                <w:color w:val="FFFFFF" w:themeColor="background1"/>
              </w:rPr>
              <w:t>Środki Serwisowe na Używanie Usług</w:t>
            </w:r>
          </w:p>
        </w:tc>
      </w:tr>
      <w:tr w:rsidR="004F4126" w:rsidRPr="00B44CF9" w14:paraId="2D9E3271" w14:textId="77777777" w:rsidTr="00277097">
        <w:tc>
          <w:tcPr>
            <w:tcW w:w="5400" w:type="dxa"/>
            <w:tcBorders>
              <w:top w:val="single" w:sz="4" w:space="0" w:color="auto"/>
              <w:left w:val="single" w:sz="4" w:space="0" w:color="auto"/>
              <w:bottom w:val="single" w:sz="4" w:space="0" w:color="auto"/>
              <w:right w:val="single" w:sz="4" w:space="0" w:color="auto"/>
            </w:tcBorders>
          </w:tcPr>
          <w:p w14:paraId="0FB671B3" w14:textId="77777777" w:rsidR="004F4126" w:rsidRPr="00EF7CF9" w:rsidRDefault="004F4126"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65349753" w14:textId="77777777" w:rsidR="004F4126" w:rsidRPr="00EF7CF9" w:rsidRDefault="004F4126" w:rsidP="000F31B4">
            <w:pPr>
              <w:pStyle w:val="ProductList-OfferingBody"/>
              <w:jc w:val="center"/>
            </w:pPr>
            <w:r>
              <w:t>10%</w:t>
            </w:r>
          </w:p>
        </w:tc>
      </w:tr>
      <w:tr w:rsidR="004F4126" w:rsidRPr="00B44CF9" w14:paraId="73A9D5E6" w14:textId="77777777" w:rsidTr="00277097">
        <w:tc>
          <w:tcPr>
            <w:tcW w:w="5400" w:type="dxa"/>
            <w:tcBorders>
              <w:top w:val="single" w:sz="4" w:space="0" w:color="auto"/>
              <w:left w:val="single" w:sz="4" w:space="0" w:color="auto"/>
              <w:bottom w:val="single" w:sz="4" w:space="0" w:color="auto"/>
              <w:right w:val="single" w:sz="4" w:space="0" w:color="auto"/>
            </w:tcBorders>
          </w:tcPr>
          <w:p w14:paraId="2901EEC5" w14:textId="77777777" w:rsidR="004F4126" w:rsidRPr="00EF7CF9" w:rsidRDefault="004F4126" w:rsidP="000F31B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4A31CD9D" w14:textId="77777777" w:rsidR="004F4126" w:rsidRPr="00EF7CF9" w:rsidRDefault="004F4126" w:rsidP="000F31B4">
            <w:pPr>
              <w:pStyle w:val="ProductList-OfferingBody"/>
              <w:keepNext/>
              <w:jc w:val="center"/>
            </w:pPr>
            <w:r>
              <w:t>25%</w:t>
            </w:r>
          </w:p>
        </w:tc>
      </w:tr>
    </w:tbl>
    <w:p w14:paraId="557FDEE6" w14:textId="72E7A5C8" w:rsidR="004F4126" w:rsidRPr="00ED4527" w:rsidRDefault="00EE6E3C" w:rsidP="006505C6">
      <w:pPr>
        <w:pStyle w:val="ProductList-Body"/>
        <w:spacing w:before="120"/>
        <w:rPr>
          <w:b/>
          <w:bCs/>
          <w:color w:val="00188F"/>
        </w:rPr>
      </w:pPr>
      <w:r>
        <w:rPr>
          <w:b/>
          <w:bCs/>
          <w:color w:val="00188F"/>
        </w:rPr>
        <w:t xml:space="preserve">Obliczanie Czasu Sprawnego Działania oraz Poziomy Usługi dla Usługi Powiadomień Wypychanych Visual Studio </w:t>
      </w:r>
      <w:proofErr w:type="spellStart"/>
      <w:r>
        <w:rPr>
          <w:b/>
          <w:bCs/>
          <w:color w:val="00188F"/>
        </w:rPr>
        <w:t>App</w:t>
      </w:r>
      <w:proofErr w:type="spellEnd"/>
      <w:r>
        <w:rPr>
          <w:b/>
          <w:bCs/>
          <w:color w:val="00188F"/>
        </w:rPr>
        <w:t xml:space="preserve"> Center</w:t>
      </w:r>
    </w:p>
    <w:p w14:paraId="2597119F" w14:textId="5FC05005" w:rsidR="004F4126" w:rsidRPr="00EF7CF9" w:rsidRDefault="004F4126" w:rsidP="00C84B0F">
      <w:pPr>
        <w:pStyle w:val="ProductList-Body"/>
      </w:pPr>
      <w:r>
        <w:t>„</w:t>
      </w:r>
      <w:r>
        <w:rPr>
          <w:b/>
          <w:color w:val="00188F"/>
        </w:rPr>
        <w:t>Maksymalna Liczba Minut Dostępności</w:t>
      </w:r>
      <w:r w:rsidR="00381145">
        <w:t>”</w:t>
      </w:r>
      <w:r>
        <w:t xml:space="preserve"> to łączna liczba minut, przez które Usługa Powiadomień Wypychanych jest wdrażana przez Klienta w</w:t>
      </w:r>
      <w:r w:rsidR="00C84B0F">
        <w:t> </w:t>
      </w:r>
      <w:r>
        <w:t xml:space="preserve">ramach podanych subskrypcji Microsoft </w:t>
      </w:r>
      <w:proofErr w:type="spellStart"/>
      <w:r>
        <w:t>Azure</w:t>
      </w:r>
      <w:proofErr w:type="spellEnd"/>
      <w:r>
        <w:t xml:space="preserve"> w trakcie Właściwego Okresu.</w:t>
      </w:r>
    </w:p>
    <w:p w14:paraId="2F8BC21A" w14:textId="77777777" w:rsidR="004F4126" w:rsidRPr="0007784F" w:rsidRDefault="004F4126" w:rsidP="004F4126">
      <w:pPr>
        <w:pStyle w:val="ProductList-Body"/>
        <w:rPr>
          <w:spacing w:val="-3"/>
        </w:rPr>
      </w:pPr>
      <w:r w:rsidRPr="0007784F">
        <w:rPr>
          <w:b/>
          <w:color w:val="00188F"/>
          <w:spacing w:val="-3"/>
        </w:rPr>
        <w:t>Przestój</w:t>
      </w:r>
      <w:r w:rsidRPr="007B038A">
        <w:rPr>
          <w:b/>
          <w:color w:val="00188F"/>
        </w:rPr>
        <w:t>:</w:t>
      </w:r>
      <w:r w:rsidRPr="0007784F">
        <w:rPr>
          <w:spacing w:val="-3"/>
        </w:rPr>
        <w:t xml:space="preserve"> to łączna liczba minut w ramach Maksymalnej Liczby Dostępnych Minut, w czasie których Usługa Powiadomień Wypychanych jest niedostępna. Minuta jest uznawana za minutę niedostępności, jeśli wszystkie zainicjowane przez Klienta w ciągu tej minuty kolejne żądania HTTP przesłane do Usługi Powiadomień Wypychanych w celu wykonania operacji zwracają Kod Błędu lub nie zwracają żadnej odpowiedzi w czasie jednej minuty.</w:t>
      </w:r>
    </w:p>
    <w:p w14:paraId="1FA221E9" w14:textId="05657BF6" w:rsidR="004F4126" w:rsidRPr="00EF7CF9" w:rsidRDefault="00AC48A7" w:rsidP="004F4126">
      <w:pPr>
        <w:pStyle w:val="ProductList-Body"/>
      </w:pPr>
      <w:r>
        <w:rPr>
          <w:b/>
          <w:color w:val="00188F"/>
        </w:rPr>
        <w:t>Procent Czasu Sprawnego Działania</w:t>
      </w:r>
      <w:r w:rsidRPr="007B038A">
        <w:rPr>
          <w:b/>
          <w:color w:val="00188F"/>
        </w:rPr>
        <w:t>:</w:t>
      </w:r>
      <w:r>
        <w:t xml:space="preserve"> Procent Czasu Sprawnego Działania dla Usługi Powiadomień Wypychanych Visual Studio </w:t>
      </w:r>
      <w:proofErr w:type="spellStart"/>
      <w:r>
        <w:t>App</w:t>
      </w:r>
      <w:proofErr w:type="spellEnd"/>
      <w:r>
        <w:t xml:space="preserve"> Center to Maksymalna Liczba Dostępnych Minut pomniejszona o Przestój, podzielona przez Maksymalną Liczbę Dostępnych Minut i pomnożona przez 100. Procent Czasu Sprawnego Działania przedstawia się za pomocą następującego wzoru:</w:t>
      </w:r>
    </w:p>
    <w:p w14:paraId="35245E4E" w14:textId="3EACD620" w:rsidR="004F4126" w:rsidRPr="00EF7CF9" w:rsidRDefault="00000000" w:rsidP="00E727C3">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F42A2C3" w14:textId="0B5C8347" w:rsidR="004F4126" w:rsidRPr="00D9543D" w:rsidRDefault="004F4126" w:rsidP="004F4126">
      <w:pPr>
        <w:spacing w:after="0" w:line="240" w:lineRule="auto"/>
        <w:rPr>
          <w:rFonts w:eastAsiaTheme="minorEastAsia"/>
          <w:sz w:val="18"/>
          <w:szCs w:val="18"/>
          <w:lang w:eastAsia="zh-TW"/>
        </w:rPr>
      </w:pPr>
      <w:r>
        <w:rPr>
          <w:rFonts w:eastAsiaTheme="minorEastAsia"/>
          <w:sz w:val="18"/>
          <w:szCs w:val="18"/>
        </w:rPr>
        <w:t xml:space="preserve">Do używania przez Klienta Usługi Powiadomień Wypychanych Visual Studio </w:t>
      </w:r>
      <w:proofErr w:type="spellStart"/>
      <w:r>
        <w:rPr>
          <w:rFonts w:eastAsiaTheme="minorEastAsia"/>
          <w:sz w:val="18"/>
          <w:szCs w:val="18"/>
        </w:rPr>
        <w:t>App</w:t>
      </w:r>
      <w:proofErr w:type="spellEnd"/>
      <w:r>
        <w:rPr>
          <w:rFonts w:eastAsiaTheme="minorEastAsia"/>
          <w:sz w:val="18"/>
          <w:szCs w:val="18"/>
        </w:rPr>
        <w:t xml:space="preserve"> Center mają zastosowanie następujące Poziomy Usługi i Środki Serwisowe na Używanie Usług. </w:t>
      </w:r>
    </w:p>
    <w:p w14:paraId="04990EC8" w14:textId="77777777" w:rsidR="004F4126" w:rsidRPr="00EF7CF9" w:rsidRDefault="004F4126" w:rsidP="002C1320">
      <w:pPr>
        <w:pStyle w:val="ProductList-Body"/>
        <w:keepNext/>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4126" w:rsidRPr="00B44CF9" w14:paraId="438F5269" w14:textId="77777777" w:rsidTr="00277097">
        <w:trPr>
          <w:tblHeader/>
        </w:trPr>
        <w:tc>
          <w:tcPr>
            <w:tcW w:w="5400" w:type="dxa"/>
            <w:tcBorders>
              <w:bottom w:val="single" w:sz="4" w:space="0" w:color="auto"/>
            </w:tcBorders>
            <w:shd w:val="clear" w:color="auto" w:fill="0072C6"/>
          </w:tcPr>
          <w:p w14:paraId="7ED8C02E" w14:textId="2151465D" w:rsidR="004F4126" w:rsidRPr="00EF7CF9" w:rsidRDefault="00AC48A7" w:rsidP="002C1320">
            <w:pPr>
              <w:pStyle w:val="ProductList-OfferingBody"/>
              <w:keepNext/>
              <w:jc w:val="center"/>
              <w:rPr>
                <w:color w:val="FFFFFF" w:themeColor="background1"/>
              </w:rPr>
            </w:pPr>
            <w:r>
              <w:rPr>
                <w:color w:val="FFFFFF" w:themeColor="background1"/>
              </w:rPr>
              <w:t>Procent Czasu Sprawnego Działania</w:t>
            </w:r>
          </w:p>
        </w:tc>
        <w:tc>
          <w:tcPr>
            <w:tcW w:w="5400" w:type="dxa"/>
            <w:tcBorders>
              <w:bottom w:val="single" w:sz="4" w:space="0" w:color="auto"/>
            </w:tcBorders>
            <w:shd w:val="clear" w:color="auto" w:fill="0072C6"/>
          </w:tcPr>
          <w:p w14:paraId="5C51A762" w14:textId="77777777" w:rsidR="004F4126" w:rsidRPr="00EF7CF9" w:rsidRDefault="004F4126" w:rsidP="002C1320">
            <w:pPr>
              <w:pStyle w:val="ProductList-OfferingBody"/>
              <w:keepNext/>
              <w:jc w:val="center"/>
              <w:rPr>
                <w:color w:val="FFFFFF" w:themeColor="background1"/>
              </w:rPr>
            </w:pPr>
            <w:r>
              <w:rPr>
                <w:color w:val="FFFFFF" w:themeColor="background1"/>
              </w:rPr>
              <w:t>Środki Serwisowe na Używanie Usług</w:t>
            </w:r>
          </w:p>
        </w:tc>
      </w:tr>
      <w:tr w:rsidR="004F4126" w:rsidRPr="00B44CF9" w14:paraId="3551DAFD" w14:textId="77777777" w:rsidTr="00277097">
        <w:tc>
          <w:tcPr>
            <w:tcW w:w="5400" w:type="dxa"/>
            <w:tcBorders>
              <w:top w:val="single" w:sz="4" w:space="0" w:color="auto"/>
              <w:left w:val="single" w:sz="4" w:space="0" w:color="auto"/>
              <w:bottom w:val="single" w:sz="4" w:space="0" w:color="auto"/>
              <w:right w:val="single" w:sz="4" w:space="0" w:color="auto"/>
            </w:tcBorders>
          </w:tcPr>
          <w:p w14:paraId="6C5970FD" w14:textId="77777777" w:rsidR="004F4126" w:rsidRPr="00EF7CF9" w:rsidRDefault="004F4126" w:rsidP="002C1320">
            <w:pPr>
              <w:pStyle w:val="ProductList-OfferingBody"/>
              <w:keepNext/>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3E509ADD" w14:textId="77777777" w:rsidR="004F4126" w:rsidRPr="00EF7CF9" w:rsidRDefault="004F4126" w:rsidP="002C1320">
            <w:pPr>
              <w:pStyle w:val="ProductList-OfferingBody"/>
              <w:keepNext/>
              <w:jc w:val="center"/>
            </w:pPr>
            <w:r>
              <w:t>10%</w:t>
            </w:r>
          </w:p>
        </w:tc>
      </w:tr>
      <w:tr w:rsidR="004F4126" w:rsidRPr="00B44CF9" w14:paraId="3DD88544" w14:textId="77777777" w:rsidTr="00277097">
        <w:tc>
          <w:tcPr>
            <w:tcW w:w="5400" w:type="dxa"/>
            <w:tcBorders>
              <w:top w:val="single" w:sz="4" w:space="0" w:color="auto"/>
              <w:left w:val="single" w:sz="4" w:space="0" w:color="auto"/>
              <w:bottom w:val="single" w:sz="4" w:space="0" w:color="auto"/>
              <w:right w:val="single" w:sz="4" w:space="0" w:color="auto"/>
            </w:tcBorders>
          </w:tcPr>
          <w:p w14:paraId="204AF96C" w14:textId="77777777" w:rsidR="004F4126" w:rsidRPr="00EF7CF9" w:rsidRDefault="004F4126" w:rsidP="002C1320">
            <w:pPr>
              <w:pStyle w:val="ProductList-OfferingBody"/>
              <w:keepNext/>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774F7215" w14:textId="77777777" w:rsidR="004F4126" w:rsidRPr="00EF7CF9" w:rsidRDefault="004F4126" w:rsidP="002C1320">
            <w:pPr>
              <w:pStyle w:val="ProductList-OfferingBody"/>
              <w:keepNext/>
              <w:jc w:val="center"/>
            </w:pPr>
            <w:r>
              <w:t>25%</w:t>
            </w:r>
          </w:p>
        </w:tc>
      </w:tr>
    </w:tbl>
    <w:p w14:paraId="367D6270" w14:textId="7964AF75" w:rsidR="004F4126" w:rsidRPr="00EF7CF9" w:rsidRDefault="00C71F89" w:rsidP="004F41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6D1359D" w14:textId="77777777" w:rsidR="00012F9F" w:rsidRPr="00012F9F" w:rsidRDefault="00012F9F" w:rsidP="00D421F3">
      <w:pPr>
        <w:pStyle w:val="ProductList-Offering2Heading"/>
        <w:keepNext/>
        <w:tabs>
          <w:tab w:val="clear" w:pos="360"/>
          <w:tab w:val="clear" w:pos="720"/>
          <w:tab w:val="clear" w:pos="1080"/>
        </w:tabs>
        <w:outlineLvl w:val="2"/>
      </w:pPr>
      <w:bookmarkStart w:id="130" w:name="_Toc239174960"/>
      <w:r>
        <w:t>Konfiguracja aplikacji</w:t>
      </w:r>
      <w:bookmarkEnd w:id="130"/>
    </w:p>
    <w:p w14:paraId="4302A28C" w14:textId="77777777" w:rsidR="00012F9F" w:rsidRPr="00852CBF" w:rsidRDefault="00012F9F" w:rsidP="00012F9F">
      <w:pPr>
        <w:pStyle w:val="ProductList-Body"/>
        <w:rPr>
          <w:b/>
          <w:color w:val="00188F"/>
        </w:rPr>
      </w:pPr>
      <w:r>
        <w:rPr>
          <w:b/>
          <w:color w:val="00188F"/>
        </w:rPr>
        <w:t>Dodatkowe definicje</w:t>
      </w:r>
    </w:p>
    <w:p w14:paraId="5722BEE2" w14:textId="77777777" w:rsidR="00012F9F" w:rsidRDefault="00012F9F" w:rsidP="00012F9F">
      <w:pPr>
        <w:pStyle w:val="ProductList-Body"/>
      </w:pPr>
      <w:r>
        <w:t>„</w:t>
      </w:r>
      <w:r>
        <w:rPr>
          <w:b/>
          <w:bCs/>
          <w:color w:val="00188F"/>
        </w:rPr>
        <w:t>Magazyn Konfiguracji</w:t>
      </w:r>
      <w:r>
        <w:t xml:space="preserve">” to wykonane przez Klienta pojedyncze wdrożenie usługi </w:t>
      </w:r>
      <w:proofErr w:type="spellStart"/>
      <w:r>
        <w:t>Azure</w:t>
      </w:r>
      <w:proofErr w:type="spellEnd"/>
      <w:r>
        <w:t xml:space="preserve"> </w:t>
      </w:r>
      <w:proofErr w:type="spellStart"/>
      <w:r>
        <w:t>App</w:t>
      </w:r>
      <w:proofErr w:type="spellEnd"/>
      <w:r>
        <w:t xml:space="preserve"> </w:t>
      </w:r>
      <w:proofErr w:type="spellStart"/>
      <w:r>
        <w:t>Configuration</w:t>
      </w:r>
      <w:proofErr w:type="spellEnd"/>
      <w:r>
        <w:t xml:space="preserve">, które jest wymienione na karcie usługi </w:t>
      </w:r>
      <w:proofErr w:type="spellStart"/>
      <w:r>
        <w:t>App</w:t>
      </w:r>
      <w:proofErr w:type="spellEnd"/>
      <w:r>
        <w:t xml:space="preserve"> </w:t>
      </w:r>
      <w:proofErr w:type="spellStart"/>
      <w:r>
        <w:t>Configuration</w:t>
      </w:r>
      <w:proofErr w:type="spellEnd"/>
      <w:r>
        <w:t xml:space="preserve"> w portalu zarządzania.</w:t>
      </w:r>
    </w:p>
    <w:p w14:paraId="3D0036CD" w14:textId="460527E4" w:rsidR="00012F9F" w:rsidRPr="00852CBF" w:rsidRDefault="00EE6E3C" w:rsidP="00852CBF">
      <w:pPr>
        <w:pStyle w:val="ProductList-Body"/>
        <w:spacing w:before="120"/>
        <w:rPr>
          <w:b/>
          <w:bCs/>
          <w:color w:val="00188F"/>
        </w:rPr>
      </w:pPr>
      <w:r>
        <w:rPr>
          <w:b/>
          <w:bCs/>
          <w:color w:val="00188F"/>
        </w:rPr>
        <w:t xml:space="preserve">Obliczanie Czasu Sprawnego Działania i Poziomy Usługi dla usługi </w:t>
      </w:r>
      <w:proofErr w:type="spellStart"/>
      <w:r>
        <w:rPr>
          <w:b/>
          <w:bCs/>
          <w:color w:val="00188F"/>
        </w:rPr>
        <w:t>Azure</w:t>
      </w:r>
      <w:proofErr w:type="spellEnd"/>
      <w:r>
        <w:rPr>
          <w:b/>
          <w:bCs/>
          <w:color w:val="00188F"/>
        </w:rPr>
        <w:t xml:space="preserve"> </w:t>
      </w:r>
      <w:proofErr w:type="spellStart"/>
      <w:r>
        <w:rPr>
          <w:b/>
          <w:bCs/>
          <w:color w:val="00188F"/>
        </w:rPr>
        <w:t>App</w:t>
      </w:r>
      <w:proofErr w:type="spellEnd"/>
      <w:r>
        <w:rPr>
          <w:b/>
          <w:bCs/>
          <w:color w:val="00188F"/>
        </w:rPr>
        <w:t xml:space="preserve"> </w:t>
      </w:r>
      <w:proofErr w:type="spellStart"/>
      <w:r>
        <w:rPr>
          <w:b/>
          <w:bCs/>
          <w:color w:val="00188F"/>
        </w:rPr>
        <w:t>Configuration</w:t>
      </w:r>
      <w:proofErr w:type="spellEnd"/>
    </w:p>
    <w:p w14:paraId="4C4328F8" w14:textId="4ED821F4" w:rsidR="00012F9F" w:rsidRDefault="00012F9F" w:rsidP="0007784F">
      <w:pPr>
        <w:pStyle w:val="ProductList-Body"/>
        <w:ind w:right="144"/>
      </w:pPr>
      <w:r>
        <w:t>„</w:t>
      </w:r>
      <w:r>
        <w:rPr>
          <w:b/>
          <w:bCs/>
          <w:color w:val="00188F"/>
        </w:rPr>
        <w:t>Minuty Wdrożenia</w:t>
      </w:r>
      <w:r>
        <w:t xml:space="preserve">” to łączna liczba minut, przez które dany Magazyn Konfiguracji został wdrożony na platformie Microsoft </w:t>
      </w:r>
      <w:proofErr w:type="spellStart"/>
      <w:r>
        <w:t>Azure</w:t>
      </w:r>
      <w:proofErr w:type="spellEnd"/>
      <w:r>
        <w:t xml:space="preserve"> we Właściwym Okresie.</w:t>
      </w:r>
    </w:p>
    <w:p w14:paraId="35FC0267" w14:textId="549B7C75" w:rsidR="00012F9F" w:rsidRDefault="00012F9F" w:rsidP="00012F9F">
      <w:pPr>
        <w:pStyle w:val="ProductList-Body"/>
      </w:pPr>
      <w:r>
        <w:t>„</w:t>
      </w:r>
      <w:r>
        <w:rPr>
          <w:b/>
          <w:bCs/>
          <w:color w:val="00188F"/>
        </w:rPr>
        <w:t>Maksymalna Liczba Dostępnych Minut</w:t>
      </w:r>
      <w:r>
        <w:t xml:space="preserve">” to suma wszystkich Minut Wdrożenia we wszystkich Magazynach Konfiguracji wdrożonych przez użytkownika w ramach danej subskrypcji Microsoft </w:t>
      </w:r>
      <w:proofErr w:type="spellStart"/>
      <w:r>
        <w:t>Azure</w:t>
      </w:r>
      <w:proofErr w:type="spellEnd"/>
      <w:r>
        <w:t xml:space="preserve"> we Właściwym Okresie.</w:t>
      </w:r>
    </w:p>
    <w:p w14:paraId="140C7DDA" w14:textId="77777777" w:rsidR="00012F9F" w:rsidRDefault="00012F9F" w:rsidP="00012F9F">
      <w:pPr>
        <w:pStyle w:val="ProductList-Body"/>
      </w:pPr>
      <w:r>
        <w:t>„</w:t>
      </w:r>
      <w:r>
        <w:rPr>
          <w:b/>
          <w:bCs/>
          <w:color w:val="00188F"/>
        </w:rPr>
        <w:t>Przestój</w:t>
      </w:r>
      <w:r>
        <w:t>” to łączna zakumulowana liczba minut w ramach Maksymalnej Liczby Dostępnych Minut, podczas których Magazyn Konfiguracji jest niedostępny. Minuta jest uznawana za minutę niedostępności dla danego Magazynu Konfiguracji, gdy przez całą taką minutę nie ma łączności między Magazynem Konfiguracji a bramą internetową Microsoft.</w:t>
      </w:r>
    </w:p>
    <w:p w14:paraId="714230EB" w14:textId="52DD1436" w:rsidR="00012F9F" w:rsidRDefault="00012F9F" w:rsidP="00012F9F">
      <w:pPr>
        <w:pStyle w:val="ProductList-Body"/>
      </w:pPr>
      <w:r>
        <w:t>„</w:t>
      </w:r>
      <w:r>
        <w:rPr>
          <w:b/>
          <w:bCs/>
          <w:color w:val="00188F"/>
        </w:rPr>
        <w:t>Procent Czasu Sprawnego Działania</w:t>
      </w:r>
      <w:r w:rsidR="00381145">
        <w:t>”</w:t>
      </w:r>
      <w:r>
        <w:t xml:space="preserve"> dla </w:t>
      </w:r>
      <w:proofErr w:type="spellStart"/>
      <w:r>
        <w:t>Azure</w:t>
      </w:r>
      <w:proofErr w:type="spellEnd"/>
      <w:r>
        <w:t xml:space="preserve"> </w:t>
      </w:r>
      <w:proofErr w:type="spellStart"/>
      <w:r>
        <w:t>App</w:t>
      </w:r>
      <w:proofErr w:type="spellEnd"/>
      <w:r>
        <w:t xml:space="preserve"> </w:t>
      </w:r>
      <w:proofErr w:type="spellStart"/>
      <w:r>
        <w:t>Configuration</w:t>
      </w:r>
      <w:proofErr w:type="spellEnd"/>
      <w:r>
        <w:t xml:space="preserve"> to Maksymalna Liczba Minut Dostępności pomniejszona o Przestój podzielona przez Maksymalną Liczbę Minut Dostępności we Właściwym Okresie dla danej subskrypcji Microsoft </w:t>
      </w:r>
      <w:proofErr w:type="spellStart"/>
      <w:r>
        <w:t>Azure</w:t>
      </w:r>
      <w:proofErr w:type="spellEnd"/>
      <w:r>
        <w:t>. Procent Czasu Sprawnego Działania przedstawia się za pomocą następującego wzoru:</w:t>
      </w:r>
    </w:p>
    <w:p w14:paraId="24B481D5" w14:textId="77777777" w:rsidR="003940E8" w:rsidRPr="00EF7CF9" w:rsidRDefault="003940E8" w:rsidP="003940E8">
      <w:pPr>
        <w:pStyle w:val="ProductList-Body"/>
      </w:pPr>
    </w:p>
    <w:p w14:paraId="3BE596FB" w14:textId="079F5708" w:rsidR="003940E8" w:rsidRPr="00EF7CF9" w:rsidRDefault="00000000" w:rsidP="003940E8">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572CCD5" w14:textId="45C11EDE" w:rsidR="00012F9F" w:rsidRPr="003940E8" w:rsidRDefault="00012F9F" w:rsidP="003940E8">
      <w:pPr>
        <w:pStyle w:val="ProductList-Body"/>
        <w:keepNext/>
        <w:rPr>
          <w:b/>
          <w:bCs/>
          <w:color w:val="00188F"/>
        </w:rPr>
      </w:pPr>
      <w:r>
        <w:rPr>
          <w:b/>
          <w:bCs/>
          <w:color w:val="00188F"/>
        </w:rPr>
        <w:t xml:space="preserve">Do używania przez Klienta </w:t>
      </w:r>
      <w:proofErr w:type="spellStart"/>
      <w:r>
        <w:rPr>
          <w:b/>
          <w:bCs/>
          <w:color w:val="00188F"/>
        </w:rPr>
        <w:t>App</w:t>
      </w:r>
      <w:proofErr w:type="spellEnd"/>
      <w:r>
        <w:rPr>
          <w:b/>
          <w:bCs/>
          <w:color w:val="00188F"/>
        </w:rPr>
        <w:t xml:space="preserve"> </w:t>
      </w:r>
      <w:proofErr w:type="spellStart"/>
      <w:r>
        <w:rPr>
          <w:b/>
          <w:bCs/>
          <w:color w:val="00188F"/>
        </w:rPr>
        <w:t>Configuration</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940E8" w:rsidRPr="00B44CF9" w14:paraId="3511B623" w14:textId="77777777" w:rsidTr="00277097">
        <w:trPr>
          <w:tblHeader/>
        </w:trPr>
        <w:tc>
          <w:tcPr>
            <w:tcW w:w="5400" w:type="dxa"/>
            <w:tcBorders>
              <w:bottom w:val="single" w:sz="4" w:space="0" w:color="auto"/>
            </w:tcBorders>
            <w:shd w:val="clear" w:color="auto" w:fill="0072C6"/>
          </w:tcPr>
          <w:p w14:paraId="130781CF" w14:textId="2EA4B64E" w:rsidR="003940E8"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tcBorders>
              <w:bottom w:val="single" w:sz="4" w:space="0" w:color="auto"/>
            </w:tcBorders>
            <w:shd w:val="clear" w:color="auto" w:fill="0072C6"/>
          </w:tcPr>
          <w:p w14:paraId="220BADA7" w14:textId="77777777" w:rsidR="003940E8" w:rsidRPr="00EF7CF9" w:rsidRDefault="003940E8" w:rsidP="000F31B4">
            <w:pPr>
              <w:pStyle w:val="ProductList-OfferingBody"/>
              <w:jc w:val="center"/>
              <w:rPr>
                <w:color w:val="FFFFFF" w:themeColor="background1"/>
              </w:rPr>
            </w:pPr>
            <w:r>
              <w:rPr>
                <w:color w:val="FFFFFF" w:themeColor="background1"/>
              </w:rPr>
              <w:t>Środki Serwisowe na Używanie Usług</w:t>
            </w:r>
          </w:p>
        </w:tc>
      </w:tr>
      <w:tr w:rsidR="003940E8" w:rsidRPr="00B44CF9" w14:paraId="222F5204" w14:textId="77777777" w:rsidTr="00277097">
        <w:tc>
          <w:tcPr>
            <w:tcW w:w="5400" w:type="dxa"/>
            <w:tcBorders>
              <w:top w:val="single" w:sz="4" w:space="0" w:color="auto"/>
              <w:left w:val="single" w:sz="4" w:space="0" w:color="auto"/>
              <w:bottom w:val="single" w:sz="4" w:space="0" w:color="auto"/>
              <w:right w:val="single" w:sz="4" w:space="0" w:color="auto"/>
            </w:tcBorders>
          </w:tcPr>
          <w:p w14:paraId="038527B9" w14:textId="77777777" w:rsidR="003940E8" w:rsidRPr="00EF7CF9" w:rsidRDefault="003940E8"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65190DE" w14:textId="77777777" w:rsidR="003940E8" w:rsidRPr="00EF7CF9" w:rsidRDefault="003940E8" w:rsidP="000F31B4">
            <w:pPr>
              <w:pStyle w:val="ProductList-OfferingBody"/>
              <w:jc w:val="center"/>
            </w:pPr>
            <w:r>
              <w:t>10%</w:t>
            </w:r>
          </w:p>
        </w:tc>
      </w:tr>
      <w:tr w:rsidR="003940E8" w:rsidRPr="00B44CF9" w14:paraId="172BFEFE" w14:textId="77777777" w:rsidTr="00277097">
        <w:tc>
          <w:tcPr>
            <w:tcW w:w="5400" w:type="dxa"/>
            <w:tcBorders>
              <w:top w:val="single" w:sz="4" w:space="0" w:color="auto"/>
              <w:left w:val="single" w:sz="4" w:space="0" w:color="auto"/>
              <w:bottom w:val="single" w:sz="4" w:space="0" w:color="auto"/>
              <w:right w:val="single" w:sz="4" w:space="0" w:color="auto"/>
            </w:tcBorders>
          </w:tcPr>
          <w:p w14:paraId="0C6A343B" w14:textId="77777777" w:rsidR="003940E8" w:rsidRPr="00EF7CF9" w:rsidRDefault="003940E8" w:rsidP="000F31B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1626791" w14:textId="77777777" w:rsidR="003940E8" w:rsidRPr="00EF7CF9" w:rsidRDefault="003940E8" w:rsidP="000F31B4">
            <w:pPr>
              <w:pStyle w:val="ProductList-OfferingBody"/>
              <w:jc w:val="center"/>
            </w:pPr>
            <w:r>
              <w:t>25%</w:t>
            </w:r>
          </w:p>
        </w:tc>
      </w:tr>
    </w:tbl>
    <w:p w14:paraId="46FC48A9" w14:textId="4B4450B2" w:rsidR="003940E8" w:rsidRPr="00EF7CF9" w:rsidRDefault="00C71F89" w:rsidP="003940E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F775864" w14:textId="31EEAEA2" w:rsidR="004005AF" w:rsidRPr="00EF7CF9" w:rsidRDefault="004005AF" w:rsidP="0007784F">
      <w:pPr>
        <w:pStyle w:val="ProductList-Offering2Heading"/>
        <w:keepNext/>
        <w:keepLines/>
        <w:tabs>
          <w:tab w:val="clear" w:pos="360"/>
          <w:tab w:val="clear" w:pos="720"/>
          <w:tab w:val="clear" w:pos="1080"/>
        </w:tabs>
        <w:outlineLvl w:val="2"/>
      </w:pPr>
      <w:bookmarkStart w:id="131" w:name="_Toc239174961"/>
      <w:proofErr w:type="spellStart"/>
      <w:r>
        <w:t>App</w:t>
      </w:r>
      <w:proofErr w:type="spellEnd"/>
      <w:r>
        <w:t xml:space="preserve"> Service</w:t>
      </w:r>
      <w:bookmarkEnd w:id="126"/>
      <w:bookmarkEnd w:id="129"/>
      <w:bookmarkEnd w:id="131"/>
    </w:p>
    <w:p w14:paraId="5086F069" w14:textId="77777777" w:rsidR="004005AF" w:rsidRPr="00EF7CF9" w:rsidRDefault="004005AF" w:rsidP="0007784F">
      <w:pPr>
        <w:pStyle w:val="ProductList-Body"/>
        <w:keepNext/>
        <w:keepLines/>
      </w:pPr>
      <w:r>
        <w:rPr>
          <w:b/>
          <w:color w:val="00188F"/>
        </w:rPr>
        <w:t>Dodatkowe definicje</w:t>
      </w:r>
      <w:r w:rsidRPr="007B038A">
        <w:rPr>
          <w:b/>
          <w:color w:val="00188F"/>
        </w:rPr>
        <w:t>:</w:t>
      </w:r>
    </w:p>
    <w:p w14:paraId="4F9B1403" w14:textId="77777777" w:rsidR="00BC02A7" w:rsidRPr="00EC3D00" w:rsidRDefault="00BC02A7" w:rsidP="00BC02A7">
      <w:pPr>
        <w:pStyle w:val="ProductList-Body"/>
        <w:keepNext/>
        <w:rPr>
          <w:rFonts w:ascii="Calibri" w:hAnsi="Calibri" w:cs="Calibri"/>
        </w:rPr>
      </w:pPr>
      <w:bookmarkStart w:id="132" w:name="_Toc457821537"/>
      <w:r>
        <w:rPr>
          <w:rFonts w:ascii="Calibri" w:hAnsi="Calibri" w:cs="Calibri"/>
        </w:rPr>
        <w:t>„</w:t>
      </w:r>
      <w:r>
        <w:rPr>
          <w:rFonts w:ascii="Calibri" w:hAnsi="Calibri" w:cs="Calibri"/>
          <w:b/>
          <w:bCs/>
          <w:color w:val="00188F"/>
        </w:rPr>
        <w:t>Strefa Dostępności</w:t>
      </w:r>
      <w:r>
        <w:rPr>
          <w:rFonts w:ascii="Calibri" w:hAnsi="Calibri" w:cs="Calibri"/>
        </w:rPr>
        <w:t xml:space="preserve">” to bezawaryjny obszar w regionie </w:t>
      </w:r>
      <w:proofErr w:type="spellStart"/>
      <w:r>
        <w:rPr>
          <w:rFonts w:ascii="Calibri" w:hAnsi="Calibri" w:cs="Calibri"/>
        </w:rPr>
        <w:t>Azure</w:t>
      </w:r>
      <w:proofErr w:type="spellEnd"/>
      <w:r>
        <w:rPr>
          <w:rFonts w:ascii="Calibri" w:hAnsi="Calibri" w:cs="Calibri"/>
        </w:rPr>
        <w:t xml:space="preserve"> zapewniający nadmiarowe zasilanie, chłodzenie i funkcje sieciowe.</w:t>
      </w:r>
    </w:p>
    <w:p w14:paraId="0B5B858B"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188F"/>
        </w:rPr>
        <w:t>Minuty Wdrożenia</w:t>
      </w:r>
      <w:r>
        <w:rPr>
          <w:rFonts w:ascii="Calibri" w:hAnsi="Calibri" w:cs="Calibri"/>
        </w:rPr>
        <w:t xml:space="preserve">” </w:t>
      </w:r>
      <w:r>
        <w:rPr>
          <w:rFonts w:ascii="Calibri" w:eastAsia="Tahoma" w:hAnsi="Calibri" w:cs="Calibri"/>
        </w:rPr>
        <w:t xml:space="preserve">to </w:t>
      </w:r>
      <w:r>
        <w:rPr>
          <w:rFonts w:ascii="Calibri" w:hAnsi="Calibri" w:cs="Calibri"/>
        </w:rPr>
        <w:t xml:space="preserve">łączna liczba minut, przez które dana Aplikacja została wdrożona na platformie Microsoft </w:t>
      </w:r>
      <w:proofErr w:type="spellStart"/>
      <w:r>
        <w:rPr>
          <w:rFonts w:ascii="Calibri" w:hAnsi="Calibri" w:cs="Calibri"/>
        </w:rPr>
        <w:t>Azure</w:t>
      </w:r>
      <w:proofErr w:type="spellEnd"/>
      <w:r>
        <w:rPr>
          <w:rFonts w:ascii="Calibri" w:hAnsi="Calibri" w:cs="Calibri"/>
        </w:rPr>
        <w:t xml:space="preserve"> we Właściwym Okresie. Minuty Wdrożenia są mierzone od momentu utworzenia Aplikacji albo zainicjowania przez Klienta działania, które spowodowałoby uruchomienie Aplikacji, aż do momentu, w którym Klient zainicjuje działanie, które spowoduje zatrzymanie albo usunięcie Aplikacji.</w:t>
      </w:r>
    </w:p>
    <w:p w14:paraId="511EDFCA"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188F"/>
        </w:rPr>
        <w:t>Maksymalna Liczba Dostępnych Minut</w:t>
      </w:r>
      <w:r>
        <w:rPr>
          <w:rFonts w:ascii="Calibri" w:hAnsi="Calibri" w:cs="Calibri"/>
        </w:rPr>
        <w:t xml:space="preserve">” to suma wszystkich Minut Wdrożenia dla wszystkich Aplikacji wdrożonych przez Klienta w ramach danej subskrypcji Microsoft </w:t>
      </w:r>
      <w:proofErr w:type="spellStart"/>
      <w:r>
        <w:rPr>
          <w:rFonts w:ascii="Calibri" w:hAnsi="Calibri" w:cs="Calibri"/>
        </w:rPr>
        <w:t>Azure</w:t>
      </w:r>
      <w:proofErr w:type="spellEnd"/>
      <w:r>
        <w:rPr>
          <w:rFonts w:ascii="Calibri" w:hAnsi="Calibri" w:cs="Calibri"/>
        </w:rPr>
        <w:t xml:space="preserve"> we Właściwym Okresie</w:t>
      </w:r>
    </w:p>
    <w:p w14:paraId="287C2E5D"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188F"/>
        </w:rPr>
        <w:t>Aplikacja</w:t>
      </w:r>
      <w:r>
        <w:rPr>
          <w:rFonts w:ascii="Calibri" w:hAnsi="Calibri" w:cs="Calibri"/>
        </w:rPr>
        <w:t>” to aplikacja internetowa, aplikacja mobilna, aplikacja API lub aplikacja logiki wdrożona przez Klienta w ramach Usługi Aplikacji. Umowa SLA ma zastosowanie zarówno w przypadku uruchomienia na pojedynczej instancji, jak i na wielu instancjach.</w:t>
      </w:r>
    </w:p>
    <w:p w14:paraId="3F0B616E" w14:textId="77777777" w:rsidR="00BC02A7" w:rsidRPr="00EC3D00" w:rsidRDefault="00BC02A7" w:rsidP="00BC02A7">
      <w:pPr>
        <w:pStyle w:val="ProductList-Body"/>
        <w:rPr>
          <w:rFonts w:ascii="Calibri" w:hAnsi="Calibri" w:cs="Calibri"/>
          <w:b/>
          <w:color w:val="00188F"/>
        </w:rPr>
      </w:pPr>
      <w:r>
        <w:rPr>
          <w:rFonts w:ascii="Calibri" w:hAnsi="Calibri" w:cs="Calibri"/>
          <w:b/>
          <w:color w:val="00188F"/>
        </w:rPr>
        <w:t>Obliczanie Czasu Sprawnego Działania i Poziomy Usługi Aplikacji w Strefach Dostępności</w:t>
      </w:r>
    </w:p>
    <w:p w14:paraId="32A582EB"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72C6"/>
        </w:rPr>
        <w:t>Maksymalna Liczba Dostępnych Minut</w:t>
      </w:r>
      <w:r>
        <w:rPr>
          <w:rFonts w:ascii="Calibri" w:hAnsi="Calibri" w:cs="Calibri"/>
        </w:rPr>
        <w:t xml:space="preserve">” to suma wszystkich zakumulowanych Minut Wdrożenia we wszystkich aplikacjach obsługujących Strefę Dostępności wdrożonych przez Klienta w ramach danej subskrypcji Microsoft </w:t>
      </w:r>
      <w:proofErr w:type="spellStart"/>
      <w:r>
        <w:rPr>
          <w:rFonts w:ascii="Calibri" w:hAnsi="Calibri" w:cs="Calibri"/>
        </w:rPr>
        <w:t>Azure</w:t>
      </w:r>
      <w:proofErr w:type="spellEnd"/>
      <w:r>
        <w:rPr>
          <w:rFonts w:ascii="Calibri" w:hAnsi="Calibri" w:cs="Calibri"/>
        </w:rPr>
        <w:t xml:space="preserve"> we Właściwym Okresie.</w:t>
      </w:r>
    </w:p>
    <w:p w14:paraId="129C2F91" w14:textId="77777777" w:rsidR="00BC02A7" w:rsidRPr="00EC3D00" w:rsidRDefault="00BC02A7" w:rsidP="00BC02A7">
      <w:pPr>
        <w:pStyle w:val="ProductList-Body"/>
        <w:rPr>
          <w:rFonts w:ascii="Calibri" w:hAnsi="Calibri" w:cs="Calibri"/>
        </w:rPr>
      </w:pPr>
      <w:r w:rsidRPr="007E5BB9">
        <w:rPr>
          <w:rFonts w:ascii="Calibri" w:hAnsi="Calibri" w:cs="Calibri"/>
        </w:rPr>
        <w:t>„</w:t>
      </w:r>
      <w:r>
        <w:rPr>
          <w:rFonts w:ascii="Calibri" w:hAnsi="Calibri" w:cs="Calibri"/>
          <w:b/>
          <w:color w:val="0072C6"/>
        </w:rPr>
        <w:t>Przestój</w:t>
      </w:r>
      <w:r>
        <w:rPr>
          <w:rFonts w:ascii="Calibri" w:hAnsi="Calibri" w:cs="Calibri"/>
        </w:rPr>
        <w:t xml:space="preserve">” to suma zakumulowanych Minut Wdrożenia dla wszystkich Aplikacji obsługujących Strefę Dostępności wdrożonych przez Klienta w ramach danej subskrypcji Microsoft </w:t>
      </w:r>
      <w:proofErr w:type="spellStart"/>
      <w:r>
        <w:rPr>
          <w:rFonts w:ascii="Calibri" w:hAnsi="Calibri" w:cs="Calibri"/>
        </w:rPr>
        <w:t>Azure</w:t>
      </w:r>
      <w:proofErr w:type="spellEnd"/>
      <w:r>
        <w:rPr>
          <w:rFonts w:ascii="Calibri" w:hAnsi="Calibri" w:cs="Calibri"/>
        </w:rPr>
        <w:t>, podczas których Aplikacja jest niedostępna. Minutę uważa się za minutę niedostępności dla danej aplikacji obsługującej Strefę Dostępności, jeśli w trakcie tej minuty nie ma połączenia między Aplikacją a bramą internetową firmy Microsoft.</w:t>
      </w:r>
    </w:p>
    <w:p w14:paraId="0CD97804"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72C6"/>
        </w:rPr>
        <w:t>Procent Czasu Sprawnego Działania</w:t>
      </w:r>
      <w:r>
        <w:rPr>
          <w:rFonts w:ascii="Calibri" w:hAnsi="Calibri" w:cs="Calibri"/>
        </w:rPr>
        <w:t>” jest obliczany przy użyciu następującego wzoru:</w:t>
      </w:r>
    </w:p>
    <w:p w14:paraId="0DDDD69F" w14:textId="77777777" w:rsidR="00BC02A7" w:rsidRDefault="00BC02A7" w:rsidP="00BC02A7">
      <w:pPr>
        <w:pStyle w:val="ProductList-Body"/>
        <w:ind w:left="360"/>
      </w:pPr>
    </w:p>
    <w:p w14:paraId="127F48D6" w14:textId="77777777" w:rsidR="00BC02A7" w:rsidRDefault="00000000" w:rsidP="00BC02A7">
      <w:pPr>
        <w:pStyle w:val="ListParagraph"/>
        <w:spacing w:after="0" w:line="240" w:lineRule="auto"/>
        <w:ind w:left="0"/>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x 100</m:t>
          </m:r>
        </m:oMath>
      </m:oMathPara>
    </w:p>
    <w:p w14:paraId="381A00A0" w14:textId="77777777" w:rsidR="00BC02A7" w:rsidRPr="00EC3D00" w:rsidRDefault="00BC02A7" w:rsidP="00BC02A7">
      <w:pPr>
        <w:pStyle w:val="ProductList-Body"/>
        <w:rPr>
          <w:rFonts w:ascii="Calibri" w:hAnsi="Calibri" w:cs="Calibri"/>
        </w:rPr>
      </w:pPr>
      <w:r>
        <w:rPr>
          <w:rFonts w:ascii="Calibri" w:hAnsi="Calibri" w:cs="Calibri"/>
          <w:b/>
          <w:color w:val="0072C6"/>
        </w:rPr>
        <w:t>Środki Serwisowe na Używanie Usług</w:t>
      </w:r>
      <w:r w:rsidRPr="000C0DFC">
        <w:rPr>
          <w:rFonts w:ascii="Calibri" w:hAnsi="Calibri" w:cs="Calibri"/>
          <w:b/>
          <w:color w:val="0072C6"/>
        </w:rPr>
        <w:t>:</w:t>
      </w:r>
    </w:p>
    <w:p w14:paraId="5896CD85" w14:textId="77777777" w:rsidR="00BC02A7" w:rsidRPr="00EC3D00" w:rsidRDefault="00BC02A7" w:rsidP="00BC02A7">
      <w:pPr>
        <w:pStyle w:val="ProductList-Body"/>
        <w:rPr>
          <w:rFonts w:ascii="Calibri" w:hAnsi="Calibri" w:cs="Calibri"/>
        </w:rPr>
      </w:pPr>
      <w:r>
        <w:rPr>
          <w:rFonts w:ascii="Calibri" w:hAnsi="Calibri" w:cs="Calibri"/>
        </w:rPr>
        <w:t>Następujące Poziomy Usług i Środki Serwisowe na Używanie Usług mają zastosowanie do korzystania przez Klienta z Aplikacji wdrożonych w co najmniej dwóch Strefach Dostępności w tym samym regionie:</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02A7" w14:paraId="13AA65FD" w14:textId="77777777" w:rsidTr="00E50F69">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C574787"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color w:val="FFFFFF" w:themeColor="background1"/>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5FC236"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BC02A7" w14:paraId="7920DE15" w14:textId="77777777" w:rsidTr="00E50F6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17629F"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rP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2F1AB9"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rPr>
              <w:t>10%</w:t>
            </w:r>
          </w:p>
        </w:tc>
      </w:tr>
      <w:tr w:rsidR="00BC02A7" w14:paraId="05AA8B37" w14:textId="77777777" w:rsidTr="00E50F6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F4B247"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8484D"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rPr>
              <w:t>25%</w:t>
            </w:r>
          </w:p>
        </w:tc>
      </w:tr>
      <w:tr w:rsidR="00BC02A7" w14:paraId="11C9F51E" w14:textId="77777777" w:rsidTr="00E50F69">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AB7D44"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rP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F19410"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rPr>
              <w:t>100%</w:t>
            </w:r>
          </w:p>
        </w:tc>
      </w:tr>
    </w:tbl>
    <w:p w14:paraId="5D607734" w14:textId="77777777" w:rsidR="00BC02A7" w:rsidRPr="00EC3D00" w:rsidRDefault="00BC02A7" w:rsidP="00BC02A7">
      <w:pPr>
        <w:pStyle w:val="ProductList-Body"/>
        <w:rPr>
          <w:rFonts w:ascii="Calibri" w:hAnsi="Calibri" w:cs="Calibri"/>
          <w:b/>
          <w:color w:val="00188F"/>
        </w:rPr>
      </w:pPr>
      <w:r>
        <w:rPr>
          <w:rFonts w:ascii="Calibri" w:hAnsi="Calibri" w:cs="Calibri"/>
          <w:b/>
          <w:color w:val="00188F"/>
        </w:rPr>
        <w:t>Obliczanie Czasu Sprawnego Działania i Poziomy Usług dla Usługi Aplikacji, które nie korzystają ze Stref Dostępności</w:t>
      </w:r>
    </w:p>
    <w:p w14:paraId="58C9FE86"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72C6"/>
        </w:rPr>
        <w:t>Maksymalna Liczba Dostępnych Minut</w:t>
      </w:r>
      <w:r>
        <w:rPr>
          <w:rFonts w:ascii="Calibri" w:hAnsi="Calibri" w:cs="Calibri"/>
        </w:rPr>
        <w:t xml:space="preserve">” to suma wszystkich zakumulowanych Minut Wdrożenia we wszystkich Aplikacjach wdrożonych przez Klienta w ramach danej subskrypcji Microsoft </w:t>
      </w:r>
      <w:proofErr w:type="spellStart"/>
      <w:r>
        <w:rPr>
          <w:rFonts w:ascii="Calibri" w:hAnsi="Calibri" w:cs="Calibri"/>
        </w:rPr>
        <w:t>Azure</w:t>
      </w:r>
      <w:proofErr w:type="spellEnd"/>
      <w:r>
        <w:rPr>
          <w:rFonts w:ascii="Calibri" w:hAnsi="Calibri" w:cs="Calibri"/>
        </w:rPr>
        <w:t xml:space="preserve"> we Właściwym Okresie.</w:t>
      </w:r>
    </w:p>
    <w:p w14:paraId="58364574"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72C6"/>
        </w:rPr>
        <w:t>Przestój</w:t>
      </w:r>
      <w:r>
        <w:rPr>
          <w:rFonts w:ascii="Calibri" w:hAnsi="Calibri" w:cs="Calibri"/>
        </w:rPr>
        <w:t xml:space="preserve">” to suma zakumulowanych Minut Wdrożenia dla wszystkich Aplikacji wdrożonych przez Klienta w ramach danej subskrypcji Microsoft </w:t>
      </w:r>
      <w:proofErr w:type="spellStart"/>
      <w:r>
        <w:rPr>
          <w:rFonts w:ascii="Calibri" w:hAnsi="Calibri" w:cs="Calibri"/>
        </w:rPr>
        <w:t>Azure</w:t>
      </w:r>
      <w:proofErr w:type="spellEnd"/>
      <w:r>
        <w:rPr>
          <w:rFonts w:ascii="Calibri" w:hAnsi="Calibri" w:cs="Calibri"/>
        </w:rPr>
        <w:t>, podczas których Aplikacja jest niedostępna. Minuta niedostępności dla danej Aplikacji oznacza brak łączności pomiędzy Aplikacją a bramą internetową Microsoft.</w:t>
      </w:r>
    </w:p>
    <w:p w14:paraId="351346C3" w14:textId="77777777" w:rsidR="00BC02A7" w:rsidRPr="00EC3D00" w:rsidRDefault="00BC02A7" w:rsidP="00BC02A7">
      <w:pPr>
        <w:pStyle w:val="ProductList-Body"/>
        <w:rPr>
          <w:rFonts w:ascii="Calibri" w:hAnsi="Calibri" w:cs="Calibri"/>
        </w:rPr>
      </w:pPr>
      <w:r>
        <w:rPr>
          <w:rFonts w:ascii="Calibri" w:hAnsi="Calibri" w:cs="Calibri"/>
        </w:rPr>
        <w:t>„</w:t>
      </w:r>
      <w:r>
        <w:rPr>
          <w:rFonts w:ascii="Calibri" w:hAnsi="Calibri" w:cs="Calibri"/>
          <w:b/>
          <w:color w:val="0072C6"/>
        </w:rPr>
        <w:t>Procent Czasu Sprawnego Działania</w:t>
      </w:r>
      <w:r>
        <w:rPr>
          <w:rFonts w:ascii="Calibri" w:hAnsi="Calibri" w:cs="Calibri"/>
        </w:rPr>
        <w:t>” jest obliczany przy użyciu następującego wzoru:</w:t>
      </w:r>
    </w:p>
    <w:p w14:paraId="5741F806" w14:textId="77777777" w:rsidR="00BC02A7" w:rsidRPr="00EF7CF9" w:rsidRDefault="00000000" w:rsidP="000C34F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8D4D3AD" w14:textId="77777777" w:rsidR="00BC02A7" w:rsidRPr="00EC3D00" w:rsidRDefault="00BC02A7" w:rsidP="00BC02A7">
      <w:pPr>
        <w:pStyle w:val="ProductList-Body"/>
        <w:keepNext/>
        <w:rPr>
          <w:rFonts w:ascii="Calibri" w:hAnsi="Calibri" w:cs="Calibri"/>
        </w:rPr>
      </w:pPr>
      <w:r>
        <w:rPr>
          <w:rFonts w:ascii="Calibri" w:hAnsi="Calibri" w:cs="Calibri"/>
          <w:b/>
          <w:color w:val="00188F"/>
        </w:rPr>
        <w:t>Środki Serwisowe na Używanie Usług</w:t>
      </w:r>
      <w:r w:rsidRPr="00A91CB7">
        <w:rPr>
          <w:rFonts w:ascii="Calibri" w:hAnsi="Calibri" w:cs="Calibri"/>
          <w:b/>
          <w:color w:val="00188F"/>
        </w:rPr>
        <w:t>:</w:t>
      </w:r>
    </w:p>
    <w:p w14:paraId="37C950FD" w14:textId="77777777" w:rsidR="00BC02A7" w:rsidRPr="00EC3D00" w:rsidRDefault="00BC02A7" w:rsidP="00BC02A7">
      <w:pPr>
        <w:pStyle w:val="ProductList-Body"/>
        <w:rPr>
          <w:rFonts w:ascii="Calibri" w:hAnsi="Calibri" w:cs="Calibri"/>
        </w:rPr>
      </w:pPr>
      <w:r>
        <w:rPr>
          <w:rFonts w:ascii="Calibri" w:hAnsi="Calibri" w:cs="Calibri"/>
        </w:rPr>
        <w:t>Do używania przez Klienta Aplikacji, które korzystają ze Stref Dostępności mają zastosowanie następujące Poziomy Usługi i 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02A7" w:rsidRPr="00B44CF9" w14:paraId="03B1E262" w14:textId="77777777" w:rsidTr="00E50F69">
        <w:trPr>
          <w:tblHeader/>
        </w:trPr>
        <w:tc>
          <w:tcPr>
            <w:tcW w:w="5400" w:type="dxa"/>
            <w:shd w:val="clear" w:color="auto" w:fill="0072C6"/>
          </w:tcPr>
          <w:p w14:paraId="4134DC24"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color w:val="FFFFFF" w:themeColor="background1"/>
              </w:rPr>
              <w:t>Procent Czasu Sprawnego Działania</w:t>
            </w:r>
          </w:p>
        </w:tc>
        <w:tc>
          <w:tcPr>
            <w:tcW w:w="5400" w:type="dxa"/>
            <w:shd w:val="clear" w:color="auto" w:fill="0072C6"/>
          </w:tcPr>
          <w:p w14:paraId="23EE2FF0" w14:textId="77777777" w:rsidR="00BC02A7" w:rsidRPr="00EC3D00" w:rsidRDefault="00BC02A7" w:rsidP="00E50F69">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BC02A7" w:rsidRPr="00B44CF9" w14:paraId="60024346" w14:textId="77777777" w:rsidTr="00E50F69">
        <w:tc>
          <w:tcPr>
            <w:tcW w:w="5400" w:type="dxa"/>
          </w:tcPr>
          <w:p w14:paraId="5A46750F" w14:textId="77777777" w:rsidR="00BC02A7" w:rsidRPr="00EC3D00" w:rsidRDefault="00BC02A7" w:rsidP="00E50F69">
            <w:pPr>
              <w:pStyle w:val="ProductList-OfferingBody"/>
              <w:jc w:val="center"/>
              <w:rPr>
                <w:rFonts w:ascii="Calibri" w:hAnsi="Calibri" w:cs="Calibri"/>
              </w:rPr>
            </w:pPr>
            <w:r>
              <w:rPr>
                <w:rFonts w:ascii="Calibri" w:hAnsi="Calibri" w:cs="Calibri"/>
              </w:rPr>
              <w:t>&lt; 99,95%</w:t>
            </w:r>
          </w:p>
        </w:tc>
        <w:tc>
          <w:tcPr>
            <w:tcW w:w="5400" w:type="dxa"/>
          </w:tcPr>
          <w:p w14:paraId="5C05A7C6" w14:textId="77777777" w:rsidR="00BC02A7" w:rsidRPr="00EC3D00" w:rsidRDefault="00BC02A7" w:rsidP="00E50F69">
            <w:pPr>
              <w:pStyle w:val="ProductList-OfferingBody"/>
              <w:jc w:val="center"/>
              <w:rPr>
                <w:rFonts w:ascii="Calibri" w:hAnsi="Calibri" w:cs="Calibri"/>
              </w:rPr>
            </w:pPr>
            <w:r>
              <w:rPr>
                <w:rFonts w:ascii="Calibri" w:hAnsi="Calibri" w:cs="Calibri"/>
              </w:rPr>
              <w:t>10%</w:t>
            </w:r>
          </w:p>
        </w:tc>
      </w:tr>
      <w:tr w:rsidR="00BC02A7" w:rsidRPr="00B44CF9" w14:paraId="09527989" w14:textId="77777777" w:rsidTr="00E50F69">
        <w:tc>
          <w:tcPr>
            <w:tcW w:w="5400" w:type="dxa"/>
          </w:tcPr>
          <w:p w14:paraId="51DBC74B" w14:textId="77777777" w:rsidR="00BC02A7" w:rsidRPr="00EC3D00" w:rsidRDefault="00BC02A7" w:rsidP="00E50F69">
            <w:pPr>
              <w:pStyle w:val="ProductList-OfferingBody"/>
              <w:jc w:val="center"/>
              <w:rPr>
                <w:rFonts w:ascii="Calibri" w:hAnsi="Calibri" w:cs="Calibri"/>
              </w:rPr>
            </w:pPr>
            <w:r>
              <w:rPr>
                <w:rFonts w:ascii="Calibri" w:hAnsi="Calibri" w:cs="Calibri"/>
              </w:rPr>
              <w:t>&lt; 99%</w:t>
            </w:r>
          </w:p>
        </w:tc>
        <w:tc>
          <w:tcPr>
            <w:tcW w:w="5400" w:type="dxa"/>
          </w:tcPr>
          <w:p w14:paraId="7779738A" w14:textId="77777777" w:rsidR="00BC02A7" w:rsidRPr="00EC3D00" w:rsidRDefault="00BC02A7" w:rsidP="00E50F69">
            <w:pPr>
              <w:pStyle w:val="ProductList-OfferingBody"/>
              <w:jc w:val="center"/>
              <w:rPr>
                <w:rFonts w:ascii="Calibri" w:hAnsi="Calibri" w:cs="Calibri"/>
              </w:rPr>
            </w:pPr>
            <w:r>
              <w:rPr>
                <w:rFonts w:ascii="Calibri" w:hAnsi="Calibri" w:cs="Calibri"/>
              </w:rPr>
              <w:t>25%</w:t>
            </w:r>
          </w:p>
        </w:tc>
      </w:tr>
      <w:tr w:rsidR="00BC02A7" w:rsidRPr="00B44CF9" w14:paraId="554EAB86" w14:textId="77777777" w:rsidTr="00E50F69">
        <w:tc>
          <w:tcPr>
            <w:tcW w:w="5400" w:type="dxa"/>
          </w:tcPr>
          <w:p w14:paraId="3C0D2EBF" w14:textId="77777777" w:rsidR="00BC02A7" w:rsidRPr="00EC3D00" w:rsidRDefault="00BC02A7" w:rsidP="00E50F69">
            <w:pPr>
              <w:pStyle w:val="ProductList-OfferingBody"/>
              <w:jc w:val="center"/>
              <w:rPr>
                <w:rFonts w:ascii="Calibri" w:hAnsi="Calibri" w:cs="Calibri"/>
              </w:rPr>
            </w:pPr>
            <w:r>
              <w:rPr>
                <w:rFonts w:ascii="Calibri" w:hAnsi="Calibri" w:cs="Calibri"/>
              </w:rPr>
              <w:t>&lt; 95%</w:t>
            </w:r>
          </w:p>
        </w:tc>
        <w:tc>
          <w:tcPr>
            <w:tcW w:w="5400" w:type="dxa"/>
          </w:tcPr>
          <w:p w14:paraId="60C73525" w14:textId="77777777" w:rsidR="00BC02A7" w:rsidRPr="00EC3D00" w:rsidRDefault="00BC02A7" w:rsidP="00E50F69">
            <w:pPr>
              <w:pStyle w:val="ProductList-OfferingBody"/>
              <w:jc w:val="center"/>
              <w:rPr>
                <w:rFonts w:ascii="Calibri" w:hAnsi="Calibri" w:cs="Calibri"/>
              </w:rPr>
            </w:pPr>
            <w:r>
              <w:rPr>
                <w:rFonts w:ascii="Calibri" w:hAnsi="Calibri" w:cs="Calibri"/>
              </w:rPr>
              <w:t>100%</w:t>
            </w:r>
          </w:p>
        </w:tc>
      </w:tr>
    </w:tbl>
    <w:p w14:paraId="461720C6" w14:textId="77777777" w:rsidR="00BC02A7" w:rsidRDefault="00BC02A7" w:rsidP="00BC02A7">
      <w:pPr>
        <w:pStyle w:val="ProductList-Body"/>
        <w:spacing w:before="120"/>
        <w:rPr>
          <w:rFonts w:ascii="Calibri" w:hAnsi="Calibri" w:cs="Calibri"/>
        </w:rPr>
      </w:pPr>
      <w:r>
        <w:rPr>
          <w:rFonts w:ascii="Calibri" w:hAnsi="Calibri" w:cs="Calibri"/>
          <w:b/>
          <w:bCs/>
          <w:color w:val="00188F"/>
        </w:rPr>
        <w:t>Postanowienia dodatkowe</w:t>
      </w:r>
      <w:r w:rsidRPr="00A516B8">
        <w:rPr>
          <w:rFonts w:ascii="Calibri" w:hAnsi="Calibri" w:cs="Calibri"/>
          <w:b/>
          <w:bCs/>
          <w:color w:val="00188F"/>
        </w:rPr>
        <w:t>:</w:t>
      </w:r>
      <w:r>
        <w:rPr>
          <w:rFonts w:ascii="Calibri" w:hAnsi="Calibri" w:cs="Calibri"/>
          <w:b/>
          <w:bCs/>
          <w:color w:val="00188F"/>
        </w:rPr>
        <w:t xml:space="preserve"> </w:t>
      </w:r>
      <w:r>
        <w:rPr>
          <w:rFonts w:ascii="Calibri" w:hAnsi="Calibri" w:cs="Calibri"/>
        </w:rPr>
        <w:t>Środki Serwisowe na Używanie Usług mają zastosowanie wyłącznie do opłat dotyczących używania przez Klienta Aplikacji Sieci Web, Aplikacji Mobilnych, Aplikacji API lub Aplikacji Logiki, a nie do opłat dotyczących innych typów aplikacji dostępnych za pośrednictwem Usługi Aplikacji, które nie są objęte niniejszą umową SLA.</w:t>
      </w:r>
    </w:p>
    <w:p w14:paraId="6AC3B939" w14:textId="2F9467EE" w:rsidR="00440948" w:rsidRPr="00440948" w:rsidRDefault="00440948" w:rsidP="00BC02A7">
      <w:pPr>
        <w:pStyle w:val="ProductList-Body"/>
        <w:spacing w:before="120"/>
        <w:rPr>
          <w:rFonts w:ascii="Calibri" w:hAnsi="Calibri" w:cs="Calibri"/>
          <w:szCs w:val="18"/>
        </w:rPr>
      </w:pPr>
      <w:r w:rsidRPr="00720884">
        <w:rPr>
          <w:rFonts w:ascii="Calibri" w:hAnsi="Calibri" w:cs="Calibri"/>
          <w:szCs w:val="18"/>
        </w:rPr>
        <w:t xml:space="preserve">Od 1 września 2024 r. funkcje usługi </w:t>
      </w:r>
      <w:proofErr w:type="spellStart"/>
      <w:r w:rsidRPr="00720884">
        <w:rPr>
          <w:rFonts w:ascii="Calibri" w:hAnsi="Calibri" w:cs="Calibri"/>
          <w:szCs w:val="18"/>
        </w:rPr>
        <w:t>App</w:t>
      </w:r>
      <w:proofErr w:type="spellEnd"/>
      <w:r w:rsidRPr="00720884">
        <w:rPr>
          <w:rFonts w:ascii="Calibri" w:hAnsi="Calibri" w:cs="Calibri"/>
          <w:szCs w:val="18"/>
        </w:rPr>
        <w:t xml:space="preserve"> Service Environment w wersji 1 i 2 są wycofane, a ich okresy wsparcia wygasają. Usługa </w:t>
      </w:r>
      <w:proofErr w:type="spellStart"/>
      <w:r w:rsidRPr="00720884">
        <w:rPr>
          <w:rFonts w:ascii="Calibri" w:hAnsi="Calibri" w:cs="Calibri"/>
          <w:szCs w:val="18"/>
        </w:rPr>
        <w:t>App</w:t>
      </w:r>
      <w:proofErr w:type="spellEnd"/>
      <w:r w:rsidRPr="00720884">
        <w:rPr>
          <w:rFonts w:ascii="Calibri" w:hAnsi="Calibri" w:cs="Calibri"/>
          <w:szCs w:val="18"/>
        </w:rPr>
        <w:t xml:space="preserve"> Service nie udziela już żadnych gwarancji poziomu usług ani, co za tym idzie, Środków Serwisowych na Używanie Usług: w przypadku problemów z wydajnością lub dostępnością związanych z obciążeniami uruchamianymi w środowisku </w:t>
      </w:r>
      <w:proofErr w:type="spellStart"/>
      <w:r w:rsidRPr="00720884">
        <w:rPr>
          <w:rFonts w:ascii="Calibri" w:hAnsi="Calibri" w:cs="Calibri"/>
          <w:szCs w:val="18"/>
        </w:rPr>
        <w:t>App</w:t>
      </w:r>
      <w:proofErr w:type="spellEnd"/>
      <w:r w:rsidRPr="00720884">
        <w:rPr>
          <w:rFonts w:ascii="Calibri" w:hAnsi="Calibri" w:cs="Calibri"/>
          <w:szCs w:val="18"/>
        </w:rPr>
        <w:t xml:space="preserve"> Service Environment w wersji 1 i 2.</w:t>
      </w:r>
    </w:p>
    <w:p w14:paraId="4570C31C" w14:textId="031A405B"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B5AD483" w14:textId="77777777" w:rsidR="00A57C32" w:rsidRDefault="00A57C32">
      <w:pPr>
        <w:rPr>
          <w:rFonts w:asciiTheme="majorHAnsi" w:hAnsiTheme="majorHAnsi"/>
          <w:b/>
          <w:color w:val="0072C6"/>
          <w:sz w:val="28"/>
        </w:rPr>
      </w:pPr>
      <w:bookmarkStart w:id="133" w:name="_Toc52348920"/>
      <w:r>
        <w:br w:type="page"/>
      </w:r>
    </w:p>
    <w:p w14:paraId="11F9D7C6" w14:textId="6DC4A0D4" w:rsidR="004005AF" w:rsidRPr="00EF7CF9" w:rsidRDefault="004005AF" w:rsidP="0007032F">
      <w:pPr>
        <w:pStyle w:val="ProductList-Offering2Heading"/>
        <w:tabs>
          <w:tab w:val="clear" w:pos="360"/>
          <w:tab w:val="clear" w:pos="720"/>
          <w:tab w:val="clear" w:pos="1080"/>
        </w:tabs>
        <w:outlineLvl w:val="2"/>
      </w:pPr>
      <w:bookmarkStart w:id="134" w:name="_Toc239174962"/>
      <w:r>
        <w:t>Application Gateway</w:t>
      </w:r>
      <w:bookmarkEnd w:id="132"/>
      <w:bookmarkEnd w:id="133"/>
      <w:bookmarkEnd w:id="134"/>
    </w:p>
    <w:p w14:paraId="38D78F29" w14:textId="77777777" w:rsidR="004005AF" w:rsidRPr="00EF7CF9" w:rsidRDefault="004005AF" w:rsidP="004005AF">
      <w:pPr>
        <w:pStyle w:val="ProductList-Body"/>
      </w:pPr>
      <w:r>
        <w:rPr>
          <w:b/>
          <w:color w:val="00188F"/>
        </w:rPr>
        <w:t>Dodatkowe definicje</w:t>
      </w:r>
      <w:r w:rsidRPr="007B038A">
        <w:rPr>
          <w:b/>
          <w:color w:val="00188F"/>
        </w:rPr>
        <w:t>:</w:t>
      </w:r>
    </w:p>
    <w:p w14:paraId="409BF5A1" w14:textId="77777777" w:rsidR="004005AF" w:rsidRPr="00EF7CF9" w:rsidRDefault="004005AF" w:rsidP="000C34FA">
      <w:pPr>
        <w:pStyle w:val="ProductList-Body"/>
      </w:pPr>
      <w:r>
        <w:t>„</w:t>
      </w:r>
      <w:r>
        <w:rPr>
          <w:b/>
          <w:color w:val="00188F"/>
        </w:rPr>
        <w:t>Usługa Chmurowa Application Gateway</w:t>
      </w:r>
      <w:r>
        <w:t>” to zbiór co najmniej dwóch średnich lub większych wystąpień lub wdrożeń usługi Application Gateway zdolnych do obsługi skalowania automatycznego lub nadmiarowości w strefie, skonfigurowanych na potrzeby wykonywania usług równoważenia obciążenia HTTP.</w:t>
      </w:r>
    </w:p>
    <w:p w14:paraId="3A2B043F" w14:textId="23742456" w:rsidR="004005AF" w:rsidRPr="00EF7CF9" w:rsidRDefault="004005AF" w:rsidP="000C34FA">
      <w:pPr>
        <w:pStyle w:val="ProductList-Body"/>
      </w:pPr>
      <w:r>
        <w:t>„</w:t>
      </w:r>
      <w:r>
        <w:rPr>
          <w:b/>
          <w:color w:val="00188F"/>
        </w:rPr>
        <w:t>Maksymalna Liczba Dostępnych Minut</w:t>
      </w:r>
      <w:r>
        <w:t xml:space="preserve">” to łączna zakumulowana liczba minut we Właściwym Okresie, podczas których Usługa Chmurowa Application Gateway została wdrożona w ramach subskrypcji Microsoft </w:t>
      </w:r>
      <w:proofErr w:type="spellStart"/>
      <w:r>
        <w:t>Azure</w:t>
      </w:r>
      <w:proofErr w:type="spellEnd"/>
      <w:r>
        <w:t>.</w:t>
      </w:r>
    </w:p>
    <w:p w14:paraId="27881ED1" w14:textId="39A2BE80" w:rsidR="004005AF" w:rsidRPr="00EF7CF9" w:rsidRDefault="004005AF" w:rsidP="000C34FA">
      <w:pPr>
        <w:pStyle w:val="ProductList-Body"/>
      </w:pPr>
      <w:r>
        <w:rPr>
          <w:b/>
          <w:color w:val="00188F"/>
        </w:rPr>
        <w:t>Przestój</w:t>
      </w:r>
      <w:r w:rsidRPr="007B038A">
        <w:rPr>
          <w:b/>
          <w:color w:val="00188F"/>
        </w:rPr>
        <w:t>:</w:t>
      </w:r>
      <w:r>
        <w:t xml:space="preserve"> to łączna zakumulowana Maksymalna Liczba Dostępnych Minut we Właściwym Okresie dla danej Usługi Chmurowej Application Gateway, podczas których Usługa Chmurowa Application Gateway jest niedostępna. Minuta jest uznawana za minutę niedostępności, jeśli wszystkie próby nawiązania połączenia z Usługą Chmurową Application Gateway podejmowane w trakcie tej minuty kończą się niepowodzeniem.</w:t>
      </w:r>
    </w:p>
    <w:p w14:paraId="71CE672F" w14:textId="5E7BA27A" w:rsidR="004005AF" w:rsidRPr="00EF7CF9" w:rsidRDefault="00AC48A7" w:rsidP="004005AF">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7F8325E7" w14:textId="1C95B51A" w:rsidR="004005AF" w:rsidRPr="00EF7CF9" w:rsidRDefault="00000000" w:rsidP="000C34F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551F904" w14:textId="77777777" w:rsidR="004005AF" w:rsidRPr="00EF7CF9" w:rsidRDefault="004005AF" w:rsidP="004005AF">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A345365" w14:textId="77777777" w:rsidTr="00277097">
        <w:trPr>
          <w:tblHeader/>
        </w:trPr>
        <w:tc>
          <w:tcPr>
            <w:tcW w:w="5400" w:type="dxa"/>
            <w:shd w:val="clear" w:color="auto" w:fill="0072C6"/>
          </w:tcPr>
          <w:p w14:paraId="14CAF016" w14:textId="69AFD054"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8694978"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775144B4" w14:textId="77777777" w:rsidTr="00277097">
        <w:tc>
          <w:tcPr>
            <w:tcW w:w="5400" w:type="dxa"/>
          </w:tcPr>
          <w:p w14:paraId="146FF228" w14:textId="77777777" w:rsidR="004005AF" w:rsidRPr="00EF7CF9" w:rsidRDefault="004005AF" w:rsidP="000F31B4">
            <w:pPr>
              <w:pStyle w:val="ProductList-OfferingBody"/>
              <w:jc w:val="center"/>
            </w:pPr>
            <w:r>
              <w:t>&lt; 99,95%</w:t>
            </w:r>
          </w:p>
        </w:tc>
        <w:tc>
          <w:tcPr>
            <w:tcW w:w="5400" w:type="dxa"/>
          </w:tcPr>
          <w:p w14:paraId="25A99F4E" w14:textId="77777777" w:rsidR="004005AF" w:rsidRPr="00EF7CF9" w:rsidRDefault="004005AF" w:rsidP="000F31B4">
            <w:pPr>
              <w:pStyle w:val="ProductList-OfferingBody"/>
              <w:jc w:val="center"/>
            </w:pPr>
            <w:r>
              <w:t>10%</w:t>
            </w:r>
          </w:p>
        </w:tc>
      </w:tr>
      <w:tr w:rsidR="004005AF" w:rsidRPr="00B44CF9" w14:paraId="72795E6F" w14:textId="77777777" w:rsidTr="00277097">
        <w:tc>
          <w:tcPr>
            <w:tcW w:w="5400" w:type="dxa"/>
          </w:tcPr>
          <w:p w14:paraId="03C5B7A3" w14:textId="77777777" w:rsidR="004005AF" w:rsidRPr="00EF7CF9" w:rsidRDefault="004005AF" w:rsidP="000F31B4">
            <w:pPr>
              <w:pStyle w:val="ProductList-OfferingBody"/>
              <w:jc w:val="center"/>
            </w:pPr>
            <w:r>
              <w:t>&lt; 99%</w:t>
            </w:r>
          </w:p>
        </w:tc>
        <w:tc>
          <w:tcPr>
            <w:tcW w:w="5400" w:type="dxa"/>
          </w:tcPr>
          <w:p w14:paraId="5322A0A3" w14:textId="77777777" w:rsidR="004005AF" w:rsidRPr="00EF7CF9" w:rsidRDefault="004005AF" w:rsidP="000F31B4">
            <w:pPr>
              <w:pStyle w:val="ProductList-OfferingBody"/>
              <w:jc w:val="center"/>
            </w:pPr>
            <w:r>
              <w:t>25%</w:t>
            </w:r>
          </w:p>
        </w:tc>
      </w:tr>
    </w:tbl>
    <w:bookmarkStart w:id="135" w:name="_Toc526859647"/>
    <w:bookmarkStart w:id="136" w:name="_Toc527039296"/>
    <w:bookmarkStart w:id="137" w:name="ApplicationInsights"/>
    <w:bookmarkStart w:id="138" w:name="_Toc457821538"/>
    <w:p w14:paraId="3528C4A2" w14:textId="31A667BA"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9A4D7FD" w14:textId="18A4192D" w:rsidR="000F6F19" w:rsidRDefault="000F6F19" w:rsidP="004005AF">
      <w:pPr>
        <w:pStyle w:val="ProductList-Offering2Heading"/>
        <w:tabs>
          <w:tab w:val="clear" w:pos="360"/>
          <w:tab w:val="clear" w:pos="720"/>
          <w:tab w:val="clear" w:pos="1080"/>
        </w:tabs>
        <w:outlineLvl w:val="2"/>
      </w:pPr>
      <w:bookmarkStart w:id="139" w:name="_Toc239174963"/>
      <w:bookmarkStart w:id="140" w:name="_Toc52348921"/>
      <w:r>
        <w:t xml:space="preserve">Application Gateway for </w:t>
      </w:r>
      <w:proofErr w:type="spellStart"/>
      <w:r>
        <w:t>Containers</w:t>
      </w:r>
      <w:bookmarkEnd w:id="139"/>
      <w:proofErr w:type="spellEnd"/>
    </w:p>
    <w:p w14:paraId="65E278D0" w14:textId="77777777" w:rsidR="001E43EF" w:rsidRPr="00420E5B" w:rsidRDefault="001E43EF" w:rsidP="001E43EF">
      <w:pPr>
        <w:pStyle w:val="ProductList-Body"/>
        <w:rPr>
          <w:rFonts w:ascii="Calibri" w:hAnsi="Calibri" w:cs="Calibri"/>
        </w:rPr>
      </w:pPr>
      <w:r>
        <w:rPr>
          <w:rFonts w:ascii="Calibri" w:hAnsi="Calibri" w:cs="Calibri"/>
          <w:b/>
          <w:color w:val="00188F"/>
        </w:rPr>
        <w:t>Dodatkowe definicje</w:t>
      </w:r>
      <w:r w:rsidRPr="008E2D4E">
        <w:rPr>
          <w:rFonts w:ascii="Calibri" w:hAnsi="Calibri" w:cs="Calibri"/>
          <w:b/>
          <w:bCs/>
        </w:rPr>
        <w:t>:</w:t>
      </w:r>
    </w:p>
    <w:p w14:paraId="3C41ADA9" w14:textId="77777777" w:rsidR="001E43EF" w:rsidRPr="00420E5B" w:rsidRDefault="001E43EF" w:rsidP="001E43EF">
      <w:pPr>
        <w:pStyle w:val="ProductList-Body"/>
        <w:spacing w:after="40"/>
        <w:rPr>
          <w:rFonts w:ascii="Calibri" w:hAnsi="Calibri" w:cs="Calibri"/>
        </w:rPr>
      </w:pPr>
      <w:r>
        <w:rPr>
          <w:rFonts w:ascii="Calibri" w:hAnsi="Calibri" w:cs="Calibri"/>
        </w:rPr>
        <w:t>„</w:t>
      </w:r>
      <w:r>
        <w:rPr>
          <w:rFonts w:ascii="Calibri" w:hAnsi="Calibri" w:cs="Calibri"/>
          <w:b/>
          <w:bCs/>
          <w:color w:val="00188F"/>
        </w:rPr>
        <w:t xml:space="preserve">Application Gateway for </w:t>
      </w:r>
      <w:proofErr w:type="spellStart"/>
      <w:r>
        <w:rPr>
          <w:rFonts w:ascii="Calibri" w:hAnsi="Calibri" w:cs="Calibri"/>
          <w:b/>
          <w:bCs/>
          <w:color w:val="00188F"/>
        </w:rPr>
        <w:t>Containers</w:t>
      </w:r>
      <w:proofErr w:type="spellEnd"/>
      <w:r>
        <w:rPr>
          <w:rFonts w:ascii="Calibri" w:hAnsi="Calibri" w:cs="Calibri"/>
        </w:rPr>
        <w:t>” odnosi się zarówno do koncepcji płaszczyzny sterowania, jak i płaszczyzny danych, służących do świadczenia usług równoważenia obciążenia HTTP.</w:t>
      </w:r>
    </w:p>
    <w:p w14:paraId="3EB00E07" w14:textId="77777777" w:rsidR="001E43EF" w:rsidRPr="00420E5B" w:rsidRDefault="001E43EF" w:rsidP="001E43EF">
      <w:pPr>
        <w:pStyle w:val="ProductList-Body"/>
        <w:spacing w:after="40"/>
        <w:rPr>
          <w:rFonts w:ascii="Calibri" w:hAnsi="Calibri" w:cs="Calibri"/>
        </w:rPr>
      </w:pPr>
      <w:r>
        <w:rPr>
          <w:rFonts w:ascii="Calibri" w:hAnsi="Calibri" w:cs="Calibri"/>
        </w:rPr>
        <w:t>„</w:t>
      </w:r>
      <w:r>
        <w:rPr>
          <w:rFonts w:ascii="Calibri" w:hAnsi="Calibri" w:cs="Calibri"/>
          <w:b/>
          <w:bCs/>
          <w:color w:val="00188F"/>
        </w:rPr>
        <w:t>ALB Controller</w:t>
      </w:r>
      <w:r>
        <w:rPr>
          <w:rFonts w:ascii="Calibri" w:hAnsi="Calibri" w:cs="Calibri"/>
        </w:rPr>
        <w:t xml:space="preserve">” odnosi się do komponentu zainstalowanego w klastrze </w:t>
      </w:r>
      <w:proofErr w:type="spellStart"/>
      <w:r>
        <w:rPr>
          <w:rFonts w:ascii="Calibri" w:hAnsi="Calibri" w:cs="Calibri"/>
        </w:rPr>
        <w:t>Kubernetes</w:t>
      </w:r>
      <w:proofErr w:type="spellEnd"/>
      <w:r>
        <w:rPr>
          <w:rFonts w:ascii="Calibri" w:hAnsi="Calibri" w:cs="Calibri"/>
        </w:rPr>
        <w:t xml:space="preserve"> klienta, który jest odpowiedzialny za tłumaczenie i przesyłanie konfiguracji zdefiniowanej przez użytkownika w klastrze </w:t>
      </w:r>
      <w:proofErr w:type="spellStart"/>
      <w:r>
        <w:rPr>
          <w:rFonts w:ascii="Calibri" w:hAnsi="Calibri" w:cs="Calibri"/>
        </w:rPr>
        <w:t>Kubernetes</w:t>
      </w:r>
      <w:proofErr w:type="spellEnd"/>
      <w:r>
        <w:rPr>
          <w:rFonts w:ascii="Calibri" w:hAnsi="Calibri" w:cs="Calibri"/>
        </w:rPr>
        <w:t xml:space="preserve"> do Application Gateway for </w:t>
      </w:r>
      <w:proofErr w:type="spellStart"/>
      <w:r>
        <w:rPr>
          <w:rFonts w:ascii="Calibri" w:hAnsi="Calibri" w:cs="Calibri"/>
        </w:rPr>
        <w:t>Containers</w:t>
      </w:r>
      <w:proofErr w:type="spellEnd"/>
      <w:r>
        <w:rPr>
          <w:rFonts w:ascii="Calibri" w:hAnsi="Calibri" w:cs="Calibri"/>
        </w:rPr>
        <w:t>.</w:t>
      </w:r>
    </w:p>
    <w:p w14:paraId="0316F006" w14:textId="77777777" w:rsidR="001E43EF" w:rsidRPr="00420E5B" w:rsidRDefault="001E43EF" w:rsidP="001E43EF">
      <w:pPr>
        <w:pStyle w:val="ProductList-Body"/>
        <w:spacing w:after="40"/>
        <w:rPr>
          <w:rFonts w:ascii="Calibri" w:hAnsi="Calibri" w:cs="Calibri"/>
        </w:rPr>
      </w:pPr>
      <w:r>
        <w:rPr>
          <w:rFonts w:ascii="Calibri" w:hAnsi="Calibri" w:cs="Calibri"/>
        </w:rPr>
        <w:t>„</w:t>
      </w:r>
      <w:r>
        <w:rPr>
          <w:rFonts w:ascii="Calibri" w:hAnsi="Calibri" w:cs="Calibri"/>
          <w:b/>
          <w:bCs/>
          <w:color w:val="00188F"/>
        </w:rPr>
        <w:t>Maksymalna Liczba Dostępnych Minut</w:t>
      </w:r>
      <w:r>
        <w:rPr>
          <w:rFonts w:ascii="Calibri" w:hAnsi="Calibri" w:cs="Calibri"/>
        </w:rPr>
        <w:t xml:space="preserve">” to łączna zakumulowana liczba minut w miesiącu rozliczeniowym, podczas których wdrożono Usługę Application Gateway for </w:t>
      </w:r>
      <w:proofErr w:type="spellStart"/>
      <w:r>
        <w:rPr>
          <w:rFonts w:ascii="Calibri" w:hAnsi="Calibri" w:cs="Calibri"/>
        </w:rPr>
        <w:t>Containers</w:t>
      </w:r>
      <w:proofErr w:type="spellEnd"/>
      <w:r>
        <w:rPr>
          <w:rFonts w:ascii="Calibri" w:hAnsi="Calibri" w:cs="Calibri"/>
        </w:rPr>
        <w:t xml:space="preserve"> w ramach danej subskrypcji </w:t>
      </w:r>
      <w:proofErr w:type="spellStart"/>
      <w:r>
        <w:rPr>
          <w:rFonts w:ascii="Calibri" w:hAnsi="Calibri" w:cs="Calibri"/>
        </w:rPr>
        <w:t>Azure</w:t>
      </w:r>
      <w:proofErr w:type="spellEnd"/>
      <w:r>
        <w:rPr>
          <w:rFonts w:ascii="Calibri" w:hAnsi="Calibri" w:cs="Calibri"/>
        </w:rPr>
        <w:t>.</w:t>
      </w:r>
    </w:p>
    <w:p w14:paraId="2202C29D" w14:textId="77777777" w:rsidR="001E43EF" w:rsidRPr="00420E5B" w:rsidRDefault="001E43EF" w:rsidP="001E43EF">
      <w:pPr>
        <w:pStyle w:val="ProductList-Body"/>
        <w:spacing w:after="40"/>
        <w:rPr>
          <w:rFonts w:ascii="Calibri" w:hAnsi="Calibri" w:cs="Calibri"/>
        </w:rPr>
      </w:pPr>
      <w:r>
        <w:rPr>
          <w:rFonts w:ascii="Calibri" w:hAnsi="Calibri" w:cs="Calibri"/>
        </w:rPr>
        <w:t>„</w:t>
      </w:r>
      <w:r>
        <w:rPr>
          <w:rFonts w:ascii="Calibri" w:hAnsi="Calibri" w:cs="Calibri"/>
          <w:b/>
          <w:bCs/>
          <w:color w:val="00188F"/>
        </w:rPr>
        <w:t>Przestój Płaszczyzny Sterowania</w:t>
      </w:r>
      <w:r>
        <w:rPr>
          <w:rFonts w:ascii="Calibri" w:hAnsi="Calibri" w:cs="Calibri"/>
        </w:rPr>
        <w:t xml:space="preserve">” to łączna zakumulowana liczba minut w miesiącu rozliczeniowym dla danego zasobu Application Gateway for </w:t>
      </w:r>
      <w:proofErr w:type="spellStart"/>
      <w:r>
        <w:rPr>
          <w:rFonts w:ascii="Calibri" w:hAnsi="Calibri" w:cs="Calibri"/>
        </w:rPr>
        <w:t>Containers</w:t>
      </w:r>
      <w:proofErr w:type="spellEnd"/>
      <w:r>
        <w:rPr>
          <w:rFonts w:ascii="Calibri" w:hAnsi="Calibri" w:cs="Calibri"/>
        </w:rPr>
        <w:t xml:space="preserve">, podczas których zmiany w płaszczyźnie sterowania Application Gateway for </w:t>
      </w:r>
      <w:proofErr w:type="spellStart"/>
      <w:r>
        <w:rPr>
          <w:rFonts w:ascii="Calibri" w:hAnsi="Calibri" w:cs="Calibri"/>
        </w:rPr>
        <w:t>Containers</w:t>
      </w:r>
      <w:proofErr w:type="spellEnd"/>
      <w:r>
        <w:rPr>
          <w:rFonts w:ascii="Calibri" w:hAnsi="Calibri" w:cs="Calibri"/>
        </w:rPr>
        <w:t xml:space="preserve"> są niedostępne. Dana minuta jest uważana za minutę niedostępności, jeśli wszystkie połączenia zainicjowane przez Application Gateway dla kontrolera ALB kontenera w ciągu tej minuty nie powiodą się.</w:t>
      </w:r>
    </w:p>
    <w:p w14:paraId="5EF0CFDC" w14:textId="77777777" w:rsidR="001E43EF" w:rsidRPr="00420E5B" w:rsidRDefault="001E43EF" w:rsidP="001E43EF">
      <w:pPr>
        <w:pStyle w:val="ProductList-Body"/>
        <w:spacing w:after="40"/>
        <w:rPr>
          <w:rFonts w:ascii="Calibri" w:hAnsi="Calibri" w:cs="Calibri"/>
        </w:rPr>
      </w:pPr>
      <w:r>
        <w:rPr>
          <w:rFonts w:ascii="Calibri" w:hAnsi="Calibri" w:cs="Calibri"/>
        </w:rPr>
        <w:t>„</w:t>
      </w:r>
      <w:r>
        <w:rPr>
          <w:rFonts w:ascii="Calibri" w:hAnsi="Calibri" w:cs="Calibri"/>
          <w:b/>
          <w:bCs/>
          <w:color w:val="00188F"/>
        </w:rPr>
        <w:t>Przestój Płaszczyzny Danych</w:t>
      </w:r>
      <w:r>
        <w:rPr>
          <w:rFonts w:ascii="Calibri" w:hAnsi="Calibri" w:cs="Calibri"/>
        </w:rPr>
        <w:t xml:space="preserve">” zakumulowana liczba minut w miesiącu rozliczeniowym dla danego zasobu Application Gateway for </w:t>
      </w:r>
      <w:proofErr w:type="spellStart"/>
      <w:r>
        <w:rPr>
          <w:rFonts w:ascii="Calibri" w:hAnsi="Calibri" w:cs="Calibri"/>
        </w:rPr>
        <w:t>Containers</w:t>
      </w:r>
      <w:proofErr w:type="spellEnd"/>
      <w:r>
        <w:rPr>
          <w:rFonts w:ascii="Calibri" w:hAnsi="Calibri" w:cs="Calibri"/>
        </w:rPr>
        <w:t xml:space="preserve">, podczas których płaszczyzna danych Application Gateway for </w:t>
      </w:r>
      <w:proofErr w:type="spellStart"/>
      <w:r>
        <w:rPr>
          <w:rFonts w:ascii="Calibri" w:hAnsi="Calibri" w:cs="Calibri"/>
        </w:rPr>
        <w:t>Containers</w:t>
      </w:r>
      <w:proofErr w:type="spellEnd"/>
      <w:r>
        <w:rPr>
          <w:rFonts w:ascii="Calibri" w:hAnsi="Calibri" w:cs="Calibri"/>
        </w:rPr>
        <w:t xml:space="preserve"> jest niedostępna. Minuta jest uznawana za minutę niedostępności, jeśli wszystkie próby nawiązania łączności do frontonu Application Gateway for </w:t>
      </w:r>
      <w:proofErr w:type="spellStart"/>
      <w:r>
        <w:rPr>
          <w:rFonts w:ascii="Calibri" w:hAnsi="Calibri" w:cs="Calibri"/>
        </w:rPr>
        <w:t>Containers</w:t>
      </w:r>
      <w:proofErr w:type="spellEnd"/>
      <w:r>
        <w:rPr>
          <w:rFonts w:ascii="Calibri" w:hAnsi="Calibri" w:cs="Calibri"/>
        </w:rPr>
        <w:t xml:space="preserve"> w ciągu tej minuty kończą się niepowodzeniem.</w:t>
      </w:r>
    </w:p>
    <w:p w14:paraId="57631F0F" w14:textId="77777777" w:rsidR="001E43EF" w:rsidRPr="00420E5B" w:rsidRDefault="001E43EF" w:rsidP="001E43EF">
      <w:pPr>
        <w:pStyle w:val="ProductList-Body"/>
        <w:spacing w:after="40"/>
        <w:rPr>
          <w:rFonts w:ascii="Calibri" w:hAnsi="Calibri" w:cs="Calibri"/>
        </w:rPr>
      </w:pPr>
      <w:r>
        <w:rPr>
          <w:rFonts w:ascii="Calibri" w:hAnsi="Calibri" w:cs="Calibri"/>
          <w:b/>
          <w:color w:val="00188F"/>
        </w:rPr>
        <w:t>Procent Czasu Sprawnego Działania w Miesiącu</w:t>
      </w:r>
      <w:r w:rsidRPr="008E2D4E">
        <w:rPr>
          <w:rFonts w:ascii="Calibri" w:hAnsi="Calibri" w:cs="Calibri"/>
          <w:b/>
          <w:bCs/>
        </w:rPr>
        <w:t>:</w:t>
      </w:r>
      <w:r>
        <w:rPr>
          <w:rFonts w:ascii="Calibri" w:hAnsi="Calibri" w:cs="Calibri"/>
        </w:rPr>
        <w:t xml:space="preserve"> Miesięczny Procent Czasu Sprawnego Działania jest obliczany przy użyciu następującego wzoru:</w:t>
      </w:r>
    </w:p>
    <w:p w14:paraId="1C1F709B" w14:textId="77777777" w:rsidR="001E43EF" w:rsidRPr="0088591D" w:rsidRDefault="00000000" w:rsidP="00065D4D">
      <w:pPr>
        <w:pStyle w:val="ProductList-Body"/>
        <w:spacing w:before="120" w:after="120"/>
        <w:rPr>
          <w:rFonts w:eastAsiaTheme="minorEastAsia"/>
          <w:szCs w:val="18"/>
        </w:rPr>
      </w:pPr>
      <m:oMathPara>
        <m:oMath>
          <m:f>
            <m:fPr>
              <m:ctrlPr>
                <w:rPr>
                  <w:rFonts w:ascii="Cambria Math" w:hAnsi="Cambria Math" w:cs="Tahoma"/>
                  <w:i/>
                  <w:szCs w:val="18"/>
                </w:rPr>
              </m:ctrlPr>
            </m:fPr>
            <m:num>
              <m:r>
                <m:rPr>
                  <m:nor/>
                </m:rPr>
                <w:rPr>
                  <w:rFonts w:ascii="Cambria Math" w:hAnsi="Cambria Math" w:cs="Tahoma"/>
                  <w:i/>
                  <w:szCs w:val="18"/>
                </w:rPr>
                <m:t>Maksymalna Liczba Dostępnych Minut - Przestój Płaszczyzny Kontrolnej - Przestój Płaszczyzny Danych</m:t>
              </m:r>
            </m:num>
            <m:den>
              <m:r>
                <m:rPr>
                  <m:nor/>
                </m:rPr>
                <w:rPr>
                  <w:rFonts w:ascii="Cambria Math" w:hAnsi="Cambria Math" w:cs="Tahoma"/>
                  <w:i/>
                  <w:szCs w:val="18"/>
                </w:rPr>
                <m:t>Maksymalna Liczba Dostępnych Minut</m:t>
              </m:r>
            </m:den>
          </m:f>
        </m:oMath>
      </m:oMathPara>
    </w:p>
    <w:p w14:paraId="277CF16B" w14:textId="77777777" w:rsidR="001E43EF" w:rsidRPr="00420E5B" w:rsidRDefault="001E43EF" w:rsidP="001E43EF">
      <w:pPr>
        <w:pStyle w:val="ProductList-Body"/>
        <w:rPr>
          <w:rFonts w:ascii="Calibri" w:hAnsi="Calibri" w:cs="Calibri"/>
        </w:rPr>
      </w:pPr>
      <w:r>
        <w:rPr>
          <w:rFonts w:ascii="Calibri" w:hAnsi="Calibri" w:cs="Calibri"/>
          <w:b/>
          <w:color w:val="00188F"/>
        </w:rPr>
        <w:t>Środki Serwisowe na Używanie Usług</w:t>
      </w:r>
      <w:r w:rsidRPr="008E2D4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E43EF" w:rsidRPr="00B44CF9" w14:paraId="7712AA57" w14:textId="77777777" w:rsidTr="001A179B">
        <w:trPr>
          <w:tblHeader/>
        </w:trPr>
        <w:tc>
          <w:tcPr>
            <w:tcW w:w="5400" w:type="dxa"/>
            <w:shd w:val="clear" w:color="auto" w:fill="0072C6"/>
          </w:tcPr>
          <w:p w14:paraId="7F464DD7" w14:textId="77777777" w:rsidR="001E43EF" w:rsidRPr="00420E5B" w:rsidRDefault="001E43EF" w:rsidP="001A179B">
            <w:pPr>
              <w:pStyle w:val="ProductList-OfferingBody"/>
              <w:jc w:val="center"/>
              <w:rPr>
                <w:rFonts w:ascii="Calibri" w:hAnsi="Calibri" w:cs="Calibri"/>
                <w:color w:val="FFFFFF" w:themeColor="background1"/>
              </w:rPr>
            </w:pPr>
            <w:r>
              <w:rPr>
                <w:rFonts w:ascii="Calibri" w:hAnsi="Calibri" w:cs="Calibri"/>
                <w:color w:val="FFFFFF" w:themeColor="background1"/>
              </w:rPr>
              <w:t>Procent Czasu Sprawnego Działania</w:t>
            </w:r>
          </w:p>
        </w:tc>
        <w:tc>
          <w:tcPr>
            <w:tcW w:w="5400" w:type="dxa"/>
            <w:shd w:val="clear" w:color="auto" w:fill="0072C6"/>
          </w:tcPr>
          <w:p w14:paraId="4725253F" w14:textId="77777777" w:rsidR="001E43EF" w:rsidRPr="00420E5B" w:rsidRDefault="001E43EF" w:rsidP="001A179B">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1E43EF" w:rsidRPr="00B44CF9" w14:paraId="415F46EF" w14:textId="77777777" w:rsidTr="001A179B">
        <w:tc>
          <w:tcPr>
            <w:tcW w:w="5400" w:type="dxa"/>
          </w:tcPr>
          <w:p w14:paraId="221DBE3F" w14:textId="77777777" w:rsidR="001E43EF" w:rsidRPr="00420E5B" w:rsidRDefault="001E43EF" w:rsidP="001A179B">
            <w:pPr>
              <w:pStyle w:val="ProductList-OfferingBody"/>
              <w:jc w:val="center"/>
              <w:rPr>
                <w:rFonts w:ascii="Calibri" w:hAnsi="Calibri" w:cs="Calibri"/>
              </w:rPr>
            </w:pPr>
            <w:r>
              <w:rPr>
                <w:rFonts w:ascii="Calibri" w:hAnsi="Calibri" w:cs="Calibri"/>
              </w:rPr>
              <w:t>&lt; 99,95%</w:t>
            </w:r>
          </w:p>
        </w:tc>
        <w:tc>
          <w:tcPr>
            <w:tcW w:w="5400" w:type="dxa"/>
          </w:tcPr>
          <w:p w14:paraId="6A184D6D" w14:textId="77777777" w:rsidR="001E43EF" w:rsidRPr="00420E5B" w:rsidRDefault="001E43EF" w:rsidP="001A179B">
            <w:pPr>
              <w:pStyle w:val="ProductList-OfferingBody"/>
              <w:jc w:val="center"/>
              <w:rPr>
                <w:rFonts w:ascii="Calibri" w:hAnsi="Calibri" w:cs="Calibri"/>
              </w:rPr>
            </w:pPr>
            <w:r>
              <w:rPr>
                <w:rFonts w:ascii="Calibri" w:hAnsi="Calibri" w:cs="Calibri"/>
              </w:rPr>
              <w:t>10%</w:t>
            </w:r>
          </w:p>
        </w:tc>
      </w:tr>
      <w:tr w:rsidR="001E43EF" w:rsidRPr="00B44CF9" w14:paraId="47440850" w14:textId="77777777" w:rsidTr="001A179B">
        <w:tc>
          <w:tcPr>
            <w:tcW w:w="5400" w:type="dxa"/>
          </w:tcPr>
          <w:p w14:paraId="7F310DB8" w14:textId="77777777" w:rsidR="001E43EF" w:rsidRPr="00420E5B" w:rsidRDefault="001E43EF" w:rsidP="001A179B">
            <w:pPr>
              <w:pStyle w:val="ProductList-OfferingBody"/>
              <w:jc w:val="center"/>
              <w:rPr>
                <w:rFonts w:ascii="Calibri" w:hAnsi="Calibri" w:cs="Calibri"/>
              </w:rPr>
            </w:pPr>
            <w:r>
              <w:rPr>
                <w:rFonts w:ascii="Calibri" w:hAnsi="Calibri" w:cs="Calibri"/>
              </w:rPr>
              <w:t>&lt; 99%</w:t>
            </w:r>
          </w:p>
        </w:tc>
        <w:tc>
          <w:tcPr>
            <w:tcW w:w="5400" w:type="dxa"/>
          </w:tcPr>
          <w:p w14:paraId="17E85650" w14:textId="77777777" w:rsidR="001E43EF" w:rsidRPr="00420E5B" w:rsidRDefault="001E43EF" w:rsidP="001A179B">
            <w:pPr>
              <w:pStyle w:val="ProductList-OfferingBody"/>
              <w:jc w:val="center"/>
              <w:rPr>
                <w:rFonts w:ascii="Calibri" w:hAnsi="Calibri" w:cs="Calibri"/>
              </w:rPr>
            </w:pPr>
            <w:r>
              <w:rPr>
                <w:rFonts w:ascii="Calibri" w:hAnsi="Calibri" w:cs="Calibri"/>
              </w:rPr>
              <w:t>25%</w:t>
            </w:r>
          </w:p>
        </w:tc>
      </w:tr>
    </w:tbl>
    <w:p w14:paraId="6C1D0237" w14:textId="77777777" w:rsidR="001E43EF" w:rsidRPr="00EF7CF9" w:rsidRDefault="001E43EF" w:rsidP="001E43E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80C3B83" w14:textId="35391344" w:rsidR="004005AF" w:rsidRPr="00EF7CF9" w:rsidRDefault="004005AF" w:rsidP="004005AF">
      <w:pPr>
        <w:pStyle w:val="ProductList-Offering2Heading"/>
        <w:tabs>
          <w:tab w:val="clear" w:pos="360"/>
          <w:tab w:val="clear" w:pos="720"/>
          <w:tab w:val="clear" w:pos="1080"/>
        </w:tabs>
        <w:outlineLvl w:val="2"/>
      </w:pPr>
      <w:bookmarkStart w:id="141" w:name="_Toc239174964"/>
      <w:r>
        <w:t xml:space="preserve">Application </w:t>
      </w:r>
      <w:proofErr w:type="spellStart"/>
      <w:r>
        <w:t>Insights</w:t>
      </w:r>
      <w:bookmarkEnd w:id="135"/>
      <w:bookmarkEnd w:id="136"/>
      <w:bookmarkEnd w:id="140"/>
      <w:bookmarkEnd w:id="141"/>
      <w:proofErr w:type="spellEnd"/>
    </w:p>
    <w:bookmarkEnd w:id="137"/>
    <w:p w14:paraId="0854076E" w14:textId="77777777" w:rsidR="004005AF" w:rsidRPr="00EF7CF9" w:rsidRDefault="004005AF" w:rsidP="004005AF">
      <w:pPr>
        <w:pStyle w:val="ProductList-Body"/>
      </w:pPr>
      <w:r>
        <w:rPr>
          <w:b/>
          <w:color w:val="00188F"/>
        </w:rPr>
        <w:t>Dodatkowe definicje</w:t>
      </w:r>
      <w:r w:rsidRPr="007B038A">
        <w:rPr>
          <w:b/>
          <w:color w:val="00188F"/>
        </w:rPr>
        <w:t>:</w:t>
      </w:r>
    </w:p>
    <w:p w14:paraId="1AADBDBC" w14:textId="77777777" w:rsidR="004005AF" w:rsidRPr="00EF7CF9" w:rsidRDefault="004005AF" w:rsidP="004005AF">
      <w:pPr>
        <w:spacing w:after="0"/>
        <w:rPr>
          <w:sz w:val="18"/>
          <w:szCs w:val="18"/>
        </w:rPr>
      </w:pPr>
      <w:r>
        <w:rPr>
          <w:sz w:val="18"/>
        </w:rPr>
        <w:t>„</w:t>
      </w:r>
      <w:r>
        <w:rPr>
          <w:b/>
          <w:color w:val="00188F"/>
          <w:sz w:val="18"/>
        </w:rPr>
        <w:t xml:space="preserve">Zasób Application </w:t>
      </w:r>
      <w:proofErr w:type="spellStart"/>
      <w:r>
        <w:rPr>
          <w:b/>
          <w:color w:val="00188F"/>
          <w:sz w:val="18"/>
        </w:rPr>
        <w:t>Insights</w:t>
      </w:r>
      <w:proofErr w:type="spellEnd"/>
      <w:r>
        <w:rPr>
          <w:sz w:val="18"/>
        </w:rPr>
        <w:t xml:space="preserve">” </w:t>
      </w:r>
      <w:r>
        <w:rPr>
          <w:sz w:val="18"/>
          <w:szCs w:val="18"/>
        </w:rPr>
        <w:t xml:space="preserve">to kontener w usłudze Application </w:t>
      </w:r>
      <w:proofErr w:type="spellStart"/>
      <w:r>
        <w:rPr>
          <w:sz w:val="18"/>
          <w:szCs w:val="18"/>
        </w:rPr>
        <w:t>Insights</w:t>
      </w:r>
      <w:proofErr w:type="spellEnd"/>
      <w:r>
        <w:rPr>
          <w:sz w:val="18"/>
          <w:szCs w:val="18"/>
        </w:rPr>
        <w:t>, który zbiera, przetwarza i przechowuje dane dla jednego klucza instrumentacji.</w:t>
      </w:r>
    </w:p>
    <w:p w14:paraId="1654A6AC" w14:textId="36695CFE" w:rsidR="004005AF" w:rsidRPr="00EF7CF9" w:rsidRDefault="004005AF" w:rsidP="004005AF">
      <w:pPr>
        <w:spacing w:after="0"/>
        <w:rPr>
          <w:sz w:val="18"/>
          <w:szCs w:val="18"/>
        </w:rPr>
      </w:pPr>
      <w:r>
        <w:rPr>
          <w:sz w:val="18"/>
        </w:rPr>
        <w:t>„</w:t>
      </w:r>
      <w:r>
        <w:rPr>
          <w:b/>
          <w:color w:val="00188F"/>
          <w:sz w:val="18"/>
        </w:rPr>
        <w:t>Maksymalna Liczba Minut Dostępności</w:t>
      </w:r>
      <w:r>
        <w:rPr>
          <w:sz w:val="18"/>
        </w:rPr>
        <w:t>”</w:t>
      </w:r>
      <w:r>
        <w:rPr>
          <w:b/>
          <w:color w:val="00188F"/>
          <w:sz w:val="18"/>
        </w:rPr>
        <w:t xml:space="preserve"> </w:t>
      </w:r>
      <w:r>
        <w:rPr>
          <w:sz w:val="18"/>
          <w:szCs w:val="18"/>
        </w:rPr>
        <w:t xml:space="preserve">to łączna liczba minut, przez które dany Zasób Application </w:t>
      </w:r>
      <w:proofErr w:type="spellStart"/>
      <w:r>
        <w:rPr>
          <w:sz w:val="18"/>
          <w:szCs w:val="18"/>
        </w:rPr>
        <w:t>Insights</w:t>
      </w:r>
      <w:proofErr w:type="spellEnd"/>
      <w:r>
        <w:rPr>
          <w:sz w:val="18"/>
          <w:szCs w:val="18"/>
        </w:rPr>
        <w:t xml:space="preserve"> został wdrożony przez klienta w ramach subskrypcji Microsoft </w:t>
      </w:r>
      <w:proofErr w:type="spellStart"/>
      <w:r>
        <w:rPr>
          <w:sz w:val="18"/>
          <w:szCs w:val="18"/>
        </w:rPr>
        <w:t>Azure</w:t>
      </w:r>
      <w:proofErr w:type="spellEnd"/>
      <w:r>
        <w:rPr>
          <w:sz w:val="18"/>
          <w:szCs w:val="18"/>
        </w:rPr>
        <w:t xml:space="preserve"> we Właściwym Okresie.</w:t>
      </w:r>
    </w:p>
    <w:p w14:paraId="488AD200" w14:textId="77777777" w:rsidR="004005AF" w:rsidRPr="00EF7CF9" w:rsidRDefault="004005AF" w:rsidP="004005AF">
      <w:pPr>
        <w:spacing w:after="0"/>
        <w:rPr>
          <w:sz w:val="18"/>
          <w:szCs w:val="18"/>
        </w:rPr>
      </w:pPr>
      <w:r>
        <w:rPr>
          <w:sz w:val="18"/>
        </w:rPr>
        <w:t>„</w:t>
      </w:r>
      <w:r>
        <w:rPr>
          <w:b/>
          <w:color w:val="00188F"/>
          <w:sz w:val="18"/>
        </w:rPr>
        <w:t>Przestój</w:t>
      </w:r>
      <w:r>
        <w:rPr>
          <w:sz w:val="18"/>
        </w:rPr>
        <w:t>”</w:t>
      </w:r>
      <w:r>
        <w:rPr>
          <w:sz w:val="18"/>
          <w:szCs w:val="18"/>
        </w:rPr>
        <w:t xml:space="preserve"> to łączna liczba minut w ramach Maksymalnej Liczby Dostępnych Minut, przez którą dane w Zasobie Application </w:t>
      </w:r>
      <w:proofErr w:type="spellStart"/>
      <w:r>
        <w:rPr>
          <w:sz w:val="18"/>
          <w:szCs w:val="18"/>
        </w:rPr>
        <w:t>Insights</w:t>
      </w:r>
      <w:proofErr w:type="spellEnd"/>
      <w:r>
        <w:rPr>
          <w:sz w:val="18"/>
          <w:szCs w:val="18"/>
        </w:rPr>
        <w:t xml:space="preserve"> są niedostępne. Minuta jest uważana za minutę niedostępności dla danego Zasobu Application </w:t>
      </w:r>
      <w:proofErr w:type="spellStart"/>
      <w:r>
        <w:rPr>
          <w:sz w:val="18"/>
          <w:szCs w:val="18"/>
        </w:rPr>
        <w:t>Insights</w:t>
      </w:r>
      <w:proofErr w:type="spellEnd"/>
      <w:r>
        <w:rPr>
          <w:sz w:val="18"/>
          <w:szCs w:val="18"/>
        </w:rPr>
        <w:t>, jeśli podczas tej minuty której żadne operacje HTTP nie spowodowały wygenerowania Kodu Sukcesu.</w:t>
      </w:r>
    </w:p>
    <w:p w14:paraId="77D1985E" w14:textId="03214A34" w:rsidR="004005AF" w:rsidRDefault="004005AF" w:rsidP="004005AF">
      <w:pPr>
        <w:pStyle w:val="ProductList-Body"/>
      </w:pPr>
      <w:r>
        <w:rPr>
          <w:b/>
          <w:color w:val="00188F"/>
        </w:rPr>
        <w:t>Procent Dostępności Zapytań</w:t>
      </w:r>
      <w:r w:rsidRPr="007B038A">
        <w:rPr>
          <w:b/>
          <w:color w:val="00188F"/>
        </w:rPr>
        <w:t>:</w:t>
      </w:r>
      <w:r>
        <w:t xml:space="preserve"> dla danego Zasobu Application </w:t>
      </w:r>
      <w:proofErr w:type="spellStart"/>
      <w:r>
        <w:t>Insights</w:t>
      </w:r>
      <w:proofErr w:type="spellEnd"/>
      <w:r>
        <w:t xml:space="preserve"> we Właściwym Okresie to Maksymalna Liczba Dostępnych Minut pomniejszona o Przestój, podzielona przez Maksymalną Liczbę Dostępnych Minut i pomnożona przez 100.</w:t>
      </w:r>
    </w:p>
    <w:p w14:paraId="3ECF4E93" w14:textId="2F285CC5" w:rsidR="004005AF" w:rsidRDefault="004005AF" w:rsidP="004005AF">
      <w:pPr>
        <w:pStyle w:val="ProductList-Body"/>
      </w:pPr>
      <w:r>
        <w:t>Procent Dostępności Zapytań jest obliczany przy użyciu następującego wzoru:</w:t>
      </w:r>
    </w:p>
    <w:p w14:paraId="32064421" w14:textId="77777777" w:rsidR="004005AF" w:rsidRPr="00EF7CF9" w:rsidRDefault="004005AF" w:rsidP="004005AF">
      <w:pPr>
        <w:pStyle w:val="ProductList-Body"/>
      </w:pPr>
    </w:p>
    <w:p w14:paraId="357080F4" w14:textId="3651634A" w:rsidR="004005AF" w:rsidRPr="00EF7CF9" w:rsidRDefault="00000000" w:rsidP="004005A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80FD7C0" w14:textId="77777777" w:rsidR="004005AF" w:rsidRPr="00EF7CF9" w:rsidRDefault="004005AF" w:rsidP="004005AF">
      <w:pPr>
        <w:pStyle w:val="ProductList-Body"/>
      </w:pPr>
      <w:r>
        <w:rPr>
          <w:b/>
          <w:color w:val="00188F"/>
        </w:rPr>
        <w:t xml:space="preserve">Do używania przez Klienta Umowy SLA dotyczącej Dostępności Zapytań w Usłudze Application </w:t>
      </w:r>
      <w:proofErr w:type="spellStart"/>
      <w:r>
        <w:rPr>
          <w:b/>
          <w:color w:val="00188F"/>
        </w:rPr>
        <w:t>Insights</w:t>
      </w:r>
      <w:proofErr w:type="spellEnd"/>
      <w:r>
        <w:rPr>
          <w:b/>
          <w:color w:val="00188F"/>
        </w:rPr>
        <w:t xml:space="preserve"> mają zastosowanie następujące Poziomy Usługi i 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C879550" w14:textId="77777777" w:rsidTr="00277097">
        <w:trPr>
          <w:trHeight w:val="249"/>
          <w:tblHeader/>
        </w:trPr>
        <w:tc>
          <w:tcPr>
            <w:tcW w:w="5400" w:type="dxa"/>
            <w:shd w:val="clear" w:color="auto" w:fill="0072C6"/>
          </w:tcPr>
          <w:p w14:paraId="52D4A2B0" w14:textId="3A7BCE08" w:rsidR="004005AF" w:rsidRPr="00EF7CF9" w:rsidRDefault="004005AF" w:rsidP="000F31B4">
            <w:pPr>
              <w:pStyle w:val="ProductList-OfferingBody"/>
              <w:jc w:val="center"/>
              <w:rPr>
                <w:color w:val="FFFFFF" w:themeColor="background1"/>
              </w:rPr>
            </w:pPr>
            <w:r>
              <w:rPr>
                <w:color w:val="FFFFFF" w:themeColor="background1"/>
              </w:rPr>
              <w:t>Procent Dostępności Zapytań</w:t>
            </w:r>
          </w:p>
        </w:tc>
        <w:tc>
          <w:tcPr>
            <w:tcW w:w="5400" w:type="dxa"/>
            <w:shd w:val="clear" w:color="auto" w:fill="0072C6"/>
          </w:tcPr>
          <w:p w14:paraId="42720DC8"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378837A5" w14:textId="77777777" w:rsidTr="00277097">
        <w:trPr>
          <w:trHeight w:val="242"/>
        </w:trPr>
        <w:tc>
          <w:tcPr>
            <w:tcW w:w="5400" w:type="dxa"/>
          </w:tcPr>
          <w:p w14:paraId="6877E7DD" w14:textId="77777777" w:rsidR="004005AF" w:rsidRPr="00EF7CF9" w:rsidRDefault="004005AF" w:rsidP="000F31B4">
            <w:pPr>
              <w:pStyle w:val="ProductList-OfferingBody"/>
              <w:jc w:val="center"/>
            </w:pPr>
            <w:r>
              <w:t>&lt; 99,9%</w:t>
            </w:r>
          </w:p>
        </w:tc>
        <w:tc>
          <w:tcPr>
            <w:tcW w:w="5400" w:type="dxa"/>
          </w:tcPr>
          <w:p w14:paraId="5B070644" w14:textId="77777777" w:rsidR="004005AF" w:rsidRPr="00EF7CF9" w:rsidRDefault="004005AF" w:rsidP="000F31B4">
            <w:pPr>
              <w:pStyle w:val="ProductList-OfferingBody"/>
              <w:jc w:val="center"/>
            </w:pPr>
            <w:r>
              <w:t>10%</w:t>
            </w:r>
          </w:p>
        </w:tc>
      </w:tr>
      <w:tr w:rsidR="004005AF" w:rsidRPr="00B44CF9" w14:paraId="4F002BF5" w14:textId="77777777" w:rsidTr="00277097">
        <w:trPr>
          <w:trHeight w:val="249"/>
        </w:trPr>
        <w:tc>
          <w:tcPr>
            <w:tcW w:w="5400" w:type="dxa"/>
          </w:tcPr>
          <w:p w14:paraId="7FCB7FB7" w14:textId="77777777" w:rsidR="004005AF" w:rsidRPr="00EF7CF9" w:rsidRDefault="004005AF" w:rsidP="000F31B4">
            <w:pPr>
              <w:pStyle w:val="ProductList-OfferingBody"/>
              <w:jc w:val="center"/>
            </w:pPr>
            <w:r>
              <w:t>&lt; 99%</w:t>
            </w:r>
          </w:p>
        </w:tc>
        <w:tc>
          <w:tcPr>
            <w:tcW w:w="5400" w:type="dxa"/>
          </w:tcPr>
          <w:p w14:paraId="3CEF9A53" w14:textId="77777777" w:rsidR="004005AF" w:rsidRPr="00EF7CF9" w:rsidRDefault="004005AF" w:rsidP="000F31B4">
            <w:pPr>
              <w:pStyle w:val="ProductList-OfferingBody"/>
              <w:jc w:val="center"/>
            </w:pPr>
            <w:r>
              <w:t>25%</w:t>
            </w:r>
          </w:p>
        </w:tc>
      </w:tr>
    </w:tbl>
    <w:p w14:paraId="54A32C9F" w14:textId="0CA65DEE"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D8257E8" w14:textId="77777777" w:rsidR="002B6211" w:rsidRPr="002B6211" w:rsidRDefault="002B6211" w:rsidP="002B6211">
      <w:pPr>
        <w:pStyle w:val="ProductList-Offering2Heading"/>
        <w:keepNext/>
        <w:tabs>
          <w:tab w:val="clear" w:pos="360"/>
          <w:tab w:val="clear" w:pos="720"/>
          <w:tab w:val="clear" w:pos="1080"/>
        </w:tabs>
        <w:outlineLvl w:val="2"/>
      </w:pPr>
      <w:bookmarkStart w:id="142" w:name="_Toc239174965"/>
      <w:bookmarkStart w:id="143" w:name="_Toc52348922"/>
      <w:proofErr w:type="spellStart"/>
      <w:r>
        <w:t>Azure</w:t>
      </w:r>
      <w:proofErr w:type="spellEnd"/>
      <w:r>
        <w:t xml:space="preserve"> Arc</w:t>
      </w:r>
      <w:bookmarkEnd w:id="142"/>
    </w:p>
    <w:p w14:paraId="7C733692" w14:textId="77777777" w:rsidR="002B6211" w:rsidRPr="002B6211" w:rsidRDefault="002B6211" w:rsidP="002B6211">
      <w:pPr>
        <w:pStyle w:val="ProductList-Body"/>
        <w:rPr>
          <w:b/>
          <w:color w:val="00188F"/>
        </w:rPr>
      </w:pPr>
      <w:r>
        <w:rPr>
          <w:b/>
          <w:color w:val="00188F"/>
        </w:rPr>
        <w:t>Dodatkowe definicje</w:t>
      </w:r>
    </w:p>
    <w:p w14:paraId="6B017054" w14:textId="3D8958EC" w:rsidR="002B6211" w:rsidRDefault="002B6211" w:rsidP="002B6211">
      <w:pPr>
        <w:pStyle w:val="ProductList-Body"/>
      </w:pPr>
      <w:r>
        <w:t>„</w:t>
      </w:r>
      <w:r>
        <w:rPr>
          <w:b/>
          <w:bCs/>
          <w:color w:val="00188F"/>
        </w:rPr>
        <w:t>Maksymalna Liczba Dostępnych Minut</w:t>
      </w:r>
      <w:r>
        <w:t xml:space="preserve">” to łączna zakumulowana liczba minut we Właściwym Okresie, podczas których co najmniej jeden zasób platformy </w:t>
      </w:r>
      <w:proofErr w:type="spellStart"/>
      <w:r>
        <w:t>Azure</w:t>
      </w:r>
      <w:proofErr w:type="spellEnd"/>
      <w:r>
        <w:t xml:space="preserve"> w konfiguracji </w:t>
      </w:r>
      <w:proofErr w:type="spellStart"/>
      <w:r>
        <w:t>Kubernetes</w:t>
      </w:r>
      <w:proofErr w:type="spellEnd"/>
      <w:r>
        <w:t xml:space="preserve"> został wdrożony w zasobie </w:t>
      </w:r>
      <w:proofErr w:type="spellStart"/>
      <w:r>
        <w:t>Kubernetes</w:t>
      </w:r>
      <w:proofErr w:type="spellEnd"/>
      <w:r>
        <w:t xml:space="preserve"> z włączoną usługą </w:t>
      </w:r>
      <w:proofErr w:type="spellStart"/>
      <w:r>
        <w:t>Azure</w:t>
      </w:r>
      <w:proofErr w:type="spellEnd"/>
      <w:r>
        <w:t xml:space="preserve"> Arc w ramach subskrypcji Microsoft </w:t>
      </w:r>
      <w:proofErr w:type="spellStart"/>
      <w:r>
        <w:t>Azure</w:t>
      </w:r>
      <w:proofErr w:type="spellEnd"/>
      <w:r>
        <w:t>.</w:t>
      </w:r>
    </w:p>
    <w:p w14:paraId="6177EA62" w14:textId="592521DC" w:rsidR="002B6211" w:rsidRDefault="002B6211" w:rsidP="002B6211">
      <w:pPr>
        <w:pStyle w:val="ProductList-Body"/>
      </w:pPr>
      <w:r>
        <w:t>„</w:t>
      </w:r>
      <w:r>
        <w:rPr>
          <w:b/>
          <w:bCs/>
          <w:color w:val="00188F"/>
        </w:rPr>
        <w:t>Przestój</w:t>
      </w:r>
      <w:r>
        <w:t xml:space="preserve">” to łączna zakumulowana Maksymalna Liczba Dostępnych Minut we Właściwym Okresie, podczas której co najmniej jeden zasób platformy </w:t>
      </w:r>
      <w:proofErr w:type="spellStart"/>
      <w:r>
        <w:t>Azure</w:t>
      </w:r>
      <w:proofErr w:type="spellEnd"/>
      <w:r>
        <w:t xml:space="preserve"> </w:t>
      </w:r>
      <w:proofErr w:type="spellStart"/>
      <w:r>
        <w:t>Kubernetes</w:t>
      </w:r>
      <w:proofErr w:type="spellEnd"/>
      <w:r>
        <w:t xml:space="preserve"> w konfiguracji </w:t>
      </w:r>
      <w:proofErr w:type="spellStart"/>
      <w:r>
        <w:t>Kubernetes</w:t>
      </w:r>
      <w:proofErr w:type="spellEnd"/>
      <w:r>
        <w:t xml:space="preserve"> został wdrożony w zasobie </w:t>
      </w:r>
      <w:proofErr w:type="spellStart"/>
      <w:r>
        <w:t>Kubernetes</w:t>
      </w:r>
      <w:proofErr w:type="spellEnd"/>
      <w:r>
        <w:t xml:space="preserve"> z włączoną usługą </w:t>
      </w:r>
      <w:proofErr w:type="spellStart"/>
      <w:r>
        <w:t>Azure</w:t>
      </w:r>
      <w:proofErr w:type="spellEnd"/>
      <w:r>
        <w:t xml:space="preserve"> Arc, ale operacje interfejsu API REST dla zasobu platformy </w:t>
      </w:r>
      <w:proofErr w:type="spellStart"/>
      <w:r>
        <w:t>Azure</w:t>
      </w:r>
      <w:proofErr w:type="spellEnd"/>
      <w:r>
        <w:t xml:space="preserve"> w konfiguracji </w:t>
      </w:r>
      <w:proofErr w:type="spellStart"/>
      <w:r>
        <w:t>Kubernetes</w:t>
      </w:r>
      <w:proofErr w:type="spellEnd"/>
      <w:r>
        <w:t xml:space="preserve"> są niedostępne.</w:t>
      </w:r>
    </w:p>
    <w:p w14:paraId="34BE21C7" w14:textId="517DBC4D" w:rsidR="002B6211" w:rsidRDefault="002B6211" w:rsidP="002B6211">
      <w:pPr>
        <w:pStyle w:val="ProductList-Body"/>
      </w:pPr>
      <w:r>
        <w:t>„</w:t>
      </w:r>
      <w:r>
        <w:rPr>
          <w:b/>
          <w:bCs/>
          <w:color w:val="00188F"/>
        </w:rPr>
        <w:t>Procent Czasu Sprawnego Działania</w:t>
      </w:r>
      <w:r>
        <w:t>” jest obliczany przy użyciu następującego wzoru:</w:t>
      </w:r>
    </w:p>
    <w:p w14:paraId="4275B73A" w14:textId="648C177D" w:rsidR="002B6211" w:rsidRPr="00EF7CF9" w:rsidRDefault="00000000" w:rsidP="000C34FA">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6C718AC" w14:textId="77777777" w:rsidR="002B6211" w:rsidRPr="002B6211" w:rsidRDefault="002B6211" w:rsidP="002B6211">
      <w:pPr>
        <w:pStyle w:val="ProductList-Body"/>
        <w:keepNext/>
        <w:rPr>
          <w:b/>
          <w:bCs/>
          <w:color w:val="00188F"/>
        </w:rPr>
      </w:pPr>
      <w:r>
        <w:rPr>
          <w:b/>
          <w:bCs/>
          <w:color w:val="00188F"/>
        </w:rPr>
        <w:t xml:space="preserve">Do używania przez Klienta zasobu </w:t>
      </w:r>
      <w:proofErr w:type="spellStart"/>
      <w:r>
        <w:rPr>
          <w:b/>
          <w:bCs/>
          <w:color w:val="00188F"/>
        </w:rPr>
        <w:t>Azure</w:t>
      </w:r>
      <w:proofErr w:type="spellEnd"/>
      <w:r>
        <w:rPr>
          <w:b/>
          <w:bCs/>
          <w:color w:val="00188F"/>
        </w:rPr>
        <w:t xml:space="preserve"> w konfiguracji </w:t>
      </w:r>
      <w:proofErr w:type="spellStart"/>
      <w:r>
        <w:rPr>
          <w:b/>
          <w:bCs/>
          <w:color w:val="00188F"/>
        </w:rPr>
        <w:t>Kubernetes</w:t>
      </w:r>
      <w:proofErr w:type="spellEnd"/>
      <w:r>
        <w:rPr>
          <w:b/>
          <w:bCs/>
          <w:color w:val="00188F"/>
        </w:rPr>
        <w:t xml:space="preserve"> w dodatku do zasobu </w:t>
      </w:r>
      <w:proofErr w:type="spellStart"/>
      <w:r>
        <w:rPr>
          <w:b/>
          <w:bCs/>
          <w:color w:val="00188F"/>
        </w:rPr>
        <w:t>Kubernetes</w:t>
      </w:r>
      <w:proofErr w:type="spellEnd"/>
      <w:r>
        <w:rPr>
          <w:b/>
          <w:bCs/>
          <w:color w:val="00188F"/>
        </w:rPr>
        <w:t xml:space="preserve"> obsługującym usługę </w:t>
      </w:r>
      <w:proofErr w:type="spellStart"/>
      <w:r>
        <w:rPr>
          <w:b/>
          <w:bCs/>
          <w:color w:val="00188F"/>
        </w:rPr>
        <w:t>Azure</w:t>
      </w:r>
      <w:proofErr w:type="spellEnd"/>
      <w:r>
        <w:rPr>
          <w:b/>
          <w:bCs/>
          <w:color w:val="00188F"/>
        </w:rPr>
        <w:t xml:space="preserve"> Arc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211" w:rsidRPr="00B44CF9" w14:paraId="7DB1BF44" w14:textId="77777777" w:rsidTr="00277097">
        <w:trPr>
          <w:trHeight w:val="249"/>
          <w:tblHeader/>
        </w:trPr>
        <w:tc>
          <w:tcPr>
            <w:tcW w:w="5400" w:type="dxa"/>
            <w:shd w:val="clear" w:color="auto" w:fill="0072C6"/>
          </w:tcPr>
          <w:p w14:paraId="7A99E01D" w14:textId="1D40EC6E" w:rsidR="002B6211"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C37A494" w14:textId="77777777" w:rsidR="002B6211" w:rsidRPr="00EF7CF9" w:rsidRDefault="002B6211" w:rsidP="000F31B4">
            <w:pPr>
              <w:pStyle w:val="ProductList-OfferingBody"/>
              <w:jc w:val="center"/>
              <w:rPr>
                <w:color w:val="FFFFFF" w:themeColor="background1"/>
              </w:rPr>
            </w:pPr>
            <w:r>
              <w:rPr>
                <w:color w:val="FFFFFF" w:themeColor="background1"/>
              </w:rPr>
              <w:t>Środki Serwisowe na Używanie Usług</w:t>
            </w:r>
          </w:p>
        </w:tc>
      </w:tr>
      <w:tr w:rsidR="002B6211" w:rsidRPr="00B44CF9" w14:paraId="2125C7E8" w14:textId="77777777" w:rsidTr="00277097">
        <w:trPr>
          <w:trHeight w:val="242"/>
        </w:trPr>
        <w:tc>
          <w:tcPr>
            <w:tcW w:w="5400" w:type="dxa"/>
          </w:tcPr>
          <w:p w14:paraId="27039D80" w14:textId="77777777" w:rsidR="002B6211" w:rsidRPr="00EF7CF9" w:rsidRDefault="002B6211" w:rsidP="000F31B4">
            <w:pPr>
              <w:pStyle w:val="ProductList-OfferingBody"/>
              <w:jc w:val="center"/>
            </w:pPr>
            <w:r>
              <w:t>&lt; 99,9%</w:t>
            </w:r>
          </w:p>
        </w:tc>
        <w:tc>
          <w:tcPr>
            <w:tcW w:w="5400" w:type="dxa"/>
          </w:tcPr>
          <w:p w14:paraId="50BDEC79" w14:textId="77777777" w:rsidR="002B6211" w:rsidRPr="00EF7CF9" w:rsidRDefault="002B6211" w:rsidP="000F31B4">
            <w:pPr>
              <w:pStyle w:val="ProductList-OfferingBody"/>
              <w:jc w:val="center"/>
            </w:pPr>
            <w:r>
              <w:t>10%</w:t>
            </w:r>
          </w:p>
        </w:tc>
      </w:tr>
      <w:tr w:rsidR="002B6211" w:rsidRPr="00B44CF9" w14:paraId="45BC8E2E" w14:textId="77777777" w:rsidTr="00277097">
        <w:trPr>
          <w:trHeight w:val="249"/>
        </w:trPr>
        <w:tc>
          <w:tcPr>
            <w:tcW w:w="5400" w:type="dxa"/>
          </w:tcPr>
          <w:p w14:paraId="4172E2FA" w14:textId="77777777" w:rsidR="002B6211" w:rsidRPr="00EF7CF9" w:rsidRDefault="002B6211" w:rsidP="000F31B4">
            <w:pPr>
              <w:pStyle w:val="ProductList-OfferingBody"/>
              <w:jc w:val="center"/>
            </w:pPr>
            <w:r>
              <w:t>&lt; 99%</w:t>
            </w:r>
          </w:p>
        </w:tc>
        <w:tc>
          <w:tcPr>
            <w:tcW w:w="5400" w:type="dxa"/>
          </w:tcPr>
          <w:p w14:paraId="6F7A6689" w14:textId="77777777" w:rsidR="002B6211" w:rsidRPr="00EF7CF9" w:rsidRDefault="002B6211" w:rsidP="000F31B4">
            <w:pPr>
              <w:pStyle w:val="ProductList-OfferingBody"/>
              <w:jc w:val="center"/>
            </w:pPr>
            <w:r>
              <w:t>25%</w:t>
            </w:r>
          </w:p>
        </w:tc>
      </w:tr>
    </w:tbl>
    <w:p w14:paraId="6F568267" w14:textId="615B3BF3" w:rsidR="002B6211" w:rsidRPr="00EF7CF9" w:rsidRDefault="00C71F89" w:rsidP="002B621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2F3A8B4" w14:textId="062E33AB" w:rsidR="004005AF" w:rsidRPr="00EF7CF9" w:rsidRDefault="004005AF" w:rsidP="00BC02A7">
      <w:pPr>
        <w:pStyle w:val="ProductList-Offering2Heading"/>
        <w:keepNext/>
        <w:tabs>
          <w:tab w:val="clear" w:pos="360"/>
          <w:tab w:val="clear" w:pos="720"/>
          <w:tab w:val="clear" w:pos="1080"/>
        </w:tabs>
        <w:outlineLvl w:val="2"/>
      </w:pPr>
      <w:bookmarkStart w:id="144" w:name="_Toc239174966"/>
      <w:r>
        <w:t>Automation</w:t>
      </w:r>
      <w:bookmarkEnd w:id="138"/>
      <w:bookmarkEnd w:id="143"/>
      <w:bookmarkEnd w:id="144"/>
    </w:p>
    <w:p w14:paraId="289BCC2C" w14:textId="77777777" w:rsidR="004005AF" w:rsidRDefault="004005AF" w:rsidP="004005AF">
      <w:pPr>
        <w:pStyle w:val="ProductList-Body"/>
        <w:rPr>
          <w:b/>
          <w:color w:val="00188F"/>
        </w:rPr>
      </w:pPr>
      <w:r>
        <w:rPr>
          <w:b/>
          <w:color w:val="00188F"/>
        </w:rPr>
        <w:t>Usługa Automation — Konfiguracja żądanego stanu (</w:t>
      </w:r>
      <w:proofErr w:type="spellStart"/>
      <w:r>
        <w:rPr>
          <w:b/>
          <w:color w:val="00188F"/>
        </w:rPr>
        <w:t>Desired</w:t>
      </w:r>
      <w:proofErr w:type="spellEnd"/>
      <w:r>
        <w:rPr>
          <w:b/>
          <w:color w:val="00188F"/>
        </w:rPr>
        <w:t xml:space="preserve"> </w:t>
      </w:r>
      <w:proofErr w:type="spellStart"/>
      <w:r>
        <w:rPr>
          <w:b/>
          <w:color w:val="00188F"/>
        </w:rPr>
        <w:t>State</w:t>
      </w:r>
      <w:proofErr w:type="spellEnd"/>
      <w:r>
        <w:rPr>
          <w:b/>
          <w:color w:val="00188F"/>
        </w:rPr>
        <w:t xml:space="preserve"> </w:t>
      </w:r>
      <w:proofErr w:type="spellStart"/>
      <w:r>
        <w:rPr>
          <w:b/>
          <w:color w:val="00188F"/>
        </w:rPr>
        <w:t>Configuration</w:t>
      </w:r>
      <w:proofErr w:type="spellEnd"/>
      <w:r>
        <w:rPr>
          <w:b/>
          <w:color w:val="00188F"/>
        </w:rPr>
        <w:t>, DSC)</w:t>
      </w:r>
    </w:p>
    <w:p w14:paraId="7BF47219" w14:textId="77777777" w:rsidR="004005AF" w:rsidRPr="00EF7CF9" w:rsidRDefault="004005AF" w:rsidP="004005AF">
      <w:pPr>
        <w:pStyle w:val="ProductList-Body"/>
      </w:pPr>
      <w:r>
        <w:rPr>
          <w:b/>
          <w:color w:val="00188F"/>
        </w:rPr>
        <w:t>Dodatkowe definicje</w:t>
      </w:r>
      <w:r w:rsidRPr="007B038A">
        <w:rPr>
          <w:b/>
          <w:color w:val="00188F"/>
        </w:rPr>
        <w:t>:</w:t>
      </w:r>
    </w:p>
    <w:p w14:paraId="6BCA192C" w14:textId="4892C38F" w:rsidR="004005AF" w:rsidRPr="00EF7CF9" w:rsidRDefault="004005AF" w:rsidP="004005AF">
      <w:pPr>
        <w:pStyle w:val="ProductList-Body"/>
      </w:pPr>
      <w:r>
        <w:t>„</w:t>
      </w:r>
      <w:r>
        <w:rPr>
          <w:b/>
          <w:color w:val="00188F"/>
        </w:rPr>
        <w:t>Minuty Wdrożenia</w:t>
      </w:r>
      <w:r>
        <w:t xml:space="preserve">” to łączna liczba minut, przez które dana Usługa Automation została wdrożona na platformie Microsoft </w:t>
      </w:r>
      <w:proofErr w:type="spellStart"/>
      <w:r>
        <w:t>Azure</w:t>
      </w:r>
      <w:proofErr w:type="spellEnd"/>
      <w:r>
        <w:t xml:space="preserve"> we Właściwym Okresie.</w:t>
      </w:r>
    </w:p>
    <w:p w14:paraId="4334A2FF" w14:textId="77777777" w:rsidR="004005AF" w:rsidRPr="00EF7CF9" w:rsidRDefault="004005AF" w:rsidP="004005AF">
      <w:pPr>
        <w:pStyle w:val="ProductList-Body"/>
        <w:spacing w:after="40"/>
      </w:pPr>
      <w:r>
        <w:t>„</w:t>
      </w:r>
      <w:r>
        <w:rPr>
          <w:b/>
          <w:color w:val="00188F"/>
        </w:rPr>
        <w:t>Usługa Agent DSC</w:t>
      </w:r>
      <w:r>
        <w:t xml:space="preserve">” </w:t>
      </w:r>
      <w:r>
        <w:rPr>
          <w:shd w:val="clear" w:color="auto" w:fill="FFFFFF"/>
        </w:rPr>
        <w:t>to składnik Usługi Automation odpowiedzialny za otrzymywanie z węzłów DSC żądań pobrania, rejestracji i raportowania oraz za odpowiadanie na takie żądania</w:t>
      </w:r>
      <w:r>
        <w:t>.</w:t>
      </w:r>
    </w:p>
    <w:p w14:paraId="555DEDC6" w14:textId="41652A54" w:rsidR="004005AF" w:rsidRPr="00EF7CF9" w:rsidRDefault="004005AF" w:rsidP="004005AF">
      <w:pPr>
        <w:pStyle w:val="ProductList-Body"/>
        <w:spacing w:after="40"/>
      </w:pPr>
      <w:r>
        <w:t>„</w:t>
      </w:r>
      <w:r>
        <w:rPr>
          <w:b/>
          <w:color w:val="00188F"/>
        </w:rPr>
        <w:t>Maksymalna Liczba Dostępnych Minut</w:t>
      </w:r>
      <w:r>
        <w:t xml:space="preserve">” to suma wszystkich Minut Wdrożenia we wszystkich kontach Usługi Automation wdrożonych przez użytkownika w ramach danej subskrypcji Microsoft </w:t>
      </w:r>
      <w:proofErr w:type="spellStart"/>
      <w:r>
        <w:t>Azure</w:t>
      </w:r>
      <w:proofErr w:type="spellEnd"/>
      <w:r>
        <w:t xml:space="preserve"> we Właściwym Okresie</w:t>
      </w:r>
    </w:p>
    <w:p w14:paraId="79CDEBD9" w14:textId="77777777" w:rsidR="004005AF" w:rsidRPr="00EF7CF9" w:rsidRDefault="004005AF" w:rsidP="004005AF">
      <w:pPr>
        <w:pStyle w:val="ProductList-Body"/>
      </w:pPr>
      <w:r>
        <w:rPr>
          <w:b/>
          <w:color w:val="00188F"/>
        </w:rPr>
        <w:t>Przestój</w:t>
      </w:r>
      <w:r w:rsidRPr="007B038A">
        <w:rPr>
          <w:b/>
          <w:color w:val="00188F"/>
        </w:rPr>
        <w:t>:</w:t>
      </w:r>
      <w:r>
        <w:t xml:space="preserve"> Suma skumulowanych Minut Wdrożenia na wszystkich kontach Usługi Automation wdrożonych w ramach danej subskrypcji Microsoft </w:t>
      </w:r>
      <w:proofErr w:type="spellStart"/>
      <w:r>
        <w:t>Azure</w:t>
      </w:r>
      <w:proofErr w:type="spellEnd"/>
      <w:r>
        <w:t>, podczas których Usługa Agenta DSC jest niedostępna. Minuta jest uznawana za minutę niedostępności dla danego konta Usługi Automation, jeśli wszystkie ciągłe żądania pobierania, rejestracji i raportowania z węzłów DSC powiązanych z kontem Usługi Automation do Usługi agenta DSC w ciągu tej minuty skutkują Kodem Błędu lub nie zwracają Kodu Sukcesu w ciągu pięć minut.</w:t>
      </w:r>
    </w:p>
    <w:p w14:paraId="27FF1FE9" w14:textId="51E7EC32" w:rsidR="004005AF" w:rsidRDefault="00AC48A7" w:rsidP="004005AF">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 </w:t>
      </w:r>
    </w:p>
    <w:p w14:paraId="0177F4D5" w14:textId="6D6DF68A" w:rsidR="004005AF" w:rsidRPr="00EF7CF9" w:rsidRDefault="00000000" w:rsidP="00B35FB3">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1F831EB" w14:textId="77777777" w:rsidR="004005AF" w:rsidRPr="00EF7CF9" w:rsidRDefault="004005AF" w:rsidP="004005AF">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B1E8022" w14:textId="77777777" w:rsidTr="00277097">
        <w:trPr>
          <w:tblHeader/>
        </w:trPr>
        <w:tc>
          <w:tcPr>
            <w:tcW w:w="5400" w:type="dxa"/>
            <w:shd w:val="clear" w:color="auto" w:fill="0072C6"/>
          </w:tcPr>
          <w:p w14:paraId="599FFA75" w14:textId="719AE4C5" w:rsidR="004005AF" w:rsidRPr="00EF7CF9" w:rsidRDefault="00AC48A7" w:rsidP="000225DD">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9584A12" w14:textId="77777777" w:rsidR="004005AF" w:rsidRPr="00EF7CF9" w:rsidRDefault="004005AF" w:rsidP="000225DD">
            <w:pPr>
              <w:pStyle w:val="ProductList-OfferingBody"/>
              <w:jc w:val="center"/>
              <w:rPr>
                <w:color w:val="FFFFFF" w:themeColor="background1"/>
              </w:rPr>
            </w:pPr>
            <w:r>
              <w:rPr>
                <w:color w:val="FFFFFF" w:themeColor="background1"/>
              </w:rPr>
              <w:t>Środki Serwisowe na Używanie Usług</w:t>
            </w:r>
          </w:p>
        </w:tc>
      </w:tr>
      <w:tr w:rsidR="004005AF" w:rsidRPr="00B44CF9" w14:paraId="179D4B6C" w14:textId="77777777" w:rsidTr="00277097">
        <w:tc>
          <w:tcPr>
            <w:tcW w:w="5400" w:type="dxa"/>
          </w:tcPr>
          <w:p w14:paraId="5C269242" w14:textId="77777777" w:rsidR="004005AF" w:rsidRPr="00EF7CF9" w:rsidRDefault="004005AF" w:rsidP="000F31B4">
            <w:pPr>
              <w:pStyle w:val="ProductList-OfferingBody"/>
              <w:jc w:val="center"/>
            </w:pPr>
            <w:r>
              <w:t>&lt; 99,9%</w:t>
            </w:r>
          </w:p>
        </w:tc>
        <w:tc>
          <w:tcPr>
            <w:tcW w:w="5400" w:type="dxa"/>
          </w:tcPr>
          <w:p w14:paraId="4EC5DC32" w14:textId="77777777" w:rsidR="004005AF" w:rsidRPr="00EF7CF9" w:rsidRDefault="004005AF" w:rsidP="000F31B4">
            <w:pPr>
              <w:pStyle w:val="ProductList-OfferingBody"/>
              <w:jc w:val="center"/>
            </w:pPr>
            <w:r>
              <w:t>10%</w:t>
            </w:r>
          </w:p>
        </w:tc>
      </w:tr>
      <w:tr w:rsidR="004005AF" w:rsidRPr="00B44CF9" w14:paraId="08B65BB2" w14:textId="77777777" w:rsidTr="00277097">
        <w:tc>
          <w:tcPr>
            <w:tcW w:w="5400" w:type="dxa"/>
          </w:tcPr>
          <w:p w14:paraId="08633F3C" w14:textId="77777777" w:rsidR="004005AF" w:rsidRPr="00EF7CF9" w:rsidRDefault="004005AF" w:rsidP="000F31B4">
            <w:pPr>
              <w:pStyle w:val="ProductList-OfferingBody"/>
              <w:jc w:val="center"/>
            </w:pPr>
            <w:r>
              <w:t>&lt; 99%</w:t>
            </w:r>
          </w:p>
        </w:tc>
        <w:tc>
          <w:tcPr>
            <w:tcW w:w="5400" w:type="dxa"/>
          </w:tcPr>
          <w:p w14:paraId="627DA1D5" w14:textId="77777777" w:rsidR="004005AF" w:rsidRPr="00EF7CF9" w:rsidRDefault="004005AF" w:rsidP="000F31B4">
            <w:pPr>
              <w:pStyle w:val="ProductList-OfferingBody"/>
              <w:jc w:val="center"/>
            </w:pPr>
            <w:r>
              <w:t>25%</w:t>
            </w:r>
          </w:p>
        </w:tc>
      </w:tr>
    </w:tbl>
    <w:p w14:paraId="56E8840B" w14:textId="3DC9DA84" w:rsidR="004005AF" w:rsidRDefault="004005AF" w:rsidP="006E2E2E">
      <w:pPr>
        <w:pStyle w:val="ProductList-Body"/>
        <w:tabs>
          <w:tab w:val="clear" w:pos="360"/>
          <w:tab w:val="clear" w:pos="720"/>
          <w:tab w:val="clear" w:pos="1080"/>
        </w:tabs>
        <w:spacing w:before="120" w:after="120"/>
        <w:rPr>
          <w:color w:val="000000" w:themeColor="text1"/>
        </w:rPr>
      </w:pPr>
      <w:bookmarkStart w:id="145" w:name="_Toc457821539"/>
      <w:r>
        <w:rPr>
          <w:b/>
          <w:bCs/>
          <w:color w:val="00188F"/>
        </w:rPr>
        <w:t>Postanowienia dodatkowe</w:t>
      </w:r>
      <w:r w:rsidRPr="007B038A">
        <w:rPr>
          <w:b/>
          <w:color w:val="00188F"/>
        </w:rPr>
        <w:t>:</w:t>
      </w:r>
      <w:r>
        <w:rPr>
          <w:color w:val="000000" w:themeColor="text1"/>
        </w:rPr>
        <w:t xml:space="preserve"> Środki Serwisowe na Używanie Usług mają zastosowanie wyłącznie do opłat dotyczących używania przez Klienta funkcji DSC w ramach Usługi Automation.</w:t>
      </w:r>
    </w:p>
    <w:p w14:paraId="311E85AB" w14:textId="77777777" w:rsidR="004005AF" w:rsidRPr="00ED4527" w:rsidRDefault="004005AF" w:rsidP="006E2E2E">
      <w:pPr>
        <w:pStyle w:val="ProductList-Body"/>
        <w:tabs>
          <w:tab w:val="clear" w:pos="360"/>
          <w:tab w:val="clear" w:pos="720"/>
          <w:tab w:val="clear" w:pos="1080"/>
        </w:tabs>
        <w:rPr>
          <w:b/>
          <w:bCs/>
          <w:color w:val="00188F"/>
        </w:rPr>
      </w:pPr>
      <w:r>
        <w:rPr>
          <w:b/>
          <w:bCs/>
          <w:color w:val="00188F"/>
        </w:rPr>
        <w:t>Usługa Automation – Funkcja Automatyzacji Procesu</w:t>
      </w:r>
    </w:p>
    <w:bookmarkEnd w:id="145"/>
    <w:p w14:paraId="026B0EC1" w14:textId="77777777" w:rsidR="004005AF" w:rsidRPr="00EF7CF9" w:rsidRDefault="004005AF" w:rsidP="004005AF">
      <w:pPr>
        <w:pStyle w:val="ProductList-Body"/>
      </w:pPr>
      <w:r>
        <w:rPr>
          <w:b/>
          <w:color w:val="00188F"/>
        </w:rPr>
        <w:t>Dodatkowe definicje</w:t>
      </w:r>
      <w:r w:rsidRPr="007B038A">
        <w:rPr>
          <w:b/>
          <w:color w:val="00188F"/>
        </w:rPr>
        <w:t>:</w:t>
      </w:r>
    </w:p>
    <w:p w14:paraId="6021A567" w14:textId="77777777" w:rsidR="004005AF" w:rsidRPr="00EF7CF9" w:rsidRDefault="004005AF" w:rsidP="004005AF">
      <w:pPr>
        <w:pStyle w:val="ProductList-Body"/>
        <w:spacing w:after="40"/>
      </w:pPr>
      <w:r>
        <w:t>„</w:t>
      </w:r>
      <w:r>
        <w:rPr>
          <w:b/>
          <w:color w:val="00188F"/>
        </w:rPr>
        <w:t>Liczba Zadań Opóźnionych</w:t>
      </w:r>
      <w:r>
        <w:t xml:space="preserve">” to łączna liczba Zadań dla danej subskrypcji Microsoft </w:t>
      </w:r>
      <w:proofErr w:type="spellStart"/>
      <w:r>
        <w:t>Azure</w:t>
      </w:r>
      <w:proofErr w:type="spellEnd"/>
      <w:r>
        <w:t>, których wykonywania nie rozpoczęto w ciągu trzydziestu (30) minut od Planowego Czasu Rozpoczęcia.</w:t>
      </w:r>
    </w:p>
    <w:p w14:paraId="05D34F78" w14:textId="77777777" w:rsidR="004005AF" w:rsidRPr="00EF7CF9" w:rsidRDefault="004005AF" w:rsidP="004005AF">
      <w:pPr>
        <w:pStyle w:val="ProductList-Body"/>
        <w:spacing w:after="40"/>
      </w:pPr>
      <w:r>
        <w:t>„</w:t>
      </w:r>
      <w:r>
        <w:rPr>
          <w:b/>
          <w:color w:val="00188F"/>
        </w:rPr>
        <w:t>Zadanie</w:t>
      </w:r>
      <w:r>
        <w:t xml:space="preserve">” to wykonanie elementu </w:t>
      </w:r>
      <w:proofErr w:type="spellStart"/>
      <w:r>
        <w:t>Runbook</w:t>
      </w:r>
      <w:proofErr w:type="spellEnd"/>
      <w:r>
        <w:t>.</w:t>
      </w:r>
    </w:p>
    <w:p w14:paraId="169C5A0E" w14:textId="77777777" w:rsidR="004005AF" w:rsidRPr="00EF7CF9" w:rsidRDefault="004005AF" w:rsidP="004005AF">
      <w:pPr>
        <w:pStyle w:val="ProductList-Body"/>
        <w:spacing w:after="40"/>
      </w:pPr>
      <w:r>
        <w:t>„</w:t>
      </w:r>
      <w:r>
        <w:rPr>
          <w:b/>
          <w:color w:val="00188F"/>
        </w:rPr>
        <w:t>Planowany Czas Rozpoczęcia</w:t>
      </w:r>
      <w:r>
        <w:t>” to zaplanowany czas rozpoczęcia wykonywania Zadania.</w:t>
      </w:r>
    </w:p>
    <w:p w14:paraId="07378C0D" w14:textId="77777777" w:rsidR="004005AF" w:rsidRPr="00EF7CF9" w:rsidRDefault="004005AF" w:rsidP="004005AF">
      <w:pPr>
        <w:pStyle w:val="ProductList-Body"/>
        <w:spacing w:after="40"/>
      </w:pPr>
      <w:r>
        <w:t>„</w:t>
      </w:r>
      <w:r>
        <w:rPr>
          <w:b/>
          <w:color w:val="00188F"/>
        </w:rPr>
        <w:t xml:space="preserve">Element </w:t>
      </w:r>
      <w:proofErr w:type="spellStart"/>
      <w:r>
        <w:rPr>
          <w:b/>
          <w:color w:val="00188F"/>
        </w:rPr>
        <w:t>Runbook</w:t>
      </w:r>
      <w:proofErr w:type="spellEnd"/>
      <w:r>
        <w:t xml:space="preserve">” to zbiór określonych przez Klienta czynności do wykonania w ramach systemu Microsoft </w:t>
      </w:r>
      <w:proofErr w:type="spellStart"/>
      <w:r>
        <w:t>Azure</w:t>
      </w:r>
      <w:proofErr w:type="spellEnd"/>
      <w:r>
        <w:t>.</w:t>
      </w:r>
    </w:p>
    <w:p w14:paraId="790494B4" w14:textId="5E474670" w:rsidR="004005AF" w:rsidRPr="00EF7CF9" w:rsidRDefault="004005AF" w:rsidP="004005AF">
      <w:pPr>
        <w:pStyle w:val="ProductList-Body"/>
      </w:pPr>
      <w:r>
        <w:t>„</w:t>
      </w:r>
      <w:r>
        <w:rPr>
          <w:b/>
          <w:color w:val="00188F"/>
        </w:rPr>
        <w:t>Łączna Liczba Zadań</w:t>
      </w:r>
      <w:r>
        <w:t xml:space="preserve">” to łączna liczba Zadań zaplanowanych do wykonania w danym Właściwym Okresie dla danej subskrypcji Microsoft </w:t>
      </w:r>
      <w:proofErr w:type="spellStart"/>
      <w:r>
        <w:t>Azure</w:t>
      </w:r>
      <w:proofErr w:type="spellEnd"/>
      <w:r>
        <w:t>.</w:t>
      </w:r>
    </w:p>
    <w:p w14:paraId="3FC9B042" w14:textId="3927A1A1" w:rsidR="004005AF" w:rsidRPr="00EF7CF9" w:rsidRDefault="00AC48A7" w:rsidP="004005AF">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377B98FD" w14:textId="77777777" w:rsidR="004005AF" w:rsidRPr="00EF7CF9" w:rsidRDefault="004005AF" w:rsidP="004005AF">
      <w:pPr>
        <w:pStyle w:val="ProductList-Body"/>
      </w:pPr>
    </w:p>
    <w:p w14:paraId="1BA8E08E" w14:textId="29E3EC66" w:rsidR="004005AF" w:rsidRPr="00EF7CF9" w:rsidRDefault="00000000" w:rsidP="006505C6">
      <w:pPr>
        <w:pStyle w:val="ListParagraph"/>
        <w:spacing w:after="12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Zadań - Zadania Opóźnione</m:t>
              </m:r>
            </m:num>
            <m:den>
              <m:r>
                <m:rPr>
                  <m:nor/>
                </m:rPr>
                <w:rPr>
                  <w:rFonts w:ascii="Cambria Math" w:hAnsi="Cambria Math" w:cs="Tahoma"/>
                  <w:i/>
                  <w:sz w:val="18"/>
                  <w:szCs w:val="18"/>
                </w:rPr>
                <m:t>Łączna Liczba Zadań</m:t>
              </m:r>
            </m:den>
          </m:f>
          <m:r>
            <w:rPr>
              <w:rFonts w:ascii="Cambria Math" w:hAnsi="Cambria Math" w:cs="Tahoma"/>
              <w:sz w:val="18"/>
              <w:szCs w:val="18"/>
            </w:rPr>
            <m:t xml:space="preserve"> x 100</m:t>
          </m:r>
        </m:oMath>
      </m:oMathPara>
    </w:p>
    <w:p w14:paraId="38BB555E" w14:textId="77777777" w:rsidR="004005AF" w:rsidRPr="00EF7CF9" w:rsidRDefault="004005AF" w:rsidP="004005AF">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82B381" w14:textId="77777777" w:rsidTr="00277097">
        <w:trPr>
          <w:tblHeader/>
        </w:trPr>
        <w:tc>
          <w:tcPr>
            <w:tcW w:w="5400" w:type="dxa"/>
            <w:shd w:val="clear" w:color="auto" w:fill="0072C6"/>
          </w:tcPr>
          <w:p w14:paraId="05C6D051" w14:textId="40707A06" w:rsidR="004005AF" w:rsidRPr="00EF7CF9" w:rsidRDefault="00AC48A7" w:rsidP="000225DD">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7326CBF" w14:textId="77777777" w:rsidR="004005AF" w:rsidRPr="00EF7CF9" w:rsidRDefault="004005AF" w:rsidP="000225DD">
            <w:pPr>
              <w:pStyle w:val="ProductList-OfferingBody"/>
              <w:jc w:val="center"/>
              <w:rPr>
                <w:color w:val="FFFFFF" w:themeColor="background1"/>
              </w:rPr>
            </w:pPr>
            <w:r>
              <w:rPr>
                <w:color w:val="FFFFFF" w:themeColor="background1"/>
              </w:rPr>
              <w:t>Środki Serwisowe na Używanie Usług</w:t>
            </w:r>
          </w:p>
        </w:tc>
      </w:tr>
      <w:tr w:rsidR="004005AF" w:rsidRPr="00B44CF9" w14:paraId="7542E111" w14:textId="77777777" w:rsidTr="00277097">
        <w:tc>
          <w:tcPr>
            <w:tcW w:w="5400" w:type="dxa"/>
          </w:tcPr>
          <w:p w14:paraId="452D26B7" w14:textId="77777777" w:rsidR="004005AF" w:rsidRPr="00EF7CF9" w:rsidRDefault="004005AF" w:rsidP="000F31B4">
            <w:pPr>
              <w:pStyle w:val="ProductList-OfferingBody"/>
              <w:jc w:val="center"/>
            </w:pPr>
            <w:r>
              <w:t>&lt; 99,9%</w:t>
            </w:r>
          </w:p>
        </w:tc>
        <w:tc>
          <w:tcPr>
            <w:tcW w:w="5400" w:type="dxa"/>
          </w:tcPr>
          <w:p w14:paraId="703325ED" w14:textId="77777777" w:rsidR="004005AF" w:rsidRPr="00EF7CF9" w:rsidRDefault="004005AF" w:rsidP="000F31B4">
            <w:pPr>
              <w:pStyle w:val="ProductList-OfferingBody"/>
              <w:jc w:val="center"/>
            </w:pPr>
            <w:r>
              <w:t>10%</w:t>
            </w:r>
          </w:p>
        </w:tc>
      </w:tr>
      <w:tr w:rsidR="004005AF" w:rsidRPr="00B44CF9" w14:paraId="2E63E11F" w14:textId="77777777" w:rsidTr="00277097">
        <w:tc>
          <w:tcPr>
            <w:tcW w:w="5400" w:type="dxa"/>
          </w:tcPr>
          <w:p w14:paraId="21C13FA4" w14:textId="77777777" w:rsidR="004005AF" w:rsidRPr="00EF7CF9" w:rsidRDefault="004005AF" w:rsidP="000F31B4">
            <w:pPr>
              <w:pStyle w:val="ProductList-OfferingBody"/>
              <w:jc w:val="center"/>
            </w:pPr>
            <w:r>
              <w:t>&lt; 99%</w:t>
            </w:r>
          </w:p>
        </w:tc>
        <w:tc>
          <w:tcPr>
            <w:tcW w:w="5400" w:type="dxa"/>
          </w:tcPr>
          <w:p w14:paraId="0DB330CD" w14:textId="77777777" w:rsidR="004005AF" w:rsidRPr="00EF7CF9" w:rsidRDefault="004005AF" w:rsidP="000F31B4">
            <w:pPr>
              <w:pStyle w:val="ProductList-OfferingBody"/>
              <w:jc w:val="center"/>
            </w:pPr>
            <w:r>
              <w:t>25%</w:t>
            </w:r>
          </w:p>
        </w:tc>
      </w:tr>
    </w:tbl>
    <w:p w14:paraId="48C02207" w14:textId="7B5D1B4E" w:rsidR="004005AF" w:rsidRDefault="004005AF" w:rsidP="004005AF">
      <w:pPr>
        <w:pStyle w:val="ProductList-Body"/>
        <w:tabs>
          <w:tab w:val="clear" w:pos="360"/>
          <w:tab w:val="clear" w:pos="720"/>
          <w:tab w:val="clear" w:pos="1080"/>
        </w:tabs>
        <w:spacing w:before="120"/>
      </w:pPr>
      <w:bookmarkStart w:id="146" w:name="_Toc510793660"/>
      <w:bookmarkStart w:id="147" w:name="AzureBotService"/>
      <w:bookmarkStart w:id="148" w:name="_Toc482880958"/>
      <w:bookmarkStart w:id="149" w:name="_Toc457806452"/>
      <w:bookmarkStart w:id="150" w:name="_Toc457821540"/>
      <w:r>
        <w:rPr>
          <w:b/>
          <w:bCs/>
          <w:color w:val="00188F"/>
        </w:rPr>
        <w:t>Postanowienia dodatkowe</w:t>
      </w:r>
      <w:r w:rsidRPr="007B038A">
        <w:rPr>
          <w:b/>
          <w:color w:val="00188F"/>
        </w:rPr>
        <w:t>:</w:t>
      </w:r>
      <w:r>
        <w:t xml:space="preserve"> Środki Serwisowe na Używanie Usług mają zastosowanie wyłącznie do opłat związanych z korzystaniem przez użytkownika z funkcjonalności Automatyzacji Procesów w ramach Usługi Automation.</w:t>
      </w:r>
    </w:p>
    <w:p w14:paraId="0DE63020" w14:textId="549EA5C5"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35C4F94" w14:textId="77777777" w:rsidR="00DE36E2" w:rsidRPr="00EF7CF9" w:rsidRDefault="00DE36E2" w:rsidP="00DE36E2">
      <w:pPr>
        <w:pStyle w:val="ProductList-Offering2Heading"/>
        <w:tabs>
          <w:tab w:val="clear" w:pos="360"/>
          <w:tab w:val="clear" w:pos="720"/>
          <w:tab w:val="clear" w:pos="1080"/>
        </w:tabs>
        <w:outlineLvl w:val="2"/>
      </w:pPr>
      <w:bookmarkStart w:id="151" w:name="_Toc52348942"/>
      <w:bookmarkStart w:id="152" w:name="_Toc239174967"/>
      <w:bookmarkStart w:id="153" w:name="_Toc52348924"/>
      <w:bookmarkEnd w:id="146"/>
      <w:r>
        <w:t xml:space="preserve">Tworzenie Kopii Zapasowej na platformie </w:t>
      </w:r>
      <w:proofErr w:type="spellStart"/>
      <w:r>
        <w:t>Azure</w:t>
      </w:r>
      <w:bookmarkEnd w:id="151"/>
      <w:bookmarkEnd w:id="152"/>
      <w:proofErr w:type="spellEnd"/>
    </w:p>
    <w:p w14:paraId="57658A5A" w14:textId="77777777" w:rsidR="00DE36E2" w:rsidRPr="00EF7CF9" w:rsidRDefault="00DE36E2" w:rsidP="00DE36E2">
      <w:pPr>
        <w:pStyle w:val="ProductList-Body"/>
      </w:pPr>
      <w:r>
        <w:rPr>
          <w:b/>
          <w:color w:val="00188F"/>
        </w:rPr>
        <w:t>Dodatkowe definicje</w:t>
      </w:r>
      <w:r w:rsidRPr="007B038A">
        <w:rPr>
          <w:b/>
          <w:color w:val="00188F"/>
        </w:rPr>
        <w:t>:</w:t>
      </w:r>
    </w:p>
    <w:p w14:paraId="6D798844" w14:textId="0F3C74B8" w:rsidR="00DE36E2" w:rsidRPr="00EF7CF9" w:rsidRDefault="00DE36E2" w:rsidP="00BE3C8C">
      <w:pPr>
        <w:pStyle w:val="ProductList-Body"/>
        <w:ind w:right="144"/>
      </w:pPr>
      <w:r>
        <w:t>„</w:t>
      </w:r>
      <w:r>
        <w:rPr>
          <w:b/>
          <w:color w:val="00188F"/>
        </w:rPr>
        <w:t>Tworzenie Kopii Zapasowej</w:t>
      </w:r>
      <w:r>
        <w:t xml:space="preserve">” ani </w:t>
      </w:r>
      <w:r w:rsidR="00381145">
        <w:t>„</w:t>
      </w:r>
      <w:r>
        <w:rPr>
          <w:b/>
          <w:color w:val="00188F"/>
        </w:rPr>
        <w:t>Kopia zapasowa</w:t>
      </w:r>
      <w:r>
        <w:t>” to proces kopiowania danych komputerowych z zarejestrowanego serwera do Magazynu Kopii Zapasowych.</w:t>
      </w:r>
    </w:p>
    <w:p w14:paraId="6A6D9648" w14:textId="77777777" w:rsidR="00DE36E2" w:rsidRPr="00EF7CF9" w:rsidRDefault="00DE36E2" w:rsidP="00BE3C8C">
      <w:pPr>
        <w:pStyle w:val="ProductList-Body"/>
      </w:pPr>
      <w:r>
        <w:t>„</w:t>
      </w:r>
      <w:r>
        <w:rPr>
          <w:b/>
          <w:color w:val="00188F"/>
        </w:rPr>
        <w:t>Agent Kopii Zapasowej</w:t>
      </w:r>
      <w:r>
        <w:t>” to zainstalowane na zarejestrowanym serwerze oprogramowanie, które umożliwia zarejestrowanemu serwerowi Tworzenie Kopii Zapasowej lub Przywrócenie co najmniej jednego Elementu Chronionego.</w:t>
      </w:r>
    </w:p>
    <w:p w14:paraId="092B327C" w14:textId="77777777" w:rsidR="00DE36E2" w:rsidRPr="00EF7CF9" w:rsidRDefault="00DE36E2" w:rsidP="00BE3C8C">
      <w:pPr>
        <w:pStyle w:val="ProductList-Body"/>
        <w:ind w:right="144"/>
      </w:pPr>
      <w:r>
        <w:t>„</w:t>
      </w:r>
      <w:r>
        <w:rPr>
          <w:b/>
          <w:color w:val="00188F"/>
        </w:rPr>
        <w:t>Magazyn Kopii Zapasowych</w:t>
      </w:r>
      <w:r>
        <w:t>” to kontener, w którym Klient może zarejestrować co najmniej jeden Element Chroniony na potrzeby Tworzenia Kopii Zapasowej.</w:t>
      </w:r>
    </w:p>
    <w:p w14:paraId="593C68DB" w14:textId="77777777" w:rsidR="00DE36E2" w:rsidRPr="00EF7CF9" w:rsidRDefault="00DE36E2" w:rsidP="00BE3C8C">
      <w:pPr>
        <w:pStyle w:val="ProductList-Body"/>
      </w:pPr>
      <w:r>
        <w:t>„</w:t>
      </w:r>
      <w:r>
        <w:rPr>
          <w:b/>
          <w:color w:val="00188F"/>
        </w:rPr>
        <w:t>Awaria</w:t>
      </w:r>
      <w:r>
        <w:t>” to sytuacja, w której z powodu niedostępności Usługi Tworzenia Kopii Zapasowej Agent Kopii Zapasowej lub Usługa nie wykonuje w pełni właściwie skonfigurowanej operacji Tworzenia Kopii Zapasowej lub Odzyskiwania.</w:t>
      </w:r>
    </w:p>
    <w:p w14:paraId="7D8F8108" w14:textId="77777777" w:rsidR="00DE36E2" w:rsidRPr="00EF7CF9" w:rsidRDefault="00DE36E2" w:rsidP="00BE3C8C">
      <w:pPr>
        <w:pStyle w:val="ProductList-Body"/>
      </w:pPr>
      <w:r>
        <w:t>„</w:t>
      </w:r>
      <w:r>
        <w:rPr>
          <w:b/>
          <w:color w:val="00188F"/>
        </w:rPr>
        <w:t>Element Chroniony</w:t>
      </w:r>
      <w:r>
        <w:t>” to zbiór danych, na przykład wolumen, baza danych lub maszyna wirtualna, dla którego zaplanowano operację Tworzenia Kopii Zapasowej w Usłudze Tworzenia Kopii Zapasowej i który jest wymieniony jako Element Chroniony na karcie Elementów Chronionych w sekcji Usług Odzyskiwania w Portalu Zarządzania.</w:t>
      </w:r>
    </w:p>
    <w:p w14:paraId="05560A31" w14:textId="77777777" w:rsidR="00DE36E2" w:rsidRPr="00EF7CF9" w:rsidRDefault="00DE36E2" w:rsidP="00BE3C8C">
      <w:pPr>
        <w:pStyle w:val="ProductList-Body"/>
      </w:pPr>
      <w:r>
        <w:t>„</w:t>
      </w:r>
      <w:r>
        <w:rPr>
          <w:b/>
          <w:color w:val="00188F"/>
        </w:rPr>
        <w:t>Odzyskiwanie</w:t>
      </w:r>
      <w:r>
        <w:t>” lub „</w:t>
      </w:r>
      <w:r>
        <w:rPr>
          <w:b/>
          <w:color w:val="00188F"/>
        </w:rPr>
        <w:t>Przywrócenie</w:t>
      </w:r>
      <w:r>
        <w:t>” to proces przywracania danych komputera z Magazynu Kopii Zapasowych na zarejestrowany serwer.</w:t>
      </w:r>
    </w:p>
    <w:p w14:paraId="19753180" w14:textId="36061E88" w:rsidR="00DE36E2" w:rsidRPr="00ED4527" w:rsidRDefault="00EE6E3C" w:rsidP="00DE36E2">
      <w:pPr>
        <w:pStyle w:val="ProductList-Body"/>
        <w:spacing w:before="120"/>
        <w:rPr>
          <w:b/>
          <w:bCs/>
          <w:color w:val="00188F"/>
        </w:rPr>
      </w:pPr>
      <w:r>
        <w:rPr>
          <w:b/>
          <w:bCs/>
          <w:color w:val="00188F"/>
        </w:rPr>
        <w:t>Obliczanie Czasu Sprawnego Działania i Poziomy Usługi dla Usługi Tworzenia Kopii Zapasowej</w:t>
      </w:r>
    </w:p>
    <w:p w14:paraId="3FF8AC21" w14:textId="77777777" w:rsidR="00DE36E2" w:rsidRDefault="00DE36E2" w:rsidP="00BE3C8C">
      <w:pPr>
        <w:pStyle w:val="ProductList-Body"/>
        <w:rPr>
          <w:b/>
          <w:color w:val="00188F"/>
        </w:rPr>
      </w:pPr>
      <w:r>
        <w:rPr>
          <w:b/>
          <w:color w:val="00188F"/>
        </w:rPr>
        <w:t>Dodatkowe definicje:</w:t>
      </w:r>
    </w:p>
    <w:p w14:paraId="41F04368" w14:textId="77777777" w:rsidR="00DE36E2" w:rsidRPr="00EF7CF9" w:rsidRDefault="00DE36E2" w:rsidP="00BE3C8C">
      <w:pPr>
        <w:pStyle w:val="ProductList-Body"/>
      </w:pPr>
      <w:r>
        <w:t>„</w:t>
      </w:r>
      <w:r>
        <w:rPr>
          <w:b/>
          <w:color w:val="00188F"/>
        </w:rPr>
        <w:t>Minuty Wdrożenia</w:t>
      </w:r>
      <w:r>
        <w:t>” to łączna liczba minut, na które zaplanowano operację Tworzenia Kopii Zapasowej Elementu Chronionego w Magazynie Kopii Zapasowych.</w:t>
      </w:r>
    </w:p>
    <w:p w14:paraId="3956C952" w14:textId="23CE25E5" w:rsidR="00DE36E2" w:rsidRPr="00EF7CF9" w:rsidRDefault="00DE36E2" w:rsidP="00BE3C8C">
      <w:pPr>
        <w:pStyle w:val="ProductList-Body"/>
      </w:pPr>
      <w:r>
        <w:t>„</w:t>
      </w:r>
      <w:r>
        <w:rPr>
          <w:b/>
          <w:color w:val="00188F"/>
        </w:rPr>
        <w:t>Maksymalna Liczba Dostępnych Minut</w:t>
      </w:r>
      <w:r>
        <w:t xml:space="preserve">” to suma wszystkich Minut Wdrożenia we wszystkich Elementach Chronionych w ramach danej subskrypcji Microsoft </w:t>
      </w:r>
      <w:proofErr w:type="spellStart"/>
      <w:r>
        <w:t>Azure</w:t>
      </w:r>
      <w:proofErr w:type="spellEnd"/>
      <w:r>
        <w:t xml:space="preserve"> we Właściwym Okresie.</w:t>
      </w:r>
    </w:p>
    <w:p w14:paraId="51760EC7" w14:textId="77777777" w:rsidR="00DE36E2" w:rsidRPr="00EF7CF9" w:rsidRDefault="00DE36E2" w:rsidP="00DE36E2">
      <w:pPr>
        <w:pStyle w:val="ProductList-Body"/>
      </w:pPr>
      <w:r>
        <w:rPr>
          <w:b/>
          <w:color w:val="00188F"/>
        </w:rPr>
        <w:t>Przestój</w:t>
      </w:r>
      <w:r w:rsidRPr="007B038A">
        <w:rPr>
          <w:b/>
          <w:color w:val="00188F"/>
        </w:rPr>
        <w:t>:</w:t>
      </w:r>
      <w:r>
        <w:t xml:space="preserve"> Łączna skumulowana liczba Minut Wdrożenia dla wszystkich Elementów Chronionych, dla których użytkownik zaplanował wykonanie Kopii Zapasowej w ramach danej subskrypcji Microsoft </w:t>
      </w:r>
      <w:proofErr w:type="spellStart"/>
      <w:r>
        <w:t>Azure</w:t>
      </w:r>
      <w:proofErr w:type="spellEnd"/>
      <w:r>
        <w:t>, podczas których Usługa Kopii Zapasowej jest niedostępna dla danego Elementu Chronionego. Usługę Tworzenia Kopii Zapasowej uznaje się za niedostępną dla danego Elementu Chronionego od momentu pierwszej Awarii procesu Tworzenia Kopii Zapasowej lub Przywrócenia Elementu Chronionego do rozpoczęcia udanego procesu Tworzenia Kopii Zapasowej lub Przywrócenia Elementu Chronionego, o ile ponowne próby są sukcesywnie podejmowane nie rzadziej niż co trzydzieści minut.</w:t>
      </w:r>
    </w:p>
    <w:p w14:paraId="3921C6C7" w14:textId="5F46CF8F" w:rsidR="00DE36E2" w:rsidRPr="00EF7CF9" w:rsidRDefault="00AC48A7" w:rsidP="00DE36E2">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5FD39C01" w14:textId="77777777" w:rsidR="00DE36E2" w:rsidRPr="00EF7CF9" w:rsidRDefault="00DE36E2" w:rsidP="00DE36E2">
      <w:pPr>
        <w:pStyle w:val="ProductList-Body"/>
      </w:pPr>
    </w:p>
    <w:p w14:paraId="5414B8CA" w14:textId="27F0D2E8" w:rsidR="00DE36E2" w:rsidRPr="00EF7CF9" w:rsidRDefault="00000000" w:rsidP="006505C6">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A0202D6" w14:textId="77777777" w:rsidR="00DE36E2" w:rsidRPr="00EF7CF9" w:rsidRDefault="00DE36E2" w:rsidP="00DE36E2">
      <w:pPr>
        <w:pStyle w:val="ProductList-Body"/>
        <w:keepNext/>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36E2" w:rsidRPr="00B44CF9" w14:paraId="708B2724" w14:textId="77777777" w:rsidTr="00277097">
        <w:trPr>
          <w:tblHeader/>
        </w:trPr>
        <w:tc>
          <w:tcPr>
            <w:tcW w:w="5400" w:type="dxa"/>
            <w:shd w:val="clear" w:color="auto" w:fill="0072C6"/>
          </w:tcPr>
          <w:p w14:paraId="7A33A355" w14:textId="3A958667" w:rsidR="00DE36E2"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A0DDAAF" w14:textId="77777777" w:rsidR="00DE36E2" w:rsidRPr="00EF7CF9" w:rsidRDefault="00DE36E2" w:rsidP="000F31B4">
            <w:pPr>
              <w:pStyle w:val="ProductList-OfferingBody"/>
              <w:jc w:val="center"/>
              <w:rPr>
                <w:color w:val="FFFFFF" w:themeColor="background1"/>
              </w:rPr>
            </w:pPr>
            <w:r>
              <w:rPr>
                <w:color w:val="FFFFFF" w:themeColor="background1"/>
              </w:rPr>
              <w:t>Środki Serwisowe na Używanie Usług</w:t>
            </w:r>
          </w:p>
        </w:tc>
      </w:tr>
      <w:tr w:rsidR="00DE36E2" w:rsidRPr="00B44CF9" w14:paraId="5115947E" w14:textId="77777777" w:rsidTr="00277097">
        <w:tc>
          <w:tcPr>
            <w:tcW w:w="5400" w:type="dxa"/>
            <w:tcBorders>
              <w:bottom w:val="single" w:sz="4" w:space="0" w:color="000000" w:themeColor="text1"/>
            </w:tcBorders>
          </w:tcPr>
          <w:p w14:paraId="2569796E" w14:textId="77777777" w:rsidR="00DE36E2" w:rsidRPr="00EF7CF9" w:rsidRDefault="00DE36E2" w:rsidP="000F31B4">
            <w:pPr>
              <w:pStyle w:val="ProductList-OfferingBody"/>
              <w:jc w:val="center"/>
            </w:pPr>
            <w:r>
              <w:t>&lt; 99,9%</w:t>
            </w:r>
          </w:p>
        </w:tc>
        <w:tc>
          <w:tcPr>
            <w:tcW w:w="5400" w:type="dxa"/>
            <w:tcBorders>
              <w:bottom w:val="single" w:sz="4" w:space="0" w:color="000000" w:themeColor="text1"/>
            </w:tcBorders>
          </w:tcPr>
          <w:p w14:paraId="5A64336C" w14:textId="77777777" w:rsidR="00DE36E2" w:rsidRPr="00EF7CF9" w:rsidRDefault="00DE36E2" w:rsidP="000F31B4">
            <w:pPr>
              <w:pStyle w:val="ProductList-OfferingBody"/>
              <w:jc w:val="center"/>
            </w:pPr>
            <w:r>
              <w:t>10%</w:t>
            </w:r>
          </w:p>
        </w:tc>
      </w:tr>
      <w:tr w:rsidR="00DE36E2" w:rsidRPr="00B44CF9" w14:paraId="2A675FF0" w14:textId="77777777" w:rsidTr="00277097">
        <w:tc>
          <w:tcPr>
            <w:tcW w:w="5400" w:type="dxa"/>
            <w:tcBorders>
              <w:bottom w:val="single" w:sz="4" w:space="0" w:color="auto"/>
            </w:tcBorders>
          </w:tcPr>
          <w:p w14:paraId="43EE92F2" w14:textId="77777777" w:rsidR="00DE36E2" w:rsidRPr="00EF7CF9" w:rsidRDefault="00DE36E2" w:rsidP="000F31B4">
            <w:pPr>
              <w:pStyle w:val="ProductList-OfferingBody"/>
              <w:jc w:val="center"/>
            </w:pPr>
            <w:r>
              <w:t>&lt; 99%</w:t>
            </w:r>
          </w:p>
        </w:tc>
        <w:tc>
          <w:tcPr>
            <w:tcW w:w="5400" w:type="dxa"/>
            <w:tcBorders>
              <w:bottom w:val="single" w:sz="4" w:space="0" w:color="auto"/>
            </w:tcBorders>
          </w:tcPr>
          <w:p w14:paraId="32881A58" w14:textId="77777777" w:rsidR="00DE36E2" w:rsidRPr="00EF7CF9" w:rsidRDefault="00DE36E2" w:rsidP="000F31B4">
            <w:pPr>
              <w:pStyle w:val="ProductList-OfferingBody"/>
              <w:keepNext/>
              <w:jc w:val="center"/>
            </w:pPr>
            <w:r>
              <w:t>25%</w:t>
            </w:r>
          </w:p>
        </w:tc>
      </w:tr>
    </w:tbl>
    <w:p w14:paraId="5AD835FB" w14:textId="0F562380" w:rsidR="00DE36E2" w:rsidRDefault="00C71F89" w:rsidP="00DE36E2">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664F23B" w14:textId="77777777" w:rsidR="00250244" w:rsidRPr="00250244" w:rsidRDefault="00250244" w:rsidP="00250244">
      <w:pPr>
        <w:pStyle w:val="ProductList-Offering2Heading"/>
        <w:keepNext/>
        <w:tabs>
          <w:tab w:val="clear" w:pos="360"/>
          <w:tab w:val="clear" w:pos="720"/>
          <w:tab w:val="clear" w:pos="1080"/>
        </w:tabs>
        <w:outlineLvl w:val="2"/>
      </w:pPr>
      <w:bookmarkStart w:id="154" w:name="_Toc239174968"/>
      <w:proofErr w:type="spellStart"/>
      <w:r>
        <w:t>Azure</w:t>
      </w:r>
      <w:proofErr w:type="spellEnd"/>
      <w:r>
        <w:t xml:space="preserve"> Bastion</w:t>
      </w:r>
      <w:bookmarkEnd w:id="154"/>
    </w:p>
    <w:p w14:paraId="0D5D41DC" w14:textId="5882362B" w:rsidR="00250244" w:rsidRPr="00250244" w:rsidRDefault="00250244" w:rsidP="00250244">
      <w:pPr>
        <w:pStyle w:val="ProductList-Body"/>
        <w:rPr>
          <w:b/>
          <w:bCs/>
          <w:color w:val="00188F"/>
          <w:szCs w:val="18"/>
        </w:rPr>
      </w:pPr>
      <w:r>
        <w:rPr>
          <w:b/>
          <w:bCs/>
          <w:color w:val="00188F"/>
          <w:szCs w:val="18"/>
        </w:rPr>
        <w:t>Dodatkowe definicje</w:t>
      </w:r>
    </w:p>
    <w:p w14:paraId="4DB44C5E" w14:textId="1551F503" w:rsidR="00250244" w:rsidRPr="00250244" w:rsidRDefault="00EE6E3C" w:rsidP="00250244">
      <w:pPr>
        <w:pStyle w:val="ProductList-Body"/>
        <w:rPr>
          <w:b/>
          <w:bCs/>
          <w:color w:val="00188F"/>
          <w:szCs w:val="18"/>
        </w:rPr>
      </w:pPr>
      <w:r>
        <w:rPr>
          <w:b/>
          <w:bCs/>
          <w:color w:val="00188F"/>
          <w:szCs w:val="18"/>
        </w:rPr>
        <w:t>Obliczanie Czasu Sprawnego Działania</w:t>
      </w:r>
    </w:p>
    <w:p w14:paraId="18E29BE0" w14:textId="370F9D5D" w:rsidR="00250244" w:rsidRPr="00250244" w:rsidRDefault="00381145" w:rsidP="00250244">
      <w:pPr>
        <w:pStyle w:val="ProductList-Body"/>
        <w:rPr>
          <w:szCs w:val="18"/>
        </w:rPr>
      </w:pPr>
      <w:r>
        <w:rPr>
          <w:szCs w:val="18"/>
        </w:rPr>
        <w:t>„</w:t>
      </w:r>
      <w:r w:rsidR="00250244">
        <w:rPr>
          <w:b/>
          <w:bCs/>
          <w:color w:val="00188F"/>
          <w:szCs w:val="18"/>
        </w:rPr>
        <w:t>Maksymalna Liczba Dostępnych Minut</w:t>
      </w:r>
      <w:r>
        <w:t>”</w:t>
      </w:r>
      <w:r w:rsidR="00250244">
        <w:rPr>
          <w:szCs w:val="18"/>
        </w:rPr>
        <w:t xml:space="preserve"> to łączna zakumulowana liczba minut we Właściwym Okresie, podczas których dany </w:t>
      </w:r>
      <w:proofErr w:type="spellStart"/>
      <w:r w:rsidR="00250244">
        <w:rPr>
          <w:szCs w:val="18"/>
        </w:rPr>
        <w:t>Azure</w:t>
      </w:r>
      <w:proofErr w:type="spellEnd"/>
      <w:r w:rsidR="00250244">
        <w:rPr>
          <w:szCs w:val="18"/>
        </w:rPr>
        <w:t xml:space="preserve"> Bastion został wdrożony w ramach subskrypcji Microsoft </w:t>
      </w:r>
      <w:proofErr w:type="spellStart"/>
      <w:r w:rsidR="00250244">
        <w:rPr>
          <w:szCs w:val="18"/>
        </w:rPr>
        <w:t>Azure</w:t>
      </w:r>
      <w:proofErr w:type="spellEnd"/>
      <w:r w:rsidR="00250244">
        <w:rPr>
          <w:szCs w:val="18"/>
        </w:rPr>
        <w:t>.</w:t>
      </w:r>
    </w:p>
    <w:p w14:paraId="5620F057" w14:textId="77777777" w:rsidR="00250244" w:rsidRPr="00250244" w:rsidRDefault="00250244" w:rsidP="00250244">
      <w:pPr>
        <w:pStyle w:val="ProductList-Body"/>
        <w:rPr>
          <w:szCs w:val="18"/>
        </w:rPr>
      </w:pPr>
      <w:r>
        <w:rPr>
          <w:szCs w:val="18"/>
        </w:rPr>
        <w:t>„</w:t>
      </w:r>
      <w:r>
        <w:rPr>
          <w:b/>
          <w:bCs/>
          <w:color w:val="00188F"/>
          <w:szCs w:val="18"/>
        </w:rPr>
        <w:t>Przestój</w:t>
      </w:r>
      <w:r>
        <w:rPr>
          <w:szCs w:val="18"/>
        </w:rPr>
        <w:t xml:space="preserve">” to łączna zakumulowana Maksymalna Liczba Dostępnych Minut, podczas których usługa </w:t>
      </w:r>
      <w:proofErr w:type="spellStart"/>
      <w:r>
        <w:rPr>
          <w:szCs w:val="18"/>
        </w:rPr>
        <w:t>Azure</w:t>
      </w:r>
      <w:proofErr w:type="spellEnd"/>
      <w:r>
        <w:rPr>
          <w:szCs w:val="18"/>
        </w:rPr>
        <w:t xml:space="preserve"> Bastion jest niedostępna. Minuta jest uznawana za minutę niedostępności, jeśli wszystkie próby nawiązania łączności z usługą </w:t>
      </w:r>
      <w:proofErr w:type="spellStart"/>
      <w:r>
        <w:rPr>
          <w:szCs w:val="18"/>
        </w:rPr>
        <w:t>Azure</w:t>
      </w:r>
      <w:proofErr w:type="spellEnd"/>
      <w:r>
        <w:rPr>
          <w:szCs w:val="18"/>
        </w:rPr>
        <w:t xml:space="preserve"> Bastion podejmowane w trakcie tej minuty kończą się niepowodzeniem.</w:t>
      </w:r>
    </w:p>
    <w:p w14:paraId="4AEDBD7A" w14:textId="542490DF" w:rsidR="00250244" w:rsidRPr="00250244" w:rsidRDefault="00250244" w:rsidP="00250244">
      <w:pPr>
        <w:pStyle w:val="ProductList-Body"/>
        <w:rPr>
          <w:szCs w:val="18"/>
        </w:rPr>
      </w:pPr>
      <w:r>
        <w:rPr>
          <w:szCs w:val="18"/>
        </w:rPr>
        <w:t>„</w:t>
      </w:r>
      <w:r>
        <w:rPr>
          <w:b/>
          <w:bCs/>
          <w:color w:val="00188F"/>
          <w:szCs w:val="18"/>
        </w:rPr>
        <w:t>Procent Czasu Sprawnego Działania</w:t>
      </w:r>
      <w:r w:rsidR="00381145">
        <w:t>”</w:t>
      </w:r>
      <w:r>
        <w:rPr>
          <w:szCs w:val="18"/>
        </w:rPr>
        <w:t xml:space="preserve"> dla danego </w:t>
      </w:r>
      <w:proofErr w:type="spellStart"/>
      <w:r>
        <w:rPr>
          <w:szCs w:val="18"/>
        </w:rPr>
        <w:t>Azure</w:t>
      </w:r>
      <w:proofErr w:type="spellEnd"/>
      <w:r>
        <w:rPr>
          <w:szCs w:val="18"/>
        </w:rPr>
        <w:t xml:space="preserve"> Bastion to Maksymalna Liczba Minut Dostępności pomniejszona o Przestój podzielona przez Maksymalną Liczbę Minut Dostępności we Właściwym Okresie dla danej subskrypcji Microsoft </w:t>
      </w:r>
      <w:proofErr w:type="spellStart"/>
      <w:r>
        <w:rPr>
          <w:szCs w:val="18"/>
        </w:rPr>
        <w:t>Azure</w:t>
      </w:r>
      <w:proofErr w:type="spellEnd"/>
      <w:r>
        <w:rPr>
          <w:szCs w:val="18"/>
        </w:rPr>
        <w:t>. Procent Czasu Sprawnego Działania przedstawia się za pomocą następującego wzoru:</w:t>
      </w:r>
    </w:p>
    <w:p w14:paraId="28936B34" w14:textId="5CD7DD8E" w:rsidR="00250244" w:rsidRPr="00EF7CF9" w:rsidRDefault="00000000" w:rsidP="00B35FB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58593AE" w14:textId="77777777" w:rsidR="00250244" w:rsidRPr="00250244" w:rsidRDefault="00250244" w:rsidP="00250244">
      <w:pPr>
        <w:pStyle w:val="ProductList-Body"/>
        <w:keepNext/>
        <w:rPr>
          <w:b/>
          <w:bCs/>
          <w:color w:val="00188F"/>
          <w:szCs w:val="18"/>
        </w:rPr>
      </w:pPr>
      <w:r>
        <w:rPr>
          <w:b/>
          <w:bCs/>
          <w:color w:val="00188F"/>
          <w:szCs w:val="18"/>
        </w:rPr>
        <w:t xml:space="preserve">Do używania przez Klienta każdej usługi </w:t>
      </w:r>
      <w:proofErr w:type="spellStart"/>
      <w:r>
        <w:rPr>
          <w:b/>
          <w:bCs/>
          <w:color w:val="00188F"/>
          <w:szCs w:val="18"/>
        </w:rPr>
        <w:t>Azure</w:t>
      </w:r>
      <w:proofErr w:type="spellEnd"/>
      <w:r>
        <w:rPr>
          <w:b/>
          <w:bCs/>
          <w:color w:val="00188F"/>
          <w:szCs w:val="18"/>
        </w:rPr>
        <w:t xml:space="preserve"> Bastion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50244" w:rsidRPr="00B44CF9" w14:paraId="2F9D40EB" w14:textId="77777777" w:rsidTr="00277097">
        <w:trPr>
          <w:tblHeader/>
        </w:trPr>
        <w:tc>
          <w:tcPr>
            <w:tcW w:w="5400" w:type="dxa"/>
            <w:shd w:val="clear" w:color="auto" w:fill="0072C6"/>
          </w:tcPr>
          <w:p w14:paraId="45673069" w14:textId="20B83DA8" w:rsidR="0025024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2B9090F" w14:textId="77777777" w:rsidR="00250244" w:rsidRPr="00EF7CF9" w:rsidRDefault="00250244" w:rsidP="000F31B4">
            <w:pPr>
              <w:pStyle w:val="ProductList-OfferingBody"/>
              <w:jc w:val="center"/>
              <w:rPr>
                <w:color w:val="FFFFFF" w:themeColor="background1"/>
              </w:rPr>
            </w:pPr>
            <w:r>
              <w:rPr>
                <w:color w:val="FFFFFF" w:themeColor="background1"/>
              </w:rPr>
              <w:t>Środki Serwisowe na Używanie Usług</w:t>
            </w:r>
          </w:p>
        </w:tc>
      </w:tr>
      <w:tr w:rsidR="00250244" w:rsidRPr="00B44CF9" w14:paraId="580D138F" w14:textId="77777777" w:rsidTr="00277097">
        <w:tc>
          <w:tcPr>
            <w:tcW w:w="5400" w:type="dxa"/>
            <w:tcBorders>
              <w:bottom w:val="single" w:sz="4" w:space="0" w:color="000000" w:themeColor="text1"/>
            </w:tcBorders>
          </w:tcPr>
          <w:p w14:paraId="3ED04140" w14:textId="60F0F59E" w:rsidR="00250244" w:rsidRPr="00EF7CF9" w:rsidRDefault="00250244" w:rsidP="000F31B4">
            <w:pPr>
              <w:pStyle w:val="ProductList-OfferingBody"/>
              <w:jc w:val="center"/>
            </w:pPr>
            <w:r>
              <w:t>&lt; 99,95%</w:t>
            </w:r>
          </w:p>
        </w:tc>
        <w:tc>
          <w:tcPr>
            <w:tcW w:w="5400" w:type="dxa"/>
            <w:tcBorders>
              <w:bottom w:val="single" w:sz="4" w:space="0" w:color="000000" w:themeColor="text1"/>
            </w:tcBorders>
          </w:tcPr>
          <w:p w14:paraId="566411D6" w14:textId="77777777" w:rsidR="00250244" w:rsidRPr="00EF7CF9" w:rsidRDefault="00250244" w:rsidP="000F31B4">
            <w:pPr>
              <w:pStyle w:val="ProductList-OfferingBody"/>
              <w:jc w:val="center"/>
            </w:pPr>
            <w:r>
              <w:t>10%</w:t>
            </w:r>
          </w:p>
        </w:tc>
      </w:tr>
      <w:tr w:rsidR="00250244" w:rsidRPr="00B44CF9" w14:paraId="2B7920ED" w14:textId="77777777" w:rsidTr="00277097">
        <w:tc>
          <w:tcPr>
            <w:tcW w:w="5400" w:type="dxa"/>
            <w:tcBorders>
              <w:bottom w:val="single" w:sz="4" w:space="0" w:color="auto"/>
            </w:tcBorders>
          </w:tcPr>
          <w:p w14:paraId="08B44678" w14:textId="77777777" w:rsidR="00250244" w:rsidRPr="00EF7CF9" w:rsidRDefault="00250244" w:rsidP="000F31B4">
            <w:pPr>
              <w:pStyle w:val="ProductList-OfferingBody"/>
              <w:jc w:val="center"/>
            </w:pPr>
            <w:r>
              <w:t>&lt; 99%</w:t>
            </w:r>
          </w:p>
        </w:tc>
        <w:tc>
          <w:tcPr>
            <w:tcW w:w="5400" w:type="dxa"/>
            <w:tcBorders>
              <w:bottom w:val="single" w:sz="4" w:space="0" w:color="auto"/>
            </w:tcBorders>
          </w:tcPr>
          <w:p w14:paraId="07002431" w14:textId="77777777" w:rsidR="00250244" w:rsidRPr="00EF7CF9" w:rsidRDefault="00250244" w:rsidP="000F31B4">
            <w:pPr>
              <w:pStyle w:val="ProductList-OfferingBody"/>
              <w:keepNext/>
              <w:jc w:val="center"/>
            </w:pPr>
            <w:r>
              <w:t>25%</w:t>
            </w:r>
          </w:p>
        </w:tc>
      </w:tr>
    </w:tbl>
    <w:p w14:paraId="6A38EC47" w14:textId="056F42DE" w:rsidR="00250244" w:rsidRDefault="00C71F89" w:rsidP="00250244">
      <w:pPr>
        <w:pStyle w:val="ProductList-Body"/>
        <w:shd w:val="clear" w:color="auto" w:fill="808080" w:themeFill="background1" w:themeFillShade="80"/>
        <w:tabs>
          <w:tab w:val="clear" w:pos="360"/>
          <w:tab w:val="clear" w:pos="720"/>
          <w:tab w:val="clear" w:pos="1080"/>
        </w:tabs>
        <w:spacing w:before="120" w:after="240"/>
        <w:jc w:val="right"/>
        <w:rPr>
          <w:rStyle w:val="Hyperlink"/>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361CDC7" w14:textId="3E84EC69" w:rsidR="00EF0466" w:rsidRPr="00EF7CF9" w:rsidRDefault="00EF0466" w:rsidP="00BC02A7">
      <w:pPr>
        <w:pStyle w:val="ProductList-Offering2Heading"/>
        <w:keepNext/>
        <w:tabs>
          <w:tab w:val="clear" w:pos="360"/>
          <w:tab w:val="clear" w:pos="720"/>
          <w:tab w:val="clear" w:pos="1080"/>
        </w:tabs>
        <w:outlineLvl w:val="2"/>
      </w:pPr>
      <w:bookmarkStart w:id="155" w:name="_Toc52348941"/>
      <w:bookmarkStart w:id="156" w:name="_Toc239174969"/>
      <w:r>
        <w:t>Wsad</w:t>
      </w:r>
      <w:bookmarkEnd w:id="155"/>
      <w:bookmarkEnd w:id="156"/>
    </w:p>
    <w:p w14:paraId="7A200489" w14:textId="77777777" w:rsidR="00EF0466" w:rsidRPr="00EF7CF9" w:rsidRDefault="00EF0466" w:rsidP="00D76F8C">
      <w:pPr>
        <w:pStyle w:val="ProductList-Body"/>
        <w:keepNext/>
        <w:rPr>
          <w:b/>
          <w:color w:val="00188F"/>
        </w:rPr>
      </w:pPr>
      <w:r>
        <w:rPr>
          <w:b/>
          <w:color w:val="00188F"/>
        </w:rPr>
        <w:t>Dodatkowe definicje</w:t>
      </w:r>
      <w:r w:rsidRPr="007B038A">
        <w:rPr>
          <w:b/>
          <w:color w:val="00188F"/>
        </w:rPr>
        <w:t>:</w:t>
      </w:r>
    </w:p>
    <w:p w14:paraId="395AF348" w14:textId="68EC6FDB" w:rsidR="00EF0466" w:rsidRPr="00EF7CF9" w:rsidRDefault="00EF0466" w:rsidP="00EF0466">
      <w:pPr>
        <w:pStyle w:val="ProductList-Body"/>
        <w:spacing w:after="40"/>
      </w:pPr>
      <w:r>
        <w:t>„</w:t>
      </w:r>
      <w:r>
        <w:rPr>
          <w:b/>
          <w:color w:val="00188F"/>
        </w:rPr>
        <w:t>Średnia Częstość Błędów</w:t>
      </w:r>
      <w:r>
        <w:t>” we Właściwym Okresie to suma współczynników błędów dla każdej godziny we Właściwym Okresie Rozliczeniowym podzielona przez całkowitą liczbę godzin we Właściwym Okresie.</w:t>
      </w:r>
    </w:p>
    <w:p w14:paraId="7133E034" w14:textId="77777777" w:rsidR="00EF0466" w:rsidRPr="00EF7CF9" w:rsidRDefault="00EF0466" w:rsidP="00EF0466">
      <w:pPr>
        <w:pStyle w:val="ProductList-Body"/>
      </w:pPr>
      <w:r>
        <w:t>„</w:t>
      </w:r>
      <w:r>
        <w:rPr>
          <w:b/>
          <w:color w:val="00188F"/>
        </w:rPr>
        <w:t>Częstość Błędów</w:t>
      </w:r>
      <w:r>
        <w:t>” to łączna liczba Żądań Zakończonych Niepowodzeniem podzielona przez Łączną Liczbę Żądań w danym jednogodzinnym przedziale. Jeśli Łączna Liczba Żądań w danym jednogodzinnym przedziale wynosi zero, Częstość Błędów dla tego przedziału wynosi 0%.</w:t>
      </w:r>
    </w:p>
    <w:p w14:paraId="6E2D1CEE" w14:textId="77777777" w:rsidR="00EF0466" w:rsidRPr="00EF7CF9" w:rsidRDefault="00EF0466" w:rsidP="00EF0466">
      <w:pPr>
        <w:pStyle w:val="ProductList-Body"/>
        <w:spacing w:after="40"/>
      </w:pPr>
      <w:r>
        <w:t>„</w:t>
      </w:r>
      <w:r>
        <w:rPr>
          <w:b/>
          <w:color w:val="00188F"/>
        </w:rPr>
        <w:t>Żądania Nieuwzględnione</w:t>
      </w:r>
      <w:r>
        <w:t>” to żądania, które skutkują kodem stanu HTTP o numerze 4xx, innym niż kod stanu HTTP 408.</w:t>
      </w:r>
    </w:p>
    <w:p w14:paraId="53BBC1FB" w14:textId="77777777" w:rsidR="00EF0466" w:rsidRPr="00EF7CF9" w:rsidRDefault="00EF0466" w:rsidP="00EF0466">
      <w:pPr>
        <w:pStyle w:val="ProductList-Body"/>
        <w:spacing w:after="40"/>
      </w:pPr>
      <w:r>
        <w:t>„</w:t>
      </w:r>
      <w:r>
        <w:rPr>
          <w:b/>
          <w:color w:val="00188F"/>
        </w:rPr>
        <w:t>Żądania Zakończone Niepowodzeniem</w:t>
      </w:r>
      <w:r>
        <w:t>” to zbiór wszystkich żądań w ramach Łącznej Liczby Żądań, które albo zwracają Kod Błędu lub kodu stanu HTTP o numerze 408, albo nie zwracają Kodu Sukcesu w ciągu 5 sekund.</w:t>
      </w:r>
    </w:p>
    <w:p w14:paraId="650DAD32" w14:textId="518C1BC5" w:rsidR="00EF0466" w:rsidRPr="00EF7CF9" w:rsidRDefault="00EF0466" w:rsidP="00EF0466">
      <w:pPr>
        <w:pStyle w:val="ProductList-Body"/>
        <w:spacing w:after="40"/>
      </w:pPr>
      <w:r>
        <w:t>„</w:t>
      </w:r>
      <w:r>
        <w:rPr>
          <w:b/>
          <w:color w:val="00188F"/>
        </w:rPr>
        <w:t>Łączna Liczba Żądań</w:t>
      </w:r>
      <w:r>
        <w:t xml:space="preserve">” to łączna liczba uwierzytelnionych żądań API REST, innych niż Żądania Nieuwzględnione, podjętych w celu wykonania operacji na kontach usługi Wsad, których próbowano dokonać w ciągu jednej godziny w ramach danej subskrypcji </w:t>
      </w:r>
      <w:proofErr w:type="spellStart"/>
      <w:r>
        <w:t>Azure</w:t>
      </w:r>
      <w:proofErr w:type="spellEnd"/>
      <w:r>
        <w:t xml:space="preserve"> we Właściwym Okresie.</w:t>
      </w:r>
    </w:p>
    <w:p w14:paraId="7EAB2ED8" w14:textId="5231092F" w:rsidR="00EF0466" w:rsidRDefault="00AC48A7" w:rsidP="00EF0466">
      <w:pPr>
        <w:pStyle w:val="ProductList-Body"/>
      </w:pPr>
      <w:r>
        <w:rPr>
          <w:b/>
          <w:color w:val="00188F"/>
        </w:rPr>
        <w:t>Procent Czasu Sprawnego Działania</w:t>
      </w:r>
      <w:r w:rsidRPr="007B038A">
        <w:rPr>
          <w:b/>
          <w:color w:val="00188F"/>
        </w:rPr>
        <w:t>:</w:t>
      </w:r>
      <w:r>
        <w:t xml:space="preserve"> dla Usługi Wsad jest obliczana poprzez odjęcie od 100% Średniej Częstości Błędów dla danej subskrypcji Microsoft </w:t>
      </w:r>
      <w:proofErr w:type="spellStart"/>
      <w:r>
        <w:t>Azure</w:t>
      </w:r>
      <w:proofErr w:type="spellEnd"/>
      <w:r>
        <w:t xml:space="preserve"> we Właściwym Okresie. „Średnia Częstość Błędów” we Właściwym Okresie to suma współczynników błędów dla każdej godziny we</w:t>
      </w:r>
      <w:r w:rsidR="00F64935">
        <w:t> </w:t>
      </w:r>
      <w:r>
        <w:t>Właściwym Okresie podzielona przez całkowitą liczbę godzin we Właściwym Okresie.</w:t>
      </w:r>
    </w:p>
    <w:p w14:paraId="083113DA" w14:textId="1E983909" w:rsidR="00EF0466" w:rsidRPr="00EF7CF9" w:rsidRDefault="00AC48A7" w:rsidP="00EF0466">
      <w:pPr>
        <w:pStyle w:val="ProductList-Body"/>
      </w:pPr>
      <w:r>
        <w:t>Procent Czasu Sprawnego Działania przedstawia się za pomocą następującego wzoru:</w:t>
      </w:r>
    </w:p>
    <w:p w14:paraId="5DD33D94" w14:textId="77777777" w:rsidR="00EF0466" w:rsidRPr="00EF7CF9" w:rsidRDefault="00EF0466" w:rsidP="00EF0466">
      <w:pPr>
        <w:pStyle w:val="ProductList-Body"/>
      </w:pPr>
    </w:p>
    <w:p w14:paraId="0BEE3720" w14:textId="0BECB31A" w:rsidR="00EF0466" w:rsidRPr="00EF7CF9" w:rsidRDefault="0007784F" w:rsidP="00EF0466">
      <w:pPr>
        <w:pStyle w:val="ListParagraph"/>
        <w:rPr>
          <w:rFonts w:ascii="Cambria Math" w:hAnsi="Cambria Math" w:cs="Tahoma"/>
          <w:i/>
          <w:sz w:val="12"/>
          <w:szCs w:val="12"/>
        </w:rPr>
      </w:pPr>
      <m:oMathPara>
        <m:oMath>
          <m:r>
            <m:rPr>
              <m:nor/>
            </m:rPr>
            <w:rPr>
              <w:rFonts w:ascii="Cambria Math" w:hAnsi="Cambria Math" w:cs="Tahoma"/>
              <w:i/>
              <w:sz w:val="18"/>
              <w:szCs w:val="18"/>
            </w:rPr>
            <m:t>Procent Czasu Sprawnego Działania = 100% - Średnia Częstość Błędów</m:t>
          </m:r>
        </m:oMath>
      </m:oMathPara>
    </w:p>
    <w:p w14:paraId="4CC590BB" w14:textId="77777777" w:rsidR="00EF0466" w:rsidRPr="00EF7CF9" w:rsidRDefault="00EF0466" w:rsidP="00EF0466">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F0466" w:rsidRPr="00B44CF9" w14:paraId="5CE18B58" w14:textId="77777777" w:rsidTr="00277097">
        <w:trPr>
          <w:tblHeader/>
        </w:trPr>
        <w:tc>
          <w:tcPr>
            <w:tcW w:w="5400" w:type="dxa"/>
            <w:shd w:val="clear" w:color="auto" w:fill="0072C6"/>
          </w:tcPr>
          <w:p w14:paraId="524E220F" w14:textId="733E12B6" w:rsidR="00EF046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A7D8845" w14:textId="77777777" w:rsidR="00EF0466" w:rsidRPr="00EF7CF9" w:rsidRDefault="00EF0466" w:rsidP="000F31B4">
            <w:pPr>
              <w:pStyle w:val="ProductList-OfferingBody"/>
              <w:jc w:val="center"/>
              <w:rPr>
                <w:color w:val="FFFFFF" w:themeColor="background1"/>
              </w:rPr>
            </w:pPr>
            <w:r>
              <w:rPr>
                <w:color w:val="FFFFFF" w:themeColor="background1"/>
              </w:rPr>
              <w:t>Środki Serwisowe na Używanie Usług</w:t>
            </w:r>
          </w:p>
        </w:tc>
      </w:tr>
      <w:tr w:rsidR="00EF0466" w:rsidRPr="00B44CF9" w14:paraId="784DC36D" w14:textId="77777777" w:rsidTr="00277097">
        <w:tc>
          <w:tcPr>
            <w:tcW w:w="5400" w:type="dxa"/>
          </w:tcPr>
          <w:p w14:paraId="53AB855C" w14:textId="77777777" w:rsidR="00EF0466" w:rsidRPr="00EF7CF9" w:rsidRDefault="00EF0466" w:rsidP="000F31B4">
            <w:pPr>
              <w:pStyle w:val="ProductList-OfferingBody"/>
              <w:jc w:val="center"/>
            </w:pPr>
            <w:r>
              <w:t>&lt; 99,9%</w:t>
            </w:r>
          </w:p>
        </w:tc>
        <w:tc>
          <w:tcPr>
            <w:tcW w:w="5400" w:type="dxa"/>
          </w:tcPr>
          <w:p w14:paraId="762804D1" w14:textId="77777777" w:rsidR="00EF0466" w:rsidRPr="00EF7CF9" w:rsidRDefault="00EF0466" w:rsidP="000F31B4">
            <w:pPr>
              <w:pStyle w:val="ProductList-OfferingBody"/>
              <w:jc w:val="center"/>
            </w:pPr>
            <w:r>
              <w:t>10%</w:t>
            </w:r>
          </w:p>
        </w:tc>
      </w:tr>
      <w:tr w:rsidR="00EF0466" w:rsidRPr="00B44CF9" w14:paraId="433CE4B5" w14:textId="77777777" w:rsidTr="00277097">
        <w:tc>
          <w:tcPr>
            <w:tcW w:w="5400" w:type="dxa"/>
          </w:tcPr>
          <w:p w14:paraId="5A4F3664" w14:textId="77777777" w:rsidR="00EF0466" w:rsidRPr="00EF7CF9" w:rsidRDefault="00EF0466" w:rsidP="000F31B4">
            <w:pPr>
              <w:pStyle w:val="ProductList-OfferingBody"/>
              <w:jc w:val="center"/>
            </w:pPr>
            <w:r>
              <w:t>&lt; 99%</w:t>
            </w:r>
          </w:p>
        </w:tc>
        <w:tc>
          <w:tcPr>
            <w:tcW w:w="5400" w:type="dxa"/>
          </w:tcPr>
          <w:p w14:paraId="2BE675AB" w14:textId="77777777" w:rsidR="00EF0466" w:rsidRPr="00EF7CF9" w:rsidRDefault="00EF0466" w:rsidP="000F31B4">
            <w:pPr>
              <w:pStyle w:val="ProductList-OfferingBody"/>
              <w:jc w:val="center"/>
            </w:pPr>
            <w:r>
              <w:t>25%</w:t>
            </w:r>
          </w:p>
        </w:tc>
      </w:tr>
    </w:tbl>
    <w:bookmarkStart w:id="157" w:name="_Toc444249054"/>
    <w:bookmarkStart w:id="158" w:name="_Toc457806454"/>
    <w:p w14:paraId="121EC774" w14:textId="79CDD69F" w:rsidR="00EF0466" w:rsidRPr="00EF7CF9" w:rsidRDefault="00C71F89" w:rsidP="00EF046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DDD5416" w14:textId="77777777" w:rsidR="00EE07E3" w:rsidRPr="00EF7CF9" w:rsidRDefault="00EE07E3" w:rsidP="00D41408">
      <w:pPr>
        <w:pStyle w:val="ProductList-Offering2Heading"/>
        <w:keepNext/>
        <w:tabs>
          <w:tab w:val="clear" w:pos="360"/>
          <w:tab w:val="clear" w:pos="720"/>
          <w:tab w:val="clear" w:pos="1080"/>
        </w:tabs>
        <w:outlineLvl w:val="2"/>
      </w:pPr>
      <w:bookmarkStart w:id="159" w:name="_Toc457821542"/>
      <w:bookmarkStart w:id="160" w:name="_Toc52348943"/>
      <w:bookmarkStart w:id="161" w:name="_Toc239174970"/>
      <w:bookmarkEnd w:id="157"/>
      <w:bookmarkEnd w:id="158"/>
      <w:r>
        <w:t>BizTalk Services</w:t>
      </w:r>
      <w:bookmarkEnd w:id="159"/>
      <w:bookmarkEnd w:id="160"/>
      <w:bookmarkEnd w:id="161"/>
    </w:p>
    <w:p w14:paraId="1EEF97B3" w14:textId="77777777" w:rsidR="00EE07E3" w:rsidRPr="00EF7CF9" w:rsidRDefault="00EE07E3" w:rsidP="00D41408">
      <w:pPr>
        <w:pStyle w:val="ProductList-Body"/>
        <w:keepNext/>
        <w:rPr>
          <w:b/>
          <w:color w:val="00188F"/>
        </w:rPr>
      </w:pPr>
      <w:r>
        <w:rPr>
          <w:b/>
          <w:color w:val="00188F"/>
        </w:rPr>
        <w:t>Dodatkowe definicje</w:t>
      </w:r>
      <w:r w:rsidRPr="007B038A">
        <w:rPr>
          <w:b/>
          <w:color w:val="00188F"/>
        </w:rPr>
        <w:t>:</w:t>
      </w:r>
    </w:p>
    <w:p w14:paraId="689B8158" w14:textId="77777777" w:rsidR="00EE07E3" w:rsidRPr="00EF7CF9" w:rsidRDefault="00EE07E3" w:rsidP="00EE07E3">
      <w:pPr>
        <w:pStyle w:val="ProductList-Body"/>
        <w:spacing w:after="40"/>
      </w:pPr>
      <w:r>
        <w:t>„</w:t>
      </w:r>
      <w:r>
        <w:rPr>
          <w:b/>
          <w:color w:val="00188F"/>
        </w:rPr>
        <w:t>Środowisko Usługi BizTalk</w:t>
      </w:r>
      <w:r>
        <w:t>” to przygotowane przez Klienta wdrożenie usług BizTalk Services, zgodnie z informacjami w Portalu Zarządzania, do którego Klient może przesyłać prośby o przesłanie informacji o środowisku uruchomieniowym.</w:t>
      </w:r>
    </w:p>
    <w:p w14:paraId="30BE0C93" w14:textId="2F60CAC7" w:rsidR="00EE07E3" w:rsidRPr="00EF7CF9" w:rsidRDefault="00EE07E3" w:rsidP="00EE07E3">
      <w:pPr>
        <w:pStyle w:val="ProductList-Body"/>
        <w:spacing w:after="40"/>
      </w:pPr>
      <w:r>
        <w:t>„</w:t>
      </w:r>
      <w:r>
        <w:rPr>
          <w:b/>
          <w:color w:val="00188F"/>
        </w:rPr>
        <w:t>Minuty Wdrożenia</w:t>
      </w:r>
      <w:r>
        <w:t xml:space="preserve">” to łączna liczba minut, przez które dane Środowisko Usługi BizTalk zostało wdrożone na platformie Microsoft </w:t>
      </w:r>
      <w:proofErr w:type="spellStart"/>
      <w:r>
        <w:t>Azure</w:t>
      </w:r>
      <w:proofErr w:type="spellEnd"/>
      <w:r>
        <w:t xml:space="preserve"> we Właściwym Okresie.</w:t>
      </w:r>
    </w:p>
    <w:p w14:paraId="05F523B2" w14:textId="2F4FF51B" w:rsidR="00EE07E3" w:rsidRPr="00EF7CF9" w:rsidRDefault="00EE07E3" w:rsidP="00EE07E3">
      <w:pPr>
        <w:pStyle w:val="ProductList-Body"/>
        <w:spacing w:after="40"/>
      </w:pPr>
      <w:r>
        <w:t>„</w:t>
      </w:r>
      <w:r>
        <w:rPr>
          <w:b/>
          <w:color w:val="00188F"/>
        </w:rPr>
        <w:t>Maksymalna Liczba Dostępnych Minut</w:t>
      </w:r>
      <w:r>
        <w:t xml:space="preserve">” to suma wszystkich Minut Wdrożenia we wszystkich Środowiskach Usługi BizTalk wdrożonych przez użytkownika w ramach danej subskrypcji Microsoft </w:t>
      </w:r>
      <w:proofErr w:type="spellStart"/>
      <w:r>
        <w:t>Azure</w:t>
      </w:r>
      <w:proofErr w:type="spellEnd"/>
      <w:r>
        <w:t xml:space="preserve"> we Właściwym Okresie.</w:t>
      </w:r>
    </w:p>
    <w:p w14:paraId="2867114C" w14:textId="77777777" w:rsidR="00EE07E3" w:rsidRPr="00EF7CF9" w:rsidRDefault="00EE07E3" w:rsidP="00EE07E3">
      <w:pPr>
        <w:pStyle w:val="ProductList-Body"/>
      </w:pPr>
      <w:r>
        <w:t>„</w:t>
      </w:r>
      <w:r>
        <w:rPr>
          <w:b/>
          <w:color w:val="00188F"/>
        </w:rPr>
        <w:t>Konto Storage z Danymi Monitorowania</w:t>
      </w:r>
      <w:r>
        <w:t xml:space="preserve">” to konto </w:t>
      </w:r>
      <w:proofErr w:type="spellStart"/>
      <w:r>
        <w:t>Azure</w:t>
      </w:r>
      <w:proofErr w:type="spellEnd"/>
      <w:r>
        <w:t xml:space="preserve"> Storage używane przez Usługi BizTalk Services do przechowywania informacji dotyczących monitorowania związanych z używaniem Usług BizTalk Services.</w:t>
      </w:r>
    </w:p>
    <w:p w14:paraId="150F5BD7" w14:textId="77777777" w:rsidR="00EE07E3" w:rsidRPr="00EF7CF9" w:rsidRDefault="00EE07E3" w:rsidP="00EE07E3">
      <w:pPr>
        <w:pStyle w:val="ProductList-Body"/>
      </w:pPr>
      <w:r>
        <w:rPr>
          <w:b/>
          <w:color w:val="00188F"/>
        </w:rPr>
        <w:t>Przestój</w:t>
      </w:r>
      <w:r w:rsidRPr="007B038A">
        <w:rPr>
          <w:b/>
          <w:color w:val="00188F"/>
        </w:rPr>
        <w:t>:</w:t>
      </w:r>
      <w:r>
        <w:t xml:space="preserve"> to łączna zakumulowana liczba Minut Wdrożenia dla wszystkich Środowisk Usługi BizTalk wdrożonych przez Klienta w ramach danej subskrypcji Microsoft </w:t>
      </w:r>
      <w:proofErr w:type="spellStart"/>
      <w:r>
        <w:t>Azure</w:t>
      </w:r>
      <w:proofErr w:type="spellEnd"/>
      <w:r>
        <w:t>, podczas których Środowisko Usługi BizTalk jest niedostępne. Minuta jest uznawana za minutę niedostępności dla danego Środowiska Usługi BizTalk, gdy nie ma łączności między Środowiskiem Usługi BizTalk Klienta a bramą internetową Microsoft.</w:t>
      </w:r>
    </w:p>
    <w:p w14:paraId="094308AC" w14:textId="6B9E9816" w:rsidR="00EE07E3" w:rsidRPr="00EF7CF9" w:rsidRDefault="00AC48A7" w:rsidP="00EE07E3">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 </w:t>
      </w:r>
    </w:p>
    <w:p w14:paraId="6BB05F7C" w14:textId="77777777" w:rsidR="00EE07E3" w:rsidRPr="00EF7CF9" w:rsidRDefault="00EE07E3" w:rsidP="00EE07E3">
      <w:pPr>
        <w:pStyle w:val="ProductList-Body"/>
      </w:pPr>
    </w:p>
    <w:p w14:paraId="684C104E" w14:textId="129F92A9" w:rsidR="00EE07E3" w:rsidRPr="00EF7CF9" w:rsidRDefault="00000000" w:rsidP="00EE07E3">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91A6EB5" w14:textId="77777777" w:rsidR="00EE07E3" w:rsidRPr="00EF7CF9" w:rsidRDefault="00EE07E3" w:rsidP="00EE07E3">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E07E3" w:rsidRPr="00B44CF9" w14:paraId="50E8FE09" w14:textId="77777777" w:rsidTr="00277097">
        <w:trPr>
          <w:tblHeader/>
        </w:trPr>
        <w:tc>
          <w:tcPr>
            <w:tcW w:w="5400" w:type="dxa"/>
            <w:shd w:val="clear" w:color="auto" w:fill="0072C6"/>
          </w:tcPr>
          <w:p w14:paraId="1615DE96" w14:textId="3E3D6E8A" w:rsidR="00EE07E3"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008E93F" w14:textId="77777777" w:rsidR="00EE07E3" w:rsidRPr="00EF7CF9" w:rsidRDefault="00EE07E3" w:rsidP="000F31B4">
            <w:pPr>
              <w:pStyle w:val="ProductList-OfferingBody"/>
              <w:jc w:val="center"/>
              <w:rPr>
                <w:color w:val="FFFFFF" w:themeColor="background1"/>
              </w:rPr>
            </w:pPr>
            <w:r>
              <w:rPr>
                <w:color w:val="FFFFFF" w:themeColor="background1"/>
              </w:rPr>
              <w:t>Środki Serwisowe na Używanie Usług</w:t>
            </w:r>
          </w:p>
        </w:tc>
      </w:tr>
      <w:tr w:rsidR="00EE07E3" w:rsidRPr="00B44CF9" w14:paraId="2A4110F7" w14:textId="77777777" w:rsidTr="00277097">
        <w:tc>
          <w:tcPr>
            <w:tcW w:w="5400" w:type="dxa"/>
          </w:tcPr>
          <w:p w14:paraId="15668B8B" w14:textId="77777777" w:rsidR="00EE07E3" w:rsidRPr="00EF7CF9" w:rsidRDefault="00EE07E3" w:rsidP="000F31B4">
            <w:pPr>
              <w:pStyle w:val="ProductList-OfferingBody"/>
              <w:jc w:val="center"/>
            </w:pPr>
            <w:r>
              <w:t>&lt; 99,9%</w:t>
            </w:r>
          </w:p>
        </w:tc>
        <w:tc>
          <w:tcPr>
            <w:tcW w:w="5400" w:type="dxa"/>
          </w:tcPr>
          <w:p w14:paraId="1A041908" w14:textId="77777777" w:rsidR="00EE07E3" w:rsidRPr="00EF7CF9" w:rsidRDefault="00EE07E3" w:rsidP="000F31B4">
            <w:pPr>
              <w:pStyle w:val="ProductList-OfferingBody"/>
              <w:jc w:val="center"/>
            </w:pPr>
            <w:r>
              <w:t>10%</w:t>
            </w:r>
          </w:p>
        </w:tc>
      </w:tr>
      <w:tr w:rsidR="00EE07E3" w:rsidRPr="00B44CF9" w14:paraId="6D76EEE9" w14:textId="77777777" w:rsidTr="00277097">
        <w:tc>
          <w:tcPr>
            <w:tcW w:w="5400" w:type="dxa"/>
          </w:tcPr>
          <w:p w14:paraId="1D348B08" w14:textId="77777777" w:rsidR="00EE07E3" w:rsidRPr="00EF7CF9" w:rsidRDefault="00EE07E3" w:rsidP="000F31B4">
            <w:pPr>
              <w:pStyle w:val="ProductList-OfferingBody"/>
              <w:jc w:val="center"/>
            </w:pPr>
            <w:r>
              <w:t>&lt; 99%</w:t>
            </w:r>
          </w:p>
        </w:tc>
        <w:tc>
          <w:tcPr>
            <w:tcW w:w="5400" w:type="dxa"/>
          </w:tcPr>
          <w:p w14:paraId="03C66756" w14:textId="77777777" w:rsidR="00EE07E3" w:rsidRPr="00EF7CF9" w:rsidRDefault="00EE07E3" w:rsidP="000F31B4">
            <w:pPr>
              <w:pStyle w:val="ProductList-OfferingBody"/>
              <w:jc w:val="center"/>
            </w:pPr>
            <w:r>
              <w:t>25%</w:t>
            </w:r>
          </w:p>
        </w:tc>
      </w:tr>
    </w:tbl>
    <w:p w14:paraId="06B841FB" w14:textId="77777777" w:rsidR="00EE07E3" w:rsidRPr="006505C6" w:rsidRDefault="00EE07E3" w:rsidP="00EE07E3">
      <w:pPr>
        <w:pStyle w:val="ProductList-Body"/>
        <w:rPr>
          <w:sz w:val="12"/>
          <w:szCs w:val="12"/>
        </w:rPr>
      </w:pPr>
    </w:p>
    <w:p w14:paraId="65C7EBDC" w14:textId="77777777" w:rsidR="00EE07E3" w:rsidRPr="00EF7CF9" w:rsidRDefault="00EE07E3" w:rsidP="00EE07E3">
      <w:pPr>
        <w:pStyle w:val="ProductList-Body"/>
      </w:pPr>
      <w:r>
        <w:rPr>
          <w:b/>
          <w:color w:val="00188F"/>
        </w:rPr>
        <w:t>Wyjątki dotyczące Poziomu Usługi</w:t>
      </w:r>
      <w:r>
        <w:t xml:space="preserve">. Do używania przez Klienta warstw Podstawowa, Standardowa i Premium Usług BizTalk Services mają zastosowanie następujące Poziomy Usługi i Środki Serwisowe na Używanie Usług. Warstwa Deweloper w usługach Microsoft </w:t>
      </w:r>
      <w:proofErr w:type="spellStart"/>
      <w:r>
        <w:t>Azure</w:t>
      </w:r>
      <w:proofErr w:type="spellEnd"/>
      <w:r>
        <w:t xml:space="preserve"> BizTalk Services nie podlega niniejszej umowie SLA.</w:t>
      </w:r>
    </w:p>
    <w:p w14:paraId="41B0412C" w14:textId="77777777" w:rsidR="00EE07E3" w:rsidRPr="006505C6" w:rsidRDefault="00EE07E3" w:rsidP="00EE07E3">
      <w:pPr>
        <w:pStyle w:val="ProductList-Body"/>
        <w:rPr>
          <w:sz w:val="12"/>
          <w:szCs w:val="12"/>
        </w:rPr>
      </w:pPr>
    </w:p>
    <w:p w14:paraId="21C0FE31" w14:textId="77777777" w:rsidR="00EE07E3" w:rsidRPr="00EF7CF9" w:rsidRDefault="00EE07E3" w:rsidP="00EE07E3">
      <w:pPr>
        <w:pStyle w:val="ProductList-Body"/>
      </w:pPr>
      <w:r>
        <w:rPr>
          <w:b/>
          <w:color w:val="00188F"/>
        </w:rPr>
        <w:t>Postanowienia dodatkowe</w:t>
      </w:r>
      <w:r w:rsidRPr="007B038A">
        <w:rPr>
          <w:b/>
          <w:color w:val="00188F"/>
        </w:rPr>
        <w:t>:</w:t>
      </w:r>
      <w:r>
        <w:t xml:space="preserve"> Podnosząc roszczenie, Klient musi zapewnić, że na Koncie Storage z Danymi Monitorowania znajdują się kompletne informacje dotyczące monitorowania, oraz udostępnić te informacje Microsoft.</w:t>
      </w:r>
    </w:p>
    <w:p w14:paraId="03E4630A" w14:textId="055A4503" w:rsidR="00EE07E3" w:rsidRPr="00EF7CF9" w:rsidRDefault="00C71F89" w:rsidP="00EE07E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2D0FD56" w14:textId="58C7C03A" w:rsidR="004005AF" w:rsidRPr="00EF7CF9" w:rsidRDefault="004005AF" w:rsidP="008D2E91">
      <w:pPr>
        <w:pStyle w:val="ProductList-Offering2Heading"/>
        <w:keepNext/>
        <w:tabs>
          <w:tab w:val="clear" w:pos="360"/>
          <w:tab w:val="clear" w:pos="720"/>
          <w:tab w:val="clear" w:pos="1080"/>
        </w:tabs>
        <w:outlineLvl w:val="2"/>
      </w:pPr>
      <w:bookmarkStart w:id="162" w:name="_Toc239174971"/>
      <w:r>
        <w:t xml:space="preserve">Usługa </w:t>
      </w:r>
      <w:proofErr w:type="spellStart"/>
      <w:r>
        <w:t>Azure</w:t>
      </w:r>
      <w:proofErr w:type="spellEnd"/>
      <w:r>
        <w:t xml:space="preserve"> Bot</w:t>
      </w:r>
      <w:bookmarkEnd w:id="153"/>
      <w:bookmarkEnd w:id="162"/>
    </w:p>
    <w:bookmarkEnd w:id="147"/>
    <w:p w14:paraId="3693B18C" w14:textId="77777777" w:rsidR="004005AF" w:rsidRPr="00EF7CF9" w:rsidRDefault="004005AF" w:rsidP="004005AF">
      <w:pPr>
        <w:pStyle w:val="ProductList-Body"/>
      </w:pPr>
      <w:r>
        <w:rPr>
          <w:b/>
          <w:color w:val="00188F"/>
        </w:rPr>
        <w:t>Dodatkowe definicje</w:t>
      </w:r>
      <w:r w:rsidRPr="007B038A">
        <w:rPr>
          <w:b/>
          <w:color w:val="00188F"/>
        </w:rPr>
        <w:t>:</w:t>
      </w:r>
    </w:p>
    <w:p w14:paraId="5B0F1183" w14:textId="77777777" w:rsidR="004005AF" w:rsidRPr="00EF7CF9" w:rsidRDefault="004005AF" w:rsidP="004005AF">
      <w:pPr>
        <w:pStyle w:val="ProductList-Body"/>
        <w:spacing w:after="40"/>
      </w:pPr>
      <w:r>
        <w:t>„</w:t>
      </w:r>
      <w:r>
        <w:rPr>
          <w:b/>
          <w:color w:val="00188F"/>
        </w:rPr>
        <w:t xml:space="preserve">Kanał Premium Usługi </w:t>
      </w:r>
      <w:proofErr w:type="spellStart"/>
      <w:r>
        <w:rPr>
          <w:b/>
          <w:color w:val="00188F"/>
        </w:rPr>
        <w:t>Azure</w:t>
      </w:r>
      <w:proofErr w:type="spellEnd"/>
      <w:r>
        <w:rPr>
          <w:b/>
          <w:color w:val="00188F"/>
        </w:rPr>
        <w:t xml:space="preserve"> Bot</w:t>
      </w:r>
      <w:r>
        <w:t xml:space="preserve">” to kanał </w:t>
      </w:r>
      <w:proofErr w:type="spellStart"/>
      <w:r>
        <w:t>premium</w:t>
      </w:r>
      <w:proofErr w:type="spellEnd"/>
      <w:r>
        <w:t xml:space="preserve"> platformy Bot Framework.</w:t>
      </w:r>
    </w:p>
    <w:p w14:paraId="6C1FBDA2" w14:textId="77777777" w:rsidR="004005AF" w:rsidRPr="00EF7CF9" w:rsidRDefault="004005AF" w:rsidP="004005AF">
      <w:pPr>
        <w:pStyle w:val="ProductList-Body"/>
        <w:spacing w:after="40"/>
      </w:pPr>
      <w:r>
        <w:t>„</w:t>
      </w:r>
      <w:r>
        <w:rPr>
          <w:b/>
          <w:color w:val="00188F"/>
        </w:rPr>
        <w:t>Bot</w:t>
      </w:r>
      <w:r>
        <w:t xml:space="preserve">” to zarejestrowana w Usłudze </w:t>
      </w:r>
      <w:proofErr w:type="spellStart"/>
      <w:r>
        <w:t>Azure</w:t>
      </w:r>
      <w:proofErr w:type="spellEnd"/>
      <w:r>
        <w:t xml:space="preserve"> Bot internetowa aplikacja konwersacyjna dewelopera, która umożliwia wysyłanie wiadomości do Usługi </w:t>
      </w:r>
      <w:proofErr w:type="spellStart"/>
      <w:r>
        <w:t>Azure</w:t>
      </w:r>
      <w:proofErr w:type="spellEnd"/>
      <w:r>
        <w:t xml:space="preserve"> Bot i odbieranie wiadomości z Usługi </w:t>
      </w:r>
      <w:proofErr w:type="spellStart"/>
      <w:r>
        <w:t>Azure</w:t>
      </w:r>
      <w:proofErr w:type="spellEnd"/>
      <w:r>
        <w:t xml:space="preserve"> Bot.</w:t>
      </w:r>
    </w:p>
    <w:p w14:paraId="18BAD109" w14:textId="77777777" w:rsidR="004005AF" w:rsidRPr="00EF7CF9" w:rsidRDefault="004005AF" w:rsidP="004005AF">
      <w:pPr>
        <w:pStyle w:val="ProductList-Body"/>
        <w:spacing w:after="40"/>
      </w:pPr>
      <w:r>
        <w:t>„</w:t>
      </w:r>
      <w:r>
        <w:rPr>
          <w:b/>
          <w:color w:val="00188F"/>
        </w:rPr>
        <w:t>Bot Framework</w:t>
      </w:r>
      <w:r>
        <w:t>”</w:t>
      </w:r>
      <w:r>
        <w:rPr>
          <w:b/>
        </w:rPr>
        <w:t xml:space="preserve"> </w:t>
      </w:r>
      <w:r>
        <w:t>to platforma służąca do tworzenia, łączenia, testowania i wdrażania zaawansowanych i inteligentnych botów.</w:t>
      </w:r>
    </w:p>
    <w:p w14:paraId="51F2105F" w14:textId="77777777" w:rsidR="004005AF" w:rsidRPr="00EF7CF9" w:rsidRDefault="004005AF" w:rsidP="004005AF">
      <w:pPr>
        <w:pStyle w:val="ProductList-Body"/>
        <w:spacing w:after="40"/>
      </w:pPr>
      <w:r>
        <w:t>„</w:t>
      </w:r>
      <w:r>
        <w:rPr>
          <w:b/>
          <w:color w:val="00188F"/>
        </w:rPr>
        <w:t>Klient</w:t>
      </w:r>
      <w:r>
        <w:t>” to część aplikacji Bot po stronie użytkownika końcowego</w:t>
      </w:r>
      <w:r>
        <w:rPr>
          <w:rStyle w:val="CommentReference"/>
          <w:sz w:val="18"/>
          <w:szCs w:val="18"/>
        </w:rPr>
        <w:t>.</w:t>
      </w:r>
    </w:p>
    <w:p w14:paraId="4E6AFF00" w14:textId="77777777" w:rsidR="004005AF" w:rsidRPr="00EF7CF9" w:rsidRDefault="004005AF" w:rsidP="004005AF">
      <w:pPr>
        <w:pStyle w:val="ProductList-Body"/>
        <w:spacing w:after="40"/>
      </w:pPr>
      <w:r>
        <w:t>„</w:t>
      </w:r>
      <w:r>
        <w:rPr>
          <w:b/>
          <w:color w:val="00188F"/>
        </w:rPr>
        <w:t>Punkt Końcowy Interfejsu API Kanałów Premium</w:t>
      </w:r>
      <w:r>
        <w:t>”</w:t>
      </w:r>
      <w:r>
        <w:rPr>
          <w:b/>
        </w:rPr>
        <w:t xml:space="preserve"> </w:t>
      </w:r>
      <w:r>
        <w:t xml:space="preserve">to punkt końcowy interfejsu API REST platformy Bot Framework w Kanałach Premium Usługi </w:t>
      </w:r>
      <w:proofErr w:type="spellStart"/>
      <w:r>
        <w:t>Azure</w:t>
      </w:r>
      <w:proofErr w:type="spellEnd"/>
      <w:r>
        <w:t xml:space="preserve"> Bot.</w:t>
      </w:r>
    </w:p>
    <w:p w14:paraId="2B77F191" w14:textId="3C907779" w:rsidR="004005AF" w:rsidRDefault="00EE6E3C" w:rsidP="00EE07E3">
      <w:pPr>
        <w:pStyle w:val="ProductList-Body"/>
        <w:spacing w:before="120"/>
      </w:pPr>
      <w:r>
        <w:rPr>
          <w:b/>
          <w:color w:val="00188F"/>
        </w:rPr>
        <w:t xml:space="preserve">Obliczanie Czasu Sprawnego Działania i Poziomu Usługi dla Kanałów Premium Usługi </w:t>
      </w:r>
      <w:proofErr w:type="spellStart"/>
      <w:r>
        <w:rPr>
          <w:b/>
          <w:color w:val="00188F"/>
        </w:rPr>
        <w:t>Azure</w:t>
      </w:r>
      <w:proofErr w:type="spellEnd"/>
      <w:r>
        <w:rPr>
          <w:b/>
          <w:color w:val="00188F"/>
        </w:rPr>
        <w:t xml:space="preserve"> Bot</w:t>
      </w:r>
      <w:r w:rsidRPr="007B038A">
        <w:rPr>
          <w:b/>
          <w:color w:val="00188F"/>
        </w:rPr>
        <w:t>:</w:t>
      </w:r>
    </w:p>
    <w:p w14:paraId="337B1E38" w14:textId="5205A836" w:rsidR="004005AF" w:rsidRPr="00EF7CF9" w:rsidRDefault="004005AF" w:rsidP="00C84B0F">
      <w:pPr>
        <w:pStyle w:val="ProductList-Body"/>
        <w:spacing w:after="40"/>
      </w:pPr>
      <w:r>
        <w:t>„</w:t>
      </w:r>
      <w:r>
        <w:rPr>
          <w:b/>
          <w:color w:val="00188F"/>
        </w:rPr>
        <w:t>Łączna Liczna Żądań API</w:t>
      </w:r>
      <w:r>
        <w:t>”</w:t>
      </w:r>
      <w:r>
        <w:rPr>
          <w:b/>
        </w:rPr>
        <w:t xml:space="preserve"> </w:t>
      </w:r>
      <w:r>
        <w:t>to łączna liczba żądań wysłanych przez Aplikację Bot lub klienta do Punktu Końcowego Interfejsu API Kanału Premium w</w:t>
      </w:r>
      <w:r w:rsidR="00C84B0F">
        <w:t> </w:t>
      </w:r>
      <w:r>
        <w:t xml:space="preserve">ramach subskrypcji Microsoft </w:t>
      </w:r>
      <w:proofErr w:type="spellStart"/>
      <w:r>
        <w:t>Azure</w:t>
      </w:r>
      <w:proofErr w:type="spellEnd"/>
      <w:r>
        <w:t xml:space="preserve"> we Właściwym Okresie.</w:t>
      </w:r>
    </w:p>
    <w:p w14:paraId="15431C51" w14:textId="77777777" w:rsidR="004005AF" w:rsidRPr="00EF7CF9" w:rsidRDefault="004005AF" w:rsidP="004005AF">
      <w:pPr>
        <w:pStyle w:val="ProductList-Body"/>
        <w:spacing w:after="40"/>
        <w:rPr>
          <w:b/>
          <w:color w:val="00188F"/>
        </w:rPr>
      </w:pPr>
      <w:r>
        <w:t>„</w:t>
      </w:r>
      <w:r>
        <w:rPr>
          <w:b/>
          <w:color w:val="00188F"/>
        </w:rPr>
        <w:t>Żądania API Zakończone Niepowodzeniem</w:t>
      </w:r>
      <w:r>
        <w:t xml:space="preserve">” to łączna liczba żądań w ramach Łącznej Liczby Żądań API, które zwracają Kod Błędu albo nie dają odpowiedzi w ciągu dwóch minut. </w:t>
      </w:r>
    </w:p>
    <w:p w14:paraId="4AA21E53" w14:textId="07303613" w:rsidR="004005AF" w:rsidRPr="00EF7CF9" w:rsidRDefault="004005AF" w:rsidP="004005AF">
      <w:pPr>
        <w:pStyle w:val="ProductList-Body"/>
        <w:spacing w:after="40"/>
        <w:rPr>
          <w:lang w:eastAsia="zh-TW"/>
        </w:rPr>
      </w:pPr>
      <w:r>
        <w:t>„</w:t>
      </w:r>
      <w:r>
        <w:rPr>
          <w:b/>
          <w:color w:val="00188F"/>
        </w:rPr>
        <w:t>Procent Czasu Sprawnego Działania</w:t>
      </w:r>
      <w:r>
        <w:t>” jest obliczany jako Łączna liczba Żądań API pomniejszona o Żądania API Zakończone Niepowodzeniem podzielona przez Łączną Liczbę Żądań API pomnożona przez 100.</w:t>
      </w:r>
    </w:p>
    <w:p w14:paraId="6131C33A" w14:textId="453EBD0A" w:rsidR="004005AF" w:rsidRPr="00963F40" w:rsidRDefault="00AC48A7" w:rsidP="004005AF">
      <w:pPr>
        <w:pStyle w:val="ProductList-Body"/>
      </w:pPr>
      <w:r>
        <w:rPr>
          <w:b/>
          <w:color w:val="00188F"/>
        </w:rPr>
        <w:t>Procent Czasu Sprawnego Działania</w:t>
      </w:r>
      <w:r w:rsidRPr="007B038A">
        <w:rPr>
          <w:b/>
          <w:color w:val="00188F"/>
        </w:rPr>
        <w:t>:</w:t>
      </w:r>
      <w:r>
        <w:rPr>
          <w:b/>
          <w:color w:val="00188F"/>
        </w:rPr>
        <w:t xml:space="preserve"> </w:t>
      </w:r>
      <w:r>
        <w:t xml:space="preserve">Procent Czasu Sprawnego Działania jest obliczany przy użyciu następującego wzoru: </w:t>
      </w:r>
    </w:p>
    <w:p w14:paraId="4D1B6C53" w14:textId="77777777" w:rsidR="004005AF" w:rsidRPr="00963F40" w:rsidRDefault="004005AF" w:rsidP="004005AF">
      <w:pPr>
        <w:pStyle w:val="ProductList-Body"/>
      </w:pPr>
    </w:p>
    <w:p w14:paraId="30178757" w14:textId="200D2AC9" w:rsidR="004005AF" w:rsidRPr="00EF7CF9" w:rsidRDefault="00000000" w:rsidP="004005AF">
      <w:pPr>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Żądań API — Nieudane Żądania API</m:t>
              </m:r>
            </m:num>
            <m:den>
              <m:r>
                <m:rPr>
                  <m:nor/>
                </m:rPr>
                <w:rPr>
                  <w:rFonts w:ascii="Cambria Math" w:hAnsi="Cambria Math" w:cs="Tahoma"/>
                  <w:i/>
                  <w:sz w:val="18"/>
                  <w:szCs w:val="18"/>
                </w:rPr>
                <m:t>Łączna Liczba Żądań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1AFF09F" w14:textId="77777777" w:rsidR="004005AF" w:rsidRPr="00EF7CF9" w:rsidRDefault="004005AF" w:rsidP="00BE3C8C">
      <w:pPr>
        <w:spacing w:after="0" w:line="240" w:lineRule="auto"/>
        <w:rPr>
          <w:rFonts w:eastAsiaTheme="minorEastAsia"/>
          <w:sz w:val="18"/>
          <w:szCs w:val="18"/>
          <w:lang w:eastAsia="zh-TW"/>
        </w:rPr>
      </w:pPr>
      <w:r>
        <w:rPr>
          <w:rFonts w:eastAsiaTheme="minorEastAsia"/>
          <w:sz w:val="18"/>
          <w:szCs w:val="18"/>
        </w:rPr>
        <w:t xml:space="preserve">Do używania przez Klienta Kanałów Premium Usług </w:t>
      </w:r>
      <w:proofErr w:type="spellStart"/>
      <w:r>
        <w:rPr>
          <w:rFonts w:eastAsiaTheme="minorEastAsia"/>
          <w:sz w:val="18"/>
          <w:szCs w:val="18"/>
        </w:rPr>
        <w:t>Azure</w:t>
      </w:r>
      <w:proofErr w:type="spellEnd"/>
      <w:r>
        <w:rPr>
          <w:rFonts w:eastAsiaTheme="minorEastAsia"/>
          <w:sz w:val="18"/>
          <w:szCs w:val="18"/>
        </w:rPr>
        <w:t xml:space="preserve"> Bot Services mają zastosowanie następujące Poziomy Usługi i Środki Serwisowe na Używanie Usług:</w:t>
      </w:r>
    </w:p>
    <w:p w14:paraId="25AEB956" w14:textId="77777777" w:rsidR="004005AF" w:rsidRPr="00EF7CF9" w:rsidRDefault="004005AF" w:rsidP="004005AF">
      <w:pPr>
        <w:pStyle w:val="ProductList-Body"/>
      </w:pPr>
      <w:r>
        <w:rPr>
          <w:b/>
          <w:color w:val="00188F"/>
        </w:rPr>
        <w:t>Poziomy Usługi i 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15E3D78" w14:textId="77777777" w:rsidTr="00277097">
        <w:trPr>
          <w:trHeight w:val="249"/>
          <w:tblHeader/>
        </w:trPr>
        <w:tc>
          <w:tcPr>
            <w:tcW w:w="5400" w:type="dxa"/>
            <w:shd w:val="clear" w:color="auto" w:fill="0072C6"/>
          </w:tcPr>
          <w:p w14:paraId="3B08ED36" w14:textId="12E70625"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08109B5"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13BA8188" w14:textId="77777777" w:rsidTr="00277097">
        <w:trPr>
          <w:trHeight w:val="242"/>
        </w:trPr>
        <w:tc>
          <w:tcPr>
            <w:tcW w:w="5400" w:type="dxa"/>
          </w:tcPr>
          <w:p w14:paraId="276900D5" w14:textId="77777777" w:rsidR="004005AF" w:rsidRPr="00EF7CF9" w:rsidRDefault="004005AF" w:rsidP="000F31B4">
            <w:pPr>
              <w:pStyle w:val="ProductList-OfferingBody"/>
              <w:jc w:val="center"/>
            </w:pPr>
            <w:r>
              <w:t>&lt; 99,9%</w:t>
            </w:r>
          </w:p>
        </w:tc>
        <w:tc>
          <w:tcPr>
            <w:tcW w:w="5400" w:type="dxa"/>
          </w:tcPr>
          <w:p w14:paraId="0251B5DD" w14:textId="77777777" w:rsidR="004005AF" w:rsidRPr="00EF7CF9" w:rsidRDefault="004005AF" w:rsidP="000F31B4">
            <w:pPr>
              <w:pStyle w:val="ProductList-OfferingBody"/>
              <w:jc w:val="center"/>
            </w:pPr>
            <w:r>
              <w:t>10%</w:t>
            </w:r>
          </w:p>
        </w:tc>
      </w:tr>
      <w:tr w:rsidR="004005AF" w:rsidRPr="00B44CF9" w14:paraId="2315DB39" w14:textId="77777777" w:rsidTr="00277097">
        <w:trPr>
          <w:trHeight w:val="249"/>
        </w:trPr>
        <w:tc>
          <w:tcPr>
            <w:tcW w:w="5400" w:type="dxa"/>
          </w:tcPr>
          <w:p w14:paraId="7507F242" w14:textId="77777777" w:rsidR="004005AF" w:rsidRPr="00EF7CF9" w:rsidRDefault="004005AF" w:rsidP="000F31B4">
            <w:pPr>
              <w:pStyle w:val="ProductList-OfferingBody"/>
              <w:jc w:val="center"/>
            </w:pPr>
            <w:r>
              <w:t>&lt; 99%</w:t>
            </w:r>
          </w:p>
        </w:tc>
        <w:tc>
          <w:tcPr>
            <w:tcW w:w="5400" w:type="dxa"/>
          </w:tcPr>
          <w:p w14:paraId="4CE5B321" w14:textId="77777777" w:rsidR="004005AF" w:rsidRPr="00EF7CF9" w:rsidRDefault="004005AF" w:rsidP="000F31B4">
            <w:pPr>
              <w:pStyle w:val="ProductList-OfferingBody"/>
              <w:jc w:val="center"/>
            </w:pPr>
            <w:r>
              <w:t>25%</w:t>
            </w:r>
          </w:p>
        </w:tc>
      </w:tr>
    </w:tbl>
    <w:bookmarkStart w:id="163" w:name="_Toc513395508"/>
    <w:bookmarkStart w:id="164" w:name="_Hlk513540036"/>
    <w:p w14:paraId="1887D235" w14:textId="331DBFF3"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69CFF11" w14:textId="77777777" w:rsidR="0004685C" w:rsidRPr="00EF7CF9" w:rsidRDefault="0004685C" w:rsidP="0004685C">
      <w:pPr>
        <w:pStyle w:val="ProductList-Offering2Heading"/>
        <w:keepNext/>
        <w:tabs>
          <w:tab w:val="clear" w:pos="360"/>
          <w:tab w:val="clear" w:pos="720"/>
          <w:tab w:val="clear" w:pos="1080"/>
        </w:tabs>
        <w:outlineLvl w:val="2"/>
      </w:pPr>
      <w:bookmarkStart w:id="165" w:name="_Toc457821543"/>
      <w:bookmarkStart w:id="166" w:name="_Toc52348944"/>
      <w:bookmarkStart w:id="167" w:name="_Toc239174972"/>
      <w:bookmarkStart w:id="168" w:name="_Toc52348925"/>
      <w:proofErr w:type="spellStart"/>
      <w:r>
        <w:t>Azure</w:t>
      </w:r>
      <w:proofErr w:type="spellEnd"/>
      <w:r>
        <w:t xml:space="preserve"> Cache </w:t>
      </w:r>
      <w:bookmarkEnd w:id="165"/>
      <w:bookmarkEnd w:id="166"/>
      <w:r>
        <w:t xml:space="preserve">for </w:t>
      </w:r>
      <w:proofErr w:type="spellStart"/>
      <w:r>
        <w:t>Redis</w:t>
      </w:r>
      <w:bookmarkEnd w:id="167"/>
      <w:proofErr w:type="spellEnd"/>
    </w:p>
    <w:p w14:paraId="2FF228B6" w14:textId="77777777" w:rsidR="0004685C" w:rsidRPr="00EF7CF9" w:rsidRDefault="0004685C" w:rsidP="0004685C">
      <w:pPr>
        <w:pStyle w:val="ProductList-Body"/>
        <w:rPr>
          <w:b/>
          <w:color w:val="00188F"/>
        </w:rPr>
      </w:pPr>
      <w:r>
        <w:rPr>
          <w:b/>
          <w:color w:val="00188F"/>
        </w:rPr>
        <w:t>Dodatkowe definicje</w:t>
      </w:r>
      <w:r w:rsidRPr="007B038A">
        <w:rPr>
          <w:b/>
          <w:color w:val="00188F"/>
        </w:rPr>
        <w:t>:</w:t>
      </w:r>
    </w:p>
    <w:p w14:paraId="7810996B" w14:textId="77777777" w:rsidR="0004685C" w:rsidRPr="00EF7CF9" w:rsidRDefault="0004685C" w:rsidP="006F4191">
      <w:pPr>
        <w:pStyle w:val="ProductList-Body"/>
      </w:pPr>
      <w:r>
        <w:t>„</w:t>
      </w:r>
      <w:r>
        <w:rPr>
          <w:b/>
          <w:color w:val="00188F"/>
        </w:rPr>
        <w:t>Pamięć Podręczna</w:t>
      </w:r>
      <w:r>
        <w:t>” to utworzone przez Klienta wdrożenie usługi Cache Service, gdzie Punkty Końcowe Pamięci Podręcznej są wymienione na karcie Pamięć Podręczna w Portalu Zarządzania.</w:t>
      </w:r>
    </w:p>
    <w:p w14:paraId="2FDA8CC4" w14:textId="77777777" w:rsidR="0004685C" w:rsidRPr="00EF7CF9" w:rsidRDefault="0004685C" w:rsidP="006F4191">
      <w:pPr>
        <w:pStyle w:val="ProductList-Body"/>
      </w:pPr>
      <w:r>
        <w:t>„</w:t>
      </w:r>
      <w:r>
        <w:rPr>
          <w:b/>
          <w:color w:val="00188F"/>
        </w:rPr>
        <w:t>Punkty Końcowe Pamięci Podręcznej</w:t>
      </w:r>
      <w:r>
        <w:t>” to punkty końcowe, za pośrednictwem których można uzyskać dostęp do Pamięci Podręcznej.</w:t>
      </w:r>
    </w:p>
    <w:p w14:paraId="6E570E72" w14:textId="77777777" w:rsidR="0004685C" w:rsidRPr="00ED4527" w:rsidRDefault="0004685C" w:rsidP="006F4191">
      <w:pPr>
        <w:pStyle w:val="ProductList-Body"/>
        <w:rPr>
          <w:color w:val="000000" w:themeColor="text1"/>
        </w:rPr>
      </w:pPr>
      <w:r>
        <w:rPr>
          <w:color w:val="000000" w:themeColor="text1"/>
        </w:rPr>
        <w:t>„</w:t>
      </w:r>
      <w:r>
        <w:rPr>
          <w:b/>
          <w:bCs/>
          <w:color w:val="00188F"/>
        </w:rPr>
        <w:t>Strefa Dostępności</w:t>
      </w:r>
      <w:r>
        <w:rPr>
          <w:color w:val="000000" w:themeColor="text1"/>
        </w:rPr>
        <w:t xml:space="preserve">” to bezawaryjny obszar w regionie </w:t>
      </w:r>
      <w:proofErr w:type="spellStart"/>
      <w:r>
        <w:rPr>
          <w:color w:val="000000" w:themeColor="text1"/>
        </w:rPr>
        <w:t>Azure</w:t>
      </w:r>
      <w:proofErr w:type="spellEnd"/>
      <w:r>
        <w:rPr>
          <w:color w:val="000000" w:themeColor="text1"/>
        </w:rPr>
        <w:t xml:space="preserve"> zapewniający nadmiarowe zasilanie, chłodzenie i funkcje sieciowe.</w:t>
      </w:r>
    </w:p>
    <w:p w14:paraId="1CD2240D" w14:textId="43E3874B" w:rsidR="0004685C" w:rsidRPr="00ED4527" w:rsidRDefault="00EE6E3C" w:rsidP="006F4191">
      <w:pPr>
        <w:pStyle w:val="ProductList-Body"/>
        <w:spacing w:before="120"/>
        <w:rPr>
          <w:b/>
          <w:bCs/>
          <w:color w:val="00188F"/>
        </w:rPr>
      </w:pPr>
      <w:r>
        <w:rPr>
          <w:b/>
          <w:bCs/>
          <w:color w:val="00188F"/>
        </w:rPr>
        <w:t>Obliczanie Czasu Sprawnego Działania i Poziomy Usługi dla Usługi Pamięci Podręcznej</w:t>
      </w:r>
    </w:p>
    <w:p w14:paraId="44BDCB48" w14:textId="0ACA1786" w:rsidR="0004685C" w:rsidRPr="00EF7CF9" w:rsidRDefault="0004685C" w:rsidP="0004685C">
      <w:pPr>
        <w:pStyle w:val="ProductList-Body"/>
        <w:spacing w:after="40"/>
      </w:pPr>
      <w:r>
        <w:t>„</w:t>
      </w:r>
      <w:r>
        <w:rPr>
          <w:b/>
          <w:color w:val="00188F"/>
        </w:rPr>
        <w:t>Minuty Wdrożenia</w:t>
      </w:r>
      <w:r>
        <w:t xml:space="preserve">” to łączna liczba minut, przez które dana Usługa Pamięci Podręcznej została wdrożona na platformie Microsoft </w:t>
      </w:r>
      <w:proofErr w:type="spellStart"/>
      <w:r>
        <w:t>Azure</w:t>
      </w:r>
      <w:proofErr w:type="spellEnd"/>
      <w:r>
        <w:t xml:space="preserve"> we Właściwym Okresie.</w:t>
      </w:r>
    </w:p>
    <w:p w14:paraId="402C6AB7" w14:textId="05F529E7" w:rsidR="0004685C" w:rsidRPr="00EF7CF9" w:rsidRDefault="0004685C" w:rsidP="0004685C">
      <w:pPr>
        <w:pStyle w:val="ProductList-Body"/>
      </w:pPr>
      <w:r>
        <w:t>„</w:t>
      </w:r>
      <w:r>
        <w:rPr>
          <w:b/>
          <w:color w:val="00188F"/>
        </w:rPr>
        <w:t>Maksymalna Liczba Dostępnych Minut</w:t>
      </w:r>
      <w:r>
        <w:t xml:space="preserve">” to suma wszystkich Minut Wdrożenia we wszystkich Pamięciach Podręcznych wdrożonych przez użytkownika w ramach danej subskrypcji Microsoft </w:t>
      </w:r>
      <w:proofErr w:type="spellStart"/>
      <w:r>
        <w:t>Azure</w:t>
      </w:r>
      <w:proofErr w:type="spellEnd"/>
      <w:r>
        <w:t xml:space="preserve"> we Właściwym.</w:t>
      </w:r>
    </w:p>
    <w:p w14:paraId="0306B4FE" w14:textId="77777777" w:rsidR="0004685C" w:rsidRPr="00EF7CF9" w:rsidRDefault="0004685C" w:rsidP="0004685C">
      <w:pPr>
        <w:pStyle w:val="ProductList-Body"/>
      </w:pPr>
      <w:r>
        <w:rPr>
          <w:b/>
          <w:color w:val="00188F"/>
        </w:rPr>
        <w:t>Przestój</w:t>
      </w:r>
      <w:r w:rsidRPr="007B038A">
        <w:rPr>
          <w:b/>
          <w:color w:val="00188F"/>
        </w:rPr>
        <w:t>:</w:t>
      </w:r>
      <w:r>
        <w:t xml:space="preserve"> to łączna zakumulowana liczba Minut Wdrożenia dla wszystkich Pamięci Podręcznych wdrożonych przez Klienta w ramach danej subskrypcji Microsoft </w:t>
      </w:r>
      <w:proofErr w:type="spellStart"/>
      <w:r>
        <w:t>Azure</w:t>
      </w:r>
      <w:proofErr w:type="spellEnd"/>
      <w:r>
        <w:t>, podczas których Pamięć Podręczna jest niedostępna. Minuta jest uznawana za minutę niedostępności dla danej Pamięci Podręcznej, gdy przez całą taką minutę nie ma łączności między co najmniej jednym Punktem Końcowym Pamięci Podręcznej powiązanym z daną Pamięcią Podręczną a bramą internetową Microsoft.</w:t>
      </w:r>
    </w:p>
    <w:p w14:paraId="335A24D4" w14:textId="45DAE971" w:rsidR="0004685C" w:rsidRPr="00EF7CF9" w:rsidRDefault="00AC48A7" w:rsidP="0004685C">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527C77E4" w14:textId="342F14A5" w:rsidR="0004685C" w:rsidRPr="00EF7CF9" w:rsidRDefault="00000000" w:rsidP="002954D1">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C1042BE" w14:textId="77777777" w:rsidR="0004685C" w:rsidRPr="00EF7CF9" w:rsidRDefault="0004685C" w:rsidP="0004685C">
      <w:pPr>
        <w:pStyle w:val="ProductList-Body"/>
      </w:pPr>
      <w:r w:rsidRPr="005E22D9">
        <w:rPr>
          <w:b/>
          <w:color w:val="00188F"/>
        </w:rPr>
        <w:t>Poziomy Usług i Środki Serwisowe na Używanie Usług mające zastosowanie do używania przez Klienta usługi Cache Service różnią się w zależności od warunków i warstwy wdrożenia usługi Cache Service.</w:t>
      </w:r>
      <w:r>
        <w:rPr>
          <w:b/>
          <w:color w:val="00188F"/>
        </w:rPr>
        <w:t xml:space="preserve"> </w:t>
      </w:r>
      <w:r>
        <w:t xml:space="preserve">O ile powyżej nie określono inaczej, do używania przez Klienta usługi Cache Service, co obejmuje usługę </w:t>
      </w:r>
      <w:proofErr w:type="spellStart"/>
      <w:r>
        <w:t>Azure</w:t>
      </w:r>
      <w:proofErr w:type="spellEnd"/>
      <w:r>
        <w:t xml:space="preserve"> </w:t>
      </w:r>
      <w:proofErr w:type="spellStart"/>
      <w:r>
        <w:t>Managed</w:t>
      </w:r>
      <w:proofErr w:type="spellEnd"/>
      <w:r>
        <w:t xml:space="preserve"> Cache Service lub warstwy Standardowa, Premium, Enterprise i Enterprise Flash usługi </w:t>
      </w:r>
      <w:proofErr w:type="spellStart"/>
      <w:r>
        <w:t>Azure</w:t>
      </w:r>
      <w:proofErr w:type="spellEnd"/>
      <w:r>
        <w:t xml:space="preserve"> Cache for </w:t>
      </w:r>
      <w:proofErr w:type="spellStart"/>
      <w:r>
        <w:t>Redis</w:t>
      </w:r>
      <w:proofErr w:type="spellEnd"/>
      <w:r>
        <w:t xml:space="preserve"> mają zastosowanie następujące Poziomy Usług i Środki Serwisowe na Używanie Usług. Warstwa Podstawowa usługi </w:t>
      </w:r>
      <w:proofErr w:type="spellStart"/>
      <w:r>
        <w:t>Azure</w:t>
      </w:r>
      <w:proofErr w:type="spellEnd"/>
      <w:r>
        <w:t xml:space="preserve"> Cache for </w:t>
      </w:r>
      <w:proofErr w:type="spellStart"/>
      <w:r>
        <w:t>Redis</w:t>
      </w:r>
      <w:proofErr w:type="spellEnd"/>
      <w:r>
        <w:t xml:space="preserve"> Cache nie podlega niniejszej umowie SLA.</w:t>
      </w:r>
    </w:p>
    <w:p w14:paraId="66DD2F7D" w14:textId="77777777" w:rsidR="0004685C" w:rsidRPr="00EF7CF9" w:rsidRDefault="0004685C" w:rsidP="0004685C">
      <w:pPr>
        <w:pStyle w:val="ProductList-Body"/>
        <w:spacing w:before="120"/>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65D8946E" w14:textId="77777777" w:rsidTr="00D76F8C">
        <w:trPr>
          <w:tblHeader/>
        </w:trPr>
        <w:tc>
          <w:tcPr>
            <w:tcW w:w="5400" w:type="dxa"/>
            <w:shd w:val="clear" w:color="auto" w:fill="0072C6"/>
          </w:tcPr>
          <w:p w14:paraId="4E73BEA7" w14:textId="2C26D191" w:rsidR="0004685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965EA41" w14:textId="77777777" w:rsidR="0004685C" w:rsidRPr="00EF7CF9" w:rsidRDefault="0004685C" w:rsidP="000F31B4">
            <w:pPr>
              <w:pStyle w:val="ProductList-OfferingBody"/>
              <w:jc w:val="center"/>
              <w:rPr>
                <w:color w:val="FFFFFF" w:themeColor="background1"/>
              </w:rPr>
            </w:pPr>
            <w:r>
              <w:rPr>
                <w:color w:val="FFFFFF" w:themeColor="background1"/>
              </w:rPr>
              <w:t>Środki Serwisowe na Używanie Usług</w:t>
            </w:r>
          </w:p>
        </w:tc>
      </w:tr>
      <w:tr w:rsidR="0004685C" w:rsidRPr="00B44CF9" w14:paraId="18EDDD48" w14:textId="77777777" w:rsidTr="00D76F8C">
        <w:trPr>
          <w:tblHeader/>
        </w:trPr>
        <w:tc>
          <w:tcPr>
            <w:tcW w:w="5400" w:type="dxa"/>
          </w:tcPr>
          <w:p w14:paraId="40C3317A" w14:textId="77777777" w:rsidR="0004685C" w:rsidRPr="00EF7CF9" w:rsidRDefault="0004685C" w:rsidP="000F31B4">
            <w:pPr>
              <w:pStyle w:val="ProductList-OfferingBody"/>
              <w:jc w:val="center"/>
            </w:pPr>
            <w:r>
              <w:t>&lt; 99,9%</w:t>
            </w:r>
          </w:p>
        </w:tc>
        <w:tc>
          <w:tcPr>
            <w:tcW w:w="5400" w:type="dxa"/>
          </w:tcPr>
          <w:p w14:paraId="1B4DF648" w14:textId="77777777" w:rsidR="0004685C" w:rsidRPr="00EF7CF9" w:rsidRDefault="0004685C" w:rsidP="000F31B4">
            <w:pPr>
              <w:pStyle w:val="ProductList-OfferingBody"/>
              <w:jc w:val="center"/>
            </w:pPr>
            <w:r>
              <w:t>10%</w:t>
            </w:r>
          </w:p>
        </w:tc>
      </w:tr>
      <w:tr w:rsidR="0004685C" w:rsidRPr="00B44CF9" w14:paraId="0D7DFA4E" w14:textId="77777777" w:rsidTr="00D76F8C">
        <w:trPr>
          <w:tblHeader/>
        </w:trPr>
        <w:tc>
          <w:tcPr>
            <w:tcW w:w="5400" w:type="dxa"/>
          </w:tcPr>
          <w:p w14:paraId="784EE4AD" w14:textId="77777777" w:rsidR="0004685C" w:rsidRPr="00EF7CF9" w:rsidRDefault="0004685C" w:rsidP="000F31B4">
            <w:pPr>
              <w:pStyle w:val="ProductList-OfferingBody"/>
              <w:jc w:val="center"/>
            </w:pPr>
            <w:r>
              <w:t>&lt; 99%</w:t>
            </w:r>
          </w:p>
        </w:tc>
        <w:tc>
          <w:tcPr>
            <w:tcW w:w="5400" w:type="dxa"/>
          </w:tcPr>
          <w:p w14:paraId="05A7B2AB" w14:textId="77777777" w:rsidR="0004685C" w:rsidRPr="00EF7CF9" w:rsidRDefault="0004685C" w:rsidP="000F31B4">
            <w:pPr>
              <w:pStyle w:val="ProductList-OfferingBody"/>
              <w:jc w:val="center"/>
            </w:pPr>
            <w:r>
              <w:t>25%</w:t>
            </w:r>
          </w:p>
        </w:tc>
      </w:tr>
    </w:tbl>
    <w:p w14:paraId="34F82DF2" w14:textId="77777777" w:rsidR="0004685C" w:rsidRPr="006F4191" w:rsidRDefault="0004685C" w:rsidP="0004685C">
      <w:pPr>
        <w:pStyle w:val="ProductList-Body"/>
        <w:rPr>
          <w:sz w:val="12"/>
          <w:szCs w:val="12"/>
        </w:rPr>
      </w:pPr>
    </w:p>
    <w:p w14:paraId="30076BD1" w14:textId="77777777" w:rsidR="0004685C" w:rsidRPr="0007784F" w:rsidRDefault="0004685C" w:rsidP="0004685C">
      <w:pPr>
        <w:pStyle w:val="ProductList-Body"/>
        <w:rPr>
          <w:spacing w:val="-2"/>
        </w:rPr>
      </w:pPr>
      <w:r w:rsidRPr="0007784F">
        <w:rPr>
          <w:b/>
          <w:color w:val="00188F"/>
          <w:spacing w:val="-2"/>
        </w:rPr>
        <w:t xml:space="preserve">W przypadku każdej Pamięci Podręcznej w warstwie Enterprise lub Enterprise Flash wdrożonej w co najmniej trzech Strefach Dostępności w tym samym regionie </w:t>
      </w:r>
      <w:proofErr w:type="spellStart"/>
      <w:r w:rsidRPr="0007784F">
        <w:rPr>
          <w:b/>
          <w:color w:val="00188F"/>
          <w:spacing w:val="-2"/>
        </w:rPr>
        <w:t>Azure</w:t>
      </w:r>
      <w:proofErr w:type="spellEnd"/>
      <w:r w:rsidRPr="0007784F">
        <w:rPr>
          <w:b/>
          <w:color w:val="00188F"/>
          <w:spacing w:val="-2"/>
        </w:rPr>
        <w:t>, do używania przez Klienta usługi Cache Service zastosowanie mają następujące Poziomy Usług i 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26A697C5" w14:textId="77777777" w:rsidTr="00277097">
        <w:trPr>
          <w:tblHeader/>
        </w:trPr>
        <w:tc>
          <w:tcPr>
            <w:tcW w:w="5400" w:type="dxa"/>
            <w:shd w:val="clear" w:color="auto" w:fill="0072C6"/>
          </w:tcPr>
          <w:p w14:paraId="27BFEEAB" w14:textId="684266B0" w:rsidR="0004685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933E360" w14:textId="77777777" w:rsidR="0004685C" w:rsidRPr="00EF7CF9" w:rsidRDefault="0004685C" w:rsidP="000F31B4">
            <w:pPr>
              <w:pStyle w:val="ProductList-OfferingBody"/>
              <w:jc w:val="center"/>
              <w:rPr>
                <w:color w:val="FFFFFF" w:themeColor="background1"/>
              </w:rPr>
            </w:pPr>
            <w:r>
              <w:rPr>
                <w:color w:val="FFFFFF" w:themeColor="background1"/>
              </w:rPr>
              <w:t>Środki Serwisowe na Używanie Usług</w:t>
            </w:r>
          </w:p>
        </w:tc>
      </w:tr>
      <w:tr w:rsidR="0004685C" w:rsidRPr="00B44CF9" w14:paraId="3979DA8B" w14:textId="77777777" w:rsidTr="00277097">
        <w:tc>
          <w:tcPr>
            <w:tcW w:w="5400" w:type="dxa"/>
          </w:tcPr>
          <w:p w14:paraId="60191564" w14:textId="77777777" w:rsidR="0004685C" w:rsidRPr="00EF7CF9" w:rsidRDefault="0004685C" w:rsidP="000F31B4">
            <w:pPr>
              <w:pStyle w:val="ProductList-OfferingBody"/>
              <w:jc w:val="center"/>
            </w:pPr>
            <w:r>
              <w:t>&lt; 99,99%</w:t>
            </w:r>
          </w:p>
        </w:tc>
        <w:tc>
          <w:tcPr>
            <w:tcW w:w="5400" w:type="dxa"/>
          </w:tcPr>
          <w:p w14:paraId="3D567957" w14:textId="77777777" w:rsidR="0004685C" w:rsidRPr="00EF7CF9" w:rsidRDefault="0004685C" w:rsidP="000F31B4">
            <w:pPr>
              <w:pStyle w:val="ProductList-OfferingBody"/>
              <w:jc w:val="center"/>
            </w:pPr>
            <w:r>
              <w:t>10%</w:t>
            </w:r>
          </w:p>
        </w:tc>
      </w:tr>
      <w:tr w:rsidR="0004685C" w:rsidRPr="00B44CF9" w14:paraId="40F64B81" w14:textId="77777777" w:rsidTr="00277097">
        <w:tc>
          <w:tcPr>
            <w:tcW w:w="5400" w:type="dxa"/>
          </w:tcPr>
          <w:p w14:paraId="12C1DB78" w14:textId="77777777" w:rsidR="0004685C" w:rsidRPr="00EF7CF9" w:rsidRDefault="0004685C" w:rsidP="000F31B4">
            <w:pPr>
              <w:pStyle w:val="ProductList-OfferingBody"/>
              <w:jc w:val="center"/>
            </w:pPr>
            <w:r>
              <w:t>&lt; 99%</w:t>
            </w:r>
          </w:p>
        </w:tc>
        <w:tc>
          <w:tcPr>
            <w:tcW w:w="5400" w:type="dxa"/>
          </w:tcPr>
          <w:p w14:paraId="320D3D52" w14:textId="77777777" w:rsidR="0004685C" w:rsidRPr="00EF7CF9" w:rsidRDefault="0004685C" w:rsidP="000F31B4">
            <w:pPr>
              <w:pStyle w:val="ProductList-OfferingBody"/>
              <w:jc w:val="center"/>
            </w:pPr>
            <w:r>
              <w:t>25%</w:t>
            </w:r>
          </w:p>
        </w:tc>
      </w:tr>
    </w:tbl>
    <w:p w14:paraId="43BB701A" w14:textId="77777777" w:rsidR="0004685C" w:rsidRPr="006F4191" w:rsidRDefault="0004685C" w:rsidP="0004685C">
      <w:pPr>
        <w:pStyle w:val="ProductList-Body"/>
        <w:rPr>
          <w:sz w:val="12"/>
          <w:szCs w:val="12"/>
        </w:rPr>
      </w:pPr>
    </w:p>
    <w:p w14:paraId="08C85FED" w14:textId="77777777" w:rsidR="0004685C" w:rsidRPr="00EF7CF9" w:rsidRDefault="0004685C" w:rsidP="0004685C">
      <w:pPr>
        <w:pStyle w:val="ProductList-Body"/>
      </w:pPr>
      <w:r>
        <w:rPr>
          <w:b/>
          <w:color w:val="00188F"/>
        </w:rPr>
        <w:t xml:space="preserve">W przypadku każdej Pamięci Podręcznej w warstwie Enterprise i Enterprise Flash (1) wdrożonej w co najmniej trzech regionach świadczenia usługi </w:t>
      </w:r>
      <w:proofErr w:type="spellStart"/>
      <w:r>
        <w:rPr>
          <w:b/>
          <w:color w:val="00188F"/>
        </w:rPr>
        <w:t>Azure</w:t>
      </w:r>
      <w:proofErr w:type="spellEnd"/>
      <w:r>
        <w:rPr>
          <w:b/>
          <w:color w:val="00188F"/>
        </w:rPr>
        <w:t xml:space="preserve"> i co najmniej trzech Strefach Dostępności w każdym z tych regionów oraz (2) z włączoną aktywną replikacją geograficzną dla wszystkich wystąpień Pamięci Podręcznej, gdy aktywna funkcja replikacji geograficznej jest włączona i ogólnie dostępna (tj. nie jest w wersji zapoznawczej), następujące Poziomy Usługi i Środki Serwisowe na Używanie Usług mogą być wykorzystane przez klienta z Usługi Pamięci Podręcznej:</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685C" w:rsidRPr="00B44CF9" w14:paraId="1A173676" w14:textId="77777777" w:rsidTr="00277097">
        <w:trPr>
          <w:tblHeader/>
        </w:trPr>
        <w:tc>
          <w:tcPr>
            <w:tcW w:w="5400" w:type="dxa"/>
            <w:shd w:val="clear" w:color="auto" w:fill="0072C6"/>
          </w:tcPr>
          <w:p w14:paraId="0A14CFB5" w14:textId="566A64EC" w:rsidR="0004685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B71069A" w14:textId="77777777" w:rsidR="0004685C" w:rsidRPr="00EF7CF9" w:rsidRDefault="0004685C" w:rsidP="000F31B4">
            <w:pPr>
              <w:pStyle w:val="ProductList-OfferingBody"/>
              <w:jc w:val="center"/>
              <w:rPr>
                <w:color w:val="FFFFFF" w:themeColor="background1"/>
              </w:rPr>
            </w:pPr>
            <w:r>
              <w:rPr>
                <w:color w:val="FFFFFF" w:themeColor="background1"/>
              </w:rPr>
              <w:t>Środki Serwisowe na Używanie Usług</w:t>
            </w:r>
          </w:p>
        </w:tc>
      </w:tr>
      <w:tr w:rsidR="0004685C" w:rsidRPr="00B44CF9" w14:paraId="4F2056B6" w14:textId="77777777" w:rsidTr="00277097">
        <w:tc>
          <w:tcPr>
            <w:tcW w:w="5400" w:type="dxa"/>
          </w:tcPr>
          <w:p w14:paraId="079111A8" w14:textId="77777777" w:rsidR="0004685C" w:rsidRPr="00EF7CF9" w:rsidRDefault="0004685C" w:rsidP="000F31B4">
            <w:pPr>
              <w:pStyle w:val="ProductList-OfferingBody"/>
              <w:jc w:val="center"/>
            </w:pPr>
            <w:r>
              <w:t>&lt; 99,999%</w:t>
            </w:r>
          </w:p>
        </w:tc>
        <w:tc>
          <w:tcPr>
            <w:tcW w:w="5400" w:type="dxa"/>
          </w:tcPr>
          <w:p w14:paraId="635F03C4" w14:textId="77777777" w:rsidR="0004685C" w:rsidRPr="00EF7CF9" w:rsidRDefault="0004685C" w:rsidP="000F31B4">
            <w:pPr>
              <w:pStyle w:val="ProductList-OfferingBody"/>
              <w:jc w:val="center"/>
            </w:pPr>
            <w:r>
              <w:t>10%</w:t>
            </w:r>
          </w:p>
        </w:tc>
      </w:tr>
      <w:tr w:rsidR="0004685C" w:rsidRPr="00B44CF9" w14:paraId="42F045DD" w14:textId="77777777" w:rsidTr="00277097">
        <w:tc>
          <w:tcPr>
            <w:tcW w:w="5400" w:type="dxa"/>
          </w:tcPr>
          <w:p w14:paraId="26AB5C29" w14:textId="77777777" w:rsidR="0004685C" w:rsidRPr="00EF7CF9" w:rsidRDefault="0004685C" w:rsidP="000F31B4">
            <w:pPr>
              <w:pStyle w:val="ProductList-OfferingBody"/>
              <w:jc w:val="center"/>
            </w:pPr>
            <w:r>
              <w:t>&lt; 99%</w:t>
            </w:r>
          </w:p>
        </w:tc>
        <w:tc>
          <w:tcPr>
            <w:tcW w:w="5400" w:type="dxa"/>
          </w:tcPr>
          <w:p w14:paraId="16FB54C8" w14:textId="77777777" w:rsidR="0004685C" w:rsidRPr="00EF7CF9" w:rsidRDefault="0004685C" w:rsidP="000F31B4">
            <w:pPr>
              <w:pStyle w:val="ProductList-OfferingBody"/>
              <w:jc w:val="center"/>
            </w:pPr>
            <w:r>
              <w:t>25%</w:t>
            </w:r>
          </w:p>
        </w:tc>
      </w:tr>
    </w:tbl>
    <w:bookmarkStart w:id="169" w:name="_Toc457821544"/>
    <w:p w14:paraId="16B4F486" w14:textId="3F13D88A" w:rsidR="0004685C" w:rsidRPr="00EF7CF9" w:rsidRDefault="00C71F89" w:rsidP="00046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7A1B8841" w14:textId="77777777" w:rsidR="002954D1" w:rsidRDefault="002954D1">
      <w:pPr>
        <w:rPr>
          <w:rFonts w:ascii="Calibri Light" w:hAnsi="Calibri Light" w:cs="Calibri Light"/>
          <w:b/>
          <w:color w:val="0072C6"/>
          <w:sz w:val="28"/>
        </w:rPr>
      </w:pPr>
      <w:bookmarkStart w:id="170" w:name="_Toc230011385"/>
      <w:bookmarkStart w:id="171" w:name="_Toc52348946"/>
      <w:bookmarkEnd w:id="169"/>
      <w:r>
        <w:rPr>
          <w:rFonts w:ascii="Calibri Light" w:hAnsi="Calibri Light" w:cs="Calibri Light"/>
        </w:rPr>
        <w:br w:type="page"/>
      </w:r>
    </w:p>
    <w:p w14:paraId="308E5A78" w14:textId="444A86A0" w:rsidR="003B2009" w:rsidRPr="00FC1992" w:rsidRDefault="003B2009" w:rsidP="003B2009">
      <w:pPr>
        <w:pStyle w:val="ProductList-Offering2Heading"/>
        <w:keepNext/>
        <w:tabs>
          <w:tab w:val="clear" w:pos="360"/>
          <w:tab w:val="clear" w:pos="720"/>
          <w:tab w:val="clear" w:pos="1080"/>
        </w:tabs>
        <w:outlineLvl w:val="2"/>
        <w:rPr>
          <w:rFonts w:ascii="Calibri Light" w:hAnsi="Calibri Light" w:cs="Calibri Light"/>
        </w:rPr>
      </w:pPr>
      <w:bookmarkStart w:id="172" w:name="_Toc239174973"/>
      <w:r>
        <w:rPr>
          <w:rFonts w:ascii="Calibri Light" w:hAnsi="Calibri Light" w:cs="Calibri Light"/>
        </w:rPr>
        <w:t>Rezerwacje Mocy Obliczeniowej</w:t>
      </w:r>
      <w:bookmarkEnd w:id="170"/>
      <w:bookmarkEnd w:id="172"/>
    </w:p>
    <w:p w14:paraId="60318243" w14:textId="77777777" w:rsidR="003B2009" w:rsidRPr="00F84ABE" w:rsidRDefault="003B2009" w:rsidP="003B2009">
      <w:pPr>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Arial"/>
          <w:b/>
          <w:color w:val="00188F"/>
          <w:sz w:val="18"/>
        </w:rPr>
        <w:t>Dodatkowe definicje</w:t>
      </w:r>
      <w:r w:rsidRPr="00624A46">
        <w:rPr>
          <w:rFonts w:ascii="Calibri" w:eastAsia="Calibri" w:hAnsi="Calibri" w:cs="Arial"/>
          <w:b/>
          <w:color w:val="00188F"/>
          <w:sz w:val="18"/>
        </w:rPr>
        <w:t>:</w:t>
      </w:r>
    </w:p>
    <w:p w14:paraId="665F27EB"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Rezerwacja Mocy Obliczeniowej</w:t>
      </w:r>
      <w:r>
        <w:rPr>
          <w:rFonts w:ascii="Calibri" w:eastAsia="Calibri" w:hAnsi="Calibri" w:cs="Arial"/>
          <w:sz w:val="18"/>
        </w:rPr>
        <w:t xml:space="preserve"> oznacza rezerwację mocy obliczeniowej na określony czas w regionie świadczenia platformy </w:t>
      </w:r>
      <w:proofErr w:type="spellStart"/>
      <w:r>
        <w:rPr>
          <w:rFonts w:ascii="Calibri" w:eastAsia="Calibri" w:hAnsi="Calibri" w:cs="Arial"/>
          <w:sz w:val="18"/>
        </w:rPr>
        <w:t>Azure</w:t>
      </w:r>
      <w:proofErr w:type="spellEnd"/>
      <w:r>
        <w:rPr>
          <w:rFonts w:ascii="Calibri" w:eastAsia="Calibri" w:hAnsi="Calibri" w:cs="Arial"/>
          <w:sz w:val="18"/>
        </w:rPr>
        <w:t>. </w:t>
      </w:r>
    </w:p>
    <w:p w14:paraId="6B8B4B91"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Dostępna Moc Obliczeniowa</w:t>
      </w:r>
      <w:r>
        <w:rPr>
          <w:rFonts w:ascii="Calibri" w:eastAsia="Calibri" w:hAnsi="Calibri" w:cs="Arial"/>
          <w:sz w:val="18"/>
        </w:rPr>
        <w:t xml:space="preserve"> oznacza część Rezerwacji Mocy Obliczeniowej, która jest skutecznie dostarczona i możliwa do wykorzystania przez Klienta. </w:t>
      </w:r>
    </w:p>
    <w:p w14:paraId="59DEFAC7"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Pełna Moc Obliczeniowa</w:t>
      </w:r>
      <w:r>
        <w:rPr>
          <w:rFonts w:ascii="Calibri" w:eastAsia="Calibri" w:hAnsi="Calibri" w:cs="Arial"/>
          <w:sz w:val="18"/>
        </w:rPr>
        <w:t xml:space="preserve"> oznacza łączną liczbę jednostek mocy obliczeniowej określoną w Rezerwacji Mocy Obliczeniowej. </w:t>
      </w:r>
    </w:p>
    <w:p w14:paraId="5A477CEF"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Właściwy Okres</w:t>
      </w:r>
      <w:r>
        <w:rPr>
          <w:rFonts w:ascii="Calibri" w:eastAsia="Calibri" w:hAnsi="Calibri" w:cs="Arial"/>
          <w:sz w:val="18"/>
        </w:rPr>
        <w:t xml:space="preserve"> oznacza łączny czas Rezerwacji Mocy Obliczeniowej. </w:t>
      </w:r>
    </w:p>
    <w:p w14:paraId="0390B219"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Dostępność Mocy Obliczeniowej</w:t>
      </w:r>
      <w:r>
        <w:rPr>
          <w:rFonts w:ascii="Calibri" w:eastAsia="Calibri" w:hAnsi="Calibri" w:cs="Arial"/>
          <w:sz w:val="18"/>
        </w:rPr>
        <w:t xml:space="preserve"> jest obliczana jako procent Pełnej Mocy Obliczeniowej stanowiący Dostępną Moc Obliczeniową we Właściwym Okresie. </w:t>
      </w:r>
    </w:p>
    <w:p w14:paraId="610D1151"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Przestój Mocy Obliczeniowej</w:t>
      </w:r>
      <w:r>
        <w:rPr>
          <w:rFonts w:ascii="Calibri" w:eastAsia="Calibri" w:hAnsi="Calibri" w:cs="Arial"/>
          <w:sz w:val="18"/>
        </w:rPr>
        <w:t xml:space="preserve"> oznacza dowolny okres, przez który jakakolwiek część Pełnej Mocy Obliczeniowej nie jest dostępna do dostarczenia ani wykorzystania przez Klienta. </w:t>
      </w:r>
    </w:p>
    <w:p w14:paraId="4D5E3F05"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Dostarczenie</w:t>
      </w:r>
      <w:r>
        <w:rPr>
          <w:rFonts w:ascii="Calibri" w:eastAsia="Calibri" w:hAnsi="Calibri" w:cs="Arial"/>
          <w:sz w:val="18"/>
        </w:rPr>
        <w:t xml:space="preserve"> oznacza skuteczne przydzielenie mocy obliczeniowej, która umożliwia Klientowi wdrożenie i uruchamianie zasobów.</w:t>
      </w:r>
    </w:p>
    <w:p w14:paraId="33A4808E"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Obliczanie Czasu Sprawnego Działania</w:t>
      </w:r>
      <w:r w:rsidRPr="00624A46">
        <w:rPr>
          <w:rFonts w:ascii="Calibri" w:eastAsia="Calibri" w:hAnsi="Calibri" w:cs="Arial"/>
          <w:b/>
          <w:color w:val="00188F"/>
          <w:sz w:val="18"/>
        </w:rPr>
        <w:t>:</w:t>
      </w:r>
      <w:r>
        <w:rPr>
          <w:rFonts w:ascii="Calibri" w:eastAsia="Calibri" w:hAnsi="Calibri" w:cs="Arial"/>
          <w:sz w:val="18"/>
        </w:rPr>
        <w:t xml:space="preserve"> </w:t>
      </w:r>
    </w:p>
    <w:p w14:paraId="48E483FA"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Maksymalna Dostępna Moc Obliczeniowa</w:t>
      </w:r>
      <w:r>
        <w:rPr>
          <w:rFonts w:ascii="Calibri" w:eastAsia="Calibri" w:hAnsi="Calibri" w:cs="Arial"/>
          <w:sz w:val="18"/>
        </w:rPr>
        <w:t xml:space="preserve"> to łączna liczba jednostek mocy obliczeniowej zawarta w Rezerwacji Mocy Obliczeniowej we Właściwym Okresie. </w:t>
      </w:r>
    </w:p>
    <w:p w14:paraId="01A7F719"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Przestój Mocy Obliczeniowej</w:t>
      </w:r>
      <w:r>
        <w:rPr>
          <w:rFonts w:ascii="Calibri" w:eastAsia="Calibri" w:hAnsi="Calibri" w:cs="Arial"/>
          <w:sz w:val="18"/>
        </w:rPr>
        <w:t xml:space="preserve"> to łączna zakumulowana liczba jednostek mocy obliczeniowej stanowiąca część Maksymalnej Dostępnej Mocy Obliczeniowej, która nie jest Dostępną Mocą Obliczeniową we Właściwym Okresie.</w:t>
      </w:r>
    </w:p>
    <w:p w14:paraId="23BF356D"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Dostępność Mocy Obliczeniowej</w:t>
      </w:r>
      <w:r>
        <w:rPr>
          <w:rFonts w:ascii="Calibri" w:eastAsia="Calibri" w:hAnsi="Calibri" w:cs="Arial"/>
          <w:sz w:val="18"/>
        </w:rPr>
        <w:t xml:space="preserve"> jest obliczana przez odjęcie Przestoju Mocy Obliczeniowej od Maksymalnej Dostępnej Mocy Obliczeniowej i podzielenie jej przez Maksymalną Dostępną Moc Obliczeniową we Właściwym Okresie. </w:t>
      </w:r>
    </w:p>
    <w:p w14:paraId="79716B0A"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Procent Czasu Sprawnego Działania dla danego Aktywnego Dzierżawcy we Właściwym Okresie jest obliczany przy użyciu następującego wzoru:</w:t>
      </w:r>
    </w:p>
    <w:p w14:paraId="0F245F2D" w14:textId="77777777" w:rsidR="003B2009" w:rsidRPr="004577B2" w:rsidRDefault="00000000" w:rsidP="003B2009">
      <w:pPr>
        <w:spacing w:before="120" w:after="120" w:line="240" w:lineRule="auto"/>
        <w:jc w:val="both"/>
        <w:rPr>
          <w:rFonts w:ascii="Calibri" w:eastAsia="Calibri" w:hAnsi="Calibri" w:cs="Arial"/>
          <w:sz w:val="18"/>
          <w:szCs w:val="18"/>
        </w:rPr>
      </w:pPr>
      <m:oMathPara>
        <m:oMath>
          <m:f>
            <m:fPr>
              <m:ctrlPr>
                <w:rPr>
                  <w:rFonts w:ascii="Cambria Math" w:eastAsia="Calibri" w:hAnsi="Cambria Math" w:cs="Calibri"/>
                  <w:i/>
                  <w:sz w:val="18"/>
                  <w:szCs w:val="18"/>
                </w:rPr>
              </m:ctrlPr>
            </m:fPr>
            <m:num>
              <m:r>
                <w:rPr>
                  <w:rFonts w:ascii="Cambria Math" w:eastAsia="Calibri" w:hAnsi="Cambria Math" w:cs="Calibri"/>
                  <w:sz w:val="18"/>
                  <w:szCs w:val="18"/>
                </w:rPr>
                <m:t xml:space="preserve">Maksymalna Dostępna Moc Obliczeniowa - Przestój Mocy Obliczeniowej </m:t>
              </m:r>
            </m:num>
            <m:den>
              <m:r>
                <w:rPr>
                  <w:rFonts w:ascii="Cambria Math" w:eastAsia="Calibri" w:hAnsi="Cambria Math" w:cs="Calibri"/>
                  <w:sz w:val="18"/>
                  <w:szCs w:val="18"/>
                </w:rPr>
                <m:t>Maksymalna Dostępna Moc Obliczeniowa</m:t>
              </m:r>
            </m:den>
          </m:f>
          <m:r>
            <w:rPr>
              <w:rFonts w:ascii="Cambria Math" w:eastAsia="Calibri" w:hAnsi="Cambria Math" w:cs="Calibri"/>
              <w:sz w:val="18"/>
              <w:szCs w:val="18"/>
            </w:rPr>
            <m:t xml:space="preserve"> x 100</m:t>
          </m:r>
        </m:oMath>
      </m:oMathPara>
    </w:p>
    <w:p w14:paraId="0163F8E0"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Środki Serwisowe na Używanie Usług</w:t>
      </w:r>
      <w:r w:rsidRPr="00624A46">
        <w:rPr>
          <w:rFonts w:ascii="Calibri" w:eastAsia="Calibri" w:hAnsi="Calibri" w:cs="Arial"/>
          <w:b/>
          <w:color w:val="00188F"/>
          <w:sz w:val="18"/>
        </w:rPr>
        <w:t>:</w:t>
      </w:r>
    </w:p>
    <w:p w14:paraId="734F4D56"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Do wykorzystania przez Klienta Rezerwacji Mocy Obliczeniowej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B2009" w14:paraId="2DFB0DD7" w14:textId="77777777" w:rsidTr="00E1735E">
        <w:trPr>
          <w:trHeight w:val="245"/>
          <w:tblHeader/>
        </w:trPr>
        <w:tc>
          <w:tcPr>
            <w:tcW w:w="5400" w:type="dxa"/>
            <w:shd w:val="clear" w:color="auto" w:fill="0072C6"/>
          </w:tcPr>
          <w:p w14:paraId="4456E3A4" w14:textId="77777777" w:rsidR="003B2009" w:rsidRPr="00ED1027" w:rsidRDefault="003B2009"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5467D249" w14:textId="77777777" w:rsidR="003B2009" w:rsidRPr="00ED1027" w:rsidRDefault="003B2009"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3B2009" w14:paraId="5CE13FC1" w14:textId="77777777" w:rsidTr="00E1735E">
        <w:trPr>
          <w:trHeight w:val="245"/>
          <w:tblHeader/>
        </w:trPr>
        <w:tc>
          <w:tcPr>
            <w:tcW w:w="5400" w:type="dxa"/>
          </w:tcPr>
          <w:p w14:paraId="134ECA59" w14:textId="77777777" w:rsidR="003B2009" w:rsidRPr="00ED1027" w:rsidRDefault="003B2009" w:rsidP="00E1735E">
            <w:pPr>
              <w:pStyle w:val="ProductList-OfferingBody"/>
              <w:jc w:val="center"/>
              <w:rPr>
                <w:rFonts w:ascii="Calibri" w:hAnsi="Calibri" w:cs="Calibri"/>
                <w:szCs w:val="16"/>
              </w:rPr>
            </w:pPr>
            <w:r>
              <w:rPr>
                <w:rFonts w:ascii="Calibri" w:hAnsi="Calibri" w:cs="Calibri"/>
                <w:szCs w:val="16"/>
              </w:rPr>
              <w:t>&lt;99,9%</w:t>
            </w:r>
          </w:p>
        </w:tc>
        <w:tc>
          <w:tcPr>
            <w:tcW w:w="5400" w:type="dxa"/>
          </w:tcPr>
          <w:p w14:paraId="50B5789F" w14:textId="77777777" w:rsidR="003B2009" w:rsidRPr="00ED1027" w:rsidRDefault="003B2009" w:rsidP="00E1735E">
            <w:pPr>
              <w:pStyle w:val="ProductList-OfferingBody"/>
              <w:jc w:val="center"/>
              <w:rPr>
                <w:rFonts w:ascii="Calibri" w:hAnsi="Calibri" w:cs="Calibri"/>
                <w:szCs w:val="16"/>
              </w:rPr>
            </w:pPr>
            <w:r>
              <w:rPr>
                <w:rFonts w:ascii="Calibri" w:hAnsi="Calibri" w:cs="Calibri"/>
                <w:szCs w:val="16"/>
              </w:rPr>
              <w:t>10%</w:t>
            </w:r>
          </w:p>
        </w:tc>
      </w:tr>
      <w:tr w:rsidR="003B2009" w14:paraId="39A177CB" w14:textId="77777777" w:rsidTr="00E1735E">
        <w:trPr>
          <w:trHeight w:val="245"/>
          <w:tblHeader/>
        </w:trPr>
        <w:tc>
          <w:tcPr>
            <w:tcW w:w="5400" w:type="dxa"/>
          </w:tcPr>
          <w:p w14:paraId="4857C0B4" w14:textId="77777777" w:rsidR="003B2009" w:rsidRPr="00ED1027" w:rsidRDefault="003B2009" w:rsidP="00E1735E">
            <w:pPr>
              <w:pStyle w:val="ProductList-OfferingBody"/>
              <w:jc w:val="center"/>
              <w:rPr>
                <w:rFonts w:ascii="Calibri" w:hAnsi="Calibri" w:cs="Calibri"/>
                <w:szCs w:val="16"/>
              </w:rPr>
            </w:pPr>
            <w:r>
              <w:rPr>
                <w:rFonts w:ascii="Calibri" w:hAnsi="Calibri" w:cs="Calibri"/>
                <w:szCs w:val="16"/>
              </w:rPr>
              <w:t>&lt;99%</w:t>
            </w:r>
          </w:p>
        </w:tc>
        <w:tc>
          <w:tcPr>
            <w:tcW w:w="5400" w:type="dxa"/>
          </w:tcPr>
          <w:p w14:paraId="6988A150" w14:textId="77777777" w:rsidR="003B2009" w:rsidRPr="00ED1027" w:rsidRDefault="003B2009" w:rsidP="00E1735E">
            <w:pPr>
              <w:pStyle w:val="ProductList-OfferingBody"/>
              <w:jc w:val="center"/>
              <w:rPr>
                <w:rFonts w:ascii="Calibri" w:hAnsi="Calibri" w:cs="Calibri"/>
                <w:szCs w:val="16"/>
              </w:rPr>
            </w:pPr>
            <w:r>
              <w:rPr>
                <w:rFonts w:ascii="Calibri" w:hAnsi="Calibri" w:cs="Calibri"/>
                <w:szCs w:val="16"/>
              </w:rPr>
              <w:t>25%</w:t>
            </w:r>
          </w:p>
        </w:tc>
      </w:tr>
      <w:tr w:rsidR="003B2009" w14:paraId="270F683E" w14:textId="77777777" w:rsidTr="00E1735E">
        <w:trPr>
          <w:trHeight w:val="245"/>
          <w:tblHeader/>
        </w:trPr>
        <w:tc>
          <w:tcPr>
            <w:tcW w:w="5400" w:type="dxa"/>
          </w:tcPr>
          <w:p w14:paraId="027D78A6" w14:textId="77777777" w:rsidR="003B2009" w:rsidRPr="00ED1027" w:rsidRDefault="003B2009" w:rsidP="00E1735E">
            <w:pPr>
              <w:pStyle w:val="ProductList-OfferingBody"/>
              <w:jc w:val="center"/>
              <w:rPr>
                <w:rFonts w:ascii="Calibri" w:hAnsi="Calibri" w:cs="Calibri"/>
                <w:szCs w:val="16"/>
              </w:rPr>
            </w:pPr>
            <w:r>
              <w:rPr>
                <w:rFonts w:ascii="Calibri" w:hAnsi="Calibri" w:cs="Calibri"/>
                <w:szCs w:val="16"/>
              </w:rPr>
              <w:t>&lt;50%</w:t>
            </w:r>
          </w:p>
        </w:tc>
        <w:tc>
          <w:tcPr>
            <w:tcW w:w="5400" w:type="dxa"/>
          </w:tcPr>
          <w:p w14:paraId="228A19E0" w14:textId="77777777" w:rsidR="003B2009" w:rsidRPr="00ED1027" w:rsidRDefault="003B2009" w:rsidP="00E1735E">
            <w:pPr>
              <w:pStyle w:val="ProductList-OfferingBody"/>
              <w:jc w:val="center"/>
              <w:rPr>
                <w:rFonts w:ascii="Calibri" w:hAnsi="Calibri" w:cs="Calibri"/>
                <w:szCs w:val="16"/>
              </w:rPr>
            </w:pPr>
            <w:r>
              <w:rPr>
                <w:rFonts w:ascii="Calibri" w:hAnsi="Calibri" w:cs="Calibri"/>
                <w:szCs w:val="16"/>
              </w:rPr>
              <w:t>100%</w:t>
            </w:r>
          </w:p>
        </w:tc>
      </w:tr>
    </w:tbl>
    <w:p w14:paraId="151ED00B" w14:textId="77777777" w:rsidR="003B2009" w:rsidRDefault="003B2009" w:rsidP="003B2009">
      <w:pPr>
        <w:tabs>
          <w:tab w:val="left" w:pos="360"/>
          <w:tab w:val="left" w:pos="720"/>
          <w:tab w:val="left" w:pos="1080"/>
        </w:tabs>
        <w:adjustRightInd w:val="0"/>
        <w:snapToGrid w:val="0"/>
        <w:spacing w:before="120" w:after="0" w:line="240" w:lineRule="auto"/>
        <w:rPr>
          <w:rFonts w:ascii="Calibri" w:eastAsia="Calibri" w:hAnsi="Calibri" w:cs="Arial"/>
          <w:sz w:val="18"/>
        </w:rPr>
      </w:pPr>
      <w:r>
        <w:rPr>
          <w:rFonts w:ascii="Calibri" w:eastAsia="Calibri" w:hAnsi="Calibri" w:cs="Arial"/>
          <w:b/>
          <w:color w:val="00188F"/>
          <w:sz w:val="18"/>
        </w:rPr>
        <w:t>Zastosowanie umowy SLA</w:t>
      </w:r>
      <w:r w:rsidRPr="00624A46">
        <w:rPr>
          <w:rFonts w:ascii="Calibri" w:eastAsia="Calibri" w:hAnsi="Calibri" w:cs="Arial"/>
          <w:b/>
          <w:color w:val="00188F"/>
          <w:sz w:val="18"/>
        </w:rPr>
        <w:t>:</w:t>
      </w:r>
    </w:p>
    <w:p w14:paraId="5A1FEE57" w14:textId="77777777" w:rsidR="003B2009" w:rsidRDefault="003B2009" w:rsidP="003B2009">
      <w:pPr>
        <w:spacing w:after="120" w:line="240" w:lineRule="auto"/>
        <w:rPr>
          <w:rFonts w:ascii="Calibri" w:eastAsia="Calibri" w:hAnsi="Calibri" w:cs="Arial"/>
          <w:sz w:val="18"/>
        </w:rPr>
      </w:pPr>
      <w:r>
        <w:rPr>
          <w:rFonts w:ascii="Calibri" w:eastAsia="Calibri" w:hAnsi="Calibri" w:cs="Arial"/>
          <w:sz w:val="18"/>
        </w:rPr>
        <w:t>Niniejsza umowa SLA ma zastosowanie wyłącznie do przypadków niedostarczenia lub nieudostępnienia zarezerwowanej mocy obliczeniowej w ramach Rezerwacji Mocy Obliczeniowej we Właściwym Okresie. Niniejsza umowa SLA ma zastosowanie wyłącznie w zakresie dostępności mocy obliczeniowej na potrzeby dostarczania usług i nie ma zastosowania po skutecznym wdrożeniu zasobów przy użyciu tej mocy obliczeniowej. </w:t>
      </w:r>
    </w:p>
    <w:p w14:paraId="1607703A"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Interakcja z umową SLA dotyczącą Maszyn Wirtualnych </w:t>
      </w:r>
    </w:p>
    <w:p w14:paraId="366914C6"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Po skutecznym Dostarczeniu mocy obliczeniowej i wdrożeniu Maszyn Wirtualnych przez Klienta te wdrożone zasoby będą objęte umową SLA dotyczącą Maszyn Wirtualnych. </w:t>
      </w:r>
    </w:p>
    <w:p w14:paraId="784EB024" w14:textId="77777777" w:rsidR="003B2009" w:rsidRPr="00F84ABE" w:rsidRDefault="003B2009" w:rsidP="003B2009">
      <w:pPr>
        <w:tabs>
          <w:tab w:val="left" w:pos="360"/>
          <w:tab w:val="left" w:pos="720"/>
          <w:tab w:val="left" w:pos="1080"/>
        </w:tabs>
        <w:spacing w:after="120" w:line="240" w:lineRule="auto"/>
        <w:rPr>
          <w:rFonts w:ascii="Calibri" w:eastAsia="Calibri" w:hAnsi="Calibri" w:cs="Arial"/>
          <w:sz w:val="18"/>
          <w:lang w:val="en-US"/>
        </w:rPr>
      </w:pPr>
      <w:r>
        <w:rPr>
          <w:rFonts w:ascii="Calibri" w:eastAsia="Calibri" w:hAnsi="Calibri" w:cs="Arial"/>
          <w:sz w:val="18"/>
        </w:rPr>
        <w:t>W razie jakiegokolwiek konfliktu między tą umową SLA a umową SLA dotyczącą Maszyn Wirtualnych po skutecznym wdrożeniu obowiązuje umowa SLA dotycząca Maszyn Wirtualnych. </w:t>
      </w:r>
      <w:hyperlink r:id="rId21" w:tgtFrame="_blank" w:history="1">
        <w:r w:rsidRPr="00F84ABE">
          <w:rPr>
            <w:rFonts w:ascii="Calibri" w:eastAsia="Calibri" w:hAnsi="Calibri" w:cs="Arial"/>
            <w:sz w:val="18"/>
            <w:lang w:val="en-US"/>
          </w:rPr>
          <w:t>https://microsoft-my.sharepoint.com/personal/rghosalkar_microsoft_com/Documents/Recordings/SLA discussion - Capacity Blocks-20260501_113805-Meeting Recording.mp4</w:t>
        </w:r>
      </w:hyperlink>
      <w:r w:rsidRPr="00F84ABE">
        <w:rPr>
          <w:rFonts w:ascii="Calibri" w:eastAsia="Calibri" w:hAnsi="Calibri" w:cs="Arial"/>
          <w:sz w:val="18"/>
          <w:lang w:val="en-US"/>
        </w:rPr>
        <w:t>  </w:t>
      </w:r>
    </w:p>
    <w:p w14:paraId="7DC84877"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Wyłączenia </w:t>
      </w:r>
    </w:p>
    <w:p w14:paraId="0790F2F2"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Niniejsza umowa SLA nie ma zastosowania do następujących obszarów: </w:t>
      </w:r>
    </w:p>
    <w:p w14:paraId="5EC4EF2D"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Błędy wynikające z konfiguracji Klienta, jego oprogramowania lub sposobu wykorzystania. </w:t>
      </w:r>
    </w:p>
    <w:p w14:paraId="44187334"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Błędy występujące po Dostarczeniu, gdy zasoby zostały skutecznie wdrożone. </w:t>
      </w:r>
    </w:p>
    <w:p w14:paraId="79087445" w14:textId="77777777" w:rsidR="003B2009" w:rsidRPr="00707270" w:rsidRDefault="003B2009" w:rsidP="003B2009">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Problemy dotyczące sprzętu lub infrastruktury, które nie uniemożliwiają Dostarczenia mocy obliczeniowej zgodnie z odpowiednim postanowieniem umowy SLA dotyczącej Maszyn Wirtualnych.  </w:t>
      </w:r>
    </w:p>
    <w:p w14:paraId="546167DD"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Warunki dotyczące Środków Serwisowych na Używanie Usług </w:t>
      </w:r>
    </w:p>
    <w:p w14:paraId="37DA593C"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Środki Serwisowe na Używanie Usług stanowią jedyne uprawnienie przysługujące Klientowi z tytułu niespełnienia dowolnego Poziomu Usługi opisanego w niniejszej umowie SLA. </w:t>
      </w:r>
    </w:p>
    <w:p w14:paraId="4E9E255E" w14:textId="77777777" w:rsidR="003B2009" w:rsidRPr="00F50A4A" w:rsidRDefault="003B2009" w:rsidP="003B2009">
      <w:pPr>
        <w:tabs>
          <w:tab w:val="left" w:pos="360"/>
          <w:tab w:val="left" w:pos="720"/>
          <w:tab w:val="left" w:pos="1080"/>
        </w:tabs>
        <w:spacing w:after="120" w:line="240" w:lineRule="auto"/>
        <w:rPr>
          <w:rFonts w:ascii="Calibri" w:eastAsia="Calibri" w:hAnsi="Calibri" w:cs="Arial"/>
          <w:sz w:val="18"/>
        </w:rPr>
      </w:pPr>
      <w:r>
        <w:rPr>
          <w:rFonts w:ascii="Calibri" w:eastAsia="Calibri" w:hAnsi="Calibri" w:cs="Arial"/>
          <w:sz w:val="18"/>
        </w:rPr>
        <w:t>Klient musi zgłaszać wszelkie roszczenia dotyczące Środków Serwisowych na Używanie Usług zgodnie z procedurą zgłaszania roszczeń określoną w umowie SLA dotyczącej Usług Online Microsoft i w wyznaczonym terminie ich zgłaszania. </w:t>
      </w:r>
    </w:p>
    <w:p w14:paraId="240C676F"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b/>
          <w:color w:val="00188F"/>
          <w:sz w:val="18"/>
        </w:rPr>
      </w:pPr>
      <w:r>
        <w:rPr>
          <w:rFonts w:ascii="Calibri" w:eastAsia="Calibri" w:hAnsi="Calibri" w:cs="Arial"/>
          <w:b/>
          <w:color w:val="00188F"/>
          <w:sz w:val="18"/>
        </w:rPr>
        <w:t>Uwagi dotyczące zastosowania Platformy </w:t>
      </w:r>
    </w:p>
    <w:p w14:paraId="0AE8D077" w14:textId="77777777" w:rsidR="003B2009" w:rsidRPr="00F50A4A"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Dostępność Mocy Obliczeniowej może się różnić w zależności od zastosowanej architektury platformy, na przykład moc obliczeniowa może być dostarczana w ustalonych jednostkach lub konfiguracjach. </w:t>
      </w:r>
    </w:p>
    <w:p w14:paraId="20920F1E" w14:textId="77777777" w:rsidR="003B2009" w:rsidRDefault="003B2009" w:rsidP="003B200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 przypadku platform, których umowy SLA dotyczące Maszyn Wirtualnych różnią się (w tym niektórych platform opartych na procesorach GPU), właściwy Poziom Usługi może odpowiadać specyfice umowy SLA dotyczącej Maszyn Wirtualnych.  </w:t>
      </w:r>
    </w:p>
    <w:p w14:paraId="7BBB8EA9" w14:textId="77777777" w:rsidR="003B2009" w:rsidRPr="00EF7CF9" w:rsidRDefault="003B2009" w:rsidP="003B200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703573E" w14:textId="21E9EC5C" w:rsidR="00440441" w:rsidRPr="00E86718" w:rsidRDefault="00440441" w:rsidP="00440441">
      <w:pPr>
        <w:pStyle w:val="ProductList-Offering2Heading"/>
        <w:keepNext/>
        <w:tabs>
          <w:tab w:val="clear" w:pos="360"/>
          <w:tab w:val="clear" w:pos="720"/>
          <w:tab w:val="clear" w:pos="1080"/>
        </w:tabs>
        <w:outlineLvl w:val="2"/>
      </w:pPr>
      <w:bookmarkStart w:id="173" w:name="_Toc239174974"/>
      <w:r w:rsidRPr="00E86718">
        <w:t xml:space="preserve">Usługa </w:t>
      </w:r>
      <w:proofErr w:type="spellStart"/>
      <w:r w:rsidRPr="00E86718">
        <w:t>Azure</w:t>
      </w:r>
      <w:proofErr w:type="spellEnd"/>
      <w:r w:rsidRPr="00E86718">
        <w:t xml:space="preserve"> </w:t>
      </w:r>
      <w:proofErr w:type="spellStart"/>
      <w:r w:rsidRPr="00E86718">
        <w:t>Managed</w:t>
      </w:r>
      <w:proofErr w:type="spellEnd"/>
      <w:r w:rsidRPr="00E86718">
        <w:t xml:space="preserve"> </w:t>
      </w:r>
      <w:proofErr w:type="spellStart"/>
      <w:r w:rsidRPr="00E86718">
        <w:t>Redis</w:t>
      </w:r>
      <w:bookmarkEnd w:id="173"/>
      <w:proofErr w:type="spellEnd"/>
    </w:p>
    <w:p w14:paraId="0636CFB3" w14:textId="77777777" w:rsidR="00440441" w:rsidRPr="00C63E56" w:rsidRDefault="00440441" w:rsidP="00440441">
      <w:pPr>
        <w:pStyle w:val="paragraph"/>
        <w:spacing w:before="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Dodatkowe definicje</w:t>
      </w:r>
      <w:r w:rsidRPr="00E52290">
        <w:rPr>
          <w:rStyle w:val="normaltextrun"/>
          <w:rFonts w:ascii="Calibri" w:eastAsiaTheme="majorEastAsia" w:hAnsi="Calibri" w:cs="Calibri"/>
          <w:b/>
          <w:color w:val="00188F"/>
          <w:sz w:val="18"/>
          <w:szCs w:val="18"/>
        </w:rPr>
        <w:t>:</w:t>
      </w:r>
    </w:p>
    <w:p w14:paraId="7FCAC843"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 xml:space="preserve">Wystąpienie usługi </w:t>
      </w:r>
      <w:proofErr w:type="spellStart"/>
      <w:r>
        <w:rPr>
          <w:rStyle w:val="normaltextrun"/>
          <w:rFonts w:ascii="Calibri" w:eastAsiaTheme="majorEastAsia" w:hAnsi="Calibri" w:cs="Calibri"/>
          <w:b/>
          <w:bCs/>
          <w:color w:val="00188F"/>
          <w:sz w:val="18"/>
          <w:szCs w:val="18"/>
        </w:rPr>
        <w:t>Azure</w:t>
      </w:r>
      <w:proofErr w:type="spellEnd"/>
      <w:r>
        <w:rPr>
          <w:rStyle w:val="normaltextrun"/>
          <w:rFonts w:ascii="Calibri" w:eastAsiaTheme="majorEastAsia" w:hAnsi="Calibri" w:cs="Calibri"/>
          <w:b/>
          <w:bCs/>
          <w:color w:val="00188F"/>
          <w:sz w:val="18"/>
          <w:szCs w:val="18"/>
        </w:rPr>
        <w:t xml:space="preserve"> </w:t>
      </w:r>
      <w:proofErr w:type="spellStart"/>
      <w:r>
        <w:rPr>
          <w:rStyle w:val="normaltextrun"/>
          <w:rFonts w:ascii="Calibri" w:eastAsiaTheme="majorEastAsia" w:hAnsi="Calibri" w:cs="Calibri"/>
          <w:b/>
          <w:bCs/>
          <w:color w:val="00188F"/>
          <w:sz w:val="18"/>
          <w:szCs w:val="18"/>
        </w:rPr>
        <w:t>Managed</w:t>
      </w:r>
      <w:proofErr w:type="spellEnd"/>
      <w:r>
        <w:rPr>
          <w:rStyle w:val="normaltextrun"/>
          <w:rFonts w:ascii="Calibri" w:eastAsiaTheme="majorEastAsia" w:hAnsi="Calibri" w:cs="Calibri"/>
          <w:b/>
          <w:bCs/>
          <w:color w:val="00188F"/>
          <w:sz w:val="18"/>
          <w:szCs w:val="18"/>
        </w:rPr>
        <w:t xml:space="preserve"> </w:t>
      </w:r>
      <w:proofErr w:type="spellStart"/>
      <w:r>
        <w:rPr>
          <w:rStyle w:val="normaltextrun"/>
          <w:rFonts w:ascii="Calibri" w:eastAsiaTheme="majorEastAsia" w:hAnsi="Calibri" w:cs="Calibri"/>
          <w:b/>
          <w:bCs/>
          <w:color w:val="00188F"/>
          <w:sz w:val="18"/>
          <w:szCs w:val="18"/>
        </w:rPr>
        <w:t>Redis</w:t>
      </w:r>
      <w:proofErr w:type="spellEnd"/>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to wdrożenie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której punkty końcowe dostępu do odczytu/zapisu zostały wyszczególnione w Portalu Zarządzania.</w:t>
      </w:r>
    </w:p>
    <w:p w14:paraId="2171A20F"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 xml:space="preserve">„Punkty końcowe usługi </w:t>
      </w:r>
      <w:proofErr w:type="spellStart"/>
      <w:r>
        <w:rPr>
          <w:rStyle w:val="normaltextrun"/>
          <w:rFonts w:ascii="Calibri" w:eastAsiaTheme="majorEastAsia" w:hAnsi="Calibri" w:cs="Calibri"/>
          <w:b/>
          <w:color w:val="00188F"/>
          <w:sz w:val="18"/>
          <w:szCs w:val="18"/>
        </w:rPr>
        <w:t>Azure</w:t>
      </w:r>
      <w:proofErr w:type="spellEnd"/>
      <w:r>
        <w:rPr>
          <w:rStyle w:val="normaltextrun"/>
          <w:rFonts w:ascii="Calibri" w:eastAsiaTheme="majorEastAsia" w:hAnsi="Calibri" w:cs="Calibri"/>
          <w:b/>
          <w:color w:val="00188F"/>
          <w:sz w:val="18"/>
          <w:szCs w:val="18"/>
        </w:rPr>
        <w:t xml:space="preserve"> </w:t>
      </w:r>
      <w:proofErr w:type="spellStart"/>
      <w:r>
        <w:rPr>
          <w:rStyle w:val="normaltextrun"/>
          <w:rFonts w:ascii="Calibri" w:eastAsiaTheme="majorEastAsia" w:hAnsi="Calibri" w:cs="Calibri"/>
          <w:b/>
          <w:color w:val="00188F"/>
          <w:sz w:val="18"/>
          <w:szCs w:val="18"/>
        </w:rPr>
        <w:t>Managed</w:t>
      </w:r>
      <w:proofErr w:type="spellEnd"/>
      <w:r>
        <w:rPr>
          <w:rStyle w:val="normaltextrun"/>
          <w:rFonts w:ascii="Calibri" w:eastAsiaTheme="majorEastAsia" w:hAnsi="Calibri" w:cs="Calibri"/>
          <w:b/>
          <w:color w:val="00188F"/>
          <w:sz w:val="18"/>
          <w:szCs w:val="18"/>
        </w:rPr>
        <w:t xml:space="preserve"> </w:t>
      </w:r>
      <w:proofErr w:type="spellStart"/>
      <w:r>
        <w:rPr>
          <w:rStyle w:val="normaltextrun"/>
          <w:rFonts w:ascii="Calibri" w:eastAsiaTheme="majorEastAsia" w:hAnsi="Calibri" w:cs="Calibri"/>
          <w:b/>
          <w:color w:val="00188F"/>
          <w:sz w:val="18"/>
          <w:szCs w:val="18"/>
        </w:rPr>
        <w:t>Redis</w:t>
      </w:r>
      <w:proofErr w:type="spellEnd"/>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sz w:val="18"/>
          <w:szCs w:val="18"/>
        </w:rPr>
        <w:t xml:space="preserve">to punkty końcowe, za pośrednictwem których można uzyskać dostęp do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w:t>
      </w:r>
    </w:p>
    <w:p w14:paraId="1F62ECB2"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Wysoka Dostępność</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w kontekście usługi </w:t>
      </w:r>
      <w:proofErr w:type="spellStart"/>
      <w:r>
        <w:rPr>
          <w:rStyle w:val="normaltextrun"/>
          <w:rFonts w:ascii="Calibri" w:eastAsiaTheme="majorEastAsia" w:hAnsi="Calibri" w:cs="Calibri"/>
          <w:color w:val="000000"/>
          <w:sz w:val="18"/>
          <w:szCs w:val="18"/>
        </w:rPr>
        <w:t>Azure</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Redis</w:t>
      </w:r>
      <w:proofErr w:type="spellEnd"/>
      <w:r>
        <w:rPr>
          <w:rStyle w:val="normaltextrun"/>
          <w:rFonts w:ascii="Calibri" w:eastAsiaTheme="majorEastAsia" w:hAnsi="Calibri" w:cs="Calibri"/>
          <w:color w:val="000000"/>
          <w:sz w:val="18"/>
          <w:szCs w:val="18"/>
        </w:rPr>
        <w:t xml:space="preserve"> to wystąpienie usługi </w:t>
      </w:r>
      <w:proofErr w:type="spellStart"/>
      <w:r>
        <w:rPr>
          <w:rStyle w:val="normaltextrun"/>
          <w:rFonts w:ascii="Calibri" w:eastAsiaTheme="majorEastAsia" w:hAnsi="Calibri" w:cs="Calibri"/>
          <w:color w:val="000000"/>
          <w:sz w:val="18"/>
          <w:szCs w:val="18"/>
        </w:rPr>
        <w:t>Azure</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Redis</w:t>
      </w:r>
      <w:proofErr w:type="spellEnd"/>
      <w:r>
        <w:rPr>
          <w:rStyle w:val="normaltextrun"/>
          <w:rFonts w:ascii="Calibri" w:eastAsiaTheme="majorEastAsia" w:hAnsi="Calibri" w:cs="Calibri"/>
          <w:color w:val="000000"/>
          <w:sz w:val="18"/>
          <w:szCs w:val="18"/>
        </w:rPr>
        <w:t xml:space="preserve"> wdrożone w konfiguracji wysokiej dostępności ze </w:t>
      </w:r>
      <w:proofErr w:type="spellStart"/>
      <w:r>
        <w:rPr>
          <w:rStyle w:val="normaltextrun"/>
          <w:rFonts w:ascii="Calibri" w:eastAsiaTheme="majorEastAsia" w:hAnsi="Calibri" w:cs="Calibri"/>
          <w:color w:val="000000"/>
          <w:sz w:val="18"/>
          <w:szCs w:val="18"/>
        </w:rPr>
        <w:t>shardem</w:t>
      </w:r>
      <w:proofErr w:type="spellEnd"/>
      <w:r>
        <w:rPr>
          <w:rStyle w:val="normaltextrun"/>
          <w:rFonts w:ascii="Calibri" w:eastAsiaTheme="majorEastAsia" w:hAnsi="Calibri" w:cs="Calibri"/>
          <w:color w:val="000000"/>
          <w:sz w:val="18"/>
          <w:szCs w:val="18"/>
        </w:rPr>
        <w:t xml:space="preserve"> podstawowym i jego repliką w dwóch lub więcej węzłach.</w:t>
      </w:r>
    </w:p>
    <w:p w14:paraId="311F3AF0"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„Aktywna Replikacja Geograficzna”</w:t>
      </w:r>
      <w:r>
        <w:rPr>
          <w:rStyle w:val="normaltextrun"/>
          <w:rFonts w:ascii="Calibri" w:eastAsiaTheme="majorEastAsia" w:hAnsi="Calibri" w:cs="Calibri"/>
          <w:b/>
          <w:bCs/>
          <w:color w:val="00188F"/>
          <w:sz w:val="18"/>
          <w:szCs w:val="18"/>
        </w:rPr>
        <w:t xml:space="preserve"> </w:t>
      </w:r>
      <w:r>
        <w:rPr>
          <w:rStyle w:val="normaltextrun"/>
          <w:rFonts w:ascii="Calibri" w:eastAsiaTheme="majorEastAsia" w:hAnsi="Calibri" w:cs="Calibri"/>
          <w:color w:val="000000"/>
          <w:sz w:val="18"/>
          <w:szCs w:val="18"/>
        </w:rPr>
        <w:t xml:space="preserve">oznacza włączenie grupy replikacji geograficznej z wieloma wystąpieniami usługi </w:t>
      </w:r>
      <w:proofErr w:type="spellStart"/>
      <w:r>
        <w:rPr>
          <w:rStyle w:val="normaltextrun"/>
          <w:rFonts w:ascii="Calibri" w:eastAsiaTheme="majorEastAsia" w:hAnsi="Calibri" w:cs="Calibri"/>
          <w:color w:val="000000"/>
          <w:sz w:val="18"/>
          <w:szCs w:val="18"/>
        </w:rPr>
        <w:t>Azure</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Redis</w:t>
      </w:r>
      <w:proofErr w:type="spellEnd"/>
      <w:r>
        <w:rPr>
          <w:rStyle w:val="normaltextrun"/>
          <w:rFonts w:ascii="Calibri" w:eastAsiaTheme="majorEastAsia" w:hAnsi="Calibri" w:cs="Calibri"/>
          <w:color w:val="000000"/>
          <w:sz w:val="18"/>
          <w:szCs w:val="18"/>
        </w:rPr>
        <w:t xml:space="preserve"> rozpowszechnianymi w różnych lokalizacjach geograficznych w celu synchronizacji danych w konfiguracji </w:t>
      </w:r>
      <w:proofErr w:type="spellStart"/>
      <w:r>
        <w:rPr>
          <w:rStyle w:val="normaltextrun"/>
          <w:rFonts w:ascii="Calibri" w:eastAsiaTheme="majorEastAsia" w:hAnsi="Calibri" w:cs="Calibri"/>
          <w:color w:val="000000"/>
          <w:sz w:val="18"/>
          <w:szCs w:val="18"/>
        </w:rPr>
        <w:t>aktywna-aktywna</w:t>
      </w:r>
      <w:proofErr w:type="spellEnd"/>
      <w:r>
        <w:rPr>
          <w:rStyle w:val="normaltextrun"/>
          <w:rFonts w:ascii="Calibri" w:eastAsiaTheme="majorEastAsia" w:hAnsi="Calibri" w:cs="Calibri"/>
          <w:color w:val="000000"/>
          <w:sz w:val="18"/>
          <w:szCs w:val="18"/>
        </w:rPr>
        <w:t>.</w:t>
      </w:r>
    </w:p>
    <w:p w14:paraId="1624CD9A"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Strefa Dostępności</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to bezawaryjny obszar w regionie </w:t>
      </w:r>
      <w:proofErr w:type="spellStart"/>
      <w:r>
        <w:rPr>
          <w:rStyle w:val="normaltextrun"/>
          <w:rFonts w:ascii="Calibri" w:eastAsiaTheme="majorEastAsia" w:hAnsi="Calibri" w:cs="Calibri"/>
          <w:color w:val="000000"/>
          <w:sz w:val="18"/>
          <w:szCs w:val="18"/>
        </w:rPr>
        <w:t>Azure</w:t>
      </w:r>
      <w:proofErr w:type="spellEnd"/>
      <w:r>
        <w:rPr>
          <w:rStyle w:val="normaltextrun"/>
          <w:rFonts w:ascii="Calibri" w:eastAsiaTheme="majorEastAsia" w:hAnsi="Calibri" w:cs="Calibri"/>
          <w:color w:val="000000"/>
          <w:sz w:val="18"/>
          <w:szCs w:val="18"/>
        </w:rPr>
        <w:t xml:space="preserve"> zapewniający nadmiarowe zasilanie, chłodzenie i funkcje sieciowe.</w:t>
      </w:r>
    </w:p>
    <w:p w14:paraId="1CF03A34"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Nadmiarowość w Strefie</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color w:val="000000"/>
          <w:sz w:val="18"/>
          <w:szCs w:val="18"/>
        </w:rPr>
        <w:t xml:space="preserve"> to wystąpienie usługi </w:t>
      </w:r>
      <w:proofErr w:type="spellStart"/>
      <w:r>
        <w:rPr>
          <w:rStyle w:val="normaltextrun"/>
          <w:rFonts w:ascii="Calibri" w:eastAsiaTheme="majorEastAsia" w:hAnsi="Calibri" w:cs="Calibri"/>
          <w:color w:val="000000"/>
          <w:sz w:val="18"/>
          <w:szCs w:val="18"/>
        </w:rPr>
        <w:t>Azure</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Managed</w:t>
      </w:r>
      <w:proofErr w:type="spellEnd"/>
      <w:r>
        <w:rPr>
          <w:rStyle w:val="normaltextrun"/>
          <w:rFonts w:ascii="Calibri" w:eastAsiaTheme="majorEastAsia" w:hAnsi="Calibri" w:cs="Calibri"/>
          <w:color w:val="000000"/>
          <w:sz w:val="18"/>
          <w:szCs w:val="18"/>
        </w:rPr>
        <w:t xml:space="preserve"> </w:t>
      </w:r>
      <w:proofErr w:type="spellStart"/>
      <w:r>
        <w:rPr>
          <w:rStyle w:val="normaltextrun"/>
          <w:rFonts w:ascii="Calibri" w:eastAsiaTheme="majorEastAsia" w:hAnsi="Calibri" w:cs="Calibri"/>
          <w:color w:val="000000"/>
          <w:sz w:val="18"/>
          <w:szCs w:val="18"/>
        </w:rPr>
        <w:t>Redis</w:t>
      </w:r>
      <w:proofErr w:type="spellEnd"/>
      <w:r>
        <w:rPr>
          <w:rStyle w:val="normaltextrun"/>
          <w:rFonts w:ascii="Calibri" w:eastAsiaTheme="majorEastAsia" w:hAnsi="Calibri" w:cs="Calibri"/>
          <w:color w:val="000000"/>
          <w:sz w:val="18"/>
          <w:szCs w:val="18"/>
        </w:rPr>
        <w:t xml:space="preserve"> wdrożone w konfiguracji wysokiej dostępności ze </w:t>
      </w:r>
      <w:proofErr w:type="spellStart"/>
      <w:r>
        <w:rPr>
          <w:rStyle w:val="normaltextrun"/>
          <w:rFonts w:ascii="Calibri" w:eastAsiaTheme="majorEastAsia" w:hAnsi="Calibri" w:cs="Calibri"/>
          <w:color w:val="000000"/>
          <w:sz w:val="18"/>
          <w:szCs w:val="18"/>
        </w:rPr>
        <w:t>shardem</w:t>
      </w:r>
      <w:proofErr w:type="spellEnd"/>
      <w:r>
        <w:rPr>
          <w:rStyle w:val="normaltextrun"/>
          <w:rFonts w:ascii="Calibri" w:eastAsiaTheme="majorEastAsia" w:hAnsi="Calibri" w:cs="Calibri"/>
          <w:color w:val="000000"/>
          <w:sz w:val="18"/>
          <w:szCs w:val="18"/>
        </w:rPr>
        <w:t xml:space="preserve"> podstawowym i jego repliką rozpowszechnianymi w dwóch lub więcej strefach dostępności.</w:t>
      </w:r>
    </w:p>
    <w:p w14:paraId="46F5ABA4" w14:textId="77777777" w:rsidR="00440441" w:rsidRPr="00C63E56" w:rsidRDefault="00440441" w:rsidP="00440441">
      <w:pPr>
        <w:pStyle w:val="paragraph"/>
        <w:spacing w:before="120" w:beforeAutospacing="0" w:after="0" w:afterAutospacing="0"/>
        <w:textAlignment w:val="baseline"/>
        <w:rPr>
          <w:rFonts w:ascii="Calibri" w:hAnsi="Calibri" w:cs="Calibri"/>
          <w:b/>
          <w:sz w:val="18"/>
          <w:szCs w:val="18"/>
        </w:rPr>
      </w:pPr>
      <w:r>
        <w:rPr>
          <w:rStyle w:val="normaltextrun"/>
          <w:rFonts w:ascii="Calibri" w:eastAsiaTheme="majorEastAsia" w:hAnsi="Calibri" w:cs="Calibri"/>
          <w:b/>
          <w:color w:val="00188F"/>
          <w:sz w:val="18"/>
          <w:szCs w:val="18"/>
        </w:rPr>
        <w:t xml:space="preserve">Obliczanie Czasu Sprawnego Działania i Poziomy Usługi dla usługi </w:t>
      </w:r>
      <w:proofErr w:type="spellStart"/>
      <w:r>
        <w:rPr>
          <w:rStyle w:val="normaltextrun"/>
          <w:rFonts w:ascii="Calibri" w:eastAsiaTheme="majorEastAsia" w:hAnsi="Calibri" w:cs="Calibri"/>
          <w:b/>
          <w:color w:val="00188F"/>
          <w:sz w:val="18"/>
          <w:szCs w:val="18"/>
        </w:rPr>
        <w:t>Azure</w:t>
      </w:r>
      <w:proofErr w:type="spellEnd"/>
      <w:r>
        <w:rPr>
          <w:rStyle w:val="normaltextrun"/>
          <w:rFonts w:ascii="Calibri" w:eastAsiaTheme="majorEastAsia" w:hAnsi="Calibri" w:cs="Calibri"/>
          <w:b/>
          <w:color w:val="00188F"/>
          <w:sz w:val="18"/>
          <w:szCs w:val="18"/>
        </w:rPr>
        <w:t xml:space="preserve"> </w:t>
      </w:r>
      <w:proofErr w:type="spellStart"/>
      <w:r>
        <w:rPr>
          <w:rStyle w:val="normaltextrun"/>
          <w:rFonts w:ascii="Calibri" w:eastAsiaTheme="majorEastAsia" w:hAnsi="Calibri" w:cs="Calibri"/>
          <w:b/>
          <w:color w:val="00188F"/>
          <w:sz w:val="18"/>
          <w:szCs w:val="18"/>
        </w:rPr>
        <w:t>Managed</w:t>
      </w:r>
      <w:proofErr w:type="spellEnd"/>
      <w:r>
        <w:rPr>
          <w:rStyle w:val="normaltextrun"/>
          <w:rFonts w:ascii="Calibri" w:eastAsiaTheme="majorEastAsia" w:hAnsi="Calibri" w:cs="Calibri"/>
          <w:b/>
          <w:color w:val="00188F"/>
          <w:sz w:val="18"/>
          <w:szCs w:val="18"/>
        </w:rPr>
        <w:t xml:space="preserve"> </w:t>
      </w:r>
      <w:proofErr w:type="spellStart"/>
      <w:r>
        <w:rPr>
          <w:rStyle w:val="normaltextrun"/>
          <w:rFonts w:ascii="Calibri" w:eastAsiaTheme="majorEastAsia" w:hAnsi="Calibri" w:cs="Calibri"/>
          <w:b/>
          <w:color w:val="00188F"/>
          <w:sz w:val="18"/>
          <w:szCs w:val="18"/>
        </w:rPr>
        <w:t>Redis</w:t>
      </w:r>
      <w:proofErr w:type="spellEnd"/>
      <w:r>
        <w:rPr>
          <w:rStyle w:val="normaltextrun"/>
          <w:rFonts w:ascii="Calibri" w:eastAsiaTheme="majorEastAsia" w:hAnsi="Calibri" w:cs="Calibri"/>
          <w:b/>
          <w:color w:val="00188F"/>
          <w:sz w:val="18"/>
          <w:szCs w:val="18"/>
        </w:rPr>
        <w:t xml:space="preserve"> bez Aktywnej Replikacji Geograficznej</w:t>
      </w:r>
    </w:p>
    <w:p w14:paraId="59C688BF"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„Maksymalna Liczba Dostępnych Minut</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to łączna liczba minut, przez które dane wystąpienie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zostało wdrożone przez klienta w ramach subskrypcji Microsoft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we Właściwym Okresie.</w:t>
      </w:r>
    </w:p>
    <w:p w14:paraId="3078DCE2" w14:textId="77777777" w:rsidR="00440441" w:rsidRPr="00C63E56"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„Przestój</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to łączna liczba minut z Maksymalnej Liczby Dostępnych Minut, w ciągu których dane wystąpienie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jest niedostępne. Minuta jest uznawana za niedostępną dla danego wystąpienia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gdy przez całą minutę nie ma łączności między wszystkimi Punktami Końcowymi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powiązanymi z wystąpieniem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a bramą internetową Microsoft, a Klient nie zainicjował żadnych funkcji produktu ani działań zarządzania, które zgodnie z dokumentacją powodują tymczasową niedostępność.</w:t>
      </w:r>
    </w:p>
    <w:p w14:paraId="27BE873F" w14:textId="77777777" w:rsidR="00440441" w:rsidRPr="00C63E56" w:rsidRDefault="00440441" w:rsidP="00440441">
      <w:pPr>
        <w:pStyle w:val="paragraph"/>
        <w:spacing w:before="0" w:beforeAutospacing="0" w:after="0" w:afterAutospacing="0"/>
        <w:textAlignment w:val="baseline"/>
        <w:rPr>
          <w:rStyle w:val="eop"/>
          <w:rFonts w:ascii="Calibri" w:eastAsiaTheme="majorEastAsia" w:hAnsi="Calibri" w:cs="Calibri"/>
          <w:szCs w:val="18"/>
          <w:bdr w:val="none" w:sz="0" w:space="0" w:color="auto" w:frame="1"/>
          <w:shd w:val="clear" w:color="auto" w:fill="C6C6C6"/>
        </w:rPr>
      </w:pPr>
      <w:r>
        <w:rPr>
          <w:rStyle w:val="normaltextrun"/>
          <w:rFonts w:ascii="Calibri" w:eastAsiaTheme="majorEastAsia" w:hAnsi="Calibri" w:cs="Calibri"/>
          <w:b/>
          <w:color w:val="00188F"/>
          <w:sz w:val="18"/>
          <w:szCs w:val="18"/>
        </w:rPr>
        <w:t>Procent Czasu Sprawnego Działania</w:t>
      </w:r>
      <w:r w:rsidRPr="00E52290">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Procent Czasu Sprawnego Działania jest obliczany przy użyciu następującego wzoru:</w:t>
      </w:r>
    </w:p>
    <w:p w14:paraId="535737C1" w14:textId="77777777" w:rsidR="00440441" w:rsidRPr="001E28FB" w:rsidRDefault="00000000" w:rsidP="00440441">
      <w:pPr>
        <w:spacing w:before="16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402C5F9" w14:textId="77777777" w:rsidR="00440441" w:rsidRDefault="00440441" w:rsidP="00440441">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 xml:space="preserve">Do używania przez Klienta warstw usługi </w:t>
      </w:r>
      <w:proofErr w:type="spellStart"/>
      <w:r>
        <w:rPr>
          <w:rFonts w:ascii="Calibri" w:eastAsia="Times New Roman" w:hAnsi="Calibri" w:cs="Calibri"/>
          <w:b/>
          <w:bCs/>
          <w:color w:val="00188F"/>
          <w:sz w:val="18"/>
          <w:szCs w:val="18"/>
        </w:rPr>
        <w:t>Azure</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Redis</w:t>
      </w:r>
      <w:proofErr w:type="spellEnd"/>
      <w:r>
        <w:rPr>
          <w:rFonts w:ascii="Calibri" w:eastAsia="Times New Roman" w:hAnsi="Calibri" w:cs="Calibri"/>
          <w:b/>
          <w:bCs/>
          <w:color w:val="00188F"/>
          <w:sz w:val="18"/>
          <w:szCs w:val="18"/>
        </w:rPr>
        <w:t xml:space="preserve"> skonfigurowanej w trybie Wysokiej Dostępności bez uwzględnienia Nadmiarowości w Strefie zoptymalizowanych pod kątem pamięci, zrównoważonych, zoptymalizowanych pod kątem mocy obliczeniowej i zoptymalizowanych pod kątem pamięci </w:t>
      </w:r>
      <w:proofErr w:type="spellStart"/>
      <w:r>
        <w:rPr>
          <w:rFonts w:ascii="Calibri" w:eastAsia="Times New Roman" w:hAnsi="Calibri" w:cs="Calibri"/>
          <w:b/>
          <w:bCs/>
          <w:color w:val="00188F"/>
          <w:sz w:val="18"/>
          <w:szCs w:val="18"/>
        </w:rPr>
        <w:t>flash</w:t>
      </w:r>
      <w:proofErr w:type="spellEnd"/>
      <w:r>
        <w:rPr>
          <w:rFonts w:ascii="Calibri" w:eastAsia="Times New Roman" w:hAnsi="Calibri" w:cs="Calibri"/>
          <w:b/>
          <w:bCs/>
          <w:color w:val="00188F"/>
          <w:sz w:val="18"/>
          <w:szCs w:val="18"/>
        </w:rPr>
        <w:t xml:space="preserve"> mają zastosowanie następujące Poziomy Usługi i 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40441" w:rsidRPr="00EF7CF9" w14:paraId="770E9DF3" w14:textId="77777777" w:rsidTr="0078028E">
        <w:trPr>
          <w:trHeight w:val="245"/>
          <w:tblHeader/>
        </w:trPr>
        <w:tc>
          <w:tcPr>
            <w:tcW w:w="5400" w:type="dxa"/>
            <w:shd w:val="clear" w:color="auto" w:fill="0072C6"/>
          </w:tcPr>
          <w:p w14:paraId="0971B9A7" w14:textId="77777777" w:rsidR="00440441" w:rsidRPr="00E75915" w:rsidRDefault="00440441"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6AEBE720" w14:textId="77777777" w:rsidR="00440441" w:rsidRPr="00E75915" w:rsidRDefault="00440441"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440441" w:rsidRPr="00EF7CF9" w14:paraId="7059B42E" w14:textId="77777777" w:rsidTr="0078028E">
        <w:trPr>
          <w:trHeight w:val="245"/>
        </w:trPr>
        <w:tc>
          <w:tcPr>
            <w:tcW w:w="5400" w:type="dxa"/>
          </w:tcPr>
          <w:p w14:paraId="06CE5FB4"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&lt;99,9%</w:t>
            </w:r>
          </w:p>
        </w:tc>
        <w:tc>
          <w:tcPr>
            <w:tcW w:w="5400" w:type="dxa"/>
          </w:tcPr>
          <w:p w14:paraId="363A2993"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10%</w:t>
            </w:r>
          </w:p>
        </w:tc>
      </w:tr>
      <w:tr w:rsidR="00440441" w:rsidRPr="00EF7CF9" w14:paraId="5D13E9D0" w14:textId="77777777" w:rsidTr="0078028E">
        <w:trPr>
          <w:trHeight w:val="245"/>
        </w:trPr>
        <w:tc>
          <w:tcPr>
            <w:tcW w:w="5400" w:type="dxa"/>
          </w:tcPr>
          <w:p w14:paraId="3C62495D"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&lt;99%</w:t>
            </w:r>
          </w:p>
        </w:tc>
        <w:tc>
          <w:tcPr>
            <w:tcW w:w="5400" w:type="dxa"/>
          </w:tcPr>
          <w:p w14:paraId="21A549FB"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25%</w:t>
            </w:r>
          </w:p>
        </w:tc>
      </w:tr>
    </w:tbl>
    <w:p w14:paraId="5FFDC347" w14:textId="77777777" w:rsidR="00440441" w:rsidRDefault="00440441" w:rsidP="00440441">
      <w:pPr>
        <w:spacing w:before="120" w:after="0" w:line="240" w:lineRule="auto"/>
        <w:textAlignment w:val="baseline"/>
        <w:rPr>
          <w:rFonts w:ascii="Calibri" w:eastAsia="Times New Roman" w:hAnsi="Calibri" w:cs="Calibri"/>
          <w:b/>
          <w:bCs/>
          <w:color w:val="00188F"/>
          <w:sz w:val="18"/>
          <w:szCs w:val="18"/>
        </w:rPr>
      </w:pPr>
      <w:bookmarkStart w:id="174" w:name="_Hlk197960496"/>
      <w:r>
        <w:rPr>
          <w:rFonts w:ascii="Calibri" w:eastAsia="Times New Roman" w:hAnsi="Calibri" w:cs="Calibri"/>
          <w:b/>
          <w:bCs/>
          <w:color w:val="00188F"/>
          <w:sz w:val="18"/>
          <w:szCs w:val="18"/>
        </w:rPr>
        <w:t xml:space="preserve">Do używania przez Klienta warstw usługi </w:t>
      </w:r>
      <w:proofErr w:type="spellStart"/>
      <w:r>
        <w:rPr>
          <w:rFonts w:ascii="Calibri" w:eastAsia="Times New Roman" w:hAnsi="Calibri" w:cs="Calibri"/>
          <w:b/>
          <w:bCs/>
          <w:color w:val="00188F"/>
          <w:sz w:val="18"/>
          <w:szCs w:val="18"/>
        </w:rPr>
        <w:t>Azure</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Redis</w:t>
      </w:r>
      <w:proofErr w:type="spellEnd"/>
      <w:r>
        <w:rPr>
          <w:rFonts w:ascii="Calibri" w:eastAsia="Times New Roman" w:hAnsi="Calibri" w:cs="Calibri"/>
          <w:b/>
          <w:bCs/>
          <w:color w:val="00188F"/>
          <w:sz w:val="18"/>
          <w:szCs w:val="18"/>
        </w:rPr>
        <w:t xml:space="preserve"> skonfigurowanej w trybie Wysokiej Dostępności z uwzględnieniem Nadmiarowości w Strefie zoptymalizowanych pod kątem pamięci, zrównoważonych, zoptymalizowanych pod kątem mocy obliczeniowej i zoptymalizowanych pod kątem pamięci </w:t>
      </w:r>
      <w:proofErr w:type="spellStart"/>
      <w:r>
        <w:rPr>
          <w:rFonts w:ascii="Calibri" w:eastAsia="Times New Roman" w:hAnsi="Calibri" w:cs="Calibri"/>
          <w:b/>
          <w:bCs/>
          <w:color w:val="00188F"/>
          <w:sz w:val="18"/>
          <w:szCs w:val="18"/>
        </w:rPr>
        <w:t>flash</w:t>
      </w:r>
      <w:proofErr w:type="spellEnd"/>
      <w:r>
        <w:rPr>
          <w:rFonts w:ascii="Calibri" w:eastAsia="Times New Roman" w:hAnsi="Calibri" w:cs="Calibri"/>
          <w:b/>
          <w:bCs/>
          <w:color w:val="00188F"/>
          <w:sz w:val="18"/>
          <w:szCs w:val="18"/>
        </w:rPr>
        <w:t xml:space="preserve"> mają zastosowanie następujące Poziomy Usługi i 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40441" w:rsidRPr="00E75915" w14:paraId="711F0AED" w14:textId="77777777" w:rsidTr="0078028E">
        <w:trPr>
          <w:trHeight w:val="245"/>
          <w:tblHeader/>
        </w:trPr>
        <w:tc>
          <w:tcPr>
            <w:tcW w:w="5400" w:type="dxa"/>
            <w:shd w:val="clear" w:color="auto" w:fill="0072C6"/>
          </w:tcPr>
          <w:p w14:paraId="25395828" w14:textId="77777777" w:rsidR="00440441" w:rsidRPr="00E75915" w:rsidRDefault="00440441"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23F7B672" w14:textId="77777777" w:rsidR="00440441" w:rsidRPr="00E75915" w:rsidRDefault="00440441"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440441" w:rsidRPr="00E75915" w14:paraId="607B6F74" w14:textId="77777777" w:rsidTr="0078028E">
        <w:trPr>
          <w:trHeight w:val="245"/>
        </w:trPr>
        <w:tc>
          <w:tcPr>
            <w:tcW w:w="5400" w:type="dxa"/>
          </w:tcPr>
          <w:p w14:paraId="4EF32C4B" w14:textId="3F70395E" w:rsidR="00440441" w:rsidRPr="00E75915" w:rsidRDefault="00440441" w:rsidP="0078028E">
            <w:pPr>
              <w:pStyle w:val="ProductList-OfferingBody"/>
              <w:jc w:val="center"/>
              <w:rPr>
                <w:rFonts w:ascii="Calibri" w:hAnsi="Calibri" w:cs="Calibri"/>
                <w:szCs w:val="16"/>
              </w:rPr>
            </w:pPr>
            <w:r>
              <w:rPr>
                <w:rFonts w:ascii="Calibri" w:hAnsi="Calibri" w:cs="Calibri"/>
                <w:szCs w:val="16"/>
              </w:rPr>
              <w:t>&lt;99,9</w:t>
            </w:r>
            <w:r w:rsidR="00E86718">
              <w:rPr>
                <w:rFonts w:ascii="Calibri" w:hAnsi="Calibri" w:cs="Calibri"/>
                <w:szCs w:val="16"/>
              </w:rPr>
              <w:t>9</w:t>
            </w:r>
            <w:r>
              <w:rPr>
                <w:rFonts w:ascii="Calibri" w:hAnsi="Calibri" w:cs="Calibri"/>
                <w:szCs w:val="16"/>
              </w:rPr>
              <w:t>%</w:t>
            </w:r>
          </w:p>
        </w:tc>
        <w:tc>
          <w:tcPr>
            <w:tcW w:w="5400" w:type="dxa"/>
          </w:tcPr>
          <w:p w14:paraId="61F71F5F"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10%</w:t>
            </w:r>
          </w:p>
        </w:tc>
      </w:tr>
      <w:tr w:rsidR="00440441" w:rsidRPr="00E75915" w14:paraId="4082B62D" w14:textId="77777777" w:rsidTr="0078028E">
        <w:trPr>
          <w:trHeight w:val="245"/>
        </w:trPr>
        <w:tc>
          <w:tcPr>
            <w:tcW w:w="5400" w:type="dxa"/>
          </w:tcPr>
          <w:p w14:paraId="7A6F9D36"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&lt;99%</w:t>
            </w:r>
          </w:p>
        </w:tc>
        <w:tc>
          <w:tcPr>
            <w:tcW w:w="5400" w:type="dxa"/>
          </w:tcPr>
          <w:p w14:paraId="26EF2C49" w14:textId="77777777" w:rsidR="00440441" w:rsidRPr="00E75915" w:rsidRDefault="00440441" w:rsidP="0078028E">
            <w:pPr>
              <w:pStyle w:val="ProductList-OfferingBody"/>
              <w:jc w:val="center"/>
              <w:rPr>
                <w:rFonts w:ascii="Calibri" w:hAnsi="Calibri" w:cs="Calibri"/>
                <w:szCs w:val="16"/>
              </w:rPr>
            </w:pPr>
            <w:r>
              <w:rPr>
                <w:rFonts w:ascii="Calibri" w:hAnsi="Calibri" w:cs="Calibri"/>
                <w:szCs w:val="16"/>
              </w:rPr>
              <w:t>25%</w:t>
            </w:r>
          </w:p>
        </w:tc>
      </w:tr>
    </w:tbl>
    <w:p w14:paraId="7193A507" w14:textId="77777777" w:rsidR="00440441" w:rsidRPr="00141067" w:rsidRDefault="00440441" w:rsidP="00440441">
      <w:pPr>
        <w:pStyle w:val="paragraph"/>
        <w:spacing w:before="120" w:beforeAutospacing="0" w:after="0" w:afterAutospacing="0"/>
        <w:textAlignment w:val="baseline"/>
        <w:rPr>
          <w:rFonts w:ascii="Calibri" w:hAnsi="Calibri" w:cs="Calibri"/>
          <w:sz w:val="18"/>
          <w:szCs w:val="18"/>
        </w:rPr>
      </w:pPr>
      <w:bookmarkStart w:id="175" w:name="_Hlk197960521"/>
      <w:bookmarkEnd w:id="174"/>
      <w:r>
        <w:rPr>
          <w:rStyle w:val="normaltextrun"/>
          <w:rFonts w:ascii="Calibri" w:eastAsiaTheme="majorEastAsia" w:hAnsi="Calibri" w:cs="Calibri"/>
          <w:b/>
          <w:bCs/>
          <w:color w:val="00188F"/>
          <w:sz w:val="18"/>
          <w:szCs w:val="18"/>
        </w:rPr>
        <w:t xml:space="preserve">Obliczanie Czasu Sprawnego Działania i Poziomy Usługi dla usługi </w:t>
      </w:r>
      <w:proofErr w:type="spellStart"/>
      <w:r>
        <w:rPr>
          <w:rStyle w:val="normaltextrun"/>
          <w:rFonts w:ascii="Calibri" w:eastAsiaTheme="majorEastAsia" w:hAnsi="Calibri" w:cs="Calibri"/>
          <w:b/>
          <w:bCs/>
          <w:color w:val="00188F"/>
          <w:sz w:val="18"/>
          <w:szCs w:val="18"/>
        </w:rPr>
        <w:t>Azure</w:t>
      </w:r>
      <w:proofErr w:type="spellEnd"/>
      <w:r>
        <w:rPr>
          <w:rStyle w:val="normaltextrun"/>
          <w:rFonts w:ascii="Calibri" w:eastAsiaTheme="majorEastAsia" w:hAnsi="Calibri" w:cs="Calibri"/>
          <w:b/>
          <w:bCs/>
          <w:color w:val="00188F"/>
          <w:sz w:val="18"/>
          <w:szCs w:val="18"/>
        </w:rPr>
        <w:t xml:space="preserve"> </w:t>
      </w:r>
      <w:proofErr w:type="spellStart"/>
      <w:r>
        <w:rPr>
          <w:rStyle w:val="normaltextrun"/>
          <w:rFonts w:ascii="Calibri" w:eastAsiaTheme="majorEastAsia" w:hAnsi="Calibri" w:cs="Calibri"/>
          <w:b/>
          <w:bCs/>
          <w:color w:val="00188F"/>
          <w:sz w:val="18"/>
          <w:szCs w:val="18"/>
        </w:rPr>
        <w:t>Managed</w:t>
      </w:r>
      <w:proofErr w:type="spellEnd"/>
      <w:r>
        <w:rPr>
          <w:rStyle w:val="normaltextrun"/>
          <w:rFonts w:ascii="Calibri" w:eastAsiaTheme="majorEastAsia" w:hAnsi="Calibri" w:cs="Calibri"/>
          <w:b/>
          <w:bCs/>
          <w:color w:val="00188F"/>
          <w:sz w:val="18"/>
          <w:szCs w:val="18"/>
        </w:rPr>
        <w:t xml:space="preserve"> </w:t>
      </w:r>
      <w:proofErr w:type="spellStart"/>
      <w:r>
        <w:rPr>
          <w:rStyle w:val="normaltextrun"/>
          <w:rFonts w:ascii="Calibri" w:eastAsiaTheme="majorEastAsia" w:hAnsi="Calibri" w:cs="Calibri"/>
          <w:b/>
          <w:bCs/>
          <w:color w:val="00188F"/>
          <w:sz w:val="18"/>
          <w:szCs w:val="18"/>
        </w:rPr>
        <w:t>Redis</w:t>
      </w:r>
      <w:proofErr w:type="spellEnd"/>
      <w:r>
        <w:rPr>
          <w:rStyle w:val="normaltextrun"/>
          <w:rFonts w:ascii="Calibri" w:eastAsiaTheme="majorEastAsia" w:hAnsi="Calibri" w:cs="Calibri"/>
          <w:b/>
          <w:bCs/>
          <w:color w:val="00188F"/>
          <w:sz w:val="18"/>
          <w:szCs w:val="18"/>
        </w:rPr>
        <w:t xml:space="preserve"> z Aktywną Replikacją Geograficzną</w:t>
      </w:r>
    </w:p>
    <w:p w14:paraId="482EDEBA" w14:textId="77777777" w:rsidR="00440441" w:rsidRPr="00141067"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color w:val="00188F"/>
          <w:sz w:val="18"/>
          <w:szCs w:val="18"/>
        </w:rPr>
        <w:t>„</w:t>
      </w:r>
      <w:r>
        <w:rPr>
          <w:rStyle w:val="normaltextrun"/>
          <w:rFonts w:ascii="Calibri" w:eastAsiaTheme="majorEastAsia" w:hAnsi="Calibri" w:cs="Calibri"/>
          <w:b/>
          <w:bCs/>
          <w:color w:val="00188F"/>
          <w:sz w:val="18"/>
          <w:szCs w:val="18"/>
        </w:rPr>
        <w:t>Maksymalna Liczba Dostępnych Minut</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to łączna liczba minut, przez które dane wystąpienie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zostało wdrożone przez klienta w ramach subskrypcji Microsoft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we Właściwym Okresie.</w:t>
      </w:r>
    </w:p>
    <w:p w14:paraId="49234FAD" w14:textId="77777777" w:rsidR="00440441" w:rsidRPr="00141067"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 xml:space="preserve">„Grupa Replikacji Geograficznej” </w:t>
      </w:r>
      <w:r>
        <w:rPr>
          <w:rStyle w:val="normaltextrun"/>
          <w:rFonts w:ascii="Calibri" w:eastAsiaTheme="majorEastAsia" w:hAnsi="Calibri" w:cs="Calibri"/>
          <w:sz w:val="18"/>
          <w:szCs w:val="18"/>
        </w:rPr>
        <w:t xml:space="preserve">jest logiczną konfiguracją grupową wystąpień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z wzajemną synchronizacją danych. </w:t>
      </w:r>
    </w:p>
    <w:p w14:paraId="6AB46BF9" w14:textId="77777777" w:rsidR="00440441" w:rsidRPr="00141067" w:rsidRDefault="00440441" w:rsidP="00440441">
      <w:pPr>
        <w:pStyle w:val="paragraph"/>
        <w:spacing w:before="0" w:beforeAutospacing="0" w:after="0" w:afterAutospacing="0"/>
        <w:textAlignment w:val="baseline"/>
        <w:rPr>
          <w:rFonts w:ascii="Calibri" w:hAnsi="Calibri" w:cs="Calibri"/>
          <w:sz w:val="18"/>
          <w:szCs w:val="18"/>
        </w:rPr>
      </w:pPr>
      <w:r>
        <w:rPr>
          <w:rStyle w:val="normaltextrun"/>
          <w:rFonts w:ascii="Calibri" w:eastAsiaTheme="majorEastAsia" w:hAnsi="Calibri" w:cs="Calibri"/>
          <w:b/>
          <w:bCs/>
          <w:color w:val="00188F"/>
          <w:sz w:val="18"/>
          <w:szCs w:val="18"/>
        </w:rPr>
        <w:t>„Przestój</w:t>
      </w:r>
      <w:r>
        <w:rPr>
          <w:rFonts w:ascii="Calibri" w:hAnsi="Calibri" w:cs="Calibri"/>
          <w:b/>
          <w:bCs/>
          <w:color w:val="00188F"/>
          <w:sz w:val="18"/>
          <w:szCs w:val="18"/>
          <w:bdr w:val="none" w:sz="0" w:space="0" w:color="auto" w:frame="1"/>
        </w:rPr>
        <w:t>”</w:t>
      </w:r>
      <w:r>
        <w:rPr>
          <w:rStyle w:val="normaltextrun"/>
          <w:rFonts w:ascii="Calibri" w:eastAsiaTheme="majorEastAsia" w:hAnsi="Calibri" w:cs="Calibri"/>
          <w:sz w:val="18"/>
          <w:szCs w:val="18"/>
        </w:rPr>
        <w:t xml:space="preserve"> to łączna liczba minut z Maksymalnej Liczby Dostępnych Minut, podczas których nie jest dostępny żaden z punktów końcowych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powiązanych z grupą replikacji geograficznej. Minuta jest uznawana za niedostępną dla danej grupy replikacji geograficznej, gdy przez całą minutę nie ma łączności między którymkolwiek z Punktów Końcowych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dla wystąpień usługi </w:t>
      </w:r>
      <w:proofErr w:type="spellStart"/>
      <w:r>
        <w:rPr>
          <w:rStyle w:val="normaltextrun"/>
          <w:rFonts w:ascii="Calibri" w:eastAsiaTheme="majorEastAsia" w:hAnsi="Calibri" w:cs="Calibri"/>
          <w:sz w:val="18"/>
          <w:szCs w:val="18"/>
        </w:rPr>
        <w:t>Azure</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Managed</w:t>
      </w:r>
      <w:proofErr w:type="spellEnd"/>
      <w:r>
        <w:rPr>
          <w:rStyle w:val="normaltextrun"/>
          <w:rFonts w:ascii="Calibri" w:eastAsiaTheme="majorEastAsia" w:hAnsi="Calibri" w:cs="Calibri"/>
          <w:sz w:val="18"/>
          <w:szCs w:val="18"/>
        </w:rPr>
        <w:t xml:space="preserve"> </w:t>
      </w:r>
      <w:proofErr w:type="spellStart"/>
      <w:r>
        <w:rPr>
          <w:rStyle w:val="normaltextrun"/>
          <w:rFonts w:ascii="Calibri" w:eastAsiaTheme="majorEastAsia" w:hAnsi="Calibri" w:cs="Calibri"/>
          <w:sz w:val="18"/>
          <w:szCs w:val="18"/>
        </w:rPr>
        <w:t>Redis</w:t>
      </w:r>
      <w:proofErr w:type="spellEnd"/>
      <w:r>
        <w:rPr>
          <w:rStyle w:val="normaltextrun"/>
          <w:rFonts w:ascii="Calibri" w:eastAsiaTheme="majorEastAsia" w:hAnsi="Calibri" w:cs="Calibri"/>
          <w:sz w:val="18"/>
          <w:szCs w:val="18"/>
        </w:rPr>
        <w:t xml:space="preserve"> powiązanych z grupą replikacji geograficznej a bramą internetową Microsoft, a Klient nie zainicjował żadnych funkcji produktu ani działań zarządzania, które zgodnie z dokumentacją powodują tymczasową niedostępność.</w:t>
      </w:r>
    </w:p>
    <w:p w14:paraId="269F1E47" w14:textId="77777777" w:rsidR="00440441" w:rsidRPr="00141067" w:rsidRDefault="00440441" w:rsidP="00440441">
      <w:pPr>
        <w:pStyle w:val="paragraph"/>
        <w:spacing w:before="120" w:beforeAutospacing="0" w:after="0" w:afterAutospacing="0"/>
        <w:textAlignment w:val="baseline"/>
        <w:rPr>
          <w:rStyle w:val="normaltextrun"/>
          <w:rFonts w:ascii="Calibri" w:eastAsiaTheme="majorEastAsia" w:hAnsi="Calibri" w:cs="Calibri"/>
          <w:sz w:val="18"/>
          <w:szCs w:val="18"/>
        </w:rPr>
      </w:pPr>
      <w:r>
        <w:rPr>
          <w:rStyle w:val="normaltextrun"/>
          <w:rFonts w:ascii="Calibri" w:eastAsiaTheme="majorEastAsia" w:hAnsi="Calibri" w:cs="Calibri"/>
          <w:b/>
          <w:bCs/>
          <w:color w:val="00188F"/>
          <w:sz w:val="18"/>
          <w:szCs w:val="18"/>
        </w:rPr>
        <w:t>Procent Czasu Sprawnego Działania</w:t>
      </w:r>
      <w:r w:rsidRPr="00E52290">
        <w:rPr>
          <w:rStyle w:val="normaltextrun"/>
          <w:rFonts w:ascii="Calibri" w:eastAsiaTheme="majorEastAsia" w:hAnsi="Calibri" w:cs="Calibri"/>
          <w:b/>
          <w:color w:val="00188F"/>
          <w:sz w:val="18"/>
          <w:szCs w:val="18"/>
        </w:rPr>
        <w:t>:</w:t>
      </w:r>
      <w:r>
        <w:rPr>
          <w:rStyle w:val="normaltextrun"/>
          <w:rFonts w:ascii="Calibri" w:eastAsiaTheme="majorEastAsia" w:hAnsi="Calibri" w:cs="Calibri"/>
          <w:sz w:val="18"/>
          <w:szCs w:val="18"/>
        </w:rPr>
        <w:t xml:space="preserve"> Procent Czasu Sprawnego Działania jest obliczany przy użyciu następującego wzoru:</w:t>
      </w:r>
    </w:p>
    <w:bookmarkEnd w:id="175"/>
    <w:p w14:paraId="41595612" w14:textId="77777777" w:rsidR="00440441" w:rsidRPr="00DE77A8" w:rsidRDefault="00000000" w:rsidP="00440441">
      <w:pPr>
        <w:pStyle w:val="ListParagraph"/>
        <w:spacing w:before="160" w:line="240" w:lineRule="auto"/>
        <w:contextualSpacing w:val="0"/>
        <w:rPr>
          <w:rStyle w:val="eop"/>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B47C6EF" w14:textId="77777777" w:rsidR="00440441" w:rsidRPr="00482B02" w:rsidRDefault="00440441" w:rsidP="00440441">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Do używania przez Klienta warstw usługi </w:t>
      </w:r>
      <w:proofErr w:type="spellStart"/>
      <w:r>
        <w:rPr>
          <w:rFonts w:ascii="Calibri" w:eastAsia="Times New Roman" w:hAnsi="Calibri" w:cs="Calibri"/>
          <w:b/>
          <w:bCs/>
          <w:color w:val="00188F"/>
          <w:sz w:val="18"/>
          <w:szCs w:val="18"/>
        </w:rPr>
        <w:t>Azure</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Redis</w:t>
      </w:r>
      <w:proofErr w:type="spellEnd"/>
      <w:r>
        <w:rPr>
          <w:rFonts w:ascii="Calibri" w:eastAsia="Times New Roman" w:hAnsi="Calibri" w:cs="Calibri"/>
          <w:b/>
          <w:bCs/>
          <w:color w:val="00188F"/>
          <w:sz w:val="18"/>
          <w:szCs w:val="18"/>
        </w:rPr>
        <w:t xml:space="preserve"> zoptymalizowanych pod kątem pamięci, zrównoważonych oraz zoptymalizowanych pod kątem mocy obliczeniowej obsługujących aktywną replikację geograficzną i skonfigurowanych tak, że co najmniej trzy wystąpienia usługi </w:t>
      </w:r>
      <w:proofErr w:type="spellStart"/>
      <w:r>
        <w:rPr>
          <w:rFonts w:ascii="Calibri" w:eastAsia="Times New Roman" w:hAnsi="Calibri" w:cs="Calibri"/>
          <w:b/>
          <w:bCs/>
          <w:color w:val="00188F"/>
          <w:sz w:val="18"/>
          <w:szCs w:val="18"/>
        </w:rPr>
        <w:t>Azure</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Managed</w:t>
      </w:r>
      <w:proofErr w:type="spellEnd"/>
      <w:r>
        <w:rPr>
          <w:rFonts w:ascii="Calibri" w:eastAsia="Times New Roman" w:hAnsi="Calibri" w:cs="Calibri"/>
          <w:b/>
          <w:bCs/>
          <w:color w:val="00188F"/>
          <w:sz w:val="18"/>
          <w:szCs w:val="18"/>
        </w:rPr>
        <w:t xml:space="preserve"> </w:t>
      </w:r>
      <w:proofErr w:type="spellStart"/>
      <w:r>
        <w:rPr>
          <w:rFonts w:ascii="Calibri" w:eastAsia="Times New Roman" w:hAnsi="Calibri" w:cs="Calibri"/>
          <w:b/>
          <w:bCs/>
          <w:color w:val="00188F"/>
          <w:sz w:val="18"/>
          <w:szCs w:val="18"/>
        </w:rPr>
        <w:t>Redis</w:t>
      </w:r>
      <w:proofErr w:type="spellEnd"/>
      <w:r>
        <w:rPr>
          <w:rFonts w:ascii="Calibri" w:eastAsia="Times New Roman" w:hAnsi="Calibri" w:cs="Calibri"/>
          <w:b/>
          <w:bCs/>
          <w:color w:val="00188F"/>
          <w:sz w:val="18"/>
          <w:szCs w:val="18"/>
        </w:rPr>
        <w:t xml:space="preserve"> zostały wdrożone w co najmniej trzech regionach i są połączone z wykorzystaniem aktywnej replikacji geograficznej, a każde wdrożenie wykorzystuje tryb Wysokiej Dostępności oraz Nadmiarowość w Strefie mają zastosowanie następujące Poziomy Usługi i 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40441" w:rsidRPr="00EF7CF9" w14:paraId="36EC8E2B" w14:textId="77777777" w:rsidTr="0078028E">
        <w:trPr>
          <w:trHeight w:val="245"/>
          <w:tblHeader/>
        </w:trPr>
        <w:tc>
          <w:tcPr>
            <w:tcW w:w="5400" w:type="dxa"/>
            <w:shd w:val="clear" w:color="auto" w:fill="0072C6"/>
          </w:tcPr>
          <w:p w14:paraId="2BA782DC" w14:textId="77777777" w:rsidR="00440441" w:rsidRPr="008B762B" w:rsidRDefault="00440441"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54540910" w14:textId="77777777" w:rsidR="00440441" w:rsidRPr="008B762B" w:rsidRDefault="00440441" w:rsidP="0078028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440441" w:rsidRPr="00EF7CF9" w14:paraId="7CEF149C" w14:textId="77777777" w:rsidTr="0078028E">
        <w:trPr>
          <w:trHeight w:val="245"/>
        </w:trPr>
        <w:tc>
          <w:tcPr>
            <w:tcW w:w="5400" w:type="dxa"/>
          </w:tcPr>
          <w:p w14:paraId="2C16DBEB" w14:textId="77777777" w:rsidR="00440441" w:rsidRPr="008B762B" w:rsidRDefault="00440441" w:rsidP="0078028E">
            <w:pPr>
              <w:pStyle w:val="ProductList-OfferingBody"/>
              <w:jc w:val="center"/>
              <w:rPr>
                <w:rFonts w:ascii="Calibri" w:hAnsi="Calibri" w:cs="Calibri"/>
                <w:szCs w:val="16"/>
              </w:rPr>
            </w:pPr>
            <w:r>
              <w:rPr>
                <w:rFonts w:ascii="Calibri" w:hAnsi="Calibri" w:cs="Calibri"/>
                <w:szCs w:val="16"/>
              </w:rPr>
              <w:t>&lt;99,999%</w:t>
            </w:r>
          </w:p>
        </w:tc>
        <w:tc>
          <w:tcPr>
            <w:tcW w:w="5400" w:type="dxa"/>
          </w:tcPr>
          <w:p w14:paraId="03FF871D" w14:textId="77777777" w:rsidR="00440441" w:rsidRPr="008B762B" w:rsidRDefault="00440441" w:rsidP="0078028E">
            <w:pPr>
              <w:pStyle w:val="ProductList-OfferingBody"/>
              <w:jc w:val="center"/>
              <w:rPr>
                <w:rFonts w:ascii="Calibri" w:hAnsi="Calibri" w:cs="Calibri"/>
                <w:szCs w:val="16"/>
              </w:rPr>
            </w:pPr>
            <w:r>
              <w:rPr>
                <w:rFonts w:ascii="Calibri" w:hAnsi="Calibri" w:cs="Calibri"/>
                <w:szCs w:val="16"/>
              </w:rPr>
              <w:t>10%</w:t>
            </w:r>
          </w:p>
        </w:tc>
      </w:tr>
      <w:tr w:rsidR="00440441" w:rsidRPr="00EF7CF9" w14:paraId="42C7BFFD" w14:textId="77777777" w:rsidTr="0078028E">
        <w:trPr>
          <w:trHeight w:val="245"/>
        </w:trPr>
        <w:tc>
          <w:tcPr>
            <w:tcW w:w="5400" w:type="dxa"/>
          </w:tcPr>
          <w:p w14:paraId="7AF6A3E6" w14:textId="77777777" w:rsidR="00440441" w:rsidRPr="008B762B" w:rsidRDefault="00440441" w:rsidP="0078028E">
            <w:pPr>
              <w:pStyle w:val="ProductList-OfferingBody"/>
              <w:jc w:val="center"/>
              <w:rPr>
                <w:rFonts w:ascii="Calibri" w:hAnsi="Calibri" w:cs="Calibri"/>
                <w:szCs w:val="16"/>
              </w:rPr>
            </w:pPr>
            <w:r>
              <w:rPr>
                <w:rFonts w:ascii="Calibri" w:hAnsi="Calibri" w:cs="Calibri"/>
                <w:szCs w:val="16"/>
              </w:rPr>
              <w:t>&lt;99%</w:t>
            </w:r>
          </w:p>
        </w:tc>
        <w:tc>
          <w:tcPr>
            <w:tcW w:w="5400" w:type="dxa"/>
          </w:tcPr>
          <w:p w14:paraId="62FA98E0" w14:textId="77777777" w:rsidR="00440441" w:rsidRPr="008B762B" w:rsidRDefault="00440441" w:rsidP="0078028E">
            <w:pPr>
              <w:pStyle w:val="ProductList-OfferingBody"/>
              <w:jc w:val="center"/>
              <w:rPr>
                <w:rFonts w:ascii="Calibri" w:hAnsi="Calibri" w:cs="Calibri"/>
                <w:szCs w:val="16"/>
              </w:rPr>
            </w:pPr>
            <w:r>
              <w:rPr>
                <w:rFonts w:ascii="Calibri" w:hAnsi="Calibri" w:cs="Calibri"/>
                <w:szCs w:val="16"/>
              </w:rPr>
              <w:t>25%</w:t>
            </w:r>
          </w:p>
        </w:tc>
      </w:tr>
    </w:tbl>
    <w:p w14:paraId="423C6993" w14:textId="77777777" w:rsidR="00440441" w:rsidRPr="00BA6F19" w:rsidRDefault="00440441" w:rsidP="00440441">
      <w:pPr>
        <w:shd w:val="clear" w:color="auto" w:fill="808080"/>
        <w:spacing w:before="120" w:after="240" w:line="240" w:lineRule="auto"/>
        <w:jc w:val="right"/>
        <w:rPr>
          <w:rFonts w:ascii="Calibri" w:eastAsia="Calibri" w:hAnsi="Calibri" w:cs="Arial"/>
          <w:sz w:val="16"/>
          <w:szCs w:val="16"/>
        </w:rPr>
      </w:pPr>
      <w:hyperlink w:anchor="TOC" w:tooltip="Spis treści" w:history="1">
        <w:r>
          <w:rPr>
            <w:rFonts w:ascii="Calibri" w:eastAsia="Calibri" w:hAnsi="Calibri" w:cs="Arial"/>
            <w:color w:val="0563C1"/>
            <w:sz w:val="16"/>
            <w:szCs w:val="16"/>
            <w:u w:val="single"/>
          </w:rPr>
          <w:t>Spis treści</w:t>
        </w:r>
      </w:hyperlink>
      <w:r>
        <w:rPr>
          <w:rFonts w:ascii="Calibri" w:eastAsia="Calibri" w:hAnsi="Calibri" w:cs="Arial"/>
          <w:sz w:val="16"/>
          <w:szCs w:val="16"/>
        </w:rPr>
        <w:t xml:space="preserve"> / </w:t>
      </w:r>
      <w:hyperlink w:anchor="Definicje" w:tooltip="Definicje" w:history="1">
        <w:r>
          <w:rPr>
            <w:rFonts w:ascii="Calibri" w:eastAsia="Calibri" w:hAnsi="Calibri" w:cs="Arial"/>
            <w:color w:val="0563C1"/>
            <w:sz w:val="16"/>
            <w:szCs w:val="16"/>
            <w:u w:val="single"/>
          </w:rPr>
          <w:t>Definicje</w:t>
        </w:r>
      </w:hyperlink>
    </w:p>
    <w:p w14:paraId="596E88DF" w14:textId="4D79C446" w:rsidR="007C6442" w:rsidRDefault="00E84F1C" w:rsidP="00FA4844">
      <w:pPr>
        <w:pStyle w:val="ProductList-Offering2Heading"/>
        <w:keepNext/>
        <w:tabs>
          <w:tab w:val="clear" w:pos="360"/>
          <w:tab w:val="clear" w:pos="720"/>
          <w:tab w:val="clear" w:pos="1080"/>
        </w:tabs>
        <w:outlineLvl w:val="2"/>
      </w:pPr>
      <w:bookmarkStart w:id="176" w:name="_Toc239174975"/>
      <w:proofErr w:type="spellStart"/>
      <w:r>
        <w:t>Azure</w:t>
      </w:r>
      <w:proofErr w:type="spellEnd"/>
      <w:r>
        <w:t xml:space="preserve"> Chaos Studio</w:t>
      </w:r>
      <w:bookmarkEnd w:id="176"/>
    </w:p>
    <w:p w14:paraId="12A299FC" w14:textId="77777777" w:rsidR="006F4191" w:rsidRPr="00BA6F19" w:rsidRDefault="006F4191" w:rsidP="006F41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„Minuty Działania”</w:t>
      </w:r>
      <w:r>
        <w:rPr>
          <w:rFonts w:ascii="Calibri" w:eastAsia="Calibri" w:hAnsi="Calibri" w:cs="Arial"/>
          <w:sz w:val="18"/>
          <w:bdr w:val="none" w:sz="0" w:space="0" w:color="auto" w:frame="1"/>
        </w:rPr>
        <w:t xml:space="preserve"> to łączna liczba minut, przez które dany eksperyment </w:t>
      </w:r>
      <w:proofErr w:type="spellStart"/>
      <w:r>
        <w:rPr>
          <w:rFonts w:ascii="Calibri" w:eastAsia="Calibri" w:hAnsi="Calibri" w:cs="Arial"/>
          <w:sz w:val="18"/>
          <w:bdr w:val="none" w:sz="0" w:space="0" w:color="auto" w:frame="1"/>
        </w:rPr>
        <w:t>Azure</w:t>
      </w:r>
      <w:proofErr w:type="spellEnd"/>
      <w:r>
        <w:rPr>
          <w:rFonts w:ascii="Calibri" w:eastAsia="Calibri" w:hAnsi="Calibri" w:cs="Arial"/>
          <w:sz w:val="18"/>
          <w:bdr w:val="none" w:sz="0" w:space="0" w:color="auto" w:frame="1"/>
        </w:rPr>
        <w:t xml:space="preserve"> Chaos Studio wykonuje działanie wobec zasobu docelowego na platformie Microsoft </w:t>
      </w:r>
      <w:proofErr w:type="spellStart"/>
      <w:r>
        <w:rPr>
          <w:rFonts w:ascii="Calibri" w:eastAsia="Calibri" w:hAnsi="Calibri" w:cs="Arial"/>
          <w:sz w:val="18"/>
          <w:bdr w:val="none" w:sz="0" w:space="0" w:color="auto" w:frame="1"/>
        </w:rPr>
        <w:t>Azure</w:t>
      </w:r>
      <w:proofErr w:type="spellEnd"/>
      <w:r>
        <w:rPr>
          <w:rFonts w:ascii="Calibri" w:eastAsia="Calibri" w:hAnsi="Calibri" w:cs="Arial"/>
          <w:sz w:val="18"/>
          <w:bdr w:val="none" w:sz="0" w:space="0" w:color="auto" w:frame="1"/>
        </w:rPr>
        <w:t xml:space="preserve"> w Obowiązującym Okresie. Minuty Działania mierzone są od momentu zainicjowania działania przez eksperyment do czasu, gdy działanie trwa przez wstępnie skonfigurowany czas trwania lub zostało zakończone. Eksperyment może składać się z jednego lub większej liczby działań wykonywanych sekwencyjnie lub jednocześnie.</w:t>
      </w:r>
    </w:p>
    <w:p w14:paraId="02FA2521" w14:textId="77777777" w:rsidR="006F4191" w:rsidRPr="00BA6F19" w:rsidRDefault="006F4191" w:rsidP="006F41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„Łączna Liczba Minut Działania”</w:t>
      </w:r>
      <w:r>
        <w:rPr>
          <w:rFonts w:ascii="Calibri" w:eastAsia="Calibri" w:hAnsi="Calibri" w:cs="Arial"/>
          <w:sz w:val="18"/>
          <w:bdr w:val="none" w:sz="0" w:space="0" w:color="auto" w:frame="1"/>
        </w:rPr>
        <w:t xml:space="preserve"> to suma wszystkich Minut Działania w ramach danej subskrypcji Microsoft </w:t>
      </w:r>
      <w:proofErr w:type="spellStart"/>
      <w:r>
        <w:rPr>
          <w:rFonts w:ascii="Calibri" w:eastAsia="Calibri" w:hAnsi="Calibri" w:cs="Arial"/>
          <w:sz w:val="18"/>
          <w:bdr w:val="none" w:sz="0" w:space="0" w:color="auto" w:frame="1"/>
        </w:rPr>
        <w:t>Azure</w:t>
      </w:r>
      <w:proofErr w:type="spellEnd"/>
      <w:r>
        <w:rPr>
          <w:rFonts w:ascii="Calibri" w:eastAsia="Calibri" w:hAnsi="Calibri" w:cs="Arial"/>
          <w:sz w:val="18"/>
          <w:bdr w:val="none" w:sz="0" w:space="0" w:color="auto" w:frame="1"/>
        </w:rPr>
        <w:t xml:space="preserve"> we Właściwym Okresie.</w:t>
      </w:r>
    </w:p>
    <w:p w14:paraId="516F0887" w14:textId="77777777" w:rsidR="006F4191" w:rsidRPr="00BA6F19" w:rsidRDefault="006F4191" w:rsidP="006F4191">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bCs/>
          <w:color w:val="00188F"/>
          <w:sz w:val="18"/>
          <w:bdr w:val="none" w:sz="0" w:space="0" w:color="auto" w:frame="1"/>
        </w:rPr>
        <w:t>„Przestój”</w:t>
      </w:r>
      <w:r>
        <w:rPr>
          <w:rFonts w:ascii="Calibri" w:eastAsia="Calibri" w:hAnsi="Calibri" w:cs="Arial"/>
          <w:sz w:val="18"/>
          <w:bdr w:val="none" w:sz="0" w:space="0" w:color="auto" w:frame="1"/>
        </w:rPr>
        <w:t xml:space="preserve"> jest oceniany w odstępach jednominutowych dla każdego aktywnego działania i stanowi sumę wszystkich Minut Działania w danej subskrypcji Microsoft </w:t>
      </w:r>
      <w:proofErr w:type="spellStart"/>
      <w:r>
        <w:rPr>
          <w:rFonts w:ascii="Calibri" w:eastAsia="Calibri" w:hAnsi="Calibri" w:cs="Arial"/>
          <w:sz w:val="18"/>
          <w:bdr w:val="none" w:sz="0" w:space="0" w:color="auto" w:frame="1"/>
        </w:rPr>
        <w:t>Azure</w:t>
      </w:r>
      <w:proofErr w:type="spellEnd"/>
      <w:r>
        <w:rPr>
          <w:rFonts w:ascii="Calibri" w:eastAsia="Calibri" w:hAnsi="Calibri" w:cs="Arial"/>
          <w:sz w:val="18"/>
          <w:bdr w:val="none" w:sz="0" w:space="0" w:color="auto" w:frame="1"/>
        </w:rPr>
        <w:t xml:space="preserve"> w Obowiązującym Okresie, podczas których Chaos Studio jest niedostępne. Minuta na dany eksperyment jest uznawana za niedostępną, jeśli w tym jednominutowym odstępie co najmniej jedno żądanie zatrzymania eksperymentu dla tego eksperymentu przetworzone przez Chaos Studio zwróci błąd 500</w:t>
      </w:r>
      <w:r>
        <w:rPr>
          <w:rFonts w:ascii="Calibri" w:eastAsia="Calibri" w:hAnsi="Calibri" w:cs="Arial"/>
          <w:i/>
          <w:iCs/>
          <w:sz w:val="18"/>
          <w:bdr w:val="none" w:sz="0" w:space="0" w:color="auto" w:frame="1"/>
        </w:rPr>
        <w:t>. </w:t>
      </w:r>
      <w:r>
        <w:rPr>
          <w:rFonts w:ascii="Calibri" w:eastAsia="Calibri" w:hAnsi="Calibri" w:cs="Arial"/>
          <w:sz w:val="18"/>
          <w:bdr w:val="none" w:sz="0" w:space="0" w:color="auto" w:frame="1"/>
        </w:rPr>
        <w:t>Jeśli w ciągu danego jednominutowego odstępu Chaos Studio nie przetworzy żadnego żądania zatrzymania eksperymentu, przyjmuje się, że Przestój w tym odstępie wynosi 0 minut.</w:t>
      </w:r>
    </w:p>
    <w:p w14:paraId="2BA6FCF6" w14:textId="77777777" w:rsidR="006F4191" w:rsidRPr="00BA6F19" w:rsidRDefault="006F4191" w:rsidP="00EF0DBC">
      <w:pPr>
        <w:tabs>
          <w:tab w:val="left" w:pos="360"/>
          <w:tab w:val="left" w:pos="720"/>
          <w:tab w:val="left" w:pos="1080"/>
        </w:tabs>
        <w:spacing w:after="120" w:line="240" w:lineRule="auto"/>
        <w:rPr>
          <w:rFonts w:ascii="Calibri" w:eastAsia="Calibri" w:hAnsi="Calibri" w:cs="Arial"/>
          <w:sz w:val="18"/>
          <w:bdr w:val="none" w:sz="0" w:space="0" w:color="auto" w:frame="1"/>
        </w:rPr>
      </w:pPr>
      <w:r>
        <w:rPr>
          <w:rFonts w:ascii="Calibri" w:eastAsia="Calibri" w:hAnsi="Calibri" w:cs="Arial"/>
          <w:b/>
          <w:bCs/>
          <w:color w:val="00188F"/>
          <w:sz w:val="18"/>
          <w:bdr w:val="none" w:sz="0" w:space="0" w:color="auto" w:frame="1"/>
        </w:rPr>
        <w:t>„Procent Czasu Sprawnego Działania”:</w:t>
      </w:r>
      <w:r>
        <w:rPr>
          <w:rFonts w:ascii="Calibri" w:eastAsia="Calibri" w:hAnsi="Calibri" w:cs="Arial"/>
          <w:sz w:val="18"/>
          <w:bdr w:val="none" w:sz="0" w:space="0" w:color="auto" w:frame="1"/>
        </w:rPr>
        <w:t> Procent Czasu Sprawnego Działania jest obliczany przy użyciu następującego wzoru:</w:t>
      </w:r>
    </w:p>
    <w:p w14:paraId="6CFAD681" w14:textId="77777777" w:rsidR="006F4191" w:rsidRPr="00BA6F19" w:rsidRDefault="00000000" w:rsidP="00EF0DBC">
      <w:pPr>
        <w:spacing w:before="120" w:after="120" w:line="240" w:lineRule="auto"/>
        <w:ind w:left="720"/>
        <w:rPr>
          <w:rFonts w:ascii="Cambria Math" w:eastAsia="PMingLiU"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Całkowita Liczba Minut Działania - Przestój</m:t>
              </m:r>
            </m:num>
            <m:den>
              <m:r>
                <m:rPr>
                  <m:nor/>
                </m:rPr>
                <w:rPr>
                  <w:rFonts w:ascii="Cambria Math" w:eastAsia="Calibri" w:hAnsi="Cambria Math" w:cs="Tahoma"/>
                  <w:i/>
                  <w:sz w:val="18"/>
                  <w:szCs w:val="18"/>
                </w:rPr>
                <m:t>Całkowita Liczba Minut Działania</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6E0408A6" w14:textId="77777777" w:rsidR="006F4191" w:rsidRPr="00901FB3" w:rsidRDefault="006F4191" w:rsidP="006F4191">
      <w:pPr>
        <w:tabs>
          <w:tab w:val="left" w:pos="360"/>
          <w:tab w:val="left" w:pos="720"/>
          <w:tab w:val="left" w:pos="1080"/>
        </w:tabs>
        <w:spacing w:after="0" w:line="240" w:lineRule="auto"/>
        <w:rPr>
          <w:b/>
          <w:color w:val="00188F"/>
          <w:sz w:val="18"/>
        </w:rPr>
      </w:pPr>
      <w:r w:rsidRPr="00901FB3">
        <w:rPr>
          <w:b/>
          <w:color w:val="00188F"/>
          <w:sz w:val="18"/>
        </w:rPr>
        <w:t>Środki Serwisowe na Używanie Usług: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6F4191" w:rsidRPr="00BA6F19" w14:paraId="63BD369E" w14:textId="77777777" w:rsidTr="00167C62">
        <w:trPr>
          <w:tblHeader/>
        </w:trPr>
        <w:tc>
          <w:tcPr>
            <w:tcW w:w="5400" w:type="dxa"/>
            <w:shd w:val="clear" w:color="auto" w:fill="0072C6"/>
          </w:tcPr>
          <w:p w14:paraId="2BCCB6D3" w14:textId="77777777" w:rsidR="006F4191" w:rsidRPr="00BA6F19" w:rsidRDefault="006F4191" w:rsidP="00167C6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678E937E" w14:textId="77777777" w:rsidR="006F4191" w:rsidRPr="00BA6F19" w:rsidRDefault="006F4191" w:rsidP="00167C6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6F4191" w:rsidRPr="00BA6F19" w14:paraId="5FE836CE" w14:textId="77777777" w:rsidTr="00167C62">
        <w:tc>
          <w:tcPr>
            <w:tcW w:w="5400" w:type="dxa"/>
          </w:tcPr>
          <w:p w14:paraId="6CE5302D" w14:textId="77777777" w:rsidR="006F4191" w:rsidRPr="00BA6F19" w:rsidRDefault="006F4191"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2F7613F4" w14:textId="77777777" w:rsidR="006F4191" w:rsidRPr="00BA6F19" w:rsidRDefault="006F4191"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6F4191" w:rsidRPr="00BA6F19" w14:paraId="0BA062D2" w14:textId="77777777" w:rsidTr="00167C62">
        <w:tc>
          <w:tcPr>
            <w:tcW w:w="5400" w:type="dxa"/>
          </w:tcPr>
          <w:p w14:paraId="6A8B5B65" w14:textId="77777777" w:rsidR="006F4191" w:rsidRPr="00BA6F19" w:rsidRDefault="006F4191"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7F3E145E" w14:textId="77777777" w:rsidR="006F4191" w:rsidRPr="00BA6F19" w:rsidRDefault="006F4191" w:rsidP="00167C6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22FBD1C1" w14:textId="77777777" w:rsidR="006F4191" w:rsidRPr="00BA6F19" w:rsidRDefault="006F4191" w:rsidP="006F4191">
      <w:pPr>
        <w:shd w:val="clear" w:color="auto" w:fill="808080"/>
        <w:spacing w:before="120" w:after="240" w:line="240" w:lineRule="auto"/>
        <w:jc w:val="right"/>
        <w:rPr>
          <w:rFonts w:ascii="Calibri" w:eastAsia="Calibri" w:hAnsi="Calibri" w:cs="Arial"/>
          <w:sz w:val="16"/>
          <w:szCs w:val="16"/>
        </w:rPr>
      </w:pPr>
      <w:hyperlink w:anchor="TOC" w:tooltip="Spis treści" w:history="1">
        <w:r>
          <w:rPr>
            <w:rFonts w:ascii="Calibri" w:eastAsia="Calibri" w:hAnsi="Calibri" w:cs="Arial"/>
            <w:color w:val="0563C1"/>
            <w:sz w:val="16"/>
            <w:szCs w:val="16"/>
            <w:u w:val="single"/>
          </w:rPr>
          <w:t>Spis treści</w:t>
        </w:r>
      </w:hyperlink>
      <w:r>
        <w:rPr>
          <w:rFonts w:ascii="Calibri" w:eastAsia="Calibri" w:hAnsi="Calibri" w:cs="Arial"/>
          <w:sz w:val="16"/>
          <w:szCs w:val="16"/>
        </w:rPr>
        <w:t xml:space="preserve"> / </w:t>
      </w:r>
      <w:hyperlink w:anchor="Definicje" w:tooltip="Definicje" w:history="1">
        <w:r>
          <w:rPr>
            <w:rFonts w:ascii="Calibri" w:eastAsia="Calibri" w:hAnsi="Calibri" w:cs="Arial"/>
            <w:color w:val="0563C1"/>
            <w:sz w:val="16"/>
            <w:szCs w:val="16"/>
            <w:u w:val="single"/>
          </w:rPr>
          <w:t>Definicje</w:t>
        </w:r>
      </w:hyperlink>
    </w:p>
    <w:p w14:paraId="20C27F01" w14:textId="77777777" w:rsidR="004F2250" w:rsidRPr="004F2250" w:rsidRDefault="004F2250" w:rsidP="004F2250">
      <w:pPr>
        <w:pStyle w:val="ProductList-Offering2Heading"/>
        <w:keepNext/>
        <w:tabs>
          <w:tab w:val="clear" w:pos="360"/>
          <w:tab w:val="clear" w:pos="720"/>
          <w:tab w:val="clear" w:pos="1080"/>
        </w:tabs>
        <w:outlineLvl w:val="2"/>
      </w:pPr>
      <w:bookmarkStart w:id="177" w:name="_Toc239174976"/>
      <w:proofErr w:type="spellStart"/>
      <w:r w:rsidRPr="004F2250">
        <w:t>Azure</w:t>
      </w:r>
      <w:proofErr w:type="spellEnd"/>
      <w:r w:rsidRPr="004F2250">
        <w:t xml:space="preserve"> </w:t>
      </w:r>
      <w:proofErr w:type="spellStart"/>
      <w:r w:rsidRPr="004F2250">
        <w:t>Cloud</w:t>
      </w:r>
      <w:proofErr w:type="spellEnd"/>
      <w:r w:rsidRPr="004F2250">
        <w:t xml:space="preserve"> HSM</w:t>
      </w:r>
      <w:bookmarkEnd w:id="177"/>
    </w:p>
    <w:p w14:paraId="608F0587" w14:textId="77777777" w:rsidR="004F2250" w:rsidRPr="002D026F" w:rsidRDefault="004F2250" w:rsidP="004F2250">
      <w:pPr>
        <w:pStyle w:val="ProductList-Body"/>
        <w:rPr>
          <w:rFonts w:ascii="Calibri" w:hAnsi="Calibri" w:cs="Calibri"/>
          <w:b/>
          <w:bCs/>
          <w:color w:val="00188F"/>
        </w:rPr>
      </w:pPr>
      <w:r>
        <w:rPr>
          <w:rFonts w:ascii="Calibri" w:hAnsi="Calibri" w:cs="Calibri"/>
          <w:b/>
          <w:bCs/>
          <w:color w:val="00188F"/>
        </w:rPr>
        <w:t xml:space="preserve">Obliczanie Czasu Sprawnego Działania i Poziomy Usługi dla </w:t>
      </w:r>
      <w:proofErr w:type="spellStart"/>
      <w:r>
        <w:rPr>
          <w:rFonts w:ascii="Calibri" w:hAnsi="Calibri" w:cs="Calibri"/>
          <w:b/>
          <w:bCs/>
          <w:color w:val="00188F"/>
        </w:rPr>
        <w:t>Cloud</w:t>
      </w:r>
      <w:proofErr w:type="spellEnd"/>
      <w:r>
        <w:rPr>
          <w:rFonts w:ascii="Calibri" w:hAnsi="Calibri" w:cs="Calibri"/>
          <w:b/>
          <w:bCs/>
          <w:color w:val="00188F"/>
        </w:rPr>
        <w:t xml:space="preserve"> HSM</w:t>
      </w:r>
    </w:p>
    <w:p w14:paraId="69D406C6" w14:textId="77777777" w:rsidR="004F2250" w:rsidRPr="002D026F" w:rsidRDefault="004F2250" w:rsidP="004F2250">
      <w:pPr>
        <w:pStyle w:val="ProductList-Body"/>
        <w:rPr>
          <w:rFonts w:ascii="Calibri" w:hAnsi="Calibri" w:cs="Calibri"/>
        </w:rPr>
      </w:pPr>
      <w:r>
        <w:rPr>
          <w:rFonts w:ascii="Calibri" w:hAnsi="Calibri" w:cs="Calibri"/>
        </w:rPr>
        <w:t>„</w:t>
      </w:r>
      <w:r>
        <w:rPr>
          <w:rFonts w:ascii="Calibri" w:hAnsi="Calibri" w:cs="Calibri"/>
          <w:b/>
          <w:bCs/>
          <w:color w:val="00188F"/>
        </w:rPr>
        <w:t>Minuty Wdrożenia</w:t>
      </w:r>
      <w:r>
        <w:rPr>
          <w:rFonts w:ascii="Calibri" w:hAnsi="Calibri" w:cs="Calibri"/>
        </w:rPr>
        <w:t xml:space="preserve">” to łączna liczba minut, przez które dany </w:t>
      </w:r>
      <w:proofErr w:type="spellStart"/>
      <w:r>
        <w:rPr>
          <w:rFonts w:ascii="Calibri" w:hAnsi="Calibri" w:cs="Calibri"/>
        </w:rPr>
        <w:t>Cloud</w:t>
      </w:r>
      <w:proofErr w:type="spellEnd"/>
      <w:r>
        <w:rPr>
          <w:rFonts w:ascii="Calibri" w:hAnsi="Calibri" w:cs="Calibri"/>
        </w:rPr>
        <w:t xml:space="preserve"> HSM został wdrożony na platformie Microsoft </w:t>
      </w:r>
      <w:proofErr w:type="spellStart"/>
      <w:r>
        <w:rPr>
          <w:rFonts w:ascii="Calibri" w:hAnsi="Calibri" w:cs="Calibri"/>
        </w:rPr>
        <w:t>Azure</w:t>
      </w:r>
      <w:proofErr w:type="spellEnd"/>
      <w:r>
        <w:rPr>
          <w:rFonts w:ascii="Calibri" w:hAnsi="Calibri" w:cs="Calibri"/>
        </w:rPr>
        <w:t xml:space="preserve"> we Właściwym Okresie. </w:t>
      </w:r>
    </w:p>
    <w:p w14:paraId="0614C801" w14:textId="77777777" w:rsidR="004F2250" w:rsidRPr="002D026F" w:rsidRDefault="004F2250" w:rsidP="004F2250">
      <w:pPr>
        <w:pStyle w:val="ProductList-Body"/>
        <w:rPr>
          <w:rFonts w:ascii="Calibri" w:hAnsi="Calibri" w:cs="Calibri"/>
        </w:rPr>
      </w:pPr>
      <w:r>
        <w:rPr>
          <w:rFonts w:ascii="Calibri" w:hAnsi="Calibri" w:cs="Calibri"/>
        </w:rPr>
        <w:t>„</w:t>
      </w:r>
      <w:r>
        <w:rPr>
          <w:rFonts w:ascii="Calibri" w:hAnsi="Calibri" w:cs="Calibri"/>
          <w:b/>
          <w:bCs/>
          <w:color w:val="00188F"/>
        </w:rPr>
        <w:t>Maksymalna Liczba Dostępnych Minut</w:t>
      </w:r>
      <w:r>
        <w:rPr>
          <w:rFonts w:ascii="Calibri" w:hAnsi="Calibri" w:cs="Calibri"/>
        </w:rPr>
        <w:t xml:space="preserve">” to suma wszystkich Minut Wdrożenia we wszystkich </w:t>
      </w:r>
      <w:proofErr w:type="spellStart"/>
      <w:r>
        <w:rPr>
          <w:rFonts w:ascii="Calibri" w:hAnsi="Calibri" w:cs="Calibri"/>
        </w:rPr>
        <w:t>Cloud</w:t>
      </w:r>
      <w:proofErr w:type="spellEnd"/>
      <w:r>
        <w:rPr>
          <w:rFonts w:ascii="Calibri" w:hAnsi="Calibri" w:cs="Calibri"/>
        </w:rPr>
        <w:t xml:space="preserve"> HSM wdrożonych przez użytkownika w ramach danej subskrypcji Microsoft </w:t>
      </w:r>
      <w:proofErr w:type="spellStart"/>
      <w:r>
        <w:rPr>
          <w:rFonts w:ascii="Calibri" w:hAnsi="Calibri" w:cs="Calibri"/>
        </w:rPr>
        <w:t>Azure</w:t>
      </w:r>
      <w:proofErr w:type="spellEnd"/>
      <w:r>
        <w:rPr>
          <w:rFonts w:ascii="Calibri" w:hAnsi="Calibri" w:cs="Calibri"/>
        </w:rPr>
        <w:t xml:space="preserve"> we Właściwym Okresie.</w:t>
      </w:r>
    </w:p>
    <w:p w14:paraId="66497B51" w14:textId="77777777" w:rsidR="004F2250" w:rsidRPr="002D026F" w:rsidRDefault="004F2250" w:rsidP="004F2250">
      <w:pPr>
        <w:pStyle w:val="ProductList-Body"/>
        <w:rPr>
          <w:rFonts w:ascii="Calibri" w:hAnsi="Calibri" w:cs="Calibri"/>
        </w:rPr>
      </w:pPr>
      <w:r>
        <w:rPr>
          <w:rFonts w:ascii="Calibri" w:hAnsi="Calibri" w:cs="Calibri"/>
        </w:rPr>
        <w:t>„</w:t>
      </w:r>
      <w:r>
        <w:rPr>
          <w:rFonts w:ascii="Calibri" w:hAnsi="Calibri" w:cs="Calibri"/>
          <w:b/>
          <w:bCs/>
          <w:color w:val="00188F"/>
        </w:rPr>
        <w:t>Transakcje Wyłączone</w:t>
      </w:r>
      <w:r>
        <w:rPr>
          <w:rFonts w:ascii="Calibri" w:hAnsi="Calibri" w:cs="Calibri"/>
        </w:rPr>
        <w:t xml:space="preserve">” to transakcje służące do tworzenia, aktualizowania lub usuwania modułów </w:t>
      </w:r>
      <w:proofErr w:type="spellStart"/>
      <w:r>
        <w:rPr>
          <w:rFonts w:ascii="Calibri" w:hAnsi="Calibri" w:cs="Calibri"/>
        </w:rPr>
        <w:t>Cloud</w:t>
      </w:r>
      <w:proofErr w:type="spellEnd"/>
      <w:r>
        <w:rPr>
          <w:rFonts w:ascii="Calibri" w:hAnsi="Calibri" w:cs="Calibri"/>
        </w:rPr>
        <w:t xml:space="preserve"> HSM, kluczy, </w:t>
      </w:r>
      <w:proofErr w:type="spellStart"/>
      <w:r>
        <w:rPr>
          <w:rFonts w:ascii="Calibri" w:hAnsi="Calibri" w:cs="Calibri"/>
        </w:rPr>
        <w:t>przypisań</w:t>
      </w:r>
      <w:proofErr w:type="spellEnd"/>
      <w:r>
        <w:rPr>
          <w:rFonts w:ascii="Calibri" w:hAnsi="Calibri" w:cs="Calibri"/>
        </w:rPr>
        <w:t xml:space="preserve"> ról, definicji ról oraz pobierania/przesyłania domen zabezpieczeń.</w:t>
      </w:r>
    </w:p>
    <w:p w14:paraId="2C0CD208" w14:textId="77777777" w:rsidR="004F2250" w:rsidRPr="002D026F" w:rsidRDefault="004F2250" w:rsidP="004F2250">
      <w:pPr>
        <w:pStyle w:val="ProductList-Body"/>
        <w:rPr>
          <w:rFonts w:ascii="Calibri" w:hAnsi="Calibri" w:cs="Calibri"/>
        </w:rPr>
      </w:pPr>
      <w:r>
        <w:rPr>
          <w:rFonts w:ascii="Calibri" w:hAnsi="Calibri" w:cs="Calibri"/>
        </w:rPr>
        <w:t>„</w:t>
      </w:r>
      <w:r>
        <w:rPr>
          <w:rFonts w:ascii="Calibri" w:hAnsi="Calibri" w:cs="Calibri"/>
          <w:b/>
          <w:bCs/>
          <w:color w:val="00188F"/>
        </w:rPr>
        <w:t>Przestój</w:t>
      </w:r>
      <w:r>
        <w:rPr>
          <w:rFonts w:ascii="Calibri" w:hAnsi="Calibri" w:cs="Calibri"/>
        </w:rPr>
        <w:t xml:space="preserve">” oznacza łączną liczbę Minut Wdrożenia dla wszystkich modułów </w:t>
      </w:r>
      <w:proofErr w:type="spellStart"/>
      <w:r>
        <w:rPr>
          <w:rFonts w:ascii="Calibri" w:hAnsi="Calibri" w:cs="Calibri"/>
        </w:rPr>
        <w:t>Cloud</w:t>
      </w:r>
      <w:proofErr w:type="spellEnd"/>
      <w:r>
        <w:rPr>
          <w:rFonts w:ascii="Calibri" w:hAnsi="Calibri" w:cs="Calibri"/>
        </w:rPr>
        <w:t xml:space="preserve"> HSM wdrożonych przez Klienta w ramach danej subskrypcji Microsoft </w:t>
      </w:r>
      <w:proofErr w:type="spellStart"/>
      <w:r>
        <w:rPr>
          <w:rFonts w:ascii="Calibri" w:hAnsi="Calibri" w:cs="Calibri"/>
        </w:rPr>
        <w:t>Azure</w:t>
      </w:r>
      <w:proofErr w:type="spellEnd"/>
      <w:r>
        <w:rPr>
          <w:rFonts w:ascii="Calibri" w:hAnsi="Calibri" w:cs="Calibri"/>
        </w:rPr>
        <w:t xml:space="preserve">, w czasie których moduł </w:t>
      </w:r>
      <w:proofErr w:type="spellStart"/>
      <w:r>
        <w:rPr>
          <w:rFonts w:ascii="Calibri" w:hAnsi="Calibri" w:cs="Calibri"/>
        </w:rPr>
        <w:t>Cloud</w:t>
      </w:r>
      <w:proofErr w:type="spellEnd"/>
      <w:r>
        <w:rPr>
          <w:rFonts w:ascii="Calibri" w:hAnsi="Calibri" w:cs="Calibri"/>
        </w:rPr>
        <w:t xml:space="preserve"> HSM jest niedostępny. Minuta jest uznawana za minutę niedostępności dla danego modułu </w:t>
      </w:r>
      <w:proofErr w:type="spellStart"/>
      <w:r>
        <w:rPr>
          <w:rFonts w:ascii="Calibri" w:hAnsi="Calibri" w:cs="Calibri"/>
        </w:rPr>
        <w:t>Cloud</w:t>
      </w:r>
      <w:proofErr w:type="spellEnd"/>
      <w:r>
        <w:rPr>
          <w:rFonts w:ascii="Calibri" w:hAnsi="Calibri" w:cs="Calibri"/>
        </w:rPr>
        <w:t xml:space="preserve"> HSM, jeśli wszystkie kolejne próby wykonania transakcji, innych niż Transakcje Wyłączone, na module </w:t>
      </w:r>
      <w:proofErr w:type="spellStart"/>
      <w:r>
        <w:rPr>
          <w:rFonts w:ascii="Calibri" w:hAnsi="Calibri" w:cs="Calibri"/>
        </w:rPr>
        <w:t>CloudHSM</w:t>
      </w:r>
      <w:proofErr w:type="spellEnd"/>
      <w:r>
        <w:rPr>
          <w:rFonts w:ascii="Calibri" w:hAnsi="Calibri" w:cs="Calibri"/>
        </w:rPr>
        <w:t xml:space="preserve"> w ciągu tej minuty zwracają kod błędu lub nie powodują wygenerowania kodu sukcesu w ciągu 5 sekund od otrzymania żądania przez Microsoft.</w:t>
      </w:r>
    </w:p>
    <w:p w14:paraId="02E23D33" w14:textId="77777777" w:rsidR="004F2250" w:rsidRPr="002D026F" w:rsidRDefault="004F2250" w:rsidP="004F2250">
      <w:pPr>
        <w:pStyle w:val="ProductList-Body"/>
        <w:rPr>
          <w:rFonts w:ascii="Calibri" w:hAnsi="Calibri" w:cs="Calibri"/>
        </w:rPr>
      </w:pPr>
      <w:r>
        <w:rPr>
          <w:rFonts w:ascii="Calibri" w:hAnsi="Calibri" w:cs="Calibri"/>
        </w:rPr>
        <w:t>„</w:t>
      </w:r>
      <w:r>
        <w:rPr>
          <w:rFonts w:ascii="Calibri" w:hAnsi="Calibri" w:cs="Calibri"/>
          <w:b/>
          <w:bCs/>
          <w:color w:val="00188F"/>
        </w:rPr>
        <w:t>Procent Czasu Sprawnego Działania</w:t>
      </w:r>
      <w:r>
        <w:rPr>
          <w:rFonts w:ascii="Calibri" w:hAnsi="Calibri" w:cs="Calibri"/>
        </w:rPr>
        <w:t xml:space="preserve">” dla Usługi </w:t>
      </w:r>
      <w:proofErr w:type="spellStart"/>
      <w:r>
        <w:rPr>
          <w:rFonts w:ascii="Calibri" w:hAnsi="Calibri" w:cs="Calibri"/>
        </w:rPr>
        <w:t>Cloud</w:t>
      </w:r>
      <w:proofErr w:type="spellEnd"/>
      <w:r>
        <w:rPr>
          <w:rFonts w:ascii="Calibri" w:hAnsi="Calibri" w:cs="Calibri"/>
        </w:rPr>
        <w:t xml:space="preserve"> HSM Maksymalna Liczba Dostępnych Minut pomniejszona o Przestój podzielona przez Maksymalną Liczbę Dostępnych Minut we Właściwym Okresie dla danej subskrypcji Microsoft </w:t>
      </w:r>
      <w:proofErr w:type="spellStart"/>
      <w:r>
        <w:rPr>
          <w:rFonts w:ascii="Calibri" w:hAnsi="Calibri" w:cs="Calibri"/>
        </w:rPr>
        <w:t>Azure</w:t>
      </w:r>
      <w:proofErr w:type="spellEnd"/>
      <w:r>
        <w:rPr>
          <w:rFonts w:ascii="Calibri" w:hAnsi="Calibri" w:cs="Calibri"/>
        </w:rPr>
        <w:t>.</w:t>
      </w:r>
    </w:p>
    <w:p w14:paraId="3C527B29" w14:textId="77777777" w:rsidR="004F2250" w:rsidRPr="002D026F" w:rsidRDefault="004F2250" w:rsidP="004F2250">
      <w:pPr>
        <w:pStyle w:val="ProductList-Body"/>
        <w:rPr>
          <w:rFonts w:ascii="Calibri" w:hAnsi="Calibri" w:cs="Calibri"/>
        </w:rPr>
      </w:pPr>
      <w:r>
        <w:rPr>
          <w:rFonts w:ascii="Calibri" w:hAnsi="Calibri" w:cs="Calibri"/>
        </w:rPr>
        <w:t>Procent Czasu Sprawnego Działania przedstawia się za pomocą następującego wzoru:</w:t>
      </w:r>
    </w:p>
    <w:p w14:paraId="434B9F20" w14:textId="77777777" w:rsidR="004F2250" w:rsidRPr="001E28FB" w:rsidRDefault="00000000" w:rsidP="004F2250">
      <w:pPr>
        <w:spacing w:before="120" w:after="120" w:line="240" w:lineRule="auto"/>
        <w:rPr>
          <w:rFonts w:eastAsiaTheme="minorEastAsia"/>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47246731" w14:textId="77777777" w:rsidR="004F2250" w:rsidRDefault="004F2250" w:rsidP="004F2250">
      <w:pPr>
        <w:pStyle w:val="ProductList-Body"/>
        <w:rPr>
          <w:rFonts w:ascii="Calibri" w:hAnsi="Calibri" w:cs="Calibri"/>
          <w:b/>
          <w:color w:val="00188F"/>
        </w:rPr>
      </w:pPr>
      <w:r>
        <w:rPr>
          <w:rFonts w:ascii="Calibri" w:hAnsi="Calibri" w:cs="Calibri"/>
          <w:b/>
          <w:color w:val="00188F"/>
        </w:rPr>
        <w:t xml:space="preserve">Następujące Poziomy Usługi i Środki na Używanie Usług mogą być wykorzystane przez klienta dla Usługi </w:t>
      </w:r>
      <w:proofErr w:type="spellStart"/>
      <w:r>
        <w:rPr>
          <w:rFonts w:ascii="Calibri" w:hAnsi="Calibri" w:cs="Calibri"/>
          <w:b/>
          <w:color w:val="00188F"/>
        </w:rPr>
        <w:t>Cloud</w:t>
      </w:r>
      <w:proofErr w:type="spellEnd"/>
      <w:r>
        <w:rPr>
          <w:rFonts w:ascii="Calibri" w:hAnsi="Calibri" w:cs="Calibri"/>
          <w:b/>
          <w:color w:val="00188F"/>
        </w:rPr>
        <w:t xml:space="preserve"> HSM:</w:t>
      </w:r>
    </w:p>
    <w:p w14:paraId="064B7F1F" w14:textId="77777777" w:rsidR="00EF0DBC" w:rsidRPr="002D026F" w:rsidRDefault="00EF0DBC" w:rsidP="004F2250">
      <w:pPr>
        <w:pStyle w:val="ProductList-Body"/>
        <w:rPr>
          <w:rFonts w:ascii="Calibri" w:hAnsi="Calibri" w:cs="Calibri"/>
          <w:b/>
          <w:color w:val="00188F"/>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250" w:rsidRPr="00B44CF9" w14:paraId="2183EA7B" w14:textId="77777777" w:rsidTr="008367CC">
        <w:trPr>
          <w:tblHeader/>
        </w:trPr>
        <w:tc>
          <w:tcPr>
            <w:tcW w:w="5400" w:type="dxa"/>
            <w:shd w:val="clear" w:color="auto" w:fill="0072C6"/>
          </w:tcPr>
          <w:p w14:paraId="5A979119" w14:textId="77777777" w:rsidR="004F2250" w:rsidRPr="002D026F" w:rsidRDefault="004F2250"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03A6652C" w14:textId="77777777" w:rsidR="004F2250" w:rsidRPr="002D026F" w:rsidRDefault="004F2250"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4F2250" w:rsidRPr="00B44CF9" w14:paraId="20B4293E" w14:textId="77777777" w:rsidTr="008367CC">
        <w:trPr>
          <w:trHeight w:val="245"/>
        </w:trPr>
        <w:tc>
          <w:tcPr>
            <w:tcW w:w="5400" w:type="dxa"/>
          </w:tcPr>
          <w:p w14:paraId="5CC72B93" w14:textId="77777777" w:rsidR="004F2250" w:rsidRPr="002D026F" w:rsidRDefault="004F2250"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5FDF9DC3" w14:textId="77777777" w:rsidR="004F2250" w:rsidRPr="002D026F" w:rsidRDefault="004F2250" w:rsidP="008367CC">
            <w:pPr>
              <w:pStyle w:val="ProductList-OfferingBody"/>
              <w:jc w:val="center"/>
              <w:rPr>
                <w:rFonts w:ascii="Calibri" w:hAnsi="Calibri" w:cs="Calibri"/>
                <w:szCs w:val="16"/>
              </w:rPr>
            </w:pPr>
            <w:r>
              <w:rPr>
                <w:rFonts w:ascii="Calibri" w:hAnsi="Calibri" w:cs="Calibri"/>
                <w:szCs w:val="16"/>
              </w:rPr>
              <w:t>10%</w:t>
            </w:r>
          </w:p>
        </w:tc>
      </w:tr>
      <w:tr w:rsidR="004F2250" w:rsidRPr="00B44CF9" w14:paraId="7CB06AB2" w14:textId="77777777" w:rsidTr="008367CC">
        <w:trPr>
          <w:trHeight w:val="245"/>
        </w:trPr>
        <w:tc>
          <w:tcPr>
            <w:tcW w:w="5400" w:type="dxa"/>
          </w:tcPr>
          <w:p w14:paraId="3A9EFC7A" w14:textId="77777777" w:rsidR="004F2250" w:rsidRPr="002D026F" w:rsidRDefault="004F2250"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00489CB5" w14:textId="77777777" w:rsidR="004F2250" w:rsidRPr="002D026F" w:rsidRDefault="004F2250" w:rsidP="008367CC">
            <w:pPr>
              <w:pStyle w:val="ProductList-OfferingBody"/>
              <w:jc w:val="center"/>
              <w:rPr>
                <w:rFonts w:ascii="Calibri" w:hAnsi="Calibri" w:cs="Calibri"/>
                <w:szCs w:val="16"/>
              </w:rPr>
            </w:pPr>
            <w:r>
              <w:rPr>
                <w:rFonts w:ascii="Calibri" w:hAnsi="Calibri" w:cs="Calibri"/>
                <w:szCs w:val="16"/>
              </w:rPr>
              <w:t>25%</w:t>
            </w:r>
          </w:p>
        </w:tc>
      </w:tr>
    </w:tbl>
    <w:p w14:paraId="452EC5B4" w14:textId="77777777" w:rsidR="004F2250" w:rsidRPr="00BA6F19" w:rsidRDefault="004F2250" w:rsidP="004F2250">
      <w:pPr>
        <w:shd w:val="clear" w:color="auto" w:fill="808080"/>
        <w:spacing w:before="120" w:after="240" w:line="240" w:lineRule="auto"/>
        <w:jc w:val="right"/>
        <w:rPr>
          <w:rFonts w:ascii="Calibri" w:eastAsia="Calibri" w:hAnsi="Calibri" w:cs="Arial"/>
          <w:sz w:val="16"/>
          <w:szCs w:val="16"/>
        </w:rPr>
      </w:pPr>
      <w:hyperlink w:anchor="TOC" w:tooltip="Spis treści" w:history="1">
        <w:r>
          <w:rPr>
            <w:rFonts w:ascii="Calibri" w:eastAsia="Calibri" w:hAnsi="Calibri" w:cs="Arial"/>
            <w:color w:val="0563C1"/>
            <w:sz w:val="16"/>
            <w:szCs w:val="16"/>
            <w:u w:val="single"/>
          </w:rPr>
          <w:t>Spis treści</w:t>
        </w:r>
      </w:hyperlink>
      <w:r>
        <w:rPr>
          <w:rFonts w:ascii="Calibri" w:eastAsia="Calibri" w:hAnsi="Calibri" w:cs="Arial"/>
          <w:sz w:val="16"/>
          <w:szCs w:val="16"/>
        </w:rPr>
        <w:t xml:space="preserve"> / </w:t>
      </w:r>
      <w:hyperlink w:anchor="Definicje" w:tooltip="Definicje" w:history="1">
        <w:r>
          <w:rPr>
            <w:rFonts w:ascii="Calibri" w:eastAsia="Calibri" w:hAnsi="Calibri" w:cs="Arial"/>
            <w:color w:val="0563C1"/>
            <w:sz w:val="16"/>
            <w:szCs w:val="16"/>
            <w:u w:val="single"/>
          </w:rPr>
          <w:t>Definicje</w:t>
        </w:r>
      </w:hyperlink>
    </w:p>
    <w:p w14:paraId="391B251F" w14:textId="1919AB5C" w:rsidR="00FA4844" w:rsidRPr="00EF7CF9" w:rsidRDefault="00FA4844" w:rsidP="00FA4844">
      <w:pPr>
        <w:pStyle w:val="ProductList-Offering2Heading"/>
        <w:keepNext/>
        <w:tabs>
          <w:tab w:val="clear" w:pos="360"/>
          <w:tab w:val="clear" w:pos="720"/>
          <w:tab w:val="clear" w:pos="1080"/>
        </w:tabs>
        <w:outlineLvl w:val="2"/>
      </w:pPr>
      <w:bookmarkStart w:id="178" w:name="_Toc239174977"/>
      <w:r>
        <w:t>Usługi Chmurowe</w:t>
      </w:r>
      <w:bookmarkEnd w:id="171"/>
      <w:bookmarkEnd w:id="178"/>
    </w:p>
    <w:p w14:paraId="616BD5A6" w14:textId="77777777" w:rsidR="00FA4844" w:rsidRPr="00EF7CF9" w:rsidRDefault="00FA4844" w:rsidP="00FA4844">
      <w:pPr>
        <w:pStyle w:val="ProductList-Body"/>
        <w:rPr>
          <w:b/>
          <w:color w:val="00188F"/>
        </w:rPr>
      </w:pPr>
      <w:r>
        <w:rPr>
          <w:b/>
          <w:color w:val="00188F"/>
        </w:rPr>
        <w:t>Dodatkowe definicje</w:t>
      </w:r>
      <w:r w:rsidRPr="007B038A">
        <w:rPr>
          <w:b/>
          <w:color w:val="00188F"/>
        </w:rPr>
        <w:t>:</w:t>
      </w:r>
    </w:p>
    <w:p w14:paraId="00F034C6" w14:textId="77777777" w:rsidR="00FA4844" w:rsidRPr="00EF7CF9" w:rsidRDefault="00FA4844" w:rsidP="00FA4844">
      <w:pPr>
        <w:pStyle w:val="ProductList-Body"/>
      </w:pPr>
      <w:r>
        <w:t>„</w:t>
      </w:r>
      <w:r>
        <w:rPr>
          <w:b/>
          <w:color w:val="00188F"/>
        </w:rPr>
        <w:t>Usługi Chmurowe</w:t>
      </w:r>
      <w:r>
        <w:t>” to zestaw zasobów obliczeniowych używanych na potrzeby Roli Sieć Web i Roli Proces Roboczy.</w:t>
      </w:r>
    </w:p>
    <w:p w14:paraId="1A253FE3" w14:textId="77777777" w:rsidR="00FA4844" w:rsidRPr="00EF7CF9" w:rsidRDefault="00FA4844" w:rsidP="00FA4844">
      <w:pPr>
        <w:pStyle w:val="ProductList-Body"/>
      </w:pPr>
      <w:r>
        <w:t>„</w:t>
      </w:r>
      <w:r>
        <w:rPr>
          <w:b/>
          <w:color w:val="00188F"/>
        </w:rPr>
        <w:t>Łączność z Wystąpieniem Roli</w:t>
      </w:r>
      <w:r>
        <w:t xml:space="preserve">” to dwukierunkowy ruch danych w sieci między adresem IP wystąpienia roli a innymi adresami IP używający protokołu sieciowego TCP lub UDP, w przypadku którego konfiguracja wystąpienia roli obsługuje dozwolony ruch danych. Adresy IP mogą być adresami IP w tej samej Usłudze Chmurowej co maszyna wirtualna, adresami IP w tej samej wirtualnej sieci co maszyna wirtualna lub publicznymi, </w:t>
      </w:r>
      <w:proofErr w:type="spellStart"/>
      <w:r>
        <w:t>routowalnymi</w:t>
      </w:r>
      <w:proofErr w:type="spellEnd"/>
      <w:r>
        <w:t xml:space="preserve"> adresami IP.</w:t>
      </w:r>
    </w:p>
    <w:p w14:paraId="2210A489" w14:textId="77777777" w:rsidR="00FA4844" w:rsidRPr="00EF7CF9" w:rsidRDefault="00FA4844" w:rsidP="00FA4844">
      <w:pPr>
        <w:pStyle w:val="ProductList-Body"/>
      </w:pPr>
      <w:r>
        <w:t>„</w:t>
      </w:r>
      <w:r>
        <w:rPr>
          <w:b/>
          <w:color w:val="00188F"/>
        </w:rPr>
        <w:t>Dzierżawca</w:t>
      </w:r>
      <w:r>
        <w:t>” to co najmniej jedna rola, która składa się z co najmniej jednego wystąpienia, które jest wdrożone w jednym pakiecie.</w:t>
      </w:r>
    </w:p>
    <w:p w14:paraId="7384DC2B" w14:textId="77777777" w:rsidR="00FA4844" w:rsidRPr="00EF7CF9" w:rsidRDefault="00FA4844" w:rsidP="00FA4844">
      <w:pPr>
        <w:pStyle w:val="ProductList-Body"/>
      </w:pPr>
      <w:r>
        <w:t>„</w:t>
      </w:r>
      <w:r>
        <w:rPr>
          <w:b/>
          <w:color w:val="00188F"/>
        </w:rPr>
        <w:t>Domena Aktualizacji</w:t>
      </w:r>
      <w:r>
        <w:t xml:space="preserve">” to zestaw wystąpień platformy Microsoft </w:t>
      </w:r>
      <w:proofErr w:type="spellStart"/>
      <w:r>
        <w:t>Azure</w:t>
      </w:r>
      <w:proofErr w:type="spellEnd"/>
      <w:r>
        <w:t>, w których są jednocześnie stosowane aktualizacje platformy.</w:t>
      </w:r>
    </w:p>
    <w:p w14:paraId="4AFF4F40" w14:textId="77777777" w:rsidR="00FA4844" w:rsidRPr="00EF7CF9" w:rsidRDefault="00FA4844" w:rsidP="00FA4844">
      <w:pPr>
        <w:pStyle w:val="ProductList-Body"/>
      </w:pPr>
      <w:r>
        <w:t>„</w:t>
      </w:r>
      <w:r>
        <w:rPr>
          <w:b/>
          <w:color w:val="00188F"/>
        </w:rPr>
        <w:t>Rola Sieć Web</w:t>
      </w:r>
      <w:r>
        <w:t xml:space="preserve">” to uruchamiany w środowisku wykonawczym platformy Microsoft </w:t>
      </w:r>
      <w:proofErr w:type="spellStart"/>
      <w:r>
        <w:t>Azure</w:t>
      </w:r>
      <w:proofErr w:type="spellEnd"/>
      <w:r>
        <w:t xml:space="preserve"> składnik Usług Chmurowych dostosowany do programowania aplikacji sieci Web obsługiwanych przez IIS i ASP.NET.</w:t>
      </w:r>
    </w:p>
    <w:p w14:paraId="3F902297" w14:textId="77777777" w:rsidR="00FA4844" w:rsidRPr="00EF7CF9" w:rsidRDefault="00FA4844" w:rsidP="00FA4844">
      <w:pPr>
        <w:pStyle w:val="ProductList-Body"/>
      </w:pPr>
      <w:r>
        <w:t>„</w:t>
      </w:r>
      <w:r>
        <w:rPr>
          <w:b/>
          <w:color w:val="00188F"/>
        </w:rPr>
        <w:t>Rola Proces Roboczy</w:t>
      </w:r>
      <w:r>
        <w:t>”</w:t>
      </w:r>
      <w:r>
        <w:rPr>
          <w:b/>
          <w:color w:val="00188F"/>
        </w:rPr>
        <w:t xml:space="preserve"> </w:t>
      </w:r>
      <w:r>
        <w:t xml:space="preserve">to składnik Usług Chmurowych uruchamiany w środowisku wykonawczym platformy </w:t>
      </w:r>
      <w:proofErr w:type="spellStart"/>
      <w:r>
        <w:t>Azure</w:t>
      </w:r>
      <w:proofErr w:type="spellEnd"/>
      <w:r>
        <w:t>, który jest przydatny do ogólnego programowania i może wykonywać przetwarzanie w tle dla Roli Sieć Web.</w:t>
      </w:r>
    </w:p>
    <w:p w14:paraId="6B4E981E" w14:textId="4AAE9CA8" w:rsidR="00FA4844" w:rsidRPr="00ED4527" w:rsidRDefault="00EE6E3C" w:rsidP="00FA4844">
      <w:pPr>
        <w:pStyle w:val="ProductList-Body"/>
        <w:spacing w:before="120"/>
        <w:rPr>
          <w:b/>
          <w:bCs/>
          <w:color w:val="00188F"/>
        </w:rPr>
      </w:pPr>
      <w:r>
        <w:rPr>
          <w:b/>
          <w:bCs/>
          <w:color w:val="00188F"/>
        </w:rPr>
        <w:t>Obliczanie Czasu Sprawnego Działania i Poziomy Usługi dla Usług Chmurowych</w:t>
      </w:r>
    </w:p>
    <w:p w14:paraId="412EA3FF" w14:textId="27BCBA97" w:rsidR="00FA4844" w:rsidRPr="00EF7CF9" w:rsidRDefault="00FA4844" w:rsidP="00FA4844">
      <w:pPr>
        <w:pStyle w:val="ProductList-Body"/>
      </w:pPr>
      <w:r>
        <w:t>„</w:t>
      </w:r>
      <w:r>
        <w:rPr>
          <w:b/>
          <w:color w:val="00188F"/>
        </w:rPr>
        <w:t>Maksymalna Liczba Dostępnych Minut</w:t>
      </w:r>
      <w:r>
        <w:t>” to łączna skumulowana liczba minut we Właściwym Okresie dla wszystkich ról związanych z Internetem, które mają co najmniej dwie instancje wdrożone w różnych Domenach Aktualizacji. Maksymalna Liczba Dostępnych Minut jest mierzona od momentu wdrożenia Dzierżawcy i uruchomienia powiązanych z nim ról wynikającego z działania zainicjowanego przez Klienta, do momentu, gdy Klient zainicjuje działanie, które spowoduje zatrzymanie lub usunięcie Dzierżawcy.</w:t>
      </w:r>
    </w:p>
    <w:p w14:paraId="35563319" w14:textId="77777777" w:rsidR="00FA4844" w:rsidRPr="0007784F" w:rsidRDefault="00FA4844" w:rsidP="0007784F">
      <w:pPr>
        <w:pStyle w:val="ProductList-Body"/>
        <w:jc w:val="both"/>
        <w:rPr>
          <w:spacing w:val="-2"/>
        </w:rPr>
      </w:pPr>
      <w:r w:rsidRPr="0007784F">
        <w:rPr>
          <w:b/>
          <w:color w:val="00188F"/>
          <w:spacing w:val="-2"/>
        </w:rPr>
        <w:t>Przestój</w:t>
      </w:r>
      <w:r w:rsidRPr="007B038A">
        <w:rPr>
          <w:b/>
          <w:color w:val="00188F"/>
        </w:rPr>
        <w:t>:</w:t>
      </w:r>
      <w:r w:rsidRPr="0007784F">
        <w:rPr>
          <w:spacing w:val="-2"/>
        </w:rPr>
        <w:t xml:space="preserve"> Łączne skumulowane minuty, które są częścią Maksymalnej Liczby Dostępnych Minut, w czasie których nie ma łączności z Wystąpieniem Roli.</w:t>
      </w:r>
    </w:p>
    <w:p w14:paraId="46F3082B" w14:textId="3E1C36D7" w:rsidR="00FA4844" w:rsidRPr="00EF7CF9" w:rsidRDefault="00AC48A7" w:rsidP="0007784F">
      <w:pPr>
        <w:pStyle w:val="ProductList-Body"/>
        <w:keepNext/>
        <w:keepLines/>
      </w:pPr>
      <w:r>
        <w:rPr>
          <w:b/>
          <w:color w:val="00188F"/>
        </w:rPr>
        <w:t>Procent Czasu Sprawnego Działania</w:t>
      </w:r>
      <w:r w:rsidRPr="007B038A">
        <w:rPr>
          <w:b/>
          <w:color w:val="00188F"/>
        </w:rPr>
        <w:t>:</w:t>
      </w:r>
      <w:r>
        <w:t xml:space="preserve"> Procent Czasu Sprawnego Działania przedstawia się za pomocą następującego wzoru:</w:t>
      </w:r>
    </w:p>
    <w:p w14:paraId="748D3B66" w14:textId="77777777" w:rsidR="00FA4844" w:rsidRPr="00EF7CF9" w:rsidRDefault="00FA4844" w:rsidP="0007784F">
      <w:pPr>
        <w:pStyle w:val="ProductList-Body"/>
        <w:keepNext/>
        <w:keepLines/>
        <w:rPr>
          <w:szCs w:val="18"/>
        </w:rPr>
      </w:pPr>
    </w:p>
    <w:p w14:paraId="692CB9D4" w14:textId="5E2F0CC6" w:rsidR="00FA4844" w:rsidRPr="00EF7CF9" w:rsidRDefault="0007784F" w:rsidP="00CE5DF6">
      <w:pPr>
        <w:pStyle w:val="ListParagraph"/>
        <w:keepNext/>
        <w:keepLines/>
        <w:spacing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 xml:space="preserve">Procent Czasu Sprawnego Działania w Miesiącu = </m:t>
          </m:r>
          <m:f>
            <m:fPr>
              <m:ctrlPr>
                <w:rPr>
                  <w:rFonts w:ascii="Cambria Math" w:hAnsi="Cambria Math" w:cs="Tahoma"/>
                  <w:i/>
                  <w:sz w:val="18"/>
                  <w:szCs w:val="18"/>
                </w:rPr>
              </m:ctrlPr>
            </m:fPr>
            <m:num>
              <m:r>
                <m:rPr>
                  <m:nor/>
                </m:rPr>
                <w:rPr>
                  <w:rFonts w:ascii="Cambria Math" w:hAnsi="Cambria Math" w:cs="Tahoma"/>
                  <w:i/>
                  <w:sz w:val="18"/>
                  <w:szCs w:val="18"/>
                </w:rPr>
                <m:t>(Maksymalna Liczba Dostępnych Minut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X 100</m:t>
          </m:r>
        </m:oMath>
      </m:oMathPara>
    </w:p>
    <w:p w14:paraId="73E1EAEE" w14:textId="77777777" w:rsidR="00FA4844" w:rsidRPr="00EF7CF9" w:rsidRDefault="00FA4844" w:rsidP="00FA4844">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A4844" w:rsidRPr="00B44CF9" w14:paraId="6070B512" w14:textId="77777777" w:rsidTr="00277097">
        <w:trPr>
          <w:tblHeader/>
        </w:trPr>
        <w:tc>
          <w:tcPr>
            <w:tcW w:w="5400" w:type="dxa"/>
            <w:shd w:val="clear" w:color="auto" w:fill="0072C6"/>
          </w:tcPr>
          <w:p w14:paraId="3CFEA266" w14:textId="5B70B6C3" w:rsidR="00FA484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FA8F94D" w14:textId="77777777" w:rsidR="00FA4844" w:rsidRPr="00EF7CF9" w:rsidRDefault="00FA4844" w:rsidP="000F31B4">
            <w:pPr>
              <w:pStyle w:val="ProductList-OfferingBody"/>
              <w:jc w:val="center"/>
              <w:rPr>
                <w:color w:val="FFFFFF" w:themeColor="background1"/>
              </w:rPr>
            </w:pPr>
            <w:r>
              <w:rPr>
                <w:color w:val="FFFFFF" w:themeColor="background1"/>
              </w:rPr>
              <w:t>Środki Serwisowe na Używanie Usług</w:t>
            </w:r>
          </w:p>
        </w:tc>
      </w:tr>
      <w:tr w:rsidR="00FA4844" w:rsidRPr="00B44CF9" w14:paraId="300286F2" w14:textId="77777777" w:rsidTr="00277097">
        <w:tc>
          <w:tcPr>
            <w:tcW w:w="5400" w:type="dxa"/>
          </w:tcPr>
          <w:p w14:paraId="5EDF52EC" w14:textId="77777777" w:rsidR="00FA4844" w:rsidRPr="00EF7CF9" w:rsidRDefault="00FA4844" w:rsidP="000F31B4">
            <w:pPr>
              <w:pStyle w:val="ProductList-OfferingBody"/>
              <w:jc w:val="center"/>
            </w:pPr>
            <w:r>
              <w:t>&lt; 99,95%</w:t>
            </w:r>
          </w:p>
        </w:tc>
        <w:tc>
          <w:tcPr>
            <w:tcW w:w="5400" w:type="dxa"/>
          </w:tcPr>
          <w:p w14:paraId="387D0A57" w14:textId="77777777" w:rsidR="00FA4844" w:rsidRPr="00EF7CF9" w:rsidRDefault="00FA4844" w:rsidP="000F31B4">
            <w:pPr>
              <w:pStyle w:val="ProductList-OfferingBody"/>
              <w:jc w:val="center"/>
            </w:pPr>
            <w:r>
              <w:t>10%</w:t>
            </w:r>
          </w:p>
        </w:tc>
      </w:tr>
      <w:tr w:rsidR="00FA4844" w:rsidRPr="00B44CF9" w14:paraId="55672AF5" w14:textId="77777777" w:rsidTr="00277097">
        <w:tc>
          <w:tcPr>
            <w:tcW w:w="5400" w:type="dxa"/>
          </w:tcPr>
          <w:p w14:paraId="6BFFB57F" w14:textId="77777777" w:rsidR="00FA4844" w:rsidRPr="00EF7CF9" w:rsidRDefault="00FA4844" w:rsidP="000F31B4">
            <w:pPr>
              <w:pStyle w:val="ProductList-OfferingBody"/>
              <w:keepNext/>
              <w:jc w:val="center"/>
            </w:pPr>
            <w:r>
              <w:t>&lt; 99%</w:t>
            </w:r>
          </w:p>
        </w:tc>
        <w:tc>
          <w:tcPr>
            <w:tcW w:w="5400" w:type="dxa"/>
          </w:tcPr>
          <w:p w14:paraId="4BE2C332" w14:textId="77777777" w:rsidR="00FA4844" w:rsidRPr="00EF7CF9" w:rsidRDefault="00FA4844" w:rsidP="000F31B4">
            <w:pPr>
              <w:pStyle w:val="ProductList-OfferingBody"/>
              <w:jc w:val="center"/>
            </w:pPr>
            <w:r>
              <w:t>25%</w:t>
            </w:r>
          </w:p>
        </w:tc>
      </w:tr>
    </w:tbl>
    <w:p w14:paraId="71E7D204" w14:textId="1D1DF9EF" w:rsidR="00FA4844" w:rsidRPr="00EF7CF9" w:rsidRDefault="00C71F89" w:rsidP="00FA484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8AE841E" w14:textId="569763DB" w:rsidR="00014752" w:rsidRPr="00EF7CF9" w:rsidRDefault="00014752" w:rsidP="00014752">
      <w:pPr>
        <w:pStyle w:val="ProductList-Offering2Heading"/>
        <w:keepNext/>
        <w:tabs>
          <w:tab w:val="clear" w:pos="360"/>
          <w:tab w:val="clear" w:pos="720"/>
          <w:tab w:val="clear" w:pos="1080"/>
        </w:tabs>
        <w:outlineLvl w:val="2"/>
      </w:pPr>
      <w:bookmarkStart w:id="179" w:name="_Toc52348980"/>
      <w:bookmarkStart w:id="180" w:name="_Toc239174978"/>
      <w:proofErr w:type="spellStart"/>
      <w:r>
        <w:t>Azure</w:t>
      </w:r>
      <w:proofErr w:type="spellEnd"/>
      <w:r>
        <w:t xml:space="preserve"> </w:t>
      </w:r>
      <w:r w:rsidR="006F4191">
        <w:t>AI</w:t>
      </w:r>
      <w:r>
        <w:t xml:space="preserve"> </w:t>
      </w:r>
      <w:proofErr w:type="spellStart"/>
      <w:r>
        <w:t>Search</w:t>
      </w:r>
      <w:bookmarkEnd w:id="179"/>
      <w:bookmarkEnd w:id="180"/>
      <w:proofErr w:type="spellEnd"/>
    </w:p>
    <w:p w14:paraId="6A0F4491" w14:textId="77777777" w:rsidR="00014752" w:rsidRPr="00EF7CF9" w:rsidRDefault="00014752" w:rsidP="00014752">
      <w:pPr>
        <w:pStyle w:val="ProductList-Body"/>
      </w:pPr>
      <w:r>
        <w:rPr>
          <w:b/>
          <w:color w:val="00188F"/>
        </w:rPr>
        <w:t>Dodatkowe definicje</w:t>
      </w:r>
      <w:r w:rsidRPr="007B038A">
        <w:rPr>
          <w:b/>
          <w:color w:val="00188F"/>
        </w:rPr>
        <w:t>:</w:t>
      </w:r>
    </w:p>
    <w:p w14:paraId="217BD848"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 xml:space="preserve">Średnia Częstość </w:t>
      </w:r>
      <w:proofErr w:type="spellStart"/>
      <w:r>
        <w:rPr>
          <w:rFonts w:ascii="Calibri" w:hAnsi="Calibri" w:cs="Calibri"/>
          <w:b/>
          <w:color w:val="00188F"/>
        </w:rPr>
        <w:t>Błędów</w:t>
      </w:r>
      <w:r>
        <w:rPr>
          <w:rFonts w:ascii="Calibri" w:hAnsi="Calibri" w:cs="Calibri"/>
        </w:rPr>
        <w:t>”we</w:t>
      </w:r>
      <w:proofErr w:type="spellEnd"/>
      <w:r>
        <w:rPr>
          <w:rFonts w:ascii="Calibri" w:hAnsi="Calibri" w:cs="Calibri"/>
        </w:rPr>
        <w:t xml:space="preserve"> Właściwym Okresie to suma Częstości Błędów dla każdej godziny we Właściwym Okresie podzielona przez łączną liczbę godzin we Właściwym Okresie.</w:t>
      </w:r>
    </w:p>
    <w:p w14:paraId="2724F5EF"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Częstość Błędów</w:t>
      </w:r>
      <w:r>
        <w:rPr>
          <w:rFonts w:ascii="Calibri" w:hAnsi="Calibri" w:cs="Calibri"/>
        </w:rPr>
        <w:t>” to łączna liczba Żądań Zakończonych Niepowodzeniem podzielona przez Łączną Liczbę Żądań Usługi Wyszukiwania w danym jednogodzinnym przedziale. Jeśli Łączna Liczba Żądań w danym jednogodzinnym przedziale wynosi zero, Częstość Błędów dla tego przedziału wynosi 0%.</w:t>
      </w:r>
    </w:p>
    <w:p w14:paraId="4FFB9901"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Żądania Nieuwzględnione</w:t>
      </w:r>
      <w:r>
        <w:rPr>
          <w:rFonts w:ascii="Calibri" w:hAnsi="Calibri" w:cs="Calibri"/>
        </w:rPr>
        <w:t>” to wszystkie żądania ograniczone z powodu wyczerpania zasobów przydzielonych dla Wystąpienia Usługi Wyszukiwania, o czym informuje kod stanu HTTP 503 i nagłówek odpowiedzi wskazujący na ograniczenie żądania.</w:t>
      </w:r>
    </w:p>
    <w:p w14:paraId="0229AAA3"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Żądania Zakończone Niepowodzeniem</w:t>
      </w:r>
      <w:r>
        <w:rPr>
          <w:rFonts w:ascii="Calibri" w:hAnsi="Calibri" w:cs="Calibri"/>
        </w:rPr>
        <w:t>” to zbiór wszystkich żądań w ramach Łącznej Liczby Żądań, które nie zwracają albo Kodu Sukcesu, albo odpowiedzi HTTP 4xx.</w:t>
      </w:r>
    </w:p>
    <w:p w14:paraId="1383D894"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Replika</w:t>
      </w:r>
      <w:r>
        <w:rPr>
          <w:rFonts w:ascii="Calibri" w:hAnsi="Calibri" w:cs="Calibri"/>
        </w:rPr>
        <w:t>” to kopia indeksu wyszukiwania w ramach Wystąpienia Usługi Wyszukiwania.</w:t>
      </w:r>
    </w:p>
    <w:p w14:paraId="4418636F"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Wystąpienie Usługi Wyszukiwania</w:t>
      </w:r>
      <w:r>
        <w:rPr>
          <w:rFonts w:ascii="Calibri" w:hAnsi="Calibri" w:cs="Calibri"/>
        </w:rPr>
        <w:t xml:space="preserve">” to wystąpienie usługi </w:t>
      </w:r>
      <w:proofErr w:type="spellStart"/>
      <w:r>
        <w:rPr>
          <w:rFonts w:ascii="Calibri" w:hAnsi="Calibri" w:cs="Calibri"/>
        </w:rPr>
        <w:t>Azure</w:t>
      </w:r>
      <w:proofErr w:type="spellEnd"/>
      <w:r>
        <w:rPr>
          <w:rFonts w:ascii="Calibri" w:hAnsi="Calibri" w:cs="Calibri"/>
        </w:rPr>
        <w:t xml:space="preserve"> </w:t>
      </w:r>
      <w:proofErr w:type="spellStart"/>
      <w:r>
        <w:rPr>
          <w:rFonts w:ascii="Calibri" w:hAnsi="Calibri" w:cs="Calibri"/>
        </w:rPr>
        <w:t>Search</w:t>
      </w:r>
      <w:proofErr w:type="spellEnd"/>
      <w:r>
        <w:rPr>
          <w:rFonts w:ascii="Calibri" w:hAnsi="Calibri" w:cs="Calibri"/>
        </w:rPr>
        <w:t xml:space="preserve"> zawierające co najmniej jeden indeks wyszukiwania.</w:t>
      </w:r>
    </w:p>
    <w:p w14:paraId="76AB769B" w14:textId="77777777" w:rsidR="00F519A2" w:rsidRPr="00EA71CE" w:rsidRDefault="00F519A2" w:rsidP="00F519A2">
      <w:pPr>
        <w:pStyle w:val="ProductList-Body"/>
        <w:rPr>
          <w:rFonts w:ascii="Calibri" w:hAnsi="Calibri" w:cs="Calibri"/>
        </w:rPr>
      </w:pPr>
      <w:r>
        <w:rPr>
          <w:rFonts w:ascii="Calibri" w:hAnsi="Calibri" w:cs="Calibri"/>
        </w:rPr>
        <w:t>„</w:t>
      </w:r>
      <w:r>
        <w:rPr>
          <w:rFonts w:ascii="Calibri" w:hAnsi="Calibri" w:cs="Calibri"/>
          <w:b/>
          <w:color w:val="00188F"/>
        </w:rPr>
        <w:t>Łączna Liczba Żądań</w:t>
      </w:r>
      <w:r>
        <w:rPr>
          <w:rFonts w:ascii="Calibri" w:hAnsi="Calibri" w:cs="Calibri"/>
        </w:rPr>
        <w:t>” to zbiór (i) wszystkich żądań aktualizacji Wystąpienia Usługi Wyszukiwania, która zawiera co najmniej trzy Repliki oraz (ii) wszystkich żądań wysłania zapytania do Wystąpienia Usługi Wyszukiwania która zawiera co najmniej dwie Repliki z wyjątkiem Żądań Nieuwzględnionych, w ramach jednogodzinnego przedziału we Właściwym Okresie.</w:t>
      </w:r>
    </w:p>
    <w:p w14:paraId="376FF54B" w14:textId="29E324F0" w:rsidR="00014752" w:rsidRDefault="00AC48A7" w:rsidP="00014752">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5D22056D" w14:textId="77777777" w:rsidR="00014752" w:rsidRPr="00EF7CF9" w:rsidRDefault="00014752" w:rsidP="00014752">
      <w:pPr>
        <w:pStyle w:val="ProductList-Body"/>
      </w:pPr>
    </w:p>
    <w:p w14:paraId="7D3715DD" w14:textId="0E4664C0" w:rsidR="00014752" w:rsidRPr="00272B37" w:rsidRDefault="00272B37" w:rsidP="00014752">
      <w:pPr>
        <w:rPr>
          <w:rFonts w:ascii="Cambria Math" w:hAnsi="Cambria Math" w:cs="Tahoma"/>
          <w:i/>
          <w:color w:val="000000" w:themeColor="text1"/>
          <w:sz w:val="18"/>
          <w:szCs w:val="18"/>
        </w:rPr>
      </w:pPr>
      <m:oMathPara>
        <m:oMath>
          <m:r>
            <w:rPr>
              <w:rFonts w:ascii="Cambria Math" w:hAnsi="Cambria Math" w:cs="Tahoma"/>
              <w:color w:val="000000" w:themeColor="text1"/>
              <w:sz w:val="18"/>
              <w:szCs w:val="18"/>
            </w:rPr>
            <m:t>100% -</m:t>
          </m:r>
          <m:r>
            <m:rPr>
              <m:nor/>
            </m:rPr>
            <w:rPr>
              <w:rFonts w:ascii="Cambria Math" w:hAnsi="Cambria Math" w:cs="Tahoma"/>
              <w:i/>
              <w:color w:val="000000" w:themeColor="text1"/>
              <w:sz w:val="18"/>
              <w:szCs w:val="18"/>
            </w:rPr>
            <m:t xml:space="preserve"> Średnia Częstość Błędów</m:t>
          </m:r>
        </m:oMath>
      </m:oMathPara>
    </w:p>
    <w:p w14:paraId="454EB55F" w14:textId="77777777" w:rsidR="00014752" w:rsidRPr="00EF7CF9" w:rsidRDefault="00014752" w:rsidP="00014752">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14752" w:rsidRPr="00B44CF9" w14:paraId="291955D2" w14:textId="77777777" w:rsidTr="00277097">
        <w:trPr>
          <w:tblHeader/>
        </w:trPr>
        <w:tc>
          <w:tcPr>
            <w:tcW w:w="5400" w:type="dxa"/>
            <w:shd w:val="clear" w:color="auto" w:fill="0072C6"/>
          </w:tcPr>
          <w:p w14:paraId="7790E18A" w14:textId="0A0CC243" w:rsidR="00014752"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C2957C8" w14:textId="77777777" w:rsidR="00014752" w:rsidRPr="00EF7CF9" w:rsidRDefault="00014752" w:rsidP="000F31B4">
            <w:pPr>
              <w:pStyle w:val="ProductList-OfferingBody"/>
              <w:jc w:val="center"/>
              <w:rPr>
                <w:color w:val="FFFFFF" w:themeColor="background1"/>
              </w:rPr>
            </w:pPr>
            <w:r>
              <w:rPr>
                <w:color w:val="FFFFFF" w:themeColor="background1"/>
              </w:rPr>
              <w:t>Środki Serwisowe na Używanie Usług</w:t>
            </w:r>
          </w:p>
        </w:tc>
      </w:tr>
      <w:tr w:rsidR="00014752" w:rsidRPr="00B44CF9" w14:paraId="22B19702" w14:textId="77777777" w:rsidTr="00277097">
        <w:tc>
          <w:tcPr>
            <w:tcW w:w="5400" w:type="dxa"/>
          </w:tcPr>
          <w:p w14:paraId="4BFE1BAD" w14:textId="77777777" w:rsidR="00014752" w:rsidRPr="00EF7CF9" w:rsidRDefault="00014752" w:rsidP="000F31B4">
            <w:pPr>
              <w:pStyle w:val="ProductList-OfferingBody"/>
              <w:jc w:val="center"/>
            </w:pPr>
            <w:r>
              <w:t>&lt; 99,9%</w:t>
            </w:r>
          </w:p>
        </w:tc>
        <w:tc>
          <w:tcPr>
            <w:tcW w:w="5400" w:type="dxa"/>
          </w:tcPr>
          <w:p w14:paraId="6E789323" w14:textId="77777777" w:rsidR="00014752" w:rsidRPr="00EF7CF9" w:rsidRDefault="00014752" w:rsidP="000F31B4">
            <w:pPr>
              <w:pStyle w:val="ProductList-OfferingBody"/>
              <w:jc w:val="center"/>
            </w:pPr>
            <w:r>
              <w:t>10%</w:t>
            </w:r>
          </w:p>
        </w:tc>
      </w:tr>
      <w:tr w:rsidR="00014752" w:rsidRPr="00B44CF9" w14:paraId="01A3B8D8" w14:textId="77777777" w:rsidTr="00277097">
        <w:tc>
          <w:tcPr>
            <w:tcW w:w="5400" w:type="dxa"/>
          </w:tcPr>
          <w:p w14:paraId="11FAF3C8" w14:textId="77777777" w:rsidR="00014752" w:rsidRPr="00EF7CF9" w:rsidRDefault="00014752" w:rsidP="000F31B4">
            <w:pPr>
              <w:pStyle w:val="ProductList-OfferingBody"/>
              <w:jc w:val="center"/>
            </w:pPr>
            <w:r>
              <w:t>&lt; 99%</w:t>
            </w:r>
          </w:p>
        </w:tc>
        <w:tc>
          <w:tcPr>
            <w:tcW w:w="5400" w:type="dxa"/>
          </w:tcPr>
          <w:p w14:paraId="63670124" w14:textId="77777777" w:rsidR="00014752" w:rsidRPr="00EF7CF9" w:rsidRDefault="00014752" w:rsidP="000F31B4">
            <w:pPr>
              <w:pStyle w:val="ProductList-OfferingBody"/>
              <w:jc w:val="center"/>
            </w:pPr>
            <w:r>
              <w:t>25%</w:t>
            </w:r>
          </w:p>
        </w:tc>
      </w:tr>
    </w:tbl>
    <w:p w14:paraId="2FF0D8F5" w14:textId="3D4D6448" w:rsidR="00014752" w:rsidRPr="00EF7CF9" w:rsidRDefault="00C71F89" w:rsidP="0001475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39E6CD6" w14:textId="77777777" w:rsidR="00893BA6" w:rsidRPr="00C51C89" w:rsidRDefault="00893BA6" w:rsidP="00893BA6">
      <w:pPr>
        <w:pStyle w:val="ProductList-Offering2Heading"/>
        <w:keepNext/>
        <w:tabs>
          <w:tab w:val="clear" w:pos="360"/>
          <w:tab w:val="clear" w:pos="720"/>
          <w:tab w:val="clear" w:pos="1080"/>
        </w:tabs>
        <w:spacing w:before="0" w:after="0"/>
        <w:outlineLvl w:val="2"/>
        <w:rPr>
          <w:rFonts w:ascii="Calibri Light" w:hAnsi="Calibri Light" w:cs="Calibri Light"/>
        </w:rPr>
      </w:pPr>
      <w:bookmarkStart w:id="181" w:name="_Toc468346589"/>
      <w:bookmarkStart w:id="182" w:name="MicrosoftCognitiveServices"/>
      <w:bookmarkStart w:id="183" w:name="_Toc52348972"/>
      <w:bookmarkStart w:id="184" w:name="_Toc189572817"/>
      <w:bookmarkStart w:id="185" w:name="_Toc239174979"/>
      <w:r>
        <w:rPr>
          <w:rFonts w:ascii="Calibri Light" w:hAnsi="Calibri Light" w:cs="Calibri Light"/>
        </w:rPr>
        <w:t xml:space="preserve">Usługi </w:t>
      </w:r>
      <w:proofErr w:type="spellStart"/>
      <w:r>
        <w:rPr>
          <w:rFonts w:ascii="Calibri Light" w:hAnsi="Calibri Light" w:cs="Calibri Light"/>
        </w:rPr>
        <w:t>Azure</w:t>
      </w:r>
      <w:proofErr w:type="spellEnd"/>
      <w:r>
        <w:rPr>
          <w:rFonts w:ascii="Calibri Light" w:hAnsi="Calibri Light" w:cs="Calibri Light"/>
        </w:rPr>
        <w:t xml:space="preserve"> AI Services</w:t>
      </w:r>
      <w:bookmarkEnd w:id="181"/>
      <w:bookmarkEnd w:id="182"/>
      <w:bookmarkEnd w:id="183"/>
      <w:bookmarkEnd w:id="184"/>
      <w:bookmarkEnd w:id="185"/>
    </w:p>
    <w:p w14:paraId="42DC8CF4" w14:textId="77777777" w:rsidR="00FE45CF" w:rsidRPr="00EF7CF9" w:rsidRDefault="00FE45CF" w:rsidP="00FE45CF">
      <w:pPr>
        <w:pStyle w:val="ProductList-Body"/>
      </w:pPr>
      <w:r>
        <w:rPr>
          <w:b/>
          <w:color w:val="00188F"/>
        </w:rPr>
        <w:t>Dodatkowe definicje</w:t>
      </w:r>
      <w:r w:rsidRPr="007B038A">
        <w:rPr>
          <w:b/>
          <w:color w:val="00188F"/>
        </w:rPr>
        <w:t>:</w:t>
      </w:r>
    </w:p>
    <w:p w14:paraId="13975838" w14:textId="77777777" w:rsidR="00E073AE" w:rsidRPr="00143BDB" w:rsidRDefault="00E073AE" w:rsidP="00E073AE">
      <w:pPr>
        <w:pStyle w:val="NormalWeb"/>
        <w:spacing w:before="0" w:beforeAutospacing="0" w:after="0" w:afterAutospacing="0"/>
        <w:rPr>
          <w:rFonts w:ascii="Calibri" w:eastAsiaTheme="minorHAnsi" w:hAnsi="Calibri" w:cs="Calibri"/>
          <w:sz w:val="18"/>
          <w:szCs w:val="18"/>
        </w:rPr>
      </w:pPr>
      <w:r w:rsidRPr="00F84ABE">
        <w:rPr>
          <w:rFonts w:ascii="Calibri" w:eastAsia="Aptos" w:hAnsi="Calibri" w:cs="Calibri"/>
          <w:b/>
          <w:color w:val="00188F"/>
          <w:kern w:val="2"/>
          <w:sz w:val="18"/>
          <w:szCs w:val="18"/>
        </w:rPr>
        <w:t xml:space="preserve">„Łączna Liczba Prób Transakcji” </w:t>
      </w:r>
      <w:r>
        <w:rPr>
          <w:rFonts w:ascii="Calibri" w:eastAsiaTheme="minorHAnsi" w:hAnsi="Calibri" w:cs="Calibri"/>
          <w:sz w:val="18"/>
          <w:szCs w:val="18"/>
        </w:rPr>
        <w:t xml:space="preserve">to łączna liczba uwierzytelnionych żądań interfejsu API Klienta we Właściwym Okresie dla danego interfejsu API usługi </w:t>
      </w:r>
      <w:proofErr w:type="spellStart"/>
      <w:r>
        <w:rPr>
          <w:rFonts w:ascii="Calibri" w:eastAsiaTheme="minorHAnsi" w:hAnsi="Calibri" w:cs="Calibri"/>
          <w:sz w:val="18"/>
          <w:szCs w:val="18"/>
        </w:rPr>
        <w:t>Foundry</w:t>
      </w:r>
      <w:proofErr w:type="spellEnd"/>
      <w:r>
        <w:rPr>
          <w:rFonts w:ascii="Calibri" w:eastAsiaTheme="minorHAnsi" w:hAnsi="Calibri" w:cs="Calibri"/>
          <w:sz w:val="18"/>
          <w:szCs w:val="18"/>
        </w:rPr>
        <w:t xml:space="preserve"> Tools. Łączna Liczba Prób Transakcji nie obejmuje żądań interfejsu API zwracających Kod Błędu, które są stale powtarzane w ciągu pięciu minut od otrzymania pierwszego Kodu Błędu.</w:t>
      </w:r>
    </w:p>
    <w:p w14:paraId="3020185D" w14:textId="77777777" w:rsidR="00E073AE" w:rsidRDefault="00E073AE" w:rsidP="00E073AE">
      <w:pPr>
        <w:pStyle w:val="NormalWeb"/>
        <w:spacing w:before="0" w:beforeAutospacing="0" w:after="0" w:afterAutospacing="0"/>
        <w:rPr>
          <w:rFonts w:ascii="Calibri" w:eastAsiaTheme="minorHAnsi" w:hAnsi="Calibri" w:cs="Calibri"/>
          <w:sz w:val="18"/>
          <w:szCs w:val="18"/>
        </w:rPr>
      </w:pPr>
      <w:r w:rsidRPr="00F84ABE">
        <w:rPr>
          <w:rFonts w:ascii="Calibri" w:eastAsia="Aptos" w:hAnsi="Calibri" w:cs="Calibri"/>
          <w:b/>
          <w:color w:val="00188F"/>
          <w:kern w:val="2"/>
          <w:sz w:val="18"/>
          <w:szCs w:val="18"/>
        </w:rPr>
        <w:t xml:space="preserve">„Transakcje Zakończone Niepowodzeniem” </w:t>
      </w:r>
      <w:r>
        <w:rPr>
          <w:rFonts w:ascii="Calibri" w:eastAsiaTheme="minorHAnsi" w:hAnsi="Calibri" w:cs="Calibri"/>
          <w:sz w:val="18"/>
          <w:szCs w:val="18"/>
        </w:rPr>
        <w:t xml:space="preserve">to zbiór wszystkich żądań skierowanych do interfejsu API usługi </w:t>
      </w:r>
      <w:proofErr w:type="spellStart"/>
      <w:r>
        <w:rPr>
          <w:rFonts w:ascii="Calibri" w:eastAsiaTheme="minorHAnsi" w:hAnsi="Calibri" w:cs="Calibri"/>
          <w:sz w:val="18"/>
          <w:szCs w:val="18"/>
        </w:rPr>
        <w:t>Foundry</w:t>
      </w:r>
      <w:proofErr w:type="spellEnd"/>
      <w:r>
        <w:rPr>
          <w:rFonts w:ascii="Calibri" w:eastAsiaTheme="minorHAnsi" w:hAnsi="Calibri" w:cs="Calibri"/>
          <w:sz w:val="18"/>
          <w:szCs w:val="18"/>
        </w:rPr>
        <w:t xml:space="preserve"> Tools w ramach Łącznej Liczby Prób Transakcji, które zwracają Kod Błędu. Próby Transakcji Zakończone Niepowodzeniem nie obejmują żądań interfejsu API zwracających Kod Błędu, które są stale powtarzane w ciągu pięciu minut od otrzymania pierwszego Kodu Błędu.</w:t>
      </w:r>
    </w:p>
    <w:p w14:paraId="68214898" w14:textId="77777777" w:rsidR="00784DEC" w:rsidRPr="00C51C89" w:rsidRDefault="00784DEC" w:rsidP="00C33532">
      <w:pPr>
        <w:pStyle w:val="NormalWeb"/>
        <w:spacing w:before="0" w:beforeAutospacing="0" w:after="0" w:afterAutospacing="0"/>
        <w:rPr>
          <w:rFonts w:ascii="Calibri" w:eastAsiaTheme="minorHAnsi" w:hAnsi="Calibri" w:cs="Calibri"/>
          <w:sz w:val="18"/>
          <w:szCs w:val="18"/>
        </w:rPr>
      </w:pPr>
      <w:r w:rsidRPr="00820D3E">
        <w:rPr>
          <w:rFonts w:ascii="Calibri" w:eastAsiaTheme="minorHAnsi" w:hAnsi="Calibri" w:cs="Calibri"/>
          <w:b/>
          <w:color w:val="00188F"/>
          <w:sz w:val="18"/>
          <w:szCs w:val="18"/>
        </w:rPr>
        <w:t>„</w:t>
      </w:r>
      <w:r>
        <w:rPr>
          <w:rFonts w:ascii="Calibri" w:eastAsiaTheme="minorHAnsi" w:hAnsi="Calibri" w:cs="Calibri"/>
          <w:b/>
          <w:color w:val="00188F"/>
          <w:sz w:val="18"/>
          <w:szCs w:val="18"/>
        </w:rPr>
        <w:t>Procent Czasu Sprawnego Działania</w:t>
      </w:r>
      <w:r w:rsidRPr="00820D3E">
        <w:rPr>
          <w:rFonts w:ascii="Calibri" w:eastAsiaTheme="minorHAnsi" w:hAnsi="Calibri" w:cs="Calibri"/>
          <w:b/>
          <w:color w:val="00188F"/>
          <w:sz w:val="18"/>
          <w:szCs w:val="18"/>
        </w:rPr>
        <w:t>”</w:t>
      </w:r>
      <w:r>
        <w:rPr>
          <w:rFonts w:ascii="Calibri" w:hAnsi="Calibri" w:cs="Calibri"/>
          <w:sz w:val="18"/>
          <w:szCs w:val="18"/>
        </w:rPr>
        <w:t xml:space="preserve"> </w:t>
      </w:r>
      <w:r>
        <w:rPr>
          <w:rFonts w:ascii="Calibri" w:eastAsiaTheme="minorHAnsi" w:hAnsi="Calibri" w:cs="Calibri"/>
          <w:sz w:val="18"/>
          <w:szCs w:val="18"/>
        </w:rPr>
        <w:t>dla każdej Usługi API jest obliczany jako Łączna Liczba Prób Transakcji pomniejszona o Transakcje Zakończone Niepowodzeniem podzielona przez Łączną Liczbę Prób Transakcji we Właściwym Okresie dla danej subskrypcji API.</w:t>
      </w:r>
    </w:p>
    <w:p w14:paraId="5FEAE4C8" w14:textId="77777777" w:rsidR="00784DEC" w:rsidRPr="00C51C89" w:rsidRDefault="00784DEC" w:rsidP="00C33532">
      <w:pPr>
        <w:pStyle w:val="NormalWeb"/>
        <w:spacing w:before="0" w:beforeAutospacing="0" w:after="0" w:afterAutospacing="0"/>
        <w:rPr>
          <w:rFonts w:ascii="Calibri" w:hAnsi="Calibri" w:cs="Calibri"/>
          <w:sz w:val="18"/>
          <w:szCs w:val="18"/>
        </w:rPr>
      </w:pPr>
      <w:r>
        <w:rPr>
          <w:rFonts w:ascii="Calibri" w:eastAsiaTheme="minorHAnsi" w:hAnsi="Calibri" w:cs="Calibri"/>
          <w:sz w:val="18"/>
          <w:szCs w:val="18"/>
        </w:rPr>
        <w:t>Procent Czasu Sprawnego Działania przedstawia się za pomocą następującego wzoru</w:t>
      </w:r>
      <w:r>
        <w:rPr>
          <w:rFonts w:ascii="Calibri" w:hAnsi="Calibri" w:cs="Calibri"/>
          <w:sz w:val="18"/>
          <w:szCs w:val="18"/>
        </w:rPr>
        <w:t>:</w:t>
      </w:r>
    </w:p>
    <w:p w14:paraId="5157A645" w14:textId="77777777" w:rsidR="00784DEC" w:rsidRPr="00064390" w:rsidRDefault="00784DEC" w:rsidP="00C33532">
      <w:pPr>
        <w:pStyle w:val="NormalWeb"/>
        <w:spacing w:before="0" w:beforeAutospacing="0" w:after="0" w:afterAutospacing="0"/>
        <w:rPr>
          <w:rFonts w:asciiTheme="minorHAnsi" w:hAnsiTheme="minorHAnsi" w:cstheme="minorHAnsi"/>
          <w:sz w:val="18"/>
          <w:szCs w:val="18"/>
        </w:rPr>
      </w:pPr>
    </w:p>
    <w:p w14:paraId="2A928833" w14:textId="77777777" w:rsidR="00784DEC" w:rsidRPr="00EF7CF9" w:rsidRDefault="00784DEC" w:rsidP="00C33532">
      <w:pPr>
        <w:spacing w:after="0" w:line="240" w:lineRule="auto"/>
        <w:rPr>
          <w:rFonts w:ascii="Cambria Math" w:hAnsi="Cambria Math" w:cs="Tahoma"/>
          <w:i/>
          <w:color w:val="000000" w:themeColor="text1"/>
          <w:sz w:val="18"/>
          <w:szCs w:val="18"/>
        </w:rPr>
      </w:pPr>
      <m:oMathPara>
        <m:oMath>
          <m:r>
            <w:rPr>
              <w:rFonts w:ascii="Cambria Math" w:hAnsi="Cambria Math" w:cs="Tahoma"/>
              <w:sz w:val="18"/>
              <w:szCs w:val="18"/>
            </w:rPr>
            <m:t xml:space="preserve"> Miesięczny Zakres Dostępności %= </m:t>
          </m:r>
          <m:f>
            <m:fPr>
              <m:ctrlPr>
                <w:rPr>
                  <w:rFonts w:ascii="Cambria Math" w:hAnsi="Cambria Math" w:cs="Tahoma"/>
                  <w:color w:val="000000" w:themeColor="text1"/>
                  <w:sz w:val="18"/>
                  <w:szCs w:val="18"/>
                </w:rPr>
              </m:ctrlPr>
            </m:fPr>
            <m:num>
              <m:r>
                <w:rPr>
                  <w:rFonts w:ascii="Cambria Math" w:hAnsi="Cambria Math" w:cs="Tahoma"/>
                  <w:color w:val="000000" w:themeColor="text1"/>
                  <w:sz w:val="18"/>
                  <w:szCs w:val="18"/>
                </w:rPr>
                <m:t>(Łączna liczba prób transakcji - Transakcje Zakończone Niepowodzeniem)</m:t>
              </m:r>
            </m:num>
            <m:den>
              <m:r>
                <w:rPr>
                  <w:rFonts w:ascii="Cambria Math" w:hAnsi="Cambria Math" w:cs="Tahoma"/>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0BBEC37A" w14:textId="2F684BCC" w:rsidR="00784DEC" w:rsidRPr="006C1CE1" w:rsidRDefault="00784DEC" w:rsidP="006C1CE1">
      <w:pPr>
        <w:pStyle w:val="NormalWeb"/>
        <w:spacing w:before="0" w:beforeAutospacing="0" w:after="0" w:afterAutospacing="0"/>
        <w:rPr>
          <w:rFonts w:ascii="Calibri" w:hAnsi="Calibri" w:cs="Calibri"/>
          <w:sz w:val="18"/>
          <w:szCs w:val="18"/>
        </w:rPr>
      </w:pPr>
      <w:r>
        <w:rPr>
          <w:rFonts w:ascii="Calibri" w:hAnsi="Calibri" w:cs="Calibri"/>
          <w:b/>
          <w:color w:val="00188F"/>
          <w:sz w:val="18"/>
          <w:szCs w:val="18"/>
        </w:rPr>
        <w:t>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E45CF" w:rsidRPr="00B44CF9" w14:paraId="42D5AC2A" w14:textId="77777777" w:rsidTr="00277097">
        <w:trPr>
          <w:tblHeader/>
        </w:trPr>
        <w:tc>
          <w:tcPr>
            <w:tcW w:w="5400" w:type="dxa"/>
            <w:shd w:val="clear" w:color="auto" w:fill="0072C6"/>
          </w:tcPr>
          <w:p w14:paraId="6C366D13" w14:textId="5BE5DBE5" w:rsidR="00FE45CF" w:rsidRPr="00EF7CF9" w:rsidRDefault="00AC48A7" w:rsidP="00655487">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F037613" w14:textId="77777777" w:rsidR="00FE45CF" w:rsidRPr="00EF7CF9" w:rsidRDefault="00FE45CF" w:rsidP="00655487">
            <w:pPr>
              <w:pStyle w:val="ProductList-OfferingBody"/>
              <w:jc w:val="center"/>
              <w:rPr>
                <w:color w:val="FFFFFF" w:themeColor="background1"/>
              </w:rPr>
            </w:pPr>
            <w:r>
              <w:rPr>
                <w:color w:val="FFFFFF" w:themeColor="background1"/>
              </w:rPr>
              <w:t>Środki Serwisowe na Używanie Usług</w:t>
            </w:r>
          </w:p>
        </w:tc>
      </w:tr>
      <w:tr w:rsidR="00FE45CF" w:rsidRPr="00B44CF9" w14:paraId="5768936A" w14:textId="77777777" w:rsidTr="00277097">
        <w:tc>
          <w:tcPr>
            <w:tcW w:w="5400" w:type="dxa"/>
          </w:tcPr>
          <w:p w14:paraId="1A3AAB71" w14:textId="77777777" w:rsidR="00FE45CF" w:rsidRPr="00EF7CF9" w:rsidRDefault="00FE45CF" w:rsidP="00655487">
            <w:pPr>
              <w:pStyle w:val="ProductList-OfferingBody"/>
              <w:jc w:val="center"/>
            </w:pPr>
            <w:r>
              <w:t>&lt; 99,9%</w:t>
            </w:r>
          </w:p>
        </w:tc>
        <w:tc>
          <w:tcPr>
            <w:tcW w:w="5400" w:type="dxa"/>
          </w:tcPr>
          <w:p w14:paraId="57CFBBE8" w14:textId="77777777" w:rsidR="00FE45CF" w:rsidRPr="00EF7CF9" w:rsidRDefault="00FE45CF" w:rsidP="00655487">
            <w:pPr>
              <w:pStyle w:val="ProductList-OfferingBody"/>
              <w:jc w:val="center"/>
            </w:pPr>
            <w:r>
              <w:t>10%</w:t>
            </w:r>
          </w:p>
        </w:tc>
      </w:tr>
      <w:tr w:rsidR="00FE45CF" w:rsidRPr="00B44CF9" w14:paraId="130F863E" w14:textId="77777777" w:rsidTr="00277097">
        <w:tc>
          <w:tcPr>
            <w:tcW w:w="5400" w:type="dxa"/>
          </w:tcPr>
          <w:p w14:paraId="61EC2512" w14:textId="77777777" w:rsidR="00FE45CF" w:rsidRPr="00EF7CF9" w:rsidRDefault="00FE45CF" w:rsidP="00655487">
            <w:pPr>
              <w:pStyle w:val="ProductList-OfferingBody"/>
              <w:jc w:val="center"/>
            </w:pPr>
            <w:r>
              <w:t>&lt; 99%</w:t>
            </w:r>
          </w:p>
        </w:tc>
        <w:tc>
          <w:tcPr>
            <w:tcW w:w="5400" w:type="dxa"/>
          </w:tcPr>
          <w:p w14:paraId="3B56FC08" w14:textId="77777777" w:rsidR="00FE45CF" w:rsidRPr="00EF7CF9" w:rsidRDefault="00FE45CF" w:rsidP="00655487">
            <w:pPr>
              <w:pStyle w:val="ProductList-OfferingBody"/>
              <w:jc w:val="center"/>
            </w:pPr>
            <w:r>
              <w:t>25%</w:t>
            </w:r>
          </w:p>
        </w:tc>
      </w:tr>
    </w:tbl>
    <w:p w14:paraId="37A5D2B9" w14:textId="77777777" w:rsidR="004D140E" w:rsidRPr="002473A1" w:rsidRDefault="004D140E" w:rsidP="006C1CE1">
      <w:pPr>
        <w:spacing w:before="120" w:after="0" w:line="240" w:lineRule="auto"/>
        <w:rPr>
          <w:rFonts w:cstheme="minorHAnsi"/>
          <w:sz w:val="18"/>
          <w:szCs w:val="18"/>
        </w:rPr>
      </w:pPr>
      <w:r>
        <w:rPr>
          <w:rFonts w:ascii="Calibri" w:eastAsia="Calibri" w:hAnsi="Calibri" w:cs="Calibri"/>
          <w:b/>
          <w:bCs/>
          <w:color w:val="00188F"/>
          <w:sz w:val="18"/>
          <w:szCs w:val="18"/>
        </w:rPr>
        <w:t>Wyjątki dotyczące Poziomu Usługi</w:t>
      </w:r>
      <w:r>
        <w:rPr>
          <w:rFonts w:ascii="Calibri" w:eastAsia="Calibri" w:hAnsi="Calibri" w:cs="Calibri"/>
          <w:sz w:val="18"/>
          <w:szCs w:val="18"/>
        </w:rPr>
        <w:t xml:space="preserve">. </w:t>
      </w:r>
      <w:r>
        <w:rPr>
          <w:rFonts w:cstheme="minorHAnsi"/>
          <w:sz w:val="18"/>
          <w:szCs w:val="18"/>
        </w:rPr>
        <w:t xml:space="preserve">Do Usługi </w:t>
      </w:r>
      <w:proofErr w:type="spellStart"/>
      <w:r>
        <w:rPr>
          <w:rFonts w:cstheme="minorHAnsi"/>
          <w:sz w:val="18"/>
          <w:szCs w:val="18"/>
        </w:rPr>
        <w:t>Azure</w:t>
      </w:r>
      <w:proofErr w:type="spellEnd"/>
      <w:r>
        <w:rPr>
          <w:rFonts w:cstheme="minorHAnsi"/>
          <w:sz w:val="18"/>
          <w:szCs w:val="18"/>
        </w:rPr>
        <w:t xml:space="preserve"> </w:t>
      </w:r>
      <w:proofErr w:type="spellStart"/>
      <w:r>
        <w:rPr>
          <w:rFonts w:cstheme="minorHAnsi"/>
          <w:sz w:val="18"/>
          <w:szCs w:val="18"/>
        </w:rPr>
        <w:t>OpenAI</w:t>
      </w:r>
      <w:proofErr w:type="spellEnd"/>
      <w:r>
        <w:rPr>
          <w:rFonts w:cstheme="minorHAnsi"/>
          <w:sz w:val="18"/>
          <w:szCs w:val="18"/>
        </w:rPr>
        <w:t xml:space="preserve"> Service ma zastosowanie odrębna umowa SLA.</w:t>
      </w:r>
      <w:r>
        <w:rPr>
          <w:rFonts w:ascii="Times New Roman" w:hAnsi="Times New Roman" w:cs="Times New Roman"/>
          <w:sz w:val="24"/>
          <w:szCs w:val="24"/>
        </w:rPr>
        <w:t xml:space="preserve"> </w:t>
      </w:r>
    </w:p>
    <w:p w14:paraId="0F9C0D40" w14:textId="249D8EF7" w:rsidR="00FE45CF" w:rsidRPr="00EF7CF9" w:rsidRDefault="00C71F89" w:rsidP="00FE45C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063A3D5" w14:textId="7F1C8748" w:rsidR="00175814" w:rsidRPr="00B6541B" w:rsidRDefault="00175814" w:rsidP="00175814">
      <w:pPr>
        <w:pStyle w:val="ProductList-Offering2Heading"/>
        <w:keepNext/>
        <w:tabs>
          <w:tab w:val="clear" w:pos="360"/>
          <w:tab w:val="clear" w:pos="720"/>
          <w:tab w:val="clear" w:pos="1080"/>
        </w:tabs>
        <w:spacing w:before="0" w:after="0"/>
        <w:outlineLvl w:val="2"/>
      </w:pPr>
      <w:bookmarkStart w:id="186" w:name="_Toc239174980"/>
      <w:proofErr w:type="spellStart"/>
      <w:r>
        <w:t>Azure</w:t>
      </w:r>
      <w:proofErr w:type="spellEnd"/>
      <w:r>
        <w:t xml:space="preserve"> </w:t>
      </w:r>
      <w:proofErr w:type="spellStart"/>
      <w:r>
        <w:t>Communication</w:t>
      </w:r>
      <w:proofErr w:type="spellEnd"/>
      <w:r>
        <w:t xml:space="preserve"> Gateway</w:t>
      </w:r>
      <w:bookmarkEnd w:id="186"/>
    </w:p>
    <w:p w14:paraId="590B504A" w14:textId="77777777" w:rsidR="00B2013C" w:rsidRPr="00381145" w:rsidRDefault="00B2013C" w:rsidP="00B2013C">
      <w:pPr>
        <w:pStyle w:val="ProductList-Body"/>
        <w:rPr>
          <w:b/>
          <w:color w:val="00188F"/>
          <w:szCs w:val="18"/>
        </w:rPr>
      </w:pPr>
      <w:r w:rsidRPr="00381145">
        <w:rPr>
          <w:b/>
          <w:color w:val="00188F"/>
          <w:szCs w:val="18"/>
        </w:rPr>
        <w:t>Dodatkowe definicje</w:t>
      </w:r>
    </w:p>
    <w:p w14:paraId="22141E65" w14:textId="77777777" w:rsidR="00B2013C" w:rsidRPr="00381145"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381145">
        <w:rPr>
          <w:rFonts w:asciiTheme="minorHAnsi" w:eastAsiaTheme="minorHAnsi" w:hAnsiTheme="minorHAnsi" w:cstheme="minorBidi"/>
          <w:sz w:val="18"/>
          <w:szCs w:val="18"/>
        </w:rPr>
        <w:t>„</w:t>
      </w:r>
      <w:r w:rsidRPr="00381145">
        <w:rPr>
          <w:rFonts w:asciiTheme="minorHAnsi" w:eastAsiaTheme="minorEastAsia" w:hAnsiTheme="minorHAnsi" w:cstheme="minorBidi"/>
          <w:b/>
          <w:color w:val="00188F"/>
          <w:sz w:val="18"/>
          <w:szCs w:val="18"/>
        </w:rPr>
        <w:t>Przypisany Numer Telefonu</w:t>
      </w:r>
      <w:r w:rsidRPr="00381145">
        <w:rPr>
          <w:rFonts w:asciiTheme="minorHAnsi" w:eastAsiaTheme="minorHAnsi" w:hAnsiTheme="minorHAnsi" w:cstheme="minorBidi"/>
          <w:sz w:val="18"/>
          <w:szCs w:val="18"/>
        </w:rPr>
        <w:t xml:space="preserve">” </w:t>
      </w:r>
      <w:r w:rsidRPr="00381145">
        <w:rPr>
          <w:rFonts w:asciiTheme="minorHAnsi" w:eastAsiaTheme="minorEastAsia" w:hAnsiTheme="minorHAnsi" w:cstheme="minorBidi"/>
          <w:sz w:val="18"/>
          <w:szCs w:val="18"/>
        </w:rPr>
        <w:t>to numer telefonu spełniający wszystkie poniższe kryteria:</w:t>
      </w:r>
    </w:p>
    <w:p w14:paraId="78DED7AA" w14:textId="77777777" w:rsidR="00B2013C" w:rsidRPr="00381145" w:rsidRDefault="00B2013C" w:rsidP="00DB4449">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18"/>
        </w:rPr>
      </w:pPr>
      <w:r w:rsidRPr="00381145">
        <w:rPr>
          <w:rFonts w:asciiTheme="minorHAnsi" w:eastAsiaTheme="minorHAnsi" w:hAnsiTheme="minorHAnsi" w:cstheme="minorBidi"/>
          <w:sz w:val="18"/>
          <w:szCs w:val="18"/>
        </w:rPr>
        <w:t xml:space="preserve">Został udostępniony w środowisku usługi Operator Connect lub </w:t>
      </w:r>
      <w:proofErr w:type="spellStart"/>
      <w:r w:rsidRPr="00381145">
        <w:rPr>
          <w:rFonts w:asciiTheme="minorHAnsi" w:eastAsiaTheme="minorHAnsi" w:hAnsiTheme="minorHAnsi" w:cstheme="minorBidi"/>
          <w:sz w:val="18"/>
          <w:szCs w:val="18"/>
        </w:rPr>
        <w:t>Teams</w:t>
      </w:r>
      <w:proofErr w:type="spellEnd"/>
      <w:r w:rsidRPr="00381145">
        <w:rPr>
          <w:rFonts w:asciiTheme="minorHAnsi" w:eastAsiaTheme="minorHAnsi" w:hAnsiTheme="minorHAnsi" w:cstheme="minorBidi"/>
          <w:sz w:val="18"/>
          <w:szCs w:val="18"/>
        </w:rPr>
        <w:t xml:space="preserve"> Phone Mobile.</w:t>
      </w:r>
    </w:p>
    <w:p w14:paraId="18047FD5" w14:textId="77777777" w:rsidR="00B2013C" w:rsidRPr="00381145" w:rsidRDefault="00B2013C" w:rsidP="00DB4449">
      <w:pPr>
        <w:pStyle w:val="xmsolistparagraph"/>
        <w:numPr>
          <w:ilvl w:val="0"/>
          <w:numId w:val="18"/>
        </w:numPr>
        <w:shd w:val="clear" w:color="auto" w:fill="FFFFFF"/>
        <w:spacing w:before="0" w:beforeAutospacing="0" w:after="0" w:afterAutospacing="0"/>
        <w:rPr>
          <w:rFonts w:asciiTheme="minorHAnsi" w:eastAsiaTheme="minorHAnsi" w:hAnsiTheme="minorHAnsi" w:cstheme="minorBidi"/>
          <w:sz w:val="18"/>
          <w:szCs w:val="18"/>
        </w:rPr>
      </w:pPr>
      <w:r w:rsidRPr="00381145">
        <w:rPr>
          <w:rFonts w:asciiTheme="minorHAnsi" w:eastAsiaTheme="minorHAnsi" w:hAnsiTheme="minorHAnsi" w:cstheme="minorBidi"/>
          <w:sz w:val="18"/>
          <w:szCs w:val="18"/>
        </w:rPr>
        <w:t xml:space="preserve">Został skonfigurowany, by zapewnić łączność w ramach usługi </w:t>
      </w:r>
      <w:proofErr w:type="spellStart"/>
      <w:r w:rsidRPr="00381145">
        <w:rPr>
          <w:rFonts w:asciiTheme="minorHAnsi" w:eastAsiaTheme="minorHAnsi" w:hAnsiTheme="minorHAnsi" w:cstheme="minorBidi"/>
          <w:sz w:val="18"/>
          <w:szCs w:val="18"/>
        </w:rPr>
        <w:t>Azure</w:t>
      </w:r>
      <w:proofErr w:type="spellEnd"/>
      <w:r w:rsidRPr="00381145">
        <w:rPr>
          <w:rFonts w:asciiTheme="minorHAnsi" w:eastAsiaTheme="minorHAnsi" w:hAnsiTheme="minorHAnsi" w:cstheme="minorBidi"/>
          <w:sz w:val="18"/>
          <w:szCs w:val="18"/>
        </w:rPr>
        <w:t xml:space="preserve"> Communications Gateway.</w:t>
      </w:r>
    </w:p>
    <w:p w14:paraId="7FA8D795" w14:textId="77777777" w:rsidR="00B2013C" w:rsidRPr="00381145" w:rsidRDefault="00B2013C" w:rsidP="00DB4449">
      <w:pPr>
        <w:pStyle w:val="xmsolistparagraph"/>
        <w:numPr>
          <w:ilvl w:val="0"/>
          <w:numId w:val="18"/>
        </w:numPr>
        <w:shd w:val="clear" w:color="auto" w:fill="FFFFFF" w:themeFill="background1"/>
        <w:spacing w:before="0" w:beforeAutospacing="0" w:after="0" w:afterAutospacing="0"/>
        <w:rPr>
          <w:rFonts w:asciiTheme="minorHAnsi" w:eastAsiaTheme="minorHAnsi" w:hAnsiTheme="minorHAnsi" w:cstheme="minorBidi"/>
          <w:sz w:val="18"/>
          <w:szCs w:val="18"/>
        </w:rPr>
      </w:pPr>
      <w:r w:rsidRPr="00381145">
        <w:rPr>
          <w:rFonts w:asciiTheme="minorHAnsi" w:eastAsiaTheme="minorHAnsi" w:hAnsiTheme="minorHAnsi" w:cstheme="minorBidi"/>
          <w:sz w:val="18"/>
          <w:szCs w:val="18"/>
        </w:rPr>
        <w:t xml:space="preserve">W środowisku usługi Operator Connect lub </w:t>
      </w:r>
      <w:proofErr w:type="spellStart"/>
      <w:r w:rsidRPr="00381145">
        <w:rPr>
          <w:rFonts w:asciiTheme="minorHAnsi" w:eastAsiaTheme="minorHAnsi" w:hAnsiTheme="minorHAnsi" w:cstheme="minorBidi"/>
          <w:sz w:val="18"/>
          <w:szCs w:val="18"/>
        </w:rPr>
        <w:t>Teams</w:t>
      </w:r>
      <w:proofErr w:type="spellEnd"/>
      <w:r w:rsidRPr="00381145">
        <w:rPr>
          <w:rFonts w:asciiTheme="minorHAnsi" w:eastAsiaTheme="minorHAnsi" w:hAnsiTheme="minorHAnsi" w:cstheme="minorBidi"/>
          <w:sz w:val="18"/>
          <w:szCs w:val="18"/>
        </w:rPr>
        <w:t xml:space="preserve"> Phone Mobile ma status numeru przypisanego. Obejmuje to m.in. przypisanie do użytkowników, mostków konferencyjnych, Aplikacji głosowych </w:t>
      </w:r>
      <w:proofErr w:type="spellStart"/>
      <w:r w:rsidRPr="00381145">
        <w:rPr>
          <w:rFonts w:asciiTheme="minorHAnsi" w:eastAsiaTheme="minorHAnsi" w:hAnsiTheme="minorHAnsi" w:cstheme="minorBidi"/>
          <w:sz w:val="18"/>
          <w:szCs w:val="18"/>
        </w:rPr>
        <w:t>iaplikacji</w:t>
      </w:r>
      <w:proofErr w:type="spellEnd"/>
      <w:r w:rsidRPr="00381145">
        <w:rPr>
          <w:rFonts w:asciiTheme="minorHAnsi" w:eastAsiaTheme="minorHAnsi" w:hAnsiTheme="minorHAnsi" w:cstheme="minorBidi"/>
          <w:sz w:val="18"/>
          <w:szCs w:val="18"/>
        </w:rPr>
        <w:t xml:space="preserve"> innych producentów.</w:t>
      </w:r>
    </w:p>
    <w:p w14:paraId="0B635ABB" w14:textId="1C31CE43" w:rsidR="00B2013C" w:rsidRPr="00381145"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18"/>
        </w:rPr>
      </w:pPr>
      <w:r w:rsidRPr="00381145">
        <w:rPr>
          <w:rFonts w:asciiTheme="minorHAnsi" w:eastAsiaTheme="minorHAnsi" w:hAnsiTheme="minorHAnsi" w:cstheme="minorBidi"/>
          <w:sz w:val="18"/>
          <w:szCs w:val="18"/>
        </w:rPr>
        <w:t>„</w:t>
      </w:r>
      <w:r w:rsidRPr="00381145">
        <w:rPr>
          <w:rFonts w:asciiTheme="minorHAnsi" w:eastAsiaTheme="minorHAnsi" w:hAnsiTheme="minorHAnsi" w:cstheme="minorBidi"/>
          <w:b/>
          <w:bCs/>
          <w:color w:val="00188F"/>
          <w:sz w:val="18"/>
          <w:szCs w:val="18"/>
        </w:rPr>
        <w:t>Przestój</w:t>
      </w:r>
      <w:r w:rsidRPr="00381145">
        <w:rPr>
          <w:rFonts w:asciiTheme="minorHAnsi" w:eastAsiaTheme="minorHAnsi" w:hAnsiTheme="minorHAnsi" w:cstheme="minorBidi"/>
          <w:sz w:val="18"/>
          <w:szCs w:val="18"/>
        </w:rPr>
        <w:t xml:space="preserve">” to dowolny okres we Właściwym Okresie dla danej Subskrypcji Microsoft </w:t>
      </w:r>
      <w:proofErr w:type="spellStart"/>
      <w:r w:rsidRPr="00381145">
        <w:rPr>
          <w:rFonts w:asciiTheme="minorHAnsi" w:eastAsiaTheme="minorHAnsi" w:hAnsiTheme="minorHAnsi" w:cstheme="minorBidi"/>
          <w:sz w:val="18"/>
          <w:szCs w:val="18"/>
        </w:rPr>
        <w:t>Azure</w:t>
      </w:r>
      <w:proofErr w:type="spellEnd"/>
      <w:r w:rsidRPr="00381145">
        <w:rPr>
          <w:rFonts w:asciiTheme="minorHAnsi" w:eastAsiaTheme="minorHAnsi" w:hAnsiTheme="minorHAnsi" w:cstheme="minorBidi"/>
          <w:sz w:val="18"/>
          <w:szCs w:val="18"/>
        </w:rPr>
        <w:t xml:space="preserve">, w którym Przypisane Numery Telefonów nie mogą inicjować ani odbierać połączeń głosowych za pośrednictwem </w:t>
      </w:r>
      <w:proofErr w:type="spellStart"/>
      <w:r w:rsidRPr="00381145">
        <w:rPr>
          <w:rFonts w:asciiTheme="minorHAnsi" w:eastAsiaTheme="minorHAnsi" w:hAnsiTheme="minorHAnsi" w:cstheme="minorBidi"/>
          <w:sz w:val="18"/>
          <w:szCs w:val="18"/>
        </w:rPr>
        <w:t>Azure</w:t>
      </w:r>
      <w:proofErr w:type="spellEnd"/>
      <w:r w:rsidRPr="00381145">
        <w:rPr>
          <w:rFonts w:asciiTheme="minorHAnsi" w:eastAsiaTheme="minorHAnsi" w:hAnsiTheme="minorHAnsi" w:cstheme="minorBidi"/>
          <w:sz w:val="18"/>
          <w:szCs w:val="18"/>
        </w:rPr>
        <w:t xml:space="preserve"> Communications Gateway.</w:t>
      </w:r>
    </w:p>
    <w:p w14:paraId="7D9C651D" w14:textId="0A53E9B1" w:rsidR="00B2013C" w:rsidRPr="00381145"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18"/>
        </w:rPr>
      </w:pPr>
      <w:r w:rsidRPr="00381145">
        <w:rPr>
          <w:rFonts w:asciiTheme="minorHAnsi" w:eastAsiaTheme="minorHAnsi" w:hAnsiTheme="minorHAnsi" w:cstheme="minorBidi"/>
          <w:sz w:val="18"/>
          <w:szCs w:val="18"/>
        </w:rPr>
        <w:t>„</w:t>
      </w:r>
      <w:r w:rsidRPr="00381145">
        <w:rPr>
          <w:rFonts w:asciiTheme="minorHAnsi" w:eastAsiaTheme="minorHAnsi" w:hAnsiTheme="minorHAnsi" w:cstheme="minorBidi"/>
          <w:b/>
          <w:bCs/>
          <w:color w:val="00188F"/>
          <w:sz w:val="18"/>
          <w:szCs w:val="18"/>
        </w:rPr>
        <w:t>Minuty Przestoju dla Numerów</w:t>
      </w:r>
      <w:r w:rsidRPr="00381145">
        <w:rPr>
          <w:rFonts w:asciiTheme="minorHAnsi" w:eastAsiaTheme="minorHAnsi" w:hAnsiTheme="minorHAnsi" w:cstheme="minorBidi"/>
          <w:sz w:val="18"/>
          <w:szCs w:val="18"/>
        </w:rPr>
        <w:t>” to suma wszystkich minut Przestoju pomnożona przez liczbę Przypisanych Numerów Telefonicznych, które nie są</w:t>
      </w:r>
      <w:r w:rsidR="004E3BEF">
        <w:rPr>
          <w:rFonts w:asciiTheme="minorHAnsi" w:eastAsiaTheme="minorHAnsi" w:hAnsiTheme="minorHAnsi" w:cstheme="minorBidi"/>
          <w:sz w:val="18"/>
          <w:szCs w:val="18"/>
        </w:rPr>
        <w:t> </w:t>
      </w:r>
      <w:r w:rsidRPr="00381145">
        <w:rPr>
          <w:rFonts w:asciiTheme="minorHAnsi" w:eastAsiaTheme="minorHAnsi" w:hAnsiTheme="minorHAnsi" w:cstheme="minorBidi"/>
          <w:sz w:val="18"/>
          <w:szCs w:val="18"/>
        </w:rPr>
        <w:t xml:space="preserve">w stanie inicjować ani odbierać połączeń głosowych za pośrednictwem usługi </w:t>
      </w:r>
      <w:proofErr w:type="spellStart"/>
      <w:r w:rsidRPr="00381145">
        <w:rPr>
          <w:rFonts w:asciiTheme="minorHAnsi" w:eastAsiaTheme="minorHAnsi" w:hAnsiTheme="minorHAnsi" w:cstheme="minorBidi"/>
          <w:sz w:val="18"/>
          <w:szCs w:val="18"/>
        </w:rPr>
        <w:t>Azure</w:t>
      </w:r>
      <w:proofErr w:type="spellEnd"/>
      <w:r w:rsidRPr="00381145">
        <w:rPr>
          <w:rFonts w:asciiTheme="minorHAnsi" w:eastAsiaTheme="minorHAnsi" w:hAnsiTheme="minorHAnsi" w:cstheme="minorBidi"/>
          <w:sz w:val="18"/>
          <w:szCs w:val="18"/>
        </w:rPr>
        <w:t xml:space="preserve"> Communications Gateway w ramach danego Przestoju. </w:t>
      </w:r>
    </w:p>
    <w:p w14:paraId="73DFF7AD" w14:textId="10373DC5" w:rsidR="00B2013C" w:rsidRPr="00381145" w:rsidRDefault="00B2013C" w:rsidP="00B2013C">
      <w:pPr>
        <w:pStyle w:val="xmsonormal"/>
        <w:shd w:val="clear" w:color="auto" w:fill="FFFFFF"/>
        <w:spacing w:before="0" w:beforeAutospacing="0" w:after="0" w:afterAutospacing="0"/>
        <w:rPr>
          <w:rFonts w:asciiTheme="minorHAnsi" w:eastAsiaTheme="minorHAnsi" w:hAnsiTheme="minorHAnsi" w:cstheme="minorBidi"/>
          <w:sz w:val="18"/>
          <w:szCs w:val="18"/>
        </w:rPr>
      </w:pPr>
      <w:r w:rsidRPr="00381145">
        <w:rPr>
          <w:rFonts w:asciiTheme="minorHAnsi" w:eastAsiaTheme="minorHAnsi" w:hAnsiTheme="minorHAnsi" w:cstheme="minorBidi"/>
          <w:sz w:val="18"/>
          <w:szCs w:val="18"/>
        </w:rPr>
        <w:t>„</w:t>
      </w:r>
      <w:r w:rsidRPr="00381145">
        <w:rPr>
          <w:rFonts w:asciiTheme="minorHAnsi" w:eastAsiaTheme="minorHAnsi" w:hAnsiTheme="minorHAnsi" w:cstheme="minorBidi"/>
          <w:b/>
          <w:bCs/>
          <w:color w:val="00188F"/>
          <w:sz w:val="18"/>
          <w:szCs w:val="18"/>
        </w:rPr>
        <w:t>Maksymalna Dostępna Liczba Minut dla Numeru</w:t>
      </w:r>
      <w:r w:rsidRPr="00381145">
        <w:rPr>
          <w:rFonts w:asciiTheme="minorHAnsi" w:eastAsiaTheme="minorHAnsi" w:hAnsiTheme="minorHAnsi" w:cstheme="minorBidi"/>
          <w:sz w:val="18"/>
          <w:szCs w:val="18"/>
        </w:rPr>
        <w:t xml:space="preserve">” to łączna liczba minut we Właściwym Okresie, w której Usługa </w:t>
      </w:r>
      <w:proofErr w:type="spellStart"/>
      <w:r w:rsidRPr="00381145">
        <w:rPr>
          <w:rFonts w:asciiTheme="minorHAnsi" w:eastAsiaTheme="minorHAnsi" w:hAnsiTheme="minorHAnsi" w:cstheme="minorBidi"/>
          <w:sz w:val="18"/>
          <w:szCs w:val="18"/>
        </w:rPr>
        <w:t>Azure</w:t>
      </w:r>
      <w:proofErr w:type="spellEnd"/>
      <w:r w:rsidRPr="00381145">
        <w:rPr>
          <w:rFonts w:asciiTheme="minorHAnsi" w:eastAsiaTheme="minorHAnsi" w:hAnsiTheme="minorHAnsi" w:cstheme="minorBidi"/>
          <w:sz w:val="18"/>
          <w:szCs w:val="18"/>
        </w:rPr>
        <w:t xml:space="preserve"> Communications Gateway została skutecznie wdrożona (tzn. status świadczenia usługi oznaczony jako ukończony) pomnożona przez maksymalną liczbę Przypisanych Numerów Telefonów w dowolnym momencie danego Właściwego Okresu.</w:t>
      </w:r>
    </w:p>
    <w:p w14:paraId="722DA8A6" w14:textId="71429F2A" w:rsidR="00B2013C" w:rsidRPr="00381145" w:rsidRDefault="00B2013C" w:rsidP="00B2013C">
      <w:pPr>
        <w:pStyle w:val="xmsonormal"/>
        <w:shd w:val="clear" w:color="auto" w:fill="FFFFFF" w:themeFill="background1"/>
        <w:spacing w:before="0" w:beforeAutospacing="0" w:after="0" w:afterAutospacing="0"/>
        <w:rPr>
          <w:rFonts w:asciiTheme="minorHAnsi" w:eastAsiaTheme="minorEastAsia" w:hAnsiTheme="minorHAnsi" w:cstheme="minorBidi"/>
          <w:sz w:val="18"/>
          <w:szCs w:val="18"/>
        </w:rPr>
      </w:pPr>
      <w:r w:rsidRPr="00381145">
        <w:rPr>
          <w:rFonts w:asciiTheme="minorHAnsi" w:eastAsiaTheme="minorHAnsi" w:hAnsiTheme="minorHAnsi" w:cstheme="minorBidi"/>
          <w:sz w:val="18"/>
          <w:szCs w:val="18"/>
        </w:rPr>
        <w:t>„</w:t>
      </w:r>
      <w:r w:rsidRPr="00381145">
        <w:rPr>
          <w:rFonts w:asciiTheme="minorHAnsi" w:eastAsiaTheme="minorEastAsia" w:hAnsiTheme="minorHAnsi" w:cstheme="minorBidi"/>
          <w:b/>
          <w:color w:val="00188F"/>
          <w:sz w:val="18"/>
          <w:szCs w:val="18"/>
        </w:rPr>
        <w:t>Procent Czasu Sprawnego Działania</w:t>
      </w:r>
      <w:r w:rsidR="00381145" w:rsidRPr="00381145">
        <w:rPr>
          <w:rFonts w:asciiTheme="minorHAnsi" w:eastAsiaTheme="minorHAnsi" w:hAnsiTheme="minorHAnsi" w:cstheme="minorBidi"/>
          <w:sz w:val="18"/>
          <w:szCs w:val="18"/>
        </w:rPr>
        <w:t>”</w:t>
      </w:r>
      <w:r w:rsidRPr="00381145">
        <w:rPr>
          <w:rFonts w:asciiTheme="minorHAnsi" w:eastAsiaTheme="minorEastAsia" w:hAnsiTheme="minorHAnsi" w:cstheme="minorBidi"/>
          <w:sz w:val="18"/>
          <w:szCs w:val="18"/>
        </w:rPr>
        <w:t xml:space="preserve"> jest obliczany przy użyciu następującego wzoru:</w:t>
      </w:r>
    </w:p>
    <w:p w14:paraId="63BE773C" w14:textId="78695259" w:rsidR="00B2013C" w:rsidRDefault="00000000" w:rsidP="002473A1">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Dostępnych Minut dla Numerów - Minuty Przestoju dla Numerów</m:t>
              </m:r>
            </m:num>
            <m:den>
              <m:r>
                <m:rPr>
                  <m:nor/>
                </m:rPr>
                <w:rPr>
                  <w:rFonts w:ascii="Cambria Math" w:hAnsi="Cambria Math" w:cs="Tahoma"/>
                  <w:i/>
                  <w:sz w:val="18"/>
                  <w:szCs w:val="18"/>
                </w:rPr>
                <m:t>Maksymalna Liczba Dostępnych Minut dla Numerów</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AE7E46F" w14:textId="77777777" w:rsidR="00F86693" w:rsidRDefault="00B2013C" w:rsidP="00E073AE">
      <w:pPr>
        <w:spacing w:after="0" w:line="240" w:lineRule="auto"/>
        <w:ind w:right="144"/>
        <w:rPr>
          <w:sz w:val="18"/>
        </w:rPr>
      </w:pPr>
      <w:r>
        <w:rPr>
          <w:sz w:val="18"/>
        </w:rPr>
        <w:t>Niniejsza umowa SLA nie ma zastosowania do przerw w usługach spowodowanych awarią oprogramowania, sprzętu lub usług osób trzecich, które nie są pod kontrolą Microsoft, lub awarią oprogramowania Microsoft, które nie zostało uruchomione w ramach tej Usługi.</w:t>
      </w:r>
    </w:p>
    <w:p w14:paraId="3D411D07" w14:textId="6C8D7C56" w:rsidR="00B2013C" w:rsidRPr="00F86693" w:rsidRDefault="00B2013C" w:rsidP="00655487">
      <w:pPr>
        <w:spacing w:after="0" w:line="240" w:lineRule="auto"/>
        <w:ind w:right="144"/>
        <w:rPr>
          <w:sz w:val="18"/>
          <w:szCs w:val="18"/>
        </w:rPr>
      </w:pPr>
      <w:r w:rsidRPr="00F86693">
        <w:rPr>
          <w:b/>
          <w:bCs/>
          <w:color w:val="00188F"/>
          <w:sz w:val="18"/>
          <w:szCs w:val="18"/>
        </w:rPr>
        <w:t xml:space="preserve">Do używania przez Klienta usługi </w:t>
      </w:r>
      <w:proofErr w:type="spellStart"/>
      <w:r w:rsidRPr="00F86693">
        <w:rPr>
          <w:b/>
          <w:bCs/>
          <w:color w:val="00188F"/>
          <w:sz w:val="18"/>
          <w:szCs w:val="18"/>
        </w:rPr>
        <w:t>Azure</w:t>
      </w:r>
      <w:proofErr w:type="spellEnd"/>
      <w:r w:rsidRPr="00F86693">
        <w:rPr>
          <w:b/>
          <w:bCs/>
          <w:color w:val="00188F"/>
          <w:sz w:val="18"/>
          <w:szCs w:val="18"/>
        </w:rPr>
        <w:t xml:space="preserve"> Communications Gateway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013C" w14:paraId="22117B71" w14:textId="77777777" w:rsidTr="00B2013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60363FF" w14:textId="066F1063" w:rsidR="00B2013C" w:rsidRDefault="00AC48A7">
            <w:pPr>
              <w:pStyle w:val="ProductList-OfferingBody"/>
              <w:spacing w:line="254" w:lineRule="auto"/>
              <w:jc w:val="center"/>
              <w:rPr>
                <w:color w:val="FFFFFF" w:themeColor="background1"/>
              </w:rPr>
            </w:pPr>
            <w:r>
              <w:rPr>
                <w:color w:val="FFFFFF" w:themeColor="background1"/>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B1FE7EE" w14:textId="77777777" w:rsidR="00B2013C" w:rsidRDefault="00B2013C">
            <w:pPr>
              <w:pStyle w:val="ProductList-OfferingBody"/>
              <w:spacing w:line="254" w:lineRule="auto"/>
              <w:jc w:val="center"/>
              <w:rPr>
                <w:color w:val="FFFFFF" w:themeColor="background1"/>
              </w:rPr>
            </w:pPr>
            <w:r>
              <w:rPr>
                <w:color w:val="FFFFFF" w:themeColor="background1"/>
              </w:rPr>
              <w:t>Środki Serwisowe na Używanie Usług</w:t>
            </w:r>
          </w:p>
        </w:tc>
      </w:tr>
      <w:tr w:rsidR="00B2013C" w14:paraId="0E3A50F5" w14:textId="77777777" w:rsidTr="00B2013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B959B2" w14:textId="77777777" w:rsidR="00B2013C" w:rsidRDefault="00B2013C">
            <w:pPr>
              <w:pStyle w:val="ProductList-OfferingBody"/>
              <w:spacing w:line="254" w:lineRule="auto"/>
              <w:jc w:val="center"/>
            </w:pPr>
            <w:r>
              <w:t>&lt; 99,99%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2CB9E" w14:textId="77777777" w:rsidR="00B2013C" w:rsidRDefault="00B2013C">
            <w:pPr>
              <w:pStyle w:val="ProductList-OfferingBody"/>
              <w:spacing w:line="254" w:lineRule="auto"/>
              <w:jc w:val="center"/>
            </w:pPr>
            <w:r>
              <w:t>25%</w:t>
            </w:r>
          </w:p>
        </w:tc>
      </w:tr>
      <w:tr w:rsidR="00B2013C" w14:paraId="3C180FCA"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407156" w14:textId="77777777" w:rsidR="00B2013C" w:rsidRDefault="00B2013C">
            <w:pPr>
              <w:pStyle w:val="ProductList-OfferingBody"/>
              <w:spacing w:line="254" w:lineRule="auto"/>
              <w:jc w:val="center"/>
            </w:pPr>
            <w:r>
              <w:t>&lt; 98%</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48E222" w14:textId="77777777" w:rsidR="00B2013C" w:rsidRDefault="00B2013C">
            <w:pPr>
              <w:pStyle w:val="ProductList-OfferingBody"/>
              <w:spacing w:line="254" w:lineRule="auto"/>
              <w:jc w:val="center"/>
            </w:pPr>
            <w:r>
              <w:t>50%</w:t>
            </w:r>
          </w:p>
        </w:tc>
      </w:tr>
      <w:tr w:rsidR="00B2013C" w14:paraId="42DDCA4B" w14:textId="77777777" w:rsidTr="00B2013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227F45" w14:textId="77777777" w:rsidR="00B2013C" w:rsidRDefault="00B2013C">
            <w:pPr>
              <w:pStyle w:val="ProductList-OfferingBody"/>
              <w:spacing w:line="254" w:lineRule="auto"/>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79271A" w14:textId="77777777" w:rsidR="00B2013C" w:rsidRDefault="00B2013C">
            <w:pPr>
              <w:pStyle w:val="ProductList-OfferingBody"/>
              <w:spacing w:line="254" w:lineRule="auto"/>
              <w:jc w:val="center"/>
            </w:pPr>
            <w:r>
              <w:t>100%</w:t>
            </w:r>
          </w:p>
        </w:tc>
      </w:tr>
    </w:tbl>
    <w:p w14:paraId="4860295A" w14:textId="236836C8" w:rsidR="003670BB" w:rsidRPr="00EF7CF9" w:rsidRDefault="00C71F89" w:rsidP="003670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389F154" w14:textId="4D8089A3" w:rsidR="00B6541B" w:rsidRPr="00B6541B" w:rsidRDefault="00B6541B" w:rsidP="00B6541B">
      <w:pPr>
        <w:pStyle w:val="ProductList-Offering2Heading"/>
        <w:keepNext/>
        <w:tabs>
          <w:tab w:val="clear" w:pos="360"/>
          <w:tab w:val="clear" w:pos="720"/>
          <w:tab w:val="clear" w:pos="1080"/>
        </w:tabs>
        <w:spacing w:before="0" w:after="0"/>
        <w:outlineLvl w:val="2"/>
      </w:pPr>
      <w:bookmarkStart w:id="187" w:name="_Toc239174981"/>
      <w:r>
        <w:t xml:space="preserve">Usługi Komunikacyjne </w:t>
      </w:r>
      <w:proofErr w:type="spellStart"/>
      <w:r>
        <w:t>Azure</w:t>
      </w:r>
      <w:bookmarkEnd w:id="187"/>
      <w:proofErr w:type="spellEnd"/>
    </w:p>
    <w:p w14:paraId="4DFBE77A" w14:textId="77777777" w:rsidR="00B6541B" w:rsidRPr="00B6541B" w:rsidRDefault="00B6541B" w:rsidP="00B6541B">
      <w:pPr>
        <w:pStyle w:val="ProductList-Body"/>
        <w:rPr>
          <w:b/>
          <w:color w:val="00188F"/>
        </w:rPr>
      </w:pPr>
      <w:r>
        <w:rPr>
          <w:b/>
          <w:color w:val="00188F"/>
        </w:rPr>
        <w:t>Dodatkowe definicje</w:t>
      </w:r>
    </w:p>
    <w:p w14:paraId="53EC037E" w14:textId="6DD45398" w:rsidR="00B6541B" w:rsidRDefault="00B6541B" w:rsidP="00B6541B">
      <w:pPr>
        <w:pStyle w:val="ProductList-Body"/>
      </w:pPr>
      <w:r>
        <w:t>„</w:t>
      </w:r>
      <w:r>
        <w:rPr>
          <w:b/>
          <w:bCs/>
          <w:color w:val="00188F"/>
        </w:rPr>
        <w:t>Przestój</w:t>
      </w:r>
      <w:r>
        <w:t xml:space="preserve">” </w:t>
      </w:r>
      <w:r>
        <w:rPr>
          <w:rFonts w:ascii="Calibri" w:eastAsia="Calibri" w:hAnsi="Calibri" w:cs="Calibri"/>
        </w:rPr>
        <w:t xml:space="preserve">to łączna Maksymalna Liczba Minut Dostępności podczas Właściwego Okresu, w którym Usługi Komunikacyjne </w:t>
      </w:r>
      <w:proofErr w:type="spellStart"/>
      <w:r>
        <w:rPr>
          <w:rFonts w:ascii="Calibri" w:eastAsia="Calibri" w:hAnsi="Calibri" w:cs="Calibri"/>
        </w:rPr>
        <w:t>Azure</w:t>
      </w:r>
      <w:proofErr w:type="spellEnd"/>
      <w:r>
        <w:rPr>
          <w:rFonts w:ascii="Calibri" w:eastAsia="Calibri" w:hAnsi="Calibri" w:cs="Calibri"/>
        </w:rPr>
        <w:t xml:space="preserve"> są niedostępne. Minuta jest uważana za niedostępną, jeśli wszystkie żądania w ciągu tej minuty powodują błędy 5xx.</w:t>
      </w:r>
    </w:p>
    <w:p w14:paraId="1DD25A5C" w14:textId="0597DFD0" w:rsidR="009E0C69" w:rsidRDefault="008F7199" w:rsidP="00B6541B">
      <w:pPr>
        <w:pStyle w:val="ProductList-Body"/>
      </w:pPr>
      <w:r>
        <w:rPr>
          <w:b/>
          <w:bCs/>
          <w:color w:val="00188F"/>
        </w:rPr>
        <w:t>Maksymalna Liczba Minut Dostępności</w:t>
      </w:r>
      <w:r>
        <w:rPr>
          <w:rFonts w:ascii="Calibri" w:eastAsia="Calibri" w:hAnsi="Calibri" w:cs="Calibri"/>
        </w:rPr>
        <w:t xml:space="preserve"> to łączna liczba minut, przez które Usługi Komunikacyjne </w:t>
      </w:r>
      <w:proofErr w:type="spellStart"/>
      <w:r>
        <w:rPr>
          <w:rFonts w:ascii="Calibri" w:eastAsia="Calibri" w:hAnsi="Calibri" w:cs="Calibri"/>
        </w:rPr>
        <w:t>Azure</w:t>
      </w:r>
      <w:proofErr w:type="spellEnd"/>
      <w:r>
        <w:rPr>
          <w:rFonts w:ascii="Calibri" w:eastAsia="Calibri" w:hAnsi="Calibri" w:cs="Calibri"/>
        </w:rPr>
        <w:t xml:space="preserve"> są wdrażane przez Klienta w ramach subskrypcji Microsoft </w:t>
      </w:r>
      <w:proofErr w:type="spellStart"/>
      <w:r>
        <w:rPr>
          <w:rFonts w:ascii="Calibri" w:eastAsia="Calibri" w:hAnsi="Calibri" w:cs="Calibri"/>
        </w:rPr>
        <w:t>Azure</w:t>
      </w:r>
      <w:proofErr w:type="spellEnd"/>
      <w:r>
        <w:rPr>
          <w:rFonts w:ascii="Calibri" w:eastAsia="Calibri" w:hAnsi="Calibri" w:cs="Calibri"/>
        </w:rPr>
        <w:t xml:space="preserve"> w trakcie Właściwego Okresu.</w:t>
      </w:r>
    </w:p>
    <w:p w14:paraId="47E4892E" w14:textId="6415D2FD" w:rsidR="00B6541B" w:rsidRDefault="00AC48A7" w:rsidP="00B6541B">
      <w:pPr>
        <w:pStyle w:val="ProductList-Body"/>
      </w:pPr>
      <w:r>
        <w:rPr>
          <w:b/>
          <w:bCs/>
          <w:color w:val="00188F"/>
        </w:rPr>
        <w:t>Procent Czasu Sprawnego Działania</w:t>
      </w:r>
      <w:r>
        <w:t xml:space="preserve"> Procent Czasu Sprawnego Działania jest obliczany przy użyciu następującego wzoru:</w:t>
      </w:r>
    </w:p>
    <w:p w14:paraId="63F391E8" w14:textId="7B89107F" w:rsidR="00B6541B" w:rsidRPr="00AB1841" w:rsidRDefault="00000000" w:rsidP="002473A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BC57BA9" w14:textId="77777777" w:rsidR="00B6541B" w:rsidRPr="00B6541B" w:rsidRDefault="00B6541B" w:rsidP="00B6541B">
      <w:pPr>
        <w:pStyle w:val="ProductList-Body"/>
        <w:keepNext/>
        <w:rPr>
          <w:b/>
          <w:bCs/>
          <w:color w:val="00188F"/>
        </w:rPr>
      </w:pPr>
      <w:r>
        <w:rPr>
          <w:b/>
          <w:bCs/>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6541B" w:rsidRPr="00B44CF9" w14:paraId="5B653007" w14:textId="77777777" w:rsidTr="00277097">
        <w:trPr>
          <w:tblHeader/>
        </w:trPr>
        <w:tc>
          <w:tcPr>
            <w:tcW w:w="5400" w:type="dxa"/>
            <w:shd w:val="clear" w:color="auto" w:fill="0072C6"/>
          </w:tcPr>
          <w:p w14:paraId="7E82B296" w14:textId="69475BEA" w:rsidR="00B6541B" w:rsidRPr="00EF7CF9" w:rsidRDefault="00AC48A7" w:rsidP="00655487">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70A261D" w14:textId="77777777" w:rsidR="00B6541B" w:rsidRPr="00EF7CF9" w:rsidRDefault="00B6541B" w:rsidP="00655487">
            <w:pPr>
              <w:pStyle w:val="ProductList-OfferingBody"/>
              <w:jc w:val="center"/>
              <w:rPr>
                <w:color w:val="FFFFFF" w:themeColor="background1"/>
              </w:rPr>
            </w:pPr>
            <w:r>
              <w:rPr>
                <w:color w:val="FFFFFF" w:themeColor="background1"/>
              </w:rPr>
              <w:t>Środki Serwisowe na Używanie Usług</w:t>
            </w:r>
          </w:p>
        </w:tc>
      </w:tr>
      <w:tr w:rsidR="00B6541B" w:rsidRPr="00B44CF9" w14:paraId="766EE852" w14:textId="77777777" w:rsidTr="00277097">
        <w:tc>
          <w:tcPr>
            <w:tcW w:w="5400" w:type="dxa"/>
          </w:tcPr>
          <w:p w14:paraId="53F0625F" w14:textId="77777777" w:rsidR="00B6541B" w:rsidRPr="00EF7CF9" w:rsidRDefault="00B6541B" w:rsidP="00655487">
            <w:pPr>
              <w:pStyle w:val="ProductList-OfferingBody"/>
              <w:jc w:val="center"/>
            </w:pPr>
            <w:r>
              <w:t>&lt; 99,9%</w:t>
            </w:r>
          </w:p>
        </w:tc>
        <w:tc>
          <w:tcPr>
            <w:tcW w:w="5400" w:type="dxa"/>
          </w:tcPr>
          <w:p w14:paraId="47FAAA95" w14:textId="77777777" w:rsidR="00B6541B" w:rsidRPr="00EF7CF9" w:rsidRDefault="00B6541B" w:rsidP="00655487">
            <w:pPr>
              <w:pStyle w:val="ProductList-OfferingBody"/>
              <w:jc w:val="center"/>
            </w:pPr>
            <w:r>
              <w:t>10%</w:t>
            </w:r>
          </w:p>
        </w:tc>
      </w:tr>
      <w:tr w:rsidR="00B6541B" w:rsidRPr="00B44CF9" w14:paraId="6AD1B6C2" w14:textId="77777777" w:rsidTr="00277097">
        <w:tc>
          <w:tcPr>
            <w:tcW w:w="5400" w:type="dxa"/>
          </w:tcPr>
          <w:p w14:paraId="17D39BF6" w14:textId="77777777" w:rsidR="00B6541B" w:rsidRPr="00EF7CF9" w:rsidRDefault="00B6541B" w:rsidP="00655487">
            <w:pPr>
              <w:pStyle w:val="ProductList-OfferingBody"/>
              <w:jc w:val="center"/>
            </w:pPr>
            <w:r>
              <w:t>&lt; 99%</w:t>
            </w:r>
          </w:p>
        </w:tc>
        <w:tc>
          <w:tcPr>
            <w:tcW w:w="5400" w:type="dxa"/>
          </w:tcPr>
          <w:p w14:paraId="2C12DDBF" w14:textId="77777777" w:rsidR="00B6541B" w:rsidRPr="00EF7CF9" w:rsidRDefault="00B6541B" w:rsidP="00655487">
            <w:pPr>
              <w:pStyle w:val="ProductList-OfferingBody"/>
              <w:jc w:val="center"/>
            </w:pPr>
            <w:r>
              <w:t>25%</w:t>
            </w:r>
          </w:p>
        </w:tc>
      </w:tr>
    </w:tbl>
    <w:p w14:paraId="06E0A7F5" w14:textId="0BADDD2C" w:rsidR="00B6541B" w:rsidRDefault="00532226" w:rsidP="00532226">
      <w:pPr>
        <w:pStyle w:val="ProductList-Body"/>
        <w:spacing w:before="120"/>
      </w:pPr>
      <w:r>
        <w:rPr>
          <w:b/>
          <w:bCs/>
          <w:color w:val="00188F"/>
        </w:rPr>
        <w:t>Postanowienia dodatkowe</w:t>
      </w:r>
      <w:r w:rsidRPr="007B038A">
        <w:rPr>
          <w:b/>
          <w:color w:val="00188F"/>
        </w:rPr>
        <w:t>:</w:t>
      </w:r>
      <w:r>
        <w:t xml:space="preserve"> Środki Serwisowe na Używanie Usług będą mieć zastosowanie do usługi, która była niedostępna. Na przykład, jeśli Klient używa usług SMS i Czat, a usługa SMS nie spełnia warunków umowy SLA, wówczas Klient otrzyma środki tylko na używanie usługi SMS.</w:t>
      </w:r>
    </w:p>
    <w:p w14:paraId="73980EF5" w14:textId="77777777" w:rsidR="00B6541B" w:rsidRDefault="00B6541B" w:rsidP="00B6541B">
      <w:pPr>
        <w:pStyle w:val="ProductList-Body"/>
      </w:pPr>
    </w:p>
    <w:p w14:paraId="2B82CC9C" w14:textId="2FE31A1A" w:rsidR="00B6541B" w:rsidRDefault="00B6541B" w:rsidP="00B6541B">
      <w:pPr>
        <w:pStyle w:val="ProductList-Body"/>
      </w:pPr>
      <w:r>
        <w:t xml:space="preserve">Dostępne minuty dotyczą tylko usług kontrolowanych przez Usługi Komunikacyjne </w:t>
      </w:r>
      <w:proofErr w:type="spellStart"/>
      <w:r>
        <w:t>Azure</w:t>
      </w:r>
      <w:proofErr w:type="spellEnd"/>
      <w:r>
        <w:t>, co wyklucza usługi podmiotów zewnętrznych, w tym operatorów i dostawców usług telekomunikacyjnych.</w:t>
      </w:r>
    </w:p>
    <w:p w14:paraId="5BBE9950" w14:textId="3FBAED13" w:rsidR="00CD00BE" w:rsidRPr="0096559A" w:rsidRDefault="00C71F89" w:rsidP="00CD00B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76DED38" w14:textId="77777777" w:rsidR="00774368" w:rsidRPr="0096559A" w:rsidRDefault="00774368" w:rsidP="001E47B8">
      <w:pPr>
        <w:pStyle w:val="ProductList-Offering2Heading"/>
        <w:keepNext/>
        <w:tabs>
          <w:tab w:val="clear" w:pos="360"/>
          <w:tab w:val="clear" w:pos="720"/>
          <w:tab w:val="clear" w:pos="1080"/>
        </w:tabs>
        <w:spacing w:before="0" w:after="0"/>
        <w:outlineLvl w:val="2"/>
      </w:pPr>
      <w:bookmarkStart w:id="188" w:name="_Toc239174982"/>
      <w:proofErr w:type="spellStart"/>
      <w:r w:rsidRPr="0096559A">
        <w:t>Azure</w:t>
      </w:r>
      <w:proofErr w:type="spellEnd"/>
      <w:r w:rsidRPr="0096559A">
        <w:t xml:space="preserve"> </w:t>
      </w:r>
      <w:proofErr w:type="spellStart"/>
      <w:r w:rsidRPr="0096559A">
        <w:t>Confidential</w:t>
      </w:r>
      <w:proofErr w:type="spellEnd"/>
      <w:r w:rsidRPr="0096559A">
        <w:t xml:space="preserve"> </w:t>
      </w:r>
      <w:proofErr w:type="spellStart"/>
      <w:r w:rsidRPr="0096559A">
        <w:t>Ledger</w:t>
      </w:r>
      <w:bookmarkEnd w:id="188"/>
      <w:proofErr w:type="spellEnd"/>
    </w:p>
    <w:p w14:paraId="4F327946" w14:textId="719E083B" w:rsidR="00774368" w:rsidRPr="00774368" w:rsidRDefault="00EE6E3C" w:rsidP="00774368">
      <w:pPr>
        <w:pStyle w:val="ProductList-Body"/>
        <w:rPr>
          <w:b/>
          <w:bCs/>
          <w:color w:val="00188F"/>
        </w:rPr>
      </w:pPr>
      <w:r>
        <w:rPr>
          <w:b/>
          <w:bCs/>
          <w:color w:val="00188F"/>
        </w:rPr>
        <w:t xml:space="preserve">Obliczanie Czasu Sprawnego Działania i Poziomy Usługi dla usługi </w:t>
      </w:r>
      <w:proofErr w:type="spellStart"/>
      <w:r>
        <w:rPr>
          <w:b/>
          <w:bCs/>
          <w:color w:val="00188F"/>
        </w:rPr>
        <w:t>Azure</w:t>
      </w:r>
      <w:proofErr w:type="spellEnd"/>
      <w:r>
        <w:rPr>
          <w:b/>
          <w:bCs/>
          <w:color w:val="00188F"/>
        </w:rPr>
        <w:t xml:space="preserve"> </w:t>
      </w:r>
      <w:proofErr w:type="spellStart"/>
      <w:r>
        <w:rPr>
          <w:b/>
          <w:bCs/>
          <w:color w:val="00188F"/>
        </w:rPr>
        <w:t>Confidential</w:t>
      </w:r>
      <w:proofErr w:type="spellEnd"/>
      <w:r>
        <w:rPr>
          <w:b/>
          <w:bCs/>
          <w:color w:val="00188F"/>
        </w:rPr>
        <w:t xml:space="preserve"> </w:t>
      </w:r>
      <w:proofErr w:type="spellStart"/>
      <w:r>
        <w:rPr>
          <w:b/>
          <w:bCs/>
          <w:color w:val="00188F"/>
        </w:rPr>
        <w:t>Ledger</w:t>
      </w:r>
      <w:proofErr w:type="spellEnd"/>
    </w:p>
    <w:p w14:paraId="5E635D0D" w14:textId="56AEB2AC" w:rsidR="00774368" w:rsidRDefault="00774368" w:rsidP="00774368">
      <w:pPr>
        <w:pStyle w:val="ProductList-Body"/>
      </w:pPr>
      <w:r>
        <w:t>„</w:t>
      </w:r>
      <w:r>
        <w:rPr>
          <w:b/>
          <w:bCs/>
          <w:color w:val="00188F"/>
        </w:rPr>
        <w:t>Minuty Wdrożenia</w:t>
      </w:r>
      <w:r>
        <w:t xml:space="preserve">” to łączna liczba minut, przez które zarządzane moduły </w:t>
      </w:r>
      <w:proofErr w:type="spellStart"/>
      <w:r>
        <w:t>Confidential</w:t>
      </w:r>
      <w:proofErr w:type="spellEnd"/>
      <w:r>
        <w:t xml:space="preserve"> </w:t>
      </w:r>
      <w:proofErr w:type="spellStart"/>
      <w:r>
        <w:t>Ledger</w:t>
      </w:r>
      <w:proofErr w:type="spellEnd"/>
      <w:r>
        <w:t xml:space="preserve"> zostały wdrożone na platformie Microsoft </w:t>
      </w:r>
      <w:proofErr w:type="spellStart"/>
      <w:r>
        <w:t>Azure</w:t>
      </w:r>
      <w:proofErr w:type="spellEnd"/>
      <w:r>
        <w:t xml:space="preserve"> we Właściwym Okresie.</w:t>
      </w:r>
    </w:p>
    <w:p w14:paraId="7F32078E" w14:textId="0709586A" w:rsidR="00774368" w:rsidRDefault="00774368" w:rsidP="00774368">
      <w:pPr>
        <w:pStyle w:val="ProductList-Body"/>
      </w:pPr>
      <w:r>
        <w:t>„</w:t>
      </w:r>
      <w:r>
        <w:rPr>
          <w:b/>
          <w:bCs/>
          <w:color w:val="00188F"/>
        </w:rPr>
        <w:t>Maksymalna Liczba Dostępnych Minut</w:t>
      </w:r>
      <w:r>
        <w:t xml:space="preserve">” to suma wszystkich Minut Wdrożenia we wszystkich zarządzanych modułach </w:t>
      </w:r>
      <w:proofErr w:type="spellStart"/>
      <w:r>
        <w:t>Confidential</w:t>
      </w:r>
      <w:proofErr w:type="spellEnd"/>
      <w:r>
        <w:t xml:space="preserve"> </w:t>
      </w:r>
      <w:proofErr w:type="spellStart"/>
      <w:r>
        <w:t>Ledger</w:t>
      </w:r>
      <w:proofErr w:type="spellEnd"/>
      <w:r>
        <w:t xml:space="preserve"> wdrożonych przez użytkownika w ramach danej subskrypcji Microsoft </w:t>
      </w:r>
      <w:proofErr w:type="spellStart"/>
      <w:r>
        <w:t>Azure</w:t>
      </w:r>
      <w:proofErr w:type="spellEnd"/>
      <w:r>
        <w:t xml:space="preserve"> we Właściwym Okresie.</w:t>
      </w:r>
    </w:p>
    <w:p w14:paraId="12F1C8B0" w14:textId="77777777" w:rsidR="00774368" w:rsidRDefault="00774368" w:rsidP="00774368">
      <w:pPr>
        <w:pStyle w:val="ProductList-Body"/>
      </w:pPr>
      <w:r>
        <w:t>„</w:t>
      </w:r>
      <w:r>
        <w:rPr>
          <w:b/>
          <w:bCs/>
          <w:color w:val="00188F"/>
        </w:rPr>
        <w:t>Transakcje Nieuwzględnione</w:t>
      </w:r>
      <w:r>
        <w:t xml:space="preserve">” to transakcje dotyczące tworzenia, aktualizowania lub usuwania zarządzanych modułów </w:t>
      </w:r>
      <w:proofErr w:type="spellStart"/>
      <w:r>
        <w:t>Confidential</w:t>
      </w:r>
      <w:proofErr w:type="spellEnd"/>
      <w:r>
        <w:t xml:space="preserve"> </w:t>
      </w:r>
      <w:proofErr w:type="spellStart"/>
      <w:r>
        <w:t>Ledger</w:t>
      </w:r>
      <w:proofErr w:type="spellEnd"/>
      <w:r>
        <w:t>.</w:t>
      </w:r>
    </w:p>
    <w:p w14:paraId="5F7EAD95" w14:textId="77777777" w:rsidR="00774368" w:rsidRDefault="00774368" w:rsidP="00774368">
      <w:pPr>
        <w:pStyle w:val="ProductList-Body"/>
      </w:pPr>
      <w:r>
        <w:t>„</w:t>
      </w:r>
      <w:r>
        <w:rPr>
          <w:b/>
          <w:bCs/>
          <w:color w:val="00188F"/>
        </w:rPr>
        <w:t>Przestój</w:t>
      </w:r>
      <w:r>
        <w:t xml:space="preserve">” to łączna zakumulowana liczba minut dla wszystkich zarządzanych modułów </w:t>
      </w:r>
      <w:proofErr w:type="spellStart"/>
      <w:r>
        <w:t>Confidential</w:t>
      </w:r>
      <w:proofErr w:type="spellEnd"/>
      <w:r>
        <w:t xml:space="preserve"> </w:t>
      </w:r>
      <w:proofErr w:type="spellStart"/>
      <w:r>
        <w:t>Ledger</w:t>
      </w:r>
      <w:proofErr w:type="spellEnd"/>
      <w:r>
        <w:t xml:space="preserve"> wdrożonych przez Klienta w ramach danej subskrypcji Microsoft </w:t>
      </w:r>
      <w:proofErr w:type="spellStart"/>
      <w:r>
        <w:t>Azure</w:t>
      </w:r>
      <w:proofErr w:type="spellEnd"/>
      <w:r>
        <w:t xml:space="preserve">, podczas których zarządzany moduł </w:t>
      </w:r>
      <w:proofErr w:type="spellStart"/>
      <w:r>
        <w:t>Confidential</w:t>
      </w:r>
      <w:proofErr w:type="spellEnd"/>
      <w:r>
        <w:t xml:space="preserve"> </w:t>
      </w:r>
      <w:proofErr w:type="spellStart"/>
      <w:r>
        <w:t>Ledger</w:t>
      </w:r>
      <w:proofErr w:type="spellEnd"/>
      <w:r>
        <w:t xml:space="preserve"> był niedostępny. Minuta jest uznawana za minutę niedostępności dla danego modułu </w:t>
      </w:r>
      <w:proofErr w:type="spellStart"/>
      <w:r>
        <w:t>Confidential</w:t>
      </w:r>
      <w:proofErr w:type="spellEnd"/>
      <w:r>
        <w:t xml:space="preserve"> </w:t>
      </w:r>
      <w:proofErr w:type="spellStart"/>
      <w:r>
        <w:t>Ledger</w:t>
      </w:r>
      <w:proofErr w:type="spellEnd"/>
      <w:r>
        <w:t xml:space="preserve">, jeśli wszystkie kolejne próby wykonania transakcji, innych niż Transakcje Nieuwzględnione, na module </w:t>
      </w:r>
      <w:proofErr w:type="spellStart"/>
      <w:r>
        <w:t>Confidential</w:t>
      </w:r>
      <w:proofErr w:type="spellEnd"/>
      <w:r>
        <w:t xml:space="preserve"> </w:t>
      </w:r>
      <w:proofErr w:type="spellStart"/>
      <w:r>
        <w:t>Ledger</w:t>
      </w:r>
      <w:proofErr w:type="spellEnd"/>
      <w:r>
        <w:t xml:space="preserve"> w ciągu tej minuty albo zwracają Kod Błędu, albo nie zwracają Kodu Sukcesu przed upływem pięciu (5) sekund od otrzymania przez Microsoft takiego żądania.</w:t>
      </w:r>
    </w:p>
    <w:p w14:paraId="431E0688" w14:textId="0C19F4DC" w:rsidR="00774368" w:rsidRDefault="00774368" w:rsidP="00774368">
      <w:pPr>
        <w:pStyle w:val="ProductList-Body"/>
      </w:pPr>
      <w:r>
        <w:t>„</w:t>
      </w:r>
      <w:r>
        <w:rPr>
          <w:b/>
          <w:bCs/>
          <w:color w:val="00188F"/>
        </w:rPr>
        <w:t>Procent Czasu Sprawnego Działania</w:t>
      </w:r>
      <w:r w:rsidR="00381145" w:rsidRPr="00381145">
        <w:t>”</w:t>
      </w:r>
      <w:r>
        <w:t xml:space="preserve"> dla Usługi </w:t>
      </w:r>
      <w:proofErr w:type="spellStart"/>
      <w:r>
        <w:t>Azure</w:t>
      </w:r>
      <w:proofErr w:type="spellEnd"/>
      <w:r>
        <w:t xml:space="preserve"> </w:t>
      </w:r>
      <w:proofErr w:type="spellStart"/>
      <w:r>
        <w:t>Confidential</w:t>
      </w:r>
      <w:proofErr w:type="spellEnd"/>
      <w:r>
        <w:t xml:space="preserve"> </w:t>
      </w:r>
      <w:proofErr w:type="spellStart"/>
      <w:r>
        <w:t>Ledger</w:t>
      </w:r>
      <w:proofErr w:type="spellEnd"/>
      <w:r>
        <w:t xml:space="preserve"> to Maksymalna Liczba Minut Dostępności pomniejszona o Przestój podzielona przez Maksymalną Liczbę Minut Dostępności we Właściwym Okresie dla danej subskrypcji Microsoft </w:t>
      </w:r>
      <w:proofErr w:type="spellStart"/>
      <w:r>
        <w:t>Azure</w:t>
      </w:r>
      <w:proofErr w:type="spellEnd"/>
      <w:r>
        <w:t>. Procent Czasu Sprawnego Działania przedstawia się za pomocą następującego wzoru:</w:t>
      </w:r>
    </w:p>
    <w:p w14:paraId="79D5452C" w14:textId="544AD531" w:rsidR="00774368" w:rsidRPr="00AB1841" w:rsidRDefault="00000000" w:rsidP="00475F9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C2DF121" w14:textId="77777777" w:rsidR="00774368" w:rsidRPr="00774368" w:rsidRDefault="00774368" w:rsidP="00272B37">
      <w:pPr>
        <w:pStyle w:val="ProductList-Body"/>
        <w:keepNext/>
        <w:jc w:val="both"/>
        <w:rPr>
          <w:b/>
          <w:bCs/>
          <w:color w:val="00188F"/>
        </w:rPr>
      </w:pPr>
      <w:r>
        <w:rPr>
          <w:b/>
          <w:bCs/>
          <w:color w:val="00188F"/>
        </w:rPr>
        <w:t xml:space="preserve">Do używania przez Klienta usługi </w:t>
      </w:r>
      <w:proofErr w:type="spellStart"/>
      <w:r>
        <w:rPr>
          <w:b/>
          <w:bCs/>
          <w:color w:val="00188F"/>
        </w:rPr>
        <w:t>Azure</w:t>
      </w:r>
      <w:proofErr w:type="spellEnd"/>
      <w:r>
        <w:rPr>
          <w:b/>
          <w:bCs/>
          <w:color w:val="00188F"/>
        </w:rPr>
        <w:t xml:space="preserve"> </w:t>
      </w:r>
      <w:proofErr w:type="spellStart"/>
      <w:r>
        <w:rPr>
          <w:b/>
          <w:bCs/>
          <w:color w:val="00188F"/>
        </w:rPr>
        <w:t>Confidential</w:t>
      </w:r>
      <w:proofErr w:type="spellEnd"/>
      <w:r>
        <w:rPr>
          <w:b/>
          <w:bCs/>
          <w:color w:val="00188F"/>
        </w:rPr>
        <w:t xml:space="preserve"> </w:t>
      </w:r>
      <w:proofErr w:type="spellStart"/>
      <w:r>
        <w:rPr>
          <w:b/>
          <w:bCs/>
          <w:color w:val="00188F"/>
        </w:rPr>
        <w:t>Ledger</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74368" w:rsidRPr="00B44CF9" w14:paraId="5FBDC424" w14:textId="77777777" w:rsidTr="00277097">
        <w:trPr>
          <w:tblHeader/>
        </w:trPr>
        <w:tc>
          <w:tcPr>
            <w:tcW w:w="5400" w:type="dxa"/>
            <w:shd w:val="clear" w:color="auto" w:fill="0072C6"/>
          </w:tcPr>
          <w:p w14:paraId="66A30EA1" w14:textId="35CF8AD5" w:rsidR="00774368"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8751BF2" w14:textId="77777777" w:rsidR="00774368" w:rsidRPr="001A0074" w:rsidRDefault="00774368" w:rsidP="000F31B4">
            <w:pPr>
              <w:pStyle w:val="ProductList-OfferingBody"/>
              <w:jc w:val="center"/>
              <w:rPr>
                <w:color w:val="FFFFFF" w:themeColor="background1"/>
              </w:rPr>
            </w:pPr>
            <w:r>
              <w:rPr>
                <w:color w:val="FFFFFF" w:themeColor="background1"/>
              </w:rPr>
              <w:t>Środki Serwisowe na Używanie Usług</w:t>
            </w:r>
          </w:p>
        </w:tc>
      </w:tr>
      <w:tr w:rsidR="00774368" w:rsidRPr="00B44CF9" w14:paraId="495AD578" w14:textId="77777777" w:rsidTr="00277097">
        <w:tc>
          <w:tcPr>
            <w:tcW w:w="5400" w:type="dxa"/>
          </w:tcPr>
          <w:p w14:paraId="0E1A7FE2" w14:textId="77777777" w:rsidR="00774368" w:rsidRPr="0076238C" w:rsidRDefault="00774368" w:rsidP="000F31B4">
            <w:pPr>
              <w:pStyle w:val="ProductList-OfferingBody"/>
              <w:jc w:val="center"/>
            </w:pPr>
            <w:r>
              <w:t>&lt; 99,9%</w:t>
            </w:r>
          </w:p>
        </w:tc>
        <w:tc>
          <w:tcPr>
            <w:tcW w:w="5400" w:type="dxa"/>
          </w:tcPr>
          <w:p w14:paraId="29A8BCAC" w14:textId="77777777" w:rsidR="00774368" w:rsidRPr="0076238C" w:rsidRDefault="00774368" w:rsidP="000F31B4">
            <w:pPr>
              <w:pStyle w:val="ProductList-OfferingBody"/>
              <w:jc w:val="center"/>
            </w:pPr>
            <w:r>
              <w:t>10%</w:t>
            </w:r>
          </w:p>
        </w:tc>
      </w:tr>
      <w:tr w:rsidR="00774368" w:rsidRPr="00B44CF9" w14:paraId="0C122362" w14:textId="77777777" w:rsidTr="00277097">
        <w:tc>
          <w:tcPr>
            <w:tcW w:w="5400" w:type="dxa"/>
          </w:tcPr>
          <w:p w14:paraId="3CBC4545" w14:textId="77777777" w:rsidR="00774368" w:rsidRPr="0076238C" w:rsidRDefault="00774368" w:rsidP="000F31B4">
            <w:pPr>
              <w:pStyle w:val="ProductList-OfferingBody"/>
              <w:jc w:val="center"/>
            </w:pPr>
            <w:r>
              <w:t>&lt; 99%</w:t>
            </w:r>
          </w:p>
        </w:tc>
        <w:tc>
          <w:tcPr>
            <w:tcW w:w="5400" w:type="dxa"/>
          </w:tcPr>
          <w:p w14:paraId="1DBA3864" w14:textId="77777777" w:rsidR="00774368" w:rsidRPr="0076238C" w:rsidRDefault="00774368" w:rsidP="000F31B4">
            <w:pPr>
              <w:pStyle w:val="ProductList-OfferingBody"/>
              <w:jc w:val="center"/>
            </w:pPr>
            <w:r>
              <w:t>25%</w:t>
            </w:r>
          </w:p>
        </w:tc>
      </w:tr>
    </w:tbl>
    <w:p w14:paraId="58FC95B1" w14:textId="0EE1B738" w:rsidR="00774368" w:rsidRPr="00EF7CF9" w:rsidRDefault="00C71F89" w:rsidP="0077436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EEF48DB" w14:textId="77777777" w:rsidR="000B24EC" w:rsidRPr="000B24EC" w:rsidRDefault="000B24EC" w:rsidP="000B24EC">
      <w:pPr>
        <w:pStyle w:val="ProductList-Offering2Heading"/>
        <w:keepNext/>
        <w:tabs>
          <w:tab w:val="clear" w:pos="360"/>
          <w:tab w:val="clear" w:pos="720"/>
          <w:tab w:val="clear" w:pos="1080"/>
        </w:tabs>
        <w:spacing w:before="0" w:after="0"/>
        <w:outlineLvl w:val="2"/>
      </w:pPr>
      <w:bookmarkStart w:id="189" w:name="_Toc239174983"/>
      <w:proofErr w:type="spellStart"/>
      <w:r>
        <w:t>Azure</w:t>
      </w:r>
      <w:proofErr w:type="spellEnd"/>
      <w:r>
        <w:t xml:space="preserve"> </w:t>
      </w:r>
      <w:proofErr w:type="spellStart"/>
      <w:r>
        <w:t>Container</w:t>
      </w:r>
      <w:proofErr w:type="spellEnd"/>
      <w:r>
        <w:t xml:space="preserve"> </w:t>
      </w:r>
      <w:proofErr w:type="spellStart"/>
      <w:r>
        <w:t>Apps</w:t>
      </w:r>
      <w:bookmarkEnd w:id="189"/>
      <w:proofErr w:type="spellEnd"/>
    </w:p>
    <w:p w14:paraId="6CCAE860" w14:textId="77777777" w:rsidR="000B24EC" w:rsidRPr="000B24EC" w:rsidRDefault="000B24EC" w:rsidP="000B24EC">
      <w:pPr>
        <w:pStyle w:val="ProductList-Body"/>
        <w:rPr>
          <w:b/>
          <w:bCs/>
          <w:color w:val="00188F"/>
        </w:rPr>
      </w:pPr>
      <w:r>
        <w:rPr>
          <w:b/>
          <w:bCs/>
          <w:color w:val="00188F"/>
        </w:rPr>
        <w:t>Dodatkowe definicje</w:t>
      </w:r>
    </w:p>
    <w:p w14:paraId="3F419D97" w14:textId="77777777" w:rsidR="000B24EC" w:rsidRDefault="000B24EC" w:rsidP="000B24EC">
      <w:pPr>
        <w:pStyle w:val="ProductList-Body"/>
      </w:pPr>
      <w:r>
        <w:t>„</w:t>
      </w:r>
      <w:r>
        <w:rPr>
          <w:b/>
          <w:bCs/>
          <w:color w:val="00188F"/>
        </w:rPr>
        <w:t>Aplikacja</w:t>
      </w:r>
      <w:r>
        <w:t xml:space="preserve">” to </w:t>
      </w:r>
      <w:proofErr w:type="spellStart"/>
      <w:r>
        <w:t>mikrousługa</w:t>
      </w:r>
      <w:proofErr w:type="spellEnd"/>
      <w:r>
        <w:t xml:space="preserve"> lub aplikacja wdrożona przez klienta usługi </w:t>
      </w:r>
      <w:proofErr w:type="spellStart"/>
      <w:r>
        <w:t>Azure</w:t>
      </w:r>
      <w:proofErr w:type="spellEnd"/>
      <w:r>
        <w:t xml:space="preserve"> </w:t>
      </w:r>
      <w:proofErr w:type="spellStart"/>
      <w:r>
        <w:t>Container</w:t>
      </w:r>
      <w:proofErr w:type="spellEnd"/>
      <w:r>
        <w:t xml:space="preserve"> </w:t>
      </w:r>
      <w:proofErr w:type="spellStart"/>
      <w:r>
        <w:t>Apps</w:t>
      </w:r>
      <w:proofErr w:type="spellEnd"/>
      <w:r>
        <w:t>.</w:t>
      </w:r>
    </w:p>
    <w:p w14:paraId="7A1E0F20" w14:textId="471B3EFB" w:rsidR="000B24EC" w:rsidRDefault="000B24EC" w:rsidP="00C84B0F">
      <w:pPr>
        <w:pStyle w:val="ProductList-Body"/>
      </w:pPr>
      <w:r>
        <w:t>„</w:t>
      </w:r>
      <w:r>
        <w:rPr>
          <w:b/>
          <w:bCs/>
          <w:color w:val="00188F"/>
        </w:rPr>
        <w:t>Minuty Wdrożenia</w:t>
      </w:r>
      <w:r w:rsidR="00C84B0F">
        <w:t>”</w:t>
      </w:r>
      <w:r>
        <w:t xml:space="preserve"> oznacza łączną liczbę minut, przez jaką Aplikacja ma być aktywna we Właściwym Okresie. Oczekiwany czas aktywności Aplikacji we Właściwym Okresie jest oparty na regułach skali określonych przez klienta.</w:t>
      </w:r>
    </w:p>
    <w:p w14:paraId="577AE7E2" w14:textId="1001B467" w:rsidR="000B24EC" w:rsidRDefault="000B24EC" w:rsidP="000B24EC">
      <w:pPr>
        <w:pStyle w:val="ProductList-Body"/>
      </w:pPr>
      <w:r>
        <w:t>„</w:t>
      </w:r>
      <w:r>
        <w:rPr>
          <w:b/>
          <w:bCs/>
          <w:color w:val="00188F"/>
        </w:rPr>
        <w:t>Maksymalna Liczba Dostępnych Minut</w:t>
      </w:r>
      <w:r>
        <w:t>” to suma wszystkich Minut Wdrożenia dla danej Aplikacji wdrożonych przez użytkownika w ramach danej</w:t>
      </w:r>
      <w:r w:rsidR="00FC1961">
        <w:t> </w:t>
      </w:r>
      <w:r>
        <w:t xml:space="preserve">subskrypcji Microsoft </w:t>
      </w:r>
      <w:proofErr w:type="spellStart"/>
      <w:r>
        <w:t>Azure</w:t>
      </w:r>
      <w:proofErr w:type="spellEnd"/>
      <w:r>
        <w:t xml:space="preserve"> we Właściwym.</w:t>
      </w:r>
    </w:p>
    <w:p w14:paraId="31B96E11" w14:textId="79AF2C7C" w:rsidR="000B24EC" w:rsidRPr="000B24EC" w:rsidRDefault="00EE6E3C" w:rsidP="000B24EC">
      <w:pPr>
        <w:pStyle w:val="ProductList-Body"/>
        <w:spacing w:before="120"/>
        <w:rPr>
          <w:b/>
          <w:bCs/>
          <w:color w:val="00188F"/>
        </w:rPr>
      </w:pPr>
      <w:r>
        <w:rPr>
          <w:b/>
          <w:bCs/>
          <w:color w:val="00188F"/>
        </w:rPr>
        <w:t xml:space="preserve">Obliczanie Czasu Sprawnego Działania i Poziomy Usługi dla usługi </w:t>
      </w:r>
      <w:proofErr w:type="spellStart"/>
      <w:r>
        <w:rPr>
          <w:b/>
          <w:bCs/>
          <w:color w:val="00188F"/>
        </w:rPr>
        <w:t>Azure</w:t>
      </w:r>
      <w:proofErr w:type="spellEnd"/>
      <w:r>
        <w:rPr>
          <w:b/>
          <w:bCs/>
          <w:color w:val="00188F"/>
        </w:rPr>
        <w:t xml:space="preserve"> </w:t>
      </w:r>
      <w:proofErr w:type="spellStart"/>
      <w:r>
        <w:rPr>
          <w:b/>
          <w:bCs/>
          <w:color w:val="00188F"/>
        </w:rPr>
        <w:t>Container</w:t>
      </w:r>
      <w:proofErr w:type="spellEnd"/>
      <w:r>
        <w:rPr>
          <w:b/>
          <w:bCs/>
          <w:color w:val="00188F"/>
        </w:rPr>
        <w:t xml:space="preserve"> </w:t>
      </w:r>
      <w:proofErr w:type="spellStart"/>
      <w:r>
        <w:rPr>
          <w:b/>
          <w:bCs/>
          <w:color w:val="00188F"/>
        </w:rPr>
        <w:t>Apps</w:t>
      </w:r>
      <w:proofErr w:type="spellEnd"/>
    </w:p>
    <w:p w14:paraId="31C04623" w14:textId="3DAEB4CD" w:rsidR="000B24EC" w:rsidRDefault="000B24EC" w:rsidP="000B24EC">
      <w:pPr>
        <w:pStyle w:val="ProductList-Body"/>
      </w:pPr>
      <w:r>
        <w:t>„</w:t>
      </w:r>
      <w:r>
        <w:rPr>
          <w:b/>
          <w:bCs/>
          <w:color w:val="00188F"/>
        </w:rPr>
        <w:t>Przestój</w:t>
      </w:r>
      <w:r>
        <w:t xml:space="preserve">” to łączna zakumulowana liczba minut dla wszystkich Aplikacji wdrożonych przez Klienta w ramach danej subskrypcji Microsoft </w:t>
      </w:r>
      <w:proofErr w:type="spellStart"/>
      <w:r>
        <w:t>Azure</w:t>
      </w:r>
      <w:proofErr w:type="spellEnd"/>
      <w:r>
        <w:t>, podczas których co najmniej jedna aplikacja jest niedostępna. Minuta niedostępności dla danej Aplikacji oznacza brak łączności pomiędzy Aplikacją a bramą internetową Microsoft.</w:t>
      </w:r>
    </w:p>
    <w:p w14:paraId="5C76F7F0" w14:textId="54493D50" w:rsidR="000B24EC" w:rsidRDefault="00AC48A7" w:rsidP="000B24EC">
      <w:pPr>
        <w:pStyle w:val="ProductList-Body"/>
      </w:pPr>
      <w:r>
        <w:rPr>
          <w:b/>
          <w:bCs/>
          <w:color w:val="00188F"/>
        </w:rPr>
        <w:t>Procent Czasu Sprawnego Działania</w:t>
      </w:r>
      <w:r>
        <w:t xml:space="preserve"> „Procent Czasu Sprawnego Działania” jest obliczany przy użyciu następującego wzoru:</w:t>
      </w:r>
    </w:p>
    <w:p w14:paraId="2449A806" w14:textId="55E198C8" w:rsidR="000B24EC" w:rsidRPr="00AB1841" w:rsidRDefault="00000000" w:rsidP="00475F9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CC817AF" w14:textId="77777777" w:rsidR="000B24EC" w:rsidRPr="0009720F" w:rsidRDefault="000B24EC" w:rsidP="0009720F">
      <w:pPr>
        <w:pStyle w:val="ProductList-Body"/>
        <w:keepNext/>
        <w:rPr>
          <w:b/>
          <w:bCs/>
          <w:color w:val="00188F"/>
        </w:rPr>
      </w:pPr>
      <w:r>
        <w:rPr>
          <w:b/>
          <w:bCs/>
          <w:color w:val="00188F"/>
        </w:rPr>
        <w:t xml:space="preserve">Do używania przez Klienta usługi </w:t>
      </w:r>
      <w:proofErr w:type="spellStart"/>
      <w:r>
        <w:rPr>
          <w:b/>
          <w:bCs/>
          <w:color w:val="00188F"/>
        </w:rPr>
        <w:t>Azure</w:t>
      </w:r>
      <w:proofErr w:type="spellEnd"/>
      <w:r>
        <w:rPr>
          <w:b/>
          <w:bCs/>
          <w:color w:val="00188F"/>
        </w:rPr>
        <w:t xml:space="preserve"> </w:t>
      </w:r>
      <w:proofErr w:type="spellStart"/>
      <w:r>
        <w:rPr>
          <w:b/>
          <w:bCs/>
          <w:color w:val="00188F"/>
        </w:rPr>
        <w:t>Container</w:t>
      </w:r>
      <w:proofErr w:type="spellEnd"/>
      <w:r>
        <w:rPr>
          <w:b/>
          <w:bCs/>
          <w:color w:val="00188F"/>
        </w:rPr>
        <w:t xml:space="preserve"> </w:t>
      </w:r>
      <w:proofErr w:type="spellStart"/>
      <w:r>
        <w:rPr>
          <w:b/>
          <w:bCs/>
          <w:color w:val="00188F"/>
        </w:rPr>
        <w:t>Apps</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9720F" w:rsidRPr="00B44CF9" w14:paraId="08669EAE" w14:textId="77777777" w:rsidTr="00277097">
        <w:trPr>
          <w:tblHeader/>
        </w:trPr>
        <w:tc>
          <w:tcPr>
            <w:tcW w:w="5400" w:type="dxa"/>
            <w:shd w:val="clear" w:color="auto" w:fill="0072C6"/>
          </w:tcPr>
          <w:p w14:paraId="3F7E3D49" w14:textId="18C1F93C" w:rsidR="0009720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901E2CC" w14:textId="77777777" w:rsidR="0009720F" w:rsidRPr="001A0074" w:rsidRDefault="0009720F" w:rsidP="000F31B4">
            <w:pPr>
              <w:pStyle w:val="ProductList-OfferingBody"/>
              <w:jc w:val="center"/>
              <w:rPr>
                <w:color w:val="FFFFFF" w:themeColor="background1"/>
              </w:rPr>
            </w:pPr>
            <w:r>
              <w:rPr>
                <w:color w:val="FFFFFF" w:themeColor="background1"/>
              </w:rPr>
              <w:t>Środki Serwisowe na Używanie Usług</w:t>
            </w:r>
          </w:p>
        </w:tc>
      </w:tr>
      <w:tr w:rsidR="0009720F" w:rsidRPr="00B44CF9" w14:paraId="247C1443" w14:textId="77777777" w:rsidTr="00277097">
        <w:tc>
          <w:tcPr>
            <w:tcW w:w="5400" w:type="dxa"/>
          </w:tcPr>
          <w:p w14:paraId="63E22245" w14:textId="0C0A2D6A" w:rsidR="0009720F" w:rsidRPr="0076238C" w:rsidRDefault="0009720F" w:rsidP="000F31B4">
            <w:pPr>
              <w:pStyle w:val="ProductList-OfferingBody"/>
              <w:jc w:val="center"/>
            </w:pPr>
            <w:r>
              <w:t>&lt; 99,95%</w:t>
            </w:r>
          </w:p>
        </w:tc>
        <w:tc>
          <w:tcPr>
            <w:tcW w:w="5400" w:type="dxa"/>
          </w:tcPr>
          <w:p w14:paraId="75499F95" w14:textId="77777777" w:rsidR="0009720F" w:rsidRPr="0076238C" w:rsidRDefault="0009720F" w:rsidP="000F31B4">
            <w:pPr>
              <w:pStyle w:val="ProductList-OfferingBody"/>
              <w:jc w:val="center"/>
            </w:pPr>
            <w:r>
              <w:t>10%</w:t>
            </w:r>
          </w:p>
        </w:tc>
      </w:tr>
      <w:tr w:rsidR="0009720F" w:rsidRPr="00B44CF9" w14:paraId="0B3713BB" w14:textId="77777777" w:rsidTr="00277097">
        <w:tc>
          <w:tcPr>
            <w:tcW w:w="5400" w:type="dxa"/>
          </w:tcPr>
          <w:p w14:paraId="47220F01" w14:textId="77777777" w:rsidR="0009720F" w:rsidRPr="0076238C" w:rsidRDefault="0009720F" w:rsidP="000F31B4">
            <w:pPr>
              <w:pStyle w:val="ProductList-OfferingBody"/>
              <w:jc w:val="center"/>
            </w:pPr>
            <w:r>
              <w:t>&lt; 99%</w:t>
            </w:r>
          </w:p>
        </w:tc>
        <w:tc>
          <w:tcPr>
            <w:tcW w:w="5400" w:type="dxa"/>
          </w:tcPr>
          <w:p w14:paraId="00A669D7" w14:textId="77777777" w:rsidR="0009720F" w:rsidRPr="0076238C" w:rsidRDefault="0009720F" w:rsidP="000F31B4">
            <w:pPr>
              <w:pStyle w:val="ProductList-OfferingBody"/>
              <w:jc w:val="center"/>
            </w:pPr>
            <w:r>
              <w:t>25%</w:t>
            </w:r>
          </w:p>
        </w:tc>
      </w:tr>
      <w:tr w:rsidR="0009720F" w:rsidRPr="00B44CF9" w14:paraId="43FEDA1B" w14:textId="77777777" w:rsidTr="00277097">
        <w:tc>
          <w:tcPr>
            <w:tcW w:w="5400" w:type="dxa"/>
          </w:tcPr>
          <w:p w14:paraId="304A67E9" w14:textId="02332AE5" w:rsidR="0009720F" w:rsidRPr="0076238C" w:rsidRDefault="0009720F" w:rsidP="000F31B4">
            <w:pPr>
              <w:pStyle w:val="ProductList-OfferingBody"/>
              <w:jc w:val="center"/>
            </w:pPr>
            <w:r>
              <w:t>&lt; 95%</w:t>
            </w:r>
          </w:p>
        </w:tc>
        <w:tc>
          <w:tcPr>
            <w:tcW w:w="5400" w:type="dxa"/>
          </w:tcPr>
          <w:p w14:paraId="31812F43" w14:textId="34C34F3C" w:rsidR="0009720F" w:rsidRDefault="0009720F" w:rsidP="000F31B4">
            <w:pPr>
              <w:pStyle w:val="ProductList-OfferingBody"/>
              <w:jc w:val="center"/>
            </w:pPr>
            <w:r>
              <w:t>100%</w:t>
            </w:r>
          </w:p>
        </w:tc>
      </w:tr>
    </w:tbl>
    <w:p w14:paraId="3D461C6F" w14:textId="1570F217" w:rsidR="0009720F" w:rsidRPr="00EF7CF9" w:rsidRDefault="00C71F89" w:rsidP="000972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D97ED15" w14:textId="47BE4869" w:rsidR="004005AF" w:rsidRDefault="004005AF" w:rsidP="00A01875">
      <w:pPr>
        <w:pStyle w:val="ProductList-Offering2Heading"/>
        <w:keepNext/>
        <w:tabs>
          <w:tab w:val="clear" w:pos="360"/>
          <w:tab w:val="clear" w:pos="720"/>
          <w:tab w:val="clear" w:pos="1080"/>
        </w:tabs>
        <w:outlineLvl w:val="2"/>
      </w:pPr>
      <w:bookmarkStart w:id="190" w:name="_Toc239174984"/>
      <w:proofErr w:type="spellStart"/>
      <w:r>
        <w:t>Azure</w:t>
      </w:r>
      <w:proofErr w:type="spellEnd"/>
      <w:r>
        <w:t xml:space="preserve"> </w:t>
      </w:r>
      <w:proofErr w:type="spellStart"/>
      <w:r>
        <w:t>Container</w:t>
      </w:r>
      <w:proofErr w:type="spellEnd"/>
      <w:r>
        <w:t xml:space="preserve"> </w:t>
      </w:r>
      <w:proofErr w:type="spellStart"/>
      <w:r>
        <w:t>Instances</w:t>
      </w:r>
      <w:bookmarkEnd w:id="163"/>
      <w:bookmarkEnd w:id="168"/>
      <w:bookmarkEnd w:id="190"/>
      <w:proofErr w:type="spellEnd"/>
    </w:p>
    <w:p w14:paraId="386F1074" w14:textId="77777777" w:rsidR="004005AF" w:rsidRPr="00DA6241" w:rsidRDefault="004005AF" w:rsidP="004005AF">
      <w:pPr>
        <w:pStyle w:val="ProductList-Body"/>
      </w:pPr>
      <w:r>
        <w:rPr>
          <w:b/>
          <w:color w:val="00188F"/>
        </w:rPr>
        <w:t>Dodatkowe definicje</w:t>
      </w:r>
      <w:r w:rsidRPr="007B038A">
        <w:rPr>
          <w:b/>
          <w:color w:val="00188F"/>
        </w:rPr>
        <w:t>:</w:t>
      </w:r>
    </w:p>
    <w:p w14:paraId="17D6F31B"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Łączność</w:t>
      </w:r>
      <w:r>
        <w:rPr>
          <w:sz w:val="18"/>
        </w:rPr>
        <w:t>”</w:t>
      </w:r>
      <w:r>
        <w:rPr>
          <w:rFonts w:eastAsiaTheme="minorEastAsia"/>
          <w:sz w:val="18"/>
          <w:szCs w:val="18"/>
        </w:rPr>
        <w:t xml:space="preserve"> </w:t>
      </w:r>
      <w:r>
        <w:rPr>
          <w:sz w:val="18"/>
        </w:rPr>
        <w:t xml:space="preserve">to dwukierunkowy ruch danych w sieci między Grupą Kontenerów a innymi adresami IP za pośrednictwem protokołu sieciowego TCP lub UDP, w przypadku którego konfiguracja Grupy Kontenerów obsługuje dozwolony </w:t>
      </w:r>
      <w:proofErr w:type="spellStart"/>
      <w:r>
        <w:rPr>
          <w:sz w:val="18"/>
        </w:rPr>
        <w:t>przesył</w:t>
      </w:r>
      <w:proofErr w:type="spellEnd"/>
      <w:r>
        <w:rPr>
          <w:sz w:val="18"/>
        </w:rPr>
        <w:t xml:space="preserve"> danych.</w:t>
      </w:r>
    </w:p>
    <w:p w14:paraId="2C3918CB" w14:textId="77777777" w:rsidR="004005AF" w:rsidRPr="00B44CF9" w:rsidRDefault="004005AF" w:rsidP="004005AF">
      <w:pPr>
        <w:spacing w:after="0"/>
        <w:rPr>
          <w:rFonts w:eastAsiaTheme="minorEastAsia"/>
          <w:sz w:val="18"/>
          <w:szCs w:val="18"/>
          <w:lang w:eastAsia="zh-TW"/>
        </w:rPr>
      </w:pPr>
      <w:r>
        <w:rPr>
          <w:sz w:val="18"/>
        </w:rPr>
        <w:t>„</w:t>
      </w:r>
      <w:r>
        <w:rPr>
          <w:b/>
          <w:color w:val="00188F"/>
          <w:sz w:val="18"/>
        </w:rPr>
        <w:t>Grupa Kontenerów</w:t>
      </w:r>
      <w:r>
        <w:rPr>
          <w:sz w:val="18"/>
        </w:rPr>
        <w:t>”</w:t>
      </w:r>
      <w:r>
        <w:rPr>
          <w:rFonts w:eastAsiaTheme="minorEastAsia"/>
          <w:sz w:val="18"/>
          <w:szCs w:val="18"/>
        </w:rPr>
        <w:t xml:space="preserve"> </w:t>
      </w:r>
      <w:r>
        <w:rPr>
          <w:sz w:val="18"/>
        </w:rPr>
        <w:t>to zbiór zlokalizowanych w tym samym miejscu kontenerów, które mają taki sam cykl życia i korzystają z takich samych zasobów sieciowych.</w:t>
      </w:r>
    </w:p>
    <w:p w14:paraId="2BA58C30" w14:textId="64833E19" w:rsidR="004005AF" w:rsidRPr="006B254C" w:rsidRDefault="00EE6E3C" w:rsidP="001E47B8">
      <w:pPr>
        <w:spacing w:before="60" w:after="0"/>
        <w:rPr>
          <w:sz w:val="18"/>
          <w:szCs w:val="18"/>
        </w:rPr>
      </w:pPr>
      <w:r>
        <w:rPr>
          <w:b/>
          <w:color w:val="00188F"/>
          <w:sz w:val="18"/>
          <w:szCs w:val="18"/>
        </w:rPr>
        <w:t>Obliczanie Czasu Sprawnego Działania i Poziomy Usługi dla Grupy Kontenerów</w:t>
      </w:r>
      <w:r w:rsidRPr="007B038A">
        <w:rPr>
          <w:b/>
          <w:color w:val="00188F"/>
          <w:sz w:val="18"/>
        </w:rPr>
        <w:t>:</w:t>
      </w:r>
    </w:p>
    <w:p w14:paraId="08FFC51D" w14:textId="19F233FB" w:rsidR="004005AF" w:rsidRPr="00272B37" w:rsidRDefault="004005AF" w:rsidP="004005AF">
      <w:pPr>
        <w:spacing w:after="0"/>
        <w:rPr>
          <w:rFonts w:eastAsiaTheme="minorEastAsia"/>
          <w:spacing w:val="-2"/>
          <w:sz w:val="18"/>
          <w:szCs w:val="18"/>
          <w:lang w:eastAsia="zh-TW"/>
        </w:rPr>
      </w:pPr>
      <w:r w:rsidRPr="00272B37">
        <w:rPr>
          <w:spacing w:val="-2"/>
          <w:sz w:val="18"/>
        </w:rPr>
        <w:t>„</w:t>
      </w:r>
      <w:r w:rsidRPr="00272B37">
        <w:rPr>
          <w:b/>
          <w:color w:val="00188F"/>
          <w:spacing w:val="-2"/>
          <w:sz w:val="18"/>
        </w:rPr>
        <w:t>Maksymalna Liczba Minut Dostępności</w:t>
      </w:r>
      <w:r w:rsidRPr="00272B37">
        <w:rPr>
          <w:spacing w:val="-2"/>
          <w:sz w:val="18"/>
        </w:rPr>
        <w:t>”</w:t>
      </w:r>
      <w:r w:rsidRPr="00272B37">
        <w:rPr>
          <w:rFonts w:eastAsiaTheme="minorEastAsia"/>
          <w:spacing w:val="-2"/>
          <w:sz w:val="18"/>
          <w:szCs w:val="18"/>
        </w:rPr>
        <w:t xml:space="preserve"> </w:t>
      </w:r>
      <w:r w:rsidRPr="00272B37">
        <w:rPr>
          <w:spacing w:val="-2"/>
          <w:sz w:val="18"/>
        </w:rPr>
        <w:t xml:space="preserve">to łączna liczba minut, przez które dana Grupa Kontenerów została wdrożona przez klienta w ramach subskrypcji Microsoft </w:t>
      </w:r>
      <w:proofErr w:type="spellStart"/>
      <w:r w:rsidRPr="00272B37">
        <w:rPr>
          <w:spacing w:val="-2"/>
          <w:sz w:val="18"/>
        </w:rPr>
        <w:t>Azure</w:t>
      </w:r>
      <w:proofErr w:type="spellEnd"/>
      <w:r w:rsidRPr="00272B37">
        <w:rPr>
          <w:spacing w:val="-2"/>
          <w:sz w:val="18"/>
        </w:rPr>
        <w:t xml:space="preserve"> we Właściwym Okresie. Maksymalna Liczba Dostępnych Minut jest mierzona od momentu działania klienta skutkującego uruchomieniem danej Grupy Kontenerów do momentu działania klienta skutkującego zatrzymaniem lub usunięciem danej Grupy Kontenerów.</w:t>
      </w:r>
    </w:p>
    <w:p w14:paraId="57399B70" w14:textId="77777777" w:rsidR="004005AF" w:rsidRPr="00B44CF9" w:rsidRDefault="004005AF" w:rsidP="004005AF">
      <w:pPr>
        <w:spacing w:after="0" w:line="240" w:lineRule="auto"/>
        <w:rPr>
          <w:rFonts w:eastAsiaTheme="minorEastAsia"/>
          <w:sz w:val="18"/>
          <w:szCs w:val="18"/>
          <w:lang w:eastAsia="zh-TW"/>
        </w:rPr>
      </w:pPr>
      <w:r>
        <w:rPr>
          <w:sz w:val="18"/>
        </w:rPr>
        <w:t>„</w:t>
      </w:r>
      <w:r>
        <w:rPr>
          <w:b/>
          <w:color w:val="00188F"/>
          <w:sz w:val="18"/>
        </w:rPr>
        <w:t>Przestój</w:t>
      </w:r>
      <w:r>
        <w:rPr>
          <w:sz w:val="18"/>
        </w:rPr>
        <w:t>”</w:t>
      </w:r>
      <w:r>
        <w:rPr>
          <w:rFonts w:eastAsiaTheme="minorEastAsia"/>
          <w:sz w:val="18"/>
          <w:szCs w:val="18"/>
        </w:rPr>
        <w:t xml:space="preserve"> </w:t>
      </w:r>
      <w:r>
        <w:rPr>
          <w:sz w:val="18"/>
        </w:rPr>
        <w:t>to łączna liczba minut (w ramach Maksymalnej Liczby Dostępnych Minut) braku Łączności.</w:t>
      </w:r>
    </w:p>
    <w:p w14:paraId="03725B88" w14:textId="2B583F57" w:rsidR="004005AF" w:rsidRDefault="00AC48A7" w:rsidP="004005AF">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63380865" w14:textId="4AAF24A5" w:rsidR="004005AF" w:rsidRPr="00AB1841" w:rsidRDefault="00000000" w:rsidP="00475F9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7A707BE" w14:textId="77777777" w:rsidR="004005AF" w:rsidRPr="00774368" w:rsidRDefault="004005AF" w:rsidP="004005AF">
      <w:pPr>
        <w:pStyle w:val="ProductList-Body"/>
        <w:keepNext/>
        <w:rPr>
          <w:b/>
          <w:bCs/>
          <w:color w:val="00188F"/>
        </w:rPr>
      </w:pPr>
      <w:r>
        <w:rPr>
          <w:rFonts w:ascii="Calibri" w:hAnsi="Calibri" w:cs="Calibri"/>
          <w:b/>
          <w:bCs/>
          <w:color w:val="00188F"/>
          <w:shd w:val="clear" w:color="auto" w:fill="FFFFFF"/>
        </w:rPr>
        <w:t>Do używania przez Klienta Grupy Kontenerów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592D318E" w14:textId="77777777" w:rsidTr="00277097">
        <w:trPr>
          <w:tblHeader/>
        </w:trPr>
        <w:tc>
          <w:tcPr>
            <w:tcW w:w="5400" w:type="dxa"/>
            <w:shd w:val="clear" w:color="auto" w:fill="0072C6"/>
          </w:tcPr>
          <w:p w14:paraId="5DE10A4B" w14:textId="7382A7CC"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D54CC45"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078EA220" w14:textId="77777777" w:rsidTr="00277097">
        <w:tc>
          <w:tcPr>
            <w:tcW w:w="5400" w:type="dxa"/>
          </w:tcPr>
          <w:p w14:paraId="35D30128" w14:textId="77777777" w:rsidR="004005AF" w:rsidRPr="0076238C" w:rsidRDefault="004005AF" w:rsidP="000F31B4">
            <w:pPr>
              <w:pStyle w:val="ProductList-OfferingBody"/>
              <w:jc w:val="center"/>
            </w:pPr>
            <w:r>
              <w:t>&lt; 99,9%</w:t>
            </w:r>
          </w:p>
        </w:tc>
        <w:tc>
          <w:tcPr>
            <w:tcW w:w="5400" w:type="dxa"/>
          </w:tcPr>
          <w:p w14:paraId="7AE03CEF" w14:textId="77777777" w:rsidR="004005AF" w:rsidRPr="0076238C" w:rsidRDefault="004005AF" w:rsidP="000F31B4">
            <w:pPr>
              <w:pStyle w:val="ProductList-OfferingBody"/>
              <w:jc w:val="center"/>
            </w:pPr>
            <w:r>
              <w:t>10%</w:t>
            </w:r>
          </w:p>
        </w:tc>
      </w:tr>
      <w:tr w:rsidR="004005AF" w:rsidRPr="00B44CF9" w14:paraId="75F47C6A" w14:textId="77777777" w:rsidTr="00277097">
        <w:tc>
          <w:tcPr>
            <w:tcW w:w="5400" w:type="dxa"/>
          </w:tcPr>
          <w:p w14:paraId="05EE5E80" w14:textId="77777777" w:rsidR="004005AF" w:rsidRPr="0076238C" w:rsidRDefault="004005AF" w:rsidP="000F31B4">
            <w:pPr>
              <w:pStyle w:val="ProductList-OfferingBody"/>
              <w:jc w:val="center"/>
            </w:pPr>
            <w:r>
              <w:t>&lt; 99%</w:t>
            </w:r>
          </w:p>
        </w:tc>
        <w:tc>
          <w:tcPr>
            <w:tcW w:w="5400" w:type="dxa"/>
          </w:tcPr>
          <w:p w14:paraId="24AC02CF" w14:textId="77777777" w:rsidR="004005AF" w:rsidRPr="0076238C" w:rsidRDefault="004005AF" w:rsidP="000F31B4">
            <w:pPr>
              <w:pStyle w:val="ProductList-OfferingBody"/>
              <w:jc w:val="center"/>
            </w:pPr>
            <w:r>
              <w:t>25%</w:t>
            </w:r>
          </w:p>
        </w:tc>
      </w:tr>
    </w:tbl>
    <w:bookmarkEnd w:id="164"/>
    <w:p w14:paraId="3F55D7B5" w14:textId="25023DD2"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83BB6F2" w14:textId="77777777" w:rsidR="00491D0A" w:rsidRPr="00EF7CF9" w:rsidRDefault="00491D0A" w:rsidP="00FD5737">
      <w:pPr>
        <w:pStyle w:val="ProductList-Offering2Heading"/>
        <w:keepNext/>
        <w:tabs>
          <w:tab w:val="clear" w:pos="360"/>
          <w:tab w:val="clear" w:pos="720"/>
          <w:tab w:val="clear" w:pos="1080"/>
        </w:tabs>
        <w:outlineLvl w:val="2"/>
      </w:pPr>
      <w:bookmarkStart w:id="191" w:name="_Toc52348947"/>
      <w:bookmarkStart w:id="192" w:name="_Toc239174985"/>
      <w:bookmarkStart w:id="193" w:name="_Toc52348926"/>
      <w:bookmarkStart w:id="194" w:name="AzureCosmosDB"/>
      <w:proofErr w:type="spellStart"/>
      <w:r>
        <w:t>Azure</w:t>
      </w:r>
      <w:proofErr w:type="spellEnd"/>
      <w:r>
        <w:t xml:space="preserve"> </w:t>
      </w:r>
      <w:proofErr w:type="spellStart"/>
      <w:r>
        <w:t>Container</w:t>
      </w:r>
      <w:proofErr w:type="spellEnd"/>
      <w:r>
        <w:t xml:space="preserve"> Registry</w:t>
      </w:r>
      <w:bookmarkEnd w:id="191"/>
      <w:bookmarkEnd w:id="192"/>
    </w:p>
    <w:p w14:paraId="05E63E28" w14:textId="77777777" w:rsidR="00491D0A" w:rsidRPr="00EF7CF9" w:rsidRDefault="00491D0A" w:rsidP="00FD5737">
      <w:pPr>
        <w:pStyle w:val="ProductList-Body"/>
        <w:keepNext/>
        <w:rPr>
          <w:rFonts w:cstheme="minorHAnsi"/>
          <w:b/>
          <w:color w:val="00188F"/>
          <w:szCs w:val="18"/>
        </w:rPr>
      </w:pPr>
      <w:r>
        <w:rPr>
          <w:rFonts w:cstheme="minorHAnsi"/>
          <w:b/>
          <w:color w:val="00188F"/>
          <w:szCs w:val="18"/>
        </w:rPr>
        <w:t>Dodatkowe definicje</w:t>
      </w:r>
      <w:r w:rsidRPr="007B038A">
        <w:rPr>
          <w:b/>
          <w:color w:val="00188F"/>
        </w:rPr>
        <w:t>:</w:t>
      </w:r>
    </w:p>
    <w:p w14:paraId="6CEB28A5"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Rejestr</w:t>
      </w:r>
      <w:r>
        <w:rPr>
          <w:rFonts w:eastAsia="Calibri" w:cstheme="minorHAnsi"/>
          <w:b/>
          <w:sz w:val="18"/>
          <w:szCs w:val="18"/>
        </w:rPr>
        <w:t xml:space="preserve"> </w:t>
      </w:r>
      <w:r>
        <w:rPr>
          <w:rFonts w:cstheme="minorHAnsi"/>
          <w:b/>
          <w:color w:val="00188F"/>
          <w:sz w:val="18"/>
          <w:szCs w:val="18"/>
        </w:rPr>
        <w:t>Zarządzany</w:t>
      </w:r>
      <w:r>
        <w:rPr>
          <w:rFonts w:eastAsia="Calibri" w:cstheme="minorHAnsi"/>
          <w:sz w:val="18"/>
          <w:szCs w:val="18"/>
        </w:rPr>
        <w:t xml:space="preserve">” to dowolne wystąpienie usługi </w:t>
      </w:r>
      <w:proofErr w:type="spellStart"/>
      <w:r>
        <w:rPr>
          <w:rFonts w:eastAsia="Calibri" w:cstheme="minorHAnsi"/>
          <w:sz w:val="18"/>
          <w:szCs w:val="18"/>
        </w:rPr>
        <w:t>Container</w:t>
      </w:r>
      <w:proofErr w:type="spellEnd"/>
      <w:r>
        <w:rPr>
          <w:rFonts w:eastAsia="Calibri" w:cstheme="minorHAnsi"/>
          <w:sz w:val="18"/>
          <w:szCs w:val="18"/>
        </w:rPr>
        <w:t xml:space="preserve"> Registry w wersji Podstawowa, Standardowa lub Premium.</w:t>
      </w:r>
    </w:p>
    <w:p w14:paraId="148330EA"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Punkt Końcowy</w:t>
      </w:r>
      <w:r>
        <w:rPr>
          <w:rFonts w:cstheme="minorHAnsi"/>
          <w:b/>
          <w:sz w:val="18"/>
          <w:szCs w:val="18"/>
        </w:rPr>
        <w:t xml:space="preserve"> </w:t>
      </w:r>
      <w:r>
        <w:rPr>
          <w:rFonts w:cstheme="minorHAnsi"/>
          <w:b/>
          <w:color w:val="00188F"/>
          <w:sz w:val="18"/>
          <w:szCs w:val="18"/>
        </w:rPr>
        <w:t>Rejestru</w:t>
      </w:r>
      <w:r>
        <w:rPr>
          <w:rFonts w:cstheme="minorHAnsi"/>
          <w:sz w:val="18"/>
          <w:szCs w:val="18"/>
        </w:rPr>
        <w:t xml:space="preserve">” to nazwa serwera, z którego klienci uzyskują dostęp do danego Rejestru Zarządzanego w celu wykonania operacji związanych z usługą </w:t>
      </w:r>
      <w:proofErr w:type="spellStart"/>
      <w:r>
        <w:rPr>
          <w:rFonts w:cstheme="minorHAnsi"/>
          <w:sz w:val="18"/>
          <w:szCs w:val="18"/>
        </w:rPr>
        <w:t>Container</w:t>
      </w:r>
      <w:proofErr w:type="spellEnd"/>
      <w:r>
        <w:rPr>
          <w:rFonts w:cstheme="minorHAnsi"/>
          <w:sz w:val="18"/>
          <w:szCs w:val="18"/>
        </w:rPr>
        <w:t xml:space="preserve"> Registry. </w:t>
      </w:r>
    </w:p>
    <w:p w14:paraId="07F834F0" w14:textId="77777777" w:rsidR="00491D0A" w:rsidRPr="00EF7CF9" w:rsidRDefault="00491D0A" w:rsidP="00491D0A">
      <w:pPr>
        <w:spacing w:after="0" w:line="240" w:lineRule="auto"/>
        <w:rPr>
          <w:rFonts w:cstheme="minorHAnsi"/>
          <w:sz w:val="18"/>
          <w:szCs w:val="18"/>
        </w:rPr>
      </w:pPr>
      <w:r>
        <w:rPr>
          <w:rFonts w:cstheme="minorHAnsi"/>
          <w:sz w:val="18"/>
          <w:szCs w:val="18"/>
        </w:rPr>
        <w:t>„</w:t>
      </w:r>
      <w:r>
        <w:rPr>
          <w:rFonts w:cstheme="minorHAnsi"/>
          <w:b/>
          <w:color w:val="00188F"/>
          <w:sz w:val="18"/>
          <w:szCs w:val="18"/>
        </w:rPr>
        <w:t>Transakcje</w:t>
      </w:r>
      <w:r>
        <w:rPr>
          <w:rFonts w:cstheme="minorHAnsi"/>
          <w:b/>
          <w:sz w:val="18"/>
          <w:szCs w:val="18"/>
        </w:rPr>
        <w:t xml:space="preserve"> </w:t>
      </w:r>
      <w:r>
        <w:rPr>
          <w:rFonts w:cstheme="minorHAnsi"/>
          <w:b/>
          <w:color w:val="00188F"/>
          <w:sz w:val="18"/>
          <w:szCs w:val="18"/>
        </w:rPr>
        <w:t>Rejestru</w:t>
      </w:r>
      <w:r>
        <w:rPr>
          <w:rFonts w:cstheme="minorHAnsi"/>
          <w:sz w:val="18"/>
          <w:szCs w:val="18"/>
        </w:rPr>
        <w:t xml:space="preserve">” to zestaw żądań transakcji wysyłanych z klienta do Punktu Końcowego Rejestru. </w:t>
      </w:r>
    </w:p>
    <w:p w14:paraId="009FC995" w14:textId="2E93592D" w:rsidR="00491D0A" w:rsidRPr="00ED4527" w:rsidRDefault="00EE6E3C" w:rsidP="001E47B8">
      <w:pPr>
        <w:spacing w:before="60" w:after="0" w:line="240" w:lineRule="auto"/>
        <w:rPr>
          <w:rFonts w:eastAsia="Calibri" w:cstheme="minorHAnsi"/>
          <w:b/>
          <w:bCs/>
          <w:color w:val="00188F"/>
          <w:sz w:val="18"/>
          <w:szCs w:val="18"/>
        </w:rPr>
      </w:pPr>
      <w:r>
        <w:rPr>
          <w:rFonts w:eastAsia="Calibri" w:cstheme="minorHAnsi"/>
          <w:b/>
          <w:bCs/>
          <w:color w:val="00188F"/>
          <w:sz w:val="18"/>
          <w:szCs w:val="18"/>
        </w:rPr>
        <w:t xml:space="preserve">Obliczanie Czasu Sprawnego Działania i Poziomy Usługi dla Rejestru Zarządzanego Kontenerów </w:t>
      </w:r>
      <w:proofErr w:type="spellStart"/>
      <w:r>
        <w:rPr>
          <w:rFonts w:eastAsia="Calibri" w:cstheme="minorHAnsi"/>
          <w:b/>
          <w:bCs/>
          <w:color w:val="00188F"/>
          <w:sz w:val="18"/>
          <w:szCs w:val="18"/>
        </w:rPr>
        <w:t>Managed</w:t>
      </w:r>
      <w:proofErr w:type="spellEnd"/>
      <w:r>
        <w:rPr>
          <w:rFonts w:eastAsia="Calibri" w:cstheme="minorHAnsi"/>
          <w:b/>
          <w:bCs/>
          <w:color w:val="00188F"/>
          <w:sz w:val="18"/>
          <w:szCs w:val="18"/>
        </w:rPr>
        <w:t xml:space="preserve"> </w:t>
      </w:r>
      <w:proofErr w:type="spellStart"/>
      <w:r>
        <w:rPr>
          <w:rFonts w:eastAsia="Calibri" w:cstheme="minorHAnsi"/>
          <w:b/>
          <w:bCs/>
          <w:color w:val="00188F"/>
          <w:sz w:val="18"/>
          <w:szCs w:val="18"/>
        </w:rPr>
        <w:t>Container</w:t>
      </w:r>
      <w:proofErr w:type="spellEnd"/>
      <w:r>
        <w:rPr>
          <w:rFonts w:eastAsia="Calibri" w:cstheme="minorHAnsi"/>
          <w:b/>
          <w:bCs/>
          <w:color w:val="00188F"/>
          <w:sz w:val="18"/>
          <w:szCs w:val="18"/>
        </w:rPr>
        <w:t xml:space="preserve"> Registry</w:t>
      </w:r>
    </w:p>
    <w:p w14:paraId="0D05033E" w14:textId="52BA6608" w:rsidR="00491D0A" w:rsidRPr="00EF7CF9" w:rsidRDefault="00491D0A" w:rsidP="00491D0A">
      <w:pPr>
        <w:spacing w:after="0" w:line="240" w:lineRule="auto"/>
        <w:rPr>
          <w:rFonts w:cstheme="minorHAnsi"/>
          <w:sz w:val="18"/>
          <w:szCs w:val="18"/>
        </w:rPr>
      </w:pPr>
      <w:r>
        <w:rPr>
          <w:rFonts w:eastAsia="Calibri" w:cstheme="minorHAnsi"/>
          <w:sz w:val="18"/>
          <w:szCs w:val="18"/>
        </w:rPr>
        <w:t>„</w:t>
      </w:r>
      <w:r>
        <w:rPr>
          <w:rFonts w:cstheme="minorHAnsi"/>
          <w:b/>
          <w:color w:val="00188F"/>
          <w:sz w:val="18"/>
          <w:szCs w:val="18"/>
        </w:rPr>
        <w:t>Maksymalna Liczba Dostępnych Minut</w:t>
      </w:r>
      <w:r>
        <w:rPr>
          <w:rFonts w:cstheme="minorHAnsi"/>
          <w:sz w:val="18"/>
          <w:szCs w:val="18"/>
        </w:rPr>
        <w:t>” to łączna liczba minut, przez które dany Zarządzany Rejestr Kontenerów został wdrożony przez klienta w</w:t>
      </w:r>
      <w:r w:rsidR="00381145">
        <w:rPr>
          <w:rFonts w:cstheme="minorHAnsi"/>
          <w:sz w:val="18"/>
          <w:szCs w:val="18"/>
        </w:rPr>
        <w:t> </w:t>
      </w:r>
      <w:r>
        <w:rPr>
          <w:rFonts w:cstheme="minorHAnsi"/>
          <w:sz w:val="18"/>
          <w:szCs w:val="18"/>
        </w:rPr>
        <w:t>ramach subskrypcji Microsoft we Właściwym Okresie.</w:t>
      </w:r>
    </w:p>
    <w:p w14:paraId="145A1826" w14:textId="77777777" w:rsidR="00491D0A" w:rsidRPr="00EF7CF9" w:rsidRDefault="00491D0A" w:rsidP="00491D0A">
      <w:pPr>
        <w:spacing w:after="0" w:line="240" w:lineRule="auto"/>
        <w:rPr>
          <w:rFonts w:eastAsia="Calibri" w:cstheme="minorHAnsi"/>
          <w:sz w:val="18"/>
          <w:szCs w:val="18"/>
        </w:rPr>
      </w:pPr>
      <w:r>
        <w:rPr>
          <w:rFonts w:eastAsia="Calibri" w:cstheme="minorHAnsi"/>
          <w:sz w:val="18"/>
          <w:szCs w:val="18"/>
        </w:rPr>
        <w:t>„</w:t>
      </w:r>
      <w:r>
        <w:rPr>
          <w:rFonts w:cstheme="minorHAnsi"/>
          <w:b/>
          <w:color w:val="00188F"/>
          <w:sz w:val="18"/>
          <w:szCs w:val="18"/>
        </w:rPr>
        <w:t>Przestój</w:t>
      </w:r>
      <w:r>
        <w:rPr>
          <w:rFonts w:eastAsia="Calibri" w:cstheme="minorHAnsi"/>
          <w:sz w:val="18"/>
          <w:szCs w:val="18"/>
        </w:rPr>
        <w:t>” to łączna liczba minut w ramach Maksymalnej Liczby Dostępnych Minut, podczas których Rejestr Zarządzany jest niedostępny. Minuta jest uznawana za niedostępną, jeżeli wszystkie kolejne próby wysłania transakcji rejestru kończą się kodem błędu lub brakiem odpowiedzi w ciągu maksymalnego czasu przetwarzania wskazanego w poniższej tabeli.</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5154B60"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5F5D38BD" w14:textId="77777777" w:rsidR="00491D0A" w:rsidRPr="00D30B89" w:rsidRDefault="00491D0A" w:rsidP="000F31B4">
            <w:pPr>
              <w:keepNext/>
              <w:jc w:val="center"/>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Typy transakcji</w:t>
            </w:r>
          </w:p>
        </w:tc>
        <w:tc>
          <w:tcPr>
            <w:tcW w:w="2500" w:type="pct"/>
            <w:shd w:val="clear" w:color="auto" w:fill="0070C0"/>
          </w:tcPr>
          <w:p w14:paraId="1656A56F" w14:textId="77777777" w:rsidR="00491D0A" w:rsidRPr="00D30B89" w:rsidRDefault="00491D0A" w:rsidP="000F31B4">
            <w:pPr>
              <w:keepNext/>
              <w:jc w:val="center"/>
              <w:cnfStyle w:val="100000000000" w:firstRow="1" w:lastRow="0" w:firstColumn="0" w:lastColumn="0" w:oddVBand="0" w:evenVBand="0" w:oddHBand="0" w:evenHBand="0" w:firstRowFirstColumn="0" w:firstRowLastColumn="0" w:lastRowFirstColumn="0" w:lastRowLastColumn="0"/>
              <w:rPr>
                <w:rFonts w:eastAsia="Calibri" w:cstheme="minorHAnsi"/>
                <w:b w:val="0"/>
                <w:bCs w:val="0"/>
                <w:color w:val="FFFFFF" w:themeColor="background1"/>
                <w:sz w:val="16"/>
                <w:szCs w:val="16"/>
              </w:rPr>
            </w:pPr>
            <w:r>
              <w:rPr>
                <w:rFonts w:eastAsia="Calibri" w:cstheme="minorHAnsi"/>
                <w:b w:val="0"/>
                <w:bCs w:val="0"/>
                <w:color w:val="FFFFFF" w:themeColor="background1"/>
                <w:sz w:val="16"/>
                <w:szCs w:val="16"/>
              </w:rPr>
              <w:t>Maksymalny Czas Przetwarzania</w:t>
            </w:r>
          </w:p>
        </w:tc>
      </w:tr>
      <w:tr w:rsidR="00491D0A" w:rsidRPr="00B44CF9" w14:paraId="1F0DE220"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6CF95041" w14:textId="77777777" w:rsidR="00491D0A" w:rsidRPr="00CE3694" w:rsidRDefault="00491D0A" w:rsidP="00655487">
            <w:pPr>
              <w:keepNext/>
              <w:spacing w:before="20" w:after="20"/>
              <w:jc w:val="center"/>
              <w:rPr>
                <w:rFonts w:eastAsia="Calibri" w:cstheme="minorHAnsi"/>
                <w:b w:val="0"/>
                <w:sz w:val="16"/>
                <w:szCs w:val="16"/>
              </w:rPr>
            </w:pPr>
            <w:r w:rsidRPr="00CE3694">
              <w:rPr>
                <w:rFonts w:eastAsia="Calibri" w:cstheme="minorHAnsi"/>
                <w:b w:val="0"/>
                <w:sz w:val="16"/>
                <w:szCs w:val="16"/>
              </w:rPr>
              <w:t>Lista (repozytorium, manifesty, znaczniki)</w:t>
            </w:r>
          </w:p>
        </w:tc>
        <w:tc>
          <w:tcPr>
            <w:tcW w:w="2500" w:type="pct"/>
          </w:tcPr>
          <w:p w14:paraId="3388B82A" w14:textId="77777777" w:rsidR="00491D0A" w:rsidRPr="00CE3694" w:rsidRDefault="00491D0A" w:rsidP="00655487">
            <w:pPr>
              <w:keepNext/>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CE3694">
              <w:rPr>
                <w:rFonts w:eastAsia="Calibri" w:cstheme="minorHAnsi"/>
                <w:sz w:val="16"/>
                <w:szCs w:val="16"/>
              </w:rPr>
              <w:t>8 minut</w:t>
            </w:r>
          </w:p>
        </w:tc>
      </w:tr>
      <w:tr w:rsidR="00491D0A" w:rsidRPr="00B44CF9" w14:paraId="0378EC2C"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72A8A84F" w14:textId="77777777" w:rsidR="00491D0A" w:rsidRPr="00CE3694" w:rsidRDefault="00491D0A" w:rsidP="00655487">
            <w:pPr>
              <w:spacing w:before="20" w:after="20"/>
              <w:jc w:val="center"/>
              <w:rPr>
                <w:rFonts w:eastAsia="Calibri" w:cstheme="minorHAnsi"/>
                <w:b w:val="0"/>
                <w:sz w:val="16"/>
                <w:szCs w:val="16"/>
              </w:rPr>
            </w:pPr>
            <w:r w:rsidRPr="00CE3694">
              <w:rPr>
                <w:rFonts w:eastAsia="Calibri" w:cstheme="minorHAnsi"/>
                <w:b w:val="0"/>
                <w:sz w:val="16"/>
                <w:szCs w:val="16"/>
              </w:rPr>
              <w:t>Inne</w:t>
            </w:r>
          </w:p>
        </w:tc>
        <w:tc>
          <w:tcPr>
            <w:tcW w:w="2500" w:type="pct"/>
          </w:tcPr>
          <w:p w14:paraId="4B4DD1DD" w14:textId="77777777" w:rsidR="00491D0A" w:rsidRPr="00CE3694" w:rsidRDefault="00491D0A" w:rsidP="00655487">
            <w:pPr>
              <w:spacing w:before="20" w:after="20"/>
              <w:jc w:val="center"/>
              <w:cnfStyle w:val="000000000000" w:firstRow="0" w:lastRow="0" w:firstColumn="0" w:lastColumn="0" w:oddVBand="0" w:evenVBand="0" w:oddHBand="0" w:evenHBand="0" w:firstRowFirstColumn="0" w:firstRowLastColumn="0" w:lastRowFirstColumn="0" w:lastRowLastColumn="0"/>
              <w:rPr>
                <w:rFonts w:eastAsia="Calibri" w:cstheme="minorHAnsi"/>
                <w:sz w:val="16"/>
                <w:szCs w:val="16"/>
              </w:rPr>
            </w:pPr>
            <w:r w:rsidRPr="00CE3694">
              <w:rPr>
                <w:rFonts w:eastAsia="Calibri" w:cstheme="minorHAnsi"/>
                <w:sz w:val="16"/>
                <w:szCs w:val="16"/>
              </w:rPr>
              <w:t>1 minuta</w:t>
            </w:r>
          </w:p>
        </w:tc>
      </w:tr>
    </w:tbl>
    <w:p w14:paraId="51090224" w14:textId="77777777" w:rsidR="00491D0A" w:rsidRPr="00007F1F" w:rsidRDefault="00491D0A" w:rsidP="00491D0A">
      <w:pPr>
        <w:pStyle w:val="ProductList-Body"/>
        <w:rPr>
          <w:rFonts w:eastAsia="Calibri" w:cstheme="minorHAnsi"/>
          <w:sz w:val="12"/>
          <w:szCs w:val="12"/>
        </w:rPr>
      </w:pPr>
    </w:p>
    <w:p w14:paraId="61A3F4B8" w14:textId="0D71619D" w:rsidR="00491D0A" w:rsidRPr="00EF7CF9" w:rsidRDefault="00491D0A" w:rsidP="00491D0A">
      <w:pPr>
        <w:pStyle w:val="ProductList-Body"/>
        <w:rPr>
          <w:rFonts w:eastAsia="Calibri" w:cstheme="minorHAnsi"/>
          <w:szCs w:val="18"/>
        </w:rPr>
      </w:pPr>
      <w:r>
        <w:rPr>
          <w:rFonts w:eastAsia="Calibri" w:cstheme="minorHAnsi"/>
          <w:szCs w:val="18"/>
        </w:rPr>
        <w:t>„</w:t>
      </w:r>
      <w:r>
        <w:rPr>
          <w:rFonts w:cstheme="minorHAnsi"/>
          <w:b/>
          <w:color w:val="00188F"/>
          <w:szCs w:val="18"/>
        </w:rPr>
        <w:t>Procent Czasu Sprawnego Działania</w:t>
      </w:r>
      <w:r>
        <w:rPr>
          <w:rFonts w:eastAsia="Calibri" w:cstheme="minorHAnsi"/>
          <w:szCs w:val="18"/>
        </w:rPr>
        <w:t xml:space="preserve">” dla Zarządzanego Rejestru Kontenerów jest obliczany za pomocą następującego wzoru: </w:t>
      </w:r>
    </w:p>
    <w:p w14:paraId="3D465282" w14:textId="72ACA2BF" w:rsidR="00491D0A" w:rsidRPr="00EF7CF9" w:rsidRDefault="00272B37" w:rsidP="00784DEC">
      <w:pPr>
        <w:spacing w:before="120" w:after="0" w:line="240" w:lineRule="auto"/>
        <w:rPr>
          <w:rFonts w:eastAsia="Calibri" w:cstheme="minorHAnsi"/>
          <w:sz w:val="18"/>
          <w:szCs w:val="18"/>
        </w:rPr>
      </w:pPr>
      <m:oMathPara>
        <m:oMath>
          <m:r>
            <m:rPr>
              <m:nor/>
            </m:rPr>
            <w:rPr>
              <w:rFonts w:ascii="Cambria Math" w:hAnsi="Cambria Math" w:cs="Tahoma"/>
              <w:i/>
              <w:sz w:val="18"/>
              <w:szCs w:val="18"/>
            </w:rPr>
            <m:t xml:space="preserve">Procent Czasu Sprawnego Działania w Miesiącu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(Maksymalna Liczba Dostępnych Minut – Przestój)</m:t>
              </m:r>
            </m:num>
            <m:den>
              <m:r>
                <m:rPr>
                  <m:nor/>
                </m:rPr>
                <w:rPr>
                  <w:rFonts w:ascii="Cambria Math" w:hAnsi="Cambria Math" w:cs="Tahoma"/>
                  <w:i/>
                  <w:color w:val="000000" w:themeColor="text1"/>
                  <w:sz w:val="18"/>
                  <w:szCs w:val="18"/>
                </w:rPr>
                <m:t>Maksymalna Liczba Dostępnych Minut</m:t>
              </m:r>
            </m:den>
          </m:f>
          <m:r>
            <w:rPr>
              <w:rFonts w:ascii="Cambria Math" w:hAnsi="Cambria Math" w:cs="Tahoma"/>
              <w:color w:val="000000" w:themeColor="text1"/>
              <w:sz w:val="18"/>
              <w:szCs w:val="18"/>
            </w:rPr>
            <m:t xml:space="preserve"> x 100</m:t>
          </m:r>
        </m:oMath>
      </m:oMathPara>
    </w:p>
    <w:p w14:paraId="4DD824D6" w14:textId="77777777" w:rsidR="00491D0A" w:rsidRPr="00EF7CF9" w:rsidRDefault="00491D0A" w:rsidP="00784DEC">
      <w:pPr>
        <w:keepNext/>
        <w:spacing w:after="0"/>
        <w:rPr>
          <w:rFonts w:cstheme="minorHAnsi"/>
          <w:b/>
          <w:color w:val="00188F"/>
          <w:sz w:val="18"/>
          <w:szCs w:val="18"/>
        </w:rPr>
      </w:pPr>
      <w:r>
        <w:rPr>
          <w:rFonts w:cstheme="minorHAnsi"/>
          <w:b/>
          <w:color w:val="00188F"/>
          <w:sz w:val="18"/>
          <w:szCs w:val="18"/>
        </w:rPr>
        <w:t>Środki Serwisowe na Używanie Usług</w:t>
      </w:r>
      <w:r w:rsidRPr="007B038A">
        <w:rPr>
          <w:b/>
          <w:color w:val="00188F"/>
          <w:sz w:val="18"/>
        </w:rPr>
        <w:t>:</w:t>
      </w:r>
    </w:p>
    <w:tbl>
      <w:tblPr>
        <w:tblStyle w:val="ListTable6Colorfu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491D0A" w:rsidRPr="00B44CF9" w14:paraId="18A23EB3" w14:textId="77777777" w:rsidTr="000F3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0070C0"/>
          </w:tcPr>
          <w:p w14:paraId="7809F6E3" w14:textId="51BA7CC1" w:rsidR="00491D0A" w:rsidRPr="00D30B89" w:rsidRDefault="00AC48A7" w:rsidP="00007F1F">
            <w:pPr>
              <w:pStyle w:val="ProductList-OfferingBody"/>
              <w:keepNext/>
              <w:jc w:val="center"/>
              <w:rPr>
                <w:b w:val="0"/>
                <w:bCs w:val="0"/>
                <w:color w:val="FFFFFF" w:themeColor="background1"/>
              </w:rPr>
            </w:pPr>
            <w:r>
              <w:rPr>
                <w:b w:val="0"/>
                <w:bCs w:val="0"/>
                <w:color w:val="FFFFFF" w:themeColor="background1"/>
              </w:rPr>
              <w:t xml:space="preserve">Procent Czasu Sprawnego Działania </w:t>
            </w:r>
          </w:p>
        </w:tc>
        <w:tc>
          <w:tcPr>
            <w:tcW w:w="2500" w:type="pct"/>
            <w:shd w:val="clear" w:color="auto" w:fill="0070C0"/>
          </w:tcPr>
          <w:p w14:paraId="315157CE" w14:textId="77777777" w:rsidR="00491D0A" w:rsidRPr="00D30B89" w:rsidRDefault="00491D0A" w:rsidP="00007F1F">
            <w:pPr>
              <w:keepNext/>
              <w:spacing w:before="20" w:after="20"/>
              <w:jc w:val="center"/>
              <w:cnfStyle w:val="100000000000" w:firstRow="1" w:lastRow="0" w:firstColumn="0" w:lastColumn="0" w:oddVBand="0" w:evenVBand="0" w:oddHBand="0" w:evenHBand="0" w:firstRowFirstColumn="0" w:firstRowLastColumn="0" w:lastRowFirstColumn="0" w:lastRowLastColumn="0"/>
              <w:rPr>
                <w:rFonts w:eastAsiaTheme="minorHAnsi"/>
                <w:b w:val="0"/>
                <w:bCs w:val="0"/>
                <w:color w:val="FFFFFF" w:themeColor="background1"/>
                <w:sz w:val="16"/>
                <w:lang w:eastAsia="en-US"/>
              </w:rPr>
            </w:pPr>
            <w:r>
              <w:rPr>
                <w:rFonts w:eastAsiaTheme="minorHAnsi"/>
                <w:b w:val="0"/>
                <w:bCs w:val="0"/>
                <w:color w:val="FFFFFF" w:themeColor="background1"/>
                <w:sz w:val="16"/>
              </w:rPr>
              <w:t>Środki Serwisowe na Używanie Usług</w:t>
            </w:r>
          </w:p>
        </w:tc>
      </w:tr>
      <w:tr w:rsidR="00491D0A" w:rsidRPr="00B44CF9" w14:paraId="1AD74D3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234C09BC" w14:textId="77777777" w:rsidR="00491D0A" w:rsidRPr="00C84B0F" w:rsidRDefault="00491D0A" w:rsidP="00007F1F">
            <w:pPr>
              <w:keepNext/>
              <w:spacing w:before="20" w:after="20"/>
              <w:jc w:val="center"/>
              <w:rPr>
                <w:rFonts w:cstheme="minorHAnsi"/>
                <w:b w:val="0"/>
                <w:sz w:val="16"/>
                <w:szCs w:val="16"/>
              </w:rPr>
            </w:pPr>
            <w:r w:rsidRPr="00C84B0F">
              <w:rPr>
                <w:rFonts w:cstheme="minorHAnsi"/>
                <w:b w:val="0"/>
                <w:sz w:val="16"/>
                <w:szCs w:val="16"/>
              </w:rPr>
              <w:t>&lt; 99,9%</w:t>
            </w:r>
          </w:p>
        </w:tc>
        <w:tc>
          <w:tcPr>
            <w:tcW w:w="2500" w:type="pct"/>
          </w:tcPr>
          <w:p w14:paraId="371E2752" w14:textId="77777777" w:rsidR="00491D0A" w:rsidRPr="00C84B0F" w:rsidRDefault="00491D0A" w:rsidP="00007F1F">
            <w:pPr>
              <w:keepNext/>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C84B0F">
              <w:rPr>
                <w:rFonts w:cstheme="minorHAnsi"/>
                <w:sz w:val="16"/>
                <w:szCs w:val="16"/>
              </w:rPr>
              <w:t>10%</w:t>
            </w:r>
          </w:p>
        </w:tc>
      </w:tr>
      <w:tr w:rsidR="00491D0A" w:rsidRPr="00B44CF9" w14:paraId="2DD898E5" w14:textId="77777777" w:rsidTr="000F31B4">
        <w:tc>
          <w:tcPr>
            <w:cnfStyle w:val="001000000000" w:firstRow="0" w:lastRow="0" w:firstColumn="1" w:lastColumn="0" w:oddVBand="0" w:evenVBand="0" w:oddHBand="0" w:evenHBand="0" w:firstRowFirstColumn="0" w:firstRowLastColumn="0" w:lastRowFirstColumn="0" w:lastRowLastColumn="0"/>
            <w:tcW w:w="2500" w:type="pct"/>
          </w:tcPr>
          <w:p w14:paraId="50B9AA9E" w14:textId="77777777" w:rsidR="00491D0A" w:rsidRPr="00C84B0F" w:rsidRDefault="00491D0A" w:rsidP="00007F1F">
            <w:pPr>
              <w:spacing w:before="20" w:after="20"/>
              <w:jc w:val="center"/>
              <w:rPr>
                <w:rFonts w:cstheme="minorHAnsi"/>
                <w:b w:val="0"/>
                <w:sz w:val="16"/>
                <w:szCs w:val="16"/>
              </w:rPr>
            </w:pPr>
            <w:r w:rsidRPr="00C84B0F">
              <w:rPr>
                <w:rFonts w:cstheme="minorHAnsi"/>
                <w:b w:val="0"/>
                <w:sz w:val="16"/>
                <w:szCs w:val="16"/>
              </w:rPr>
              <w:t>&lt; 99%</w:t>
            </w:r>
          </w:p>
        </w:tc>
        <w:tc>
          <w:tcPr>
            <w:tcW w:w="2500" w:type="pct"/>
          </w:tcPr>
          <w:p w14:paraId="7DD34A5C" w14:textId="77777777" w:rsidR="00491D0A" w:rsidRPr="00C84B0F" w:rsidRDefault="00491D0A" w:rsidP="00007F1F">
            <w:pPr>
              <w:spacing w:before="20" w:after="20"/>
              <w:jc w:val="center"/>
              <w:cnfStyle w:val="000000000000" w:firstRow="0" w:lastRow="0" w:firstColumn="0" w:lastColumn="0" w:oddVBand="0" w:evenVBand="0" w:oddHBand="0" w:evenHBand="0" w:firstRowFirstColumn="0" w:firstRowLastColumn="0" w:lastRowFirstColumn="0" w:lastRowLastColumn="0"/>
              <w:rPr>
                <w:rFonts w:cstheme="minorHAnsi"/>
                <w:sz w:val="16"/>
                <w:szCs w:val="16"/>
              </w:rPr>
            </w:pPr>
            <w:r w:rsidRPr="00C84B0F">
              <w:rPr>
                <w:rFonts w:cstheme="minorHAnsi"/>
                <w:sz w:val="16"/>
                <w:szCs w:val="16"/>
              </w:rPr>
              <w:t>25%</w:t>
            </w:r>
          </w:p>
        </w:tc>
      </w:tr>
    </w:tbl>
    <w:p w14:paraId="696E4B33" w14:textId="75704F45" w:rsidR="00491D0A" w:rsidRPr="00EF7CF9" w:rsidRDefault="00C71F89"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004D553" w14:textId="77777777" w:rsidR="00491D0A" w:rsidRPr="00EF7CF9" w:rsidRDefault="00491D0A" w:rsidP="00381145">
      <w:pPr>
        <w:pStyle w:val="ProductList-Offering2Heading"/>
        <w:keepNext/>
        <w:keepLines/>
        <w:tabs>
          <w:tab w:val="clear" w:pos="360"/>
          <w:tab w:val="clear" w:pos="720"/>
          <w:tab w:val="clear" w:pos="1080"/>
        </w:tabs>
        <w:outlineLvl w:val="2"/>
      </w:pPr>
      <w:bookmarkStart w:id="195" w:name="_Toc239174986"/>
      <w:r>
        <w:t>Content Delivery Network (CDN)</w:t>
      </w:r>
      <w:bookmarkEnd w:id="195"/>
    </w:p>
    <w:p w14:paraId="3478C418" w14:textId="7A50E535" w:rsidR="00491D0A" w:rsidRDefault="00EE6E3C" w:rsidP="00381145">
      <w:pPr>
        <w:pStyle w:val="ProductList-Body"/>
        <w:keepNext/>
        <w:keepLines/>
        <w:rPr>
          <w:b/>
          <w:color w:val="00188F"/>
        </w:rPr>
      </w:pPr>
      <w:r>
        <w:rPr>
          <w:b/>
          <w:color w:val="00188F"/>
        </w:rPr>
        <w:t>Obliczanie Czasu Sprawnego Działania i Poziomy Usługi dla Usługi CDN</w:t>
      </w:r>
    </w:p>
    <w:p w14:paraId="180798A0" w14:textId="77777777" w:rsidR="00491D0A" w:rsidRPr="00EF7CF9" w:rsidRDefault="00491D0A" w:rsidP="00272B37">
      <w:pPr>
        <w:pStyle w:val="ProductList-Body"/>
        <w:ind w:right="144"/>
      </w:pPr>
      <w:r>
        <w:t>Microsoft przeanalizuje dane z dowolnego, uzasadnionego z komercyjnego punktu widzenia, niezależnego systemu pomiarowego używanego przez Klienta.</w:t>
      </w:r>
    </w:p>
    <w:p w14:paraId="7676E5AC" w14:textId="77777777" w:rsidR="00491D0A" w:rsidRPr="00DD7E15" w:rsidRDefault="00491D0A" w:rsidP="00491D0A">
      <w:pPr>
        <w:pStyle w:val="ProductList-Body"/>
        <w:rPr>
          <w:sz w:val="12"/>
          <w:szCs w:val="12"/>
        </w:rPr>
      </w:pPr>
    </w:p>
    <w:p w14:paraId="4A55F67D" w14:textId="77777777" w:rsidR="00491D0A" w:rsidRPr="00EF7CF9" w:rsidRDefault="00491D0A" w:rsidP="00491D0A">
      <w:pPr>
        <w:pStyle w:val="ProductList-Body"/>
      </w:pPr>
      <w:r>
        <w:t xml:space="preserve">Klient musi wybrać zestaw agentów z listy systemu pomiarowego zawierającej standardowe </w:t>
      </w:r>
      <w:proofErr w:type="spellStart"/>
      <w:r>
        <w:t>agenty</w:t>
      </w:r>
      <w:proofErr w:type="spellEnd"/>
      <w:r>
        <w:t>, jakie są zwykle dostępne i reprezentują co najmniej pięć różnych lokalizacji geograficznych w dużych światowych obszarach metropolitalnych (z wyjątkiem ChRL).</w:t>
      </w:r>
    </w:p>
    <w:p w14:paraId="5EDDEEC0" w14:textId="77777777" w:rsidR="00491D0A" w:rsidRPr="00DD7E15" w:rsidRDefault="00491D0A" w:rsidP="00491D0A">
      <w:pPr>
        <w:pStyle w:val="ProductList-Body"/>
        <w:rPr>
          <w:sz w:val="12"/>
          <w:szCs w:val="12"/>
        </w:rPr>
      </w:pPr>
    </w:p>
    <w:p w14:paraId="031D37AF" w14:textId="77777777" w:rsidR="00491D0A" w:rsidRPr="00EF7CF9" w:rsidRDefault="00491D0A" w:rsidP="00491D0A">
      <w:pPr>
        <w:pStyle w:val="ProductList-Body"/>
      </w:pPr>
      <w:r>
        <w:t>Testy Systemu Pomiarowego (z częstotliwością co najmniej jednego testu na godzinę na agenta) będą skonfigurowane tak, aby wykonywać jedną operację HTTP GET zgodnie z poniższym modelem:</w:t>
      </w:r>
    </w:p>
    <w:p w14:paraId="12EDF8B0" w14:textId="43E22733" w:rsidR="00491D0A" w:rsidRPr="00EF7CF9" w:rsidRDefault="00491D0A" w:rsidP="00491D0A">
      <w:pPr>
        <w:pStyle w:val="ProductList-Body"/>
        <w:numPr>
          <w:ilvl w:val="0"/>
          <w:numId w:val="2"/>
        </w:numPr>
      </w:pPr>
      <w:r>
        <w:t xml:space="preserve">Plik testowy zostanie umieszczony w systemie źródłowym Klienta (np. na koncie </w:t>
      </w:r>
      <w:proofErr w:type="spellStart"/>
      <w:r>
        <w:t>Azure</w:t>
      </w:r>
      <w:proofErr w:type="spellEnd"/>
      <w:r>
        <w:t xml:space="preserve"> Storage).</w:t>
      </w:r>
    </w:p>
    <w:p w14:paraId="4E6A2FB0" w14:textId="77777777" w:rsidR="00491D0A" w:rsidRPr="00EF7CF9" w:rsidRDefault="00491D0A" w:rsidP="00272B37">
      <w:pPr>
        <w:pStyle w:val="ProductList-Body"/>
        <w:numPr>
          <w:ilvl w:val="0"/>
          <w:numId w:val="2"/>
        </w:numPr>
        <w:ind w:left="720" w:right="432" w:hanging="360"/>
      </w:pPr>
      <w:r>
        <w:t xml:space="preserve">Operacja GET pobierze ten plik przez Usługę CDN Service, żądając obiektu od odpowiedniej nazwy hosta nazwy domenowej Microsoft </w:t>
      </w:r>
      <w:proofErr w:type="spellStart"/>
      <w:r>
        <w:t>Azure</w:t>
      </w:r>
      <w:proofErr w:type="spellEnd"/>
      <w:r>
        <w:t xml:space="preserve">. </w:t>
      </w:r>
    </w:p>
    <w:p w14:paraId="5AB442CF" w14:textId="77777777" w:rsidR="00491D0A" w:rsidRPr="00EF7CF9" w:rsidRDefault="00491D0A" w:rsidP="00491D0A">
      <w:pPr>
        <w:pStyle w:val="ProductList-Body"/>
        <w:numPr>
          <w:ilvl w:val="0"/>
          <w:numId w:val="2"/>
        </w:numPr>
      </w:pPr>
      <w:r>
        <w:t>Plik testowy ma spełniać następujące kryteria:</w:t>
      </w:r>
    </w:p>
    <w:p w14:paraId="5073F12A" w14:textId="77777777" w:rsidR="00491D0A" w:rsidRPr="00EF7CF9" w:rsidRDefault="00491D0A" w:rsidP="00491D0A">
      <w:pPr>
        <w:pStyle w:val="ProductList-Body"/>
        <w:numPr>
          <w:ilvl w:val="0"/>
          <w:numId w:val="3"/>
        </w:numPr>
        <w:tabs>
          <w:tab w:val="clear" w:pos="360"/>
          <w:tab w:val="clear" w:pos="720"/>
        </w:tabs>
        <w:ind w:hanging="360"/>
      </w:pPr>
      <w:r>
        <w:t>Obiekt testowy zezwoli na zapisywanie w pamięci podręcznej poprzez zawarcie jawnych nagłówków „Cache-</w:t>
      </w:r>
      <w:proofErr w:type="spellStart"/>
      <w:r>
        <w:t>control</w:t>
      </w:r>
      <w:proofErr w:type="spellEnd"/>
      <w:r>
        <w:t xml:space="preserve">: public” lub poprzez brak nagłówka „Cache-Control: </w:t>
      </w:r>
      <w:proofErr w:type="spellStart"/>
      <w:r>
        <w:t>private</w:t>
      </w:r>
      <w:proofErr w:type="spellEnd"/>
      <w:r>
        <w:t>”.</w:t>
      </w:r>
    </w:p>
    <w:p w14:paraId="0AF7BCAA" w14:textId="77777777" w:rsidR="00491D0A" w:rsidRPr="00EF7CF9" w:rsidRDefault="00491D0A" w:rsidP="00491D0A">
      <w:pPr>
        <w:pStyle w:val="ProductList-Body"/>
        <w:numPr>
          <w:ilvl w:val="0"/>
          <w:numId w:val="3"/>
        </w:numPr>
        <w:tabs>
          <w:tab w:val="clear" w:pos="360"/>
          <w:tab w:val="clear" w:pos="720"/>
        </w:tabs>
        <w:ind w:hanging="360"/>
      </w:pPr>
      <w:r>
        <w:t xml:space="preserve">Obiekt testowy będzie plikiem o wielkości co najmniej 50 </w:t>
      </w:r>
      <w:proofErr w:type="spellStart"/>
      <w:r>
        <w:t>kB</w:t>
      </w:r>
      <w:proofErr w:type="spellEnd"/>
      <w:r>
        <w:t xml:space="preserve"> i nie większej niż 1 MB.</w:t>
      </w:r>
    </w:p>
    <w:p w14:paraId="5D0D8884" w14:textId="77777777" w:rsidR="00491D0A" w:rsidRPr="00EF7CF9" w:rsidRDefault="00491D0A" w:rsidP="00491D0A">
      <w:pPr>
        <w:pStyle w:val="ProductList-Body"/>
        <w:numPr>
          <w:ilvl w:val="0"/>
          <w:numId w:val="3"/>
        </w:numPr>
        <w:tabs>
          <w:tab w:val="clear" w:pos="360"/>
          <w:tab w:val="clear" w:pos="720"/>
        </w:tabs>
        <w:ind w:hanging="360"/>
      </w:pPr>
      <w:r>
        <w:t>Zostaną obcięte dane „surowe”, aby wyeliminować wszelkie pomiary pochodzące od agenta, w którym w okresie pomiaru wystąpiły problemy techniczne.</w:t>
      </w:r>
    </w:p>
    <w:p w14:paraId="6B3B2A15" w14:textId="77777777" w:rsidR="00491D0A" w:rsidRPr="00E248F3" w:rsidRDefault="00491D0A" w:rsidP="00491D0A">
      <w:pPr>
        <w:pStyle w:val="ProductList-Body"/>
        <w:rPr>
          <w:sz w:val="12"/>
          <w:szCs w:val="12"/>
        </w:rPr>
      </w:pPr>
    </w:p>
    <w:p w14:paraId="57CA6AAD" w14:textId="2806D76E" w:rsidR="00491D0A" w:rsidRPr="00EF7CF9" w:rsidRDefault="00491D0A" w:rsidP="00491D0A">
      <w:pPr>
        <w:pStyle w:val="ProductList-Body"/>
      </w:pPr>
      <w:r w:rsidRPr="00381145">
        <w:t>„</w:t>
      </w:r>
      <w:r>
        <w:rPr>
          <w:b/>
          <w:color w:val="00188F"/>
        </w:rPr>
        <w:t>Procent Czasu Sprawnego Działania</w:t>
      </w:r>
      <w:r>
        <w:t xml:space="preserve">” to odsetek transakcji HTTP, w których Usługa CDN odpowiada na żądania klientów i dostarcza żądaną zawartość bez błędów. Procent Czasu Sprawnego Działania Usługi CDN jest obliczany jako liczba udanych </w:t>
      </w:r>
      <w:proofErr w:type="spellStart"/>
      <w:r>
        <w:t>dostarczeń</w:t>
      </w:r>
      <w:proofErr w:type="spellEnd"/>
      <w:r>
        <w:t xml:space="preserve"> obiektu podzielona przez łączną liczbę żądań (po usunięciu błędnych danych).</w:t>
      </w:r>
    </w:p>
    <w:p w14:paraId="0B6B6337" w14:textId="77777777" w:rsidR="00491D0A" w:rsidRPr="00E248F3" w:rsidRDefault="00491D0A" w:rsidP="00491D0A">
      <w:pPr>
        <w:pStyle w:val="ProductList-Body"/>
        <w:rPr>
          <w:sz w:val="12"/>
          <w:szCs w:val="12"/>
        </w:rPr>
      </w:pPr>
    </w:p>
    <w:p w14:paraId="31C9EBD4" w14:textId="77777777" w:rsidR="00491D0A" w:rsidRPr="00EF7CF9" w:rsidRDefault="00491D0A" w:rsidP="00491D0A">
      <w:pPr>
        <w:pStyle w:val="ProductList-Body"/>
        <w:keepNext/>
      </w:pPr>
      <w:r>
        <w:rPr>
          <w:b/>
          <w:color w:val="00188F"/>
        </w:rPr>
        <w:t>Do używania przez Klienta Usługi CDN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1D0A" w:rsidRPr="00B44CF9" w14:paraId="35934703" w14:textId="77777777" w:rsidTr="00277097">
        <w:trPr>
          <w:tblHeader/>
        </w:trPr>
        <w:tc>
          <w:tcPr>
            <w:tcW w:w="5400" w:type="dxa"/>
            <w:shd w:val="clear" w:color="auto" w:fill="0072C6"/>
          </w:tcPr>
          <w:p w14:paraId="2A68FC5C" w14:textId="29835959" w:rsidR="00491D0A"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8A60ED2" w14:textId="77777777" w:rsidR="00491D0A" w:rsidRPr="00EF7CF9" w:rsidRDefault="00491D0A" w:rsidP="000F31B4">
            <w:pPr>
              <w:pStyle w:val="ProductList-OfferingBody"/>
              <w:jc w:val="center"/>
              <w:rPr>
                <w:color w:val="FFFFFF" w:themeColor="background1"/>
              </w:rPr>
            </w:pPr>
            <w:r>
              <w:rPr>
                <w:color w:val="FFFFFF" w:themeColor="background1"/>
              </w:rPr>
              <w:t>Środki Serwisowe na Używanie Usług</w:t>
            </w:r>
          </w:p>
        </w:tc>
      </w:tr>
      <w:tr w:rsidR="00491D0A" w:rsidRPr="00B44CF9" w14:paraId="38D892B3" w14:textId="77777777" w:rsidTr="00277097">
        <w:tc>
          <w:tcPr>
            <w:tcW w:w="5400" w:type="dxa"/>
          </w:tcPr>
          <w:p w14:paraId="6E1804D2" w14:textId="77777777" w:rsidR="00491D0A" w:rsidRPr="00EF7CF9" w:rsidRDefault="00491D0A" w:rsidP="000F31B4">
            <w:pPr>
              <w:pStyle w:val="ProductList-OfferingBody"/>
              <w:jc w:val="center"/>
            </w:pPr>
            <w:r>
              <w:t>&lt; 99,9%</w:t>
            </w:r>
          </w:p>
        </w:tc>
        <w:tc>
          <w:tcPr>
            <w:tcW w:w="5400" w:type="dxa"/>
          </w:tcPr>
          <w:p w14:paraId="2A7DD81D" w14:textId="77777777" w:rsidR="00491D0A" w:rsidRPr="00EF7CF9" w:rsidRDefault="00491D0A" w:rsidP="000F31B4">
            <w:pPr>
              <w:pStyle w:val="ProductList-OfferingBody"/>
              <w:jc w:val="center"/>
            </w:pPr>
            <w:r>
              <w:t>10%</w:t>
            </w:r>
          </w:p>
        </w:tc>
      </w:tr>
      <w:tr w:rsidR="00491D0A" w:rsidRPr="00B44CF9" w14:paraId="12708F67" w14:textId="77777777" w:rsidTr="00277097">
        <w:tc>
          <w:tcPr>
            <w:tcW w:w="5400" w:type="dxa"/>
          </w:tcPr>
          <w:p w14:paraId="67809F69" w14:textId="77777777" w:rsidR="00491D0A" w:rsidRPr="00EF7CF9" w:rsidRDefault="00491D0A" w:rsidP="000F31B4">
            <w:pPr>
              <w:pStyle w:val="ProductList-OfferingBody"/>
              <w:jc w:val="center"/>
            </w:pPr>
            <w:r>
              <w:t>&lt; 99,5%</w:t>
            </w:r>
          </w:p>
        </w:tc>
        <w:tc>
          <w:tcPr>
            <w:tcW w:w="5400" w:type="dxa"/>
          </w:tcPr>
          <w:p w14:paraId="4C707CCD" w14:textId="77777777" w:rsidR="00491D0A" w:rsidRPr="00EF7CF9" w:rsidRDefault="00491D0A" w:rsidP="000F31B4">
            <w:pPr>
              <w:pStyle w:val="ProductList-OfferingBody"/>
              <w:jc w:val="center"/>
            </w:pPr>
            <w:r>
              <w:t>25%</w:t>
            </w:r>
          </w:p>
        </w:tc>
      </w:tr>
    </w:tbl>
    <w:bookmarkStart w:id="196" w:name="_Toc457821545"/>
    <w:bookmarkStart w:id="197" w:name="CloudServices"/>
    <w:p w14:paraId="033A2E79" w14:textId="58754EA2" w:rsidR="00491D0A" w:rsidRPr="00EF7CF9" w:rsidRDefault="00C71F89" w:rsidP="00491D0A">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B41157E" w14:textId="459F39B0" w:rsidR="004005AF" w:rsidRPr="00EF7CF9" w:rsidRDefault="004005AF" w:rsidP="00F359AF">
      <w:pPr>
        <w:pStyle w:val="ProductList-Offering2Heading"/>
        <w:keepNext/>
        <w:tabs>
          <w:tab w:val="clear" w:pos="360"/>
          <w:tab w:val="clear" w:pos="720"/>
          <w:tab w:val="clear" w:pos="1080"/>
        </w:tabs>
        <w:outlineLvl w:val="2"/>
      </w:pPr>
      <w:bookmarkStart w:id="198" w:name="_Toc239174987"/>
      <w:bookmarkEnd w:id="196"/>
      <w:bookmarkEnd w:id="197"/>
      <w:proofErr w:type="spellStart"/>
      <w:r>
        <w:t>Azure</w:t>
      </w:r>
      <w:proofErr w:type="spellEnd"/>
      <w:r>
        <w:t xml:space="preserve"> </w:t>
      </w:r>
      <w:proofErr w:type="spellStart"/>
      <w:r>
        <w:t>Cosmos</w:t>
      </w:r>
      <w:proofErr w:type="spellEnd"/>
      <w:r>
        <w:t xml:space="preserve"> DB</w:t>
      </w:r>
      <w:bookmarkEnd w:id="148"/>
      <w:bookmarkEnd w:id="193"/>
      <w:bookmarkEnd w:id="198"/>
    </w:p>
    <w:bookmarkEnd w:id="194"/>
    <w:p w14:paraId="6AE25B56" w14:textId="77777777" w:rsidR="004005AF" w:rsidRPr="00401AE7" w:rsidRDefault="004005AF" w:rsidP="004005AF">
      <w:pPr>
        <w:pStyle w:val="ProductList-Body"/>
        <w:rPr>
          <w:bCs/>
          <w:color w:val="000000" w:themeColor="text1"/>
        </w:rPr>
      </w:pPr>
      <w:r>
        <w:rPr>
          <w:bCs/>
          <w:color w:val="000000" w:themeColor="text1"/>
        </w:rPr>
        <w:t xml:space="preserve">Szczegóły umowy SLA dla usługi </w:t>
      </w: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obejmują następujące interfejsy API bazy danych z odrębnymi definicjami i szczegółami dotyczącymi interfejsu API dla bazy </w:t>
      </w:r>
      <w:proofErr w:type="spellStart"/>
      <w:r>
        <w:rPr>
          <w:bCs/>
          <w:color w:val="000000" w:themeColor="text1"/>
        </w:rPr>
        <w:t>PostgreSQL</w:t>
      </w:r>
      <w:proofErr w:type="spellEnd"/>
      <w:r>
        <w:rPr>
          <w:bCs/>
          <w:color w:val="000000" w:themeColor="text1"/>
        </w:rPr>
        <w:t xml:space="preserve"> w porównaniu z pozostałymi interfejsami API bazy danych:</w:t>
      </w:r>
    </w:p>
    <w:p w14:paraId="08D6E6E9" w14:textId="77777777" w:rsidR="004005AF" w:rsidRDefault="004005AF" w:rsidP="00DB4449">
      <w:pPr>
        <w:pStyle w:val="ProductList-Body"/>
        <w:numPr>
          <w:ilvl w:val="0"/>
          <w:numId w:val="8"/>
        </w:numPr>
        <w:rPr>
          <w:bCs/>
          <w:color w:val="000000" w:themeColor="text1"/>
        </w:rPr>
      </w:pP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PostgreSQL</w:t>
      </w:r>
      <w:proofErr w:type="spellEnd"/>
    </w:p>
    <w:p w14:paraId="37652514" w14:textId="77777777" w:rsidR="004005AF" w:rsidRPr="00401AE7" w:rsidRDefault="004005AF" w:rsidP="00DB4449">
      <w:pPr>
        <w:pStyle w:val="ProductList-Body"/>
        <w:numPr>
          <w:ilvl w:val="0"/>
          <w:numId w:val="8"/>
        </w:numPr>
        <w:rPr>
          <w:bCs/>
          <w:color w:val="000000" w:themeColor="text1"/>
        </w:rPr>
      </w:pP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NoSQL</w:t>
      </w:r>
      <w:proofErr w:type="spellEnd"/>
    </w:p>
    <w:p w14:paraId="3E4C3F17" w14:textId="4F2883C1" w:rsidR="004005AF" w:rsidRPr="00401AE7" w:rsidRDefault="004005AF" w:rsidP="00DB4449">
      <w:pPr>
        <w:pStyle w:val="ProductList-Body"/>
        <w:numPr>
          <w:ilvl w:val="0"/>
          <w:numId w:val="8"/>
        </w:numPr>
        <w:rPr>
          <w:bCs/>
          <w:color w:val="000000" w:themeColor="text1"/>
        </w:rPr>
      </w:pP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MongoDB</w:t>
      </w:r>
      <w:proofErr w:type="spellEnd"/>
      <w:r w:rsidR="0059790A">
        <w:rPr>
          <w:bCs/>
          <w:color w:val="000000" w:themeColor="text1"/>
        </w:rPr>
        <w:t xml:space="preserve"> RU</w:t>
      </w:r>
    </w:p>
    <w:p w14:paraId="0E1D327F" w14:textId="77777777" w:rsidR="004005AF" w:rsidRPr="0096559A" w:rsidRDefault="004005AF" w:rsidP="00DB4449">
      <w:pPr>
        <w:pStyle w:val="ProductList-Body"/>
        <w:numPr>
          <w:ilvl w:val="0"/>
          <w:numId w:val="8"/>
        </w:numPr>
        <w:rPr>
          <w:bCs/>
          <w:color w:val="000000" w:themeColor="text1"/>
          <w:lang w:val="pt-BR"/>
        </w:rPr>
      </w:pPr>
      <w:r w:rsidRPr="0096559A">
        <w:rPr>
          <w:bCs/>
          <w:color w:val="000000" w:themeColor="text1"/>
          <w:lang w:val="pt-BR"/>
        </w:rPr>
        <w:t>Azure Cosmos DB for Apache Cassandra</w:t>
      </w:r>
    </w:p>
    <w:p w14:paraId="1126DD26" w14:textId="77777777" w:rsidR="004005AF" w:rsidRPr="00C84B0F" w:rsidRDefault="004005AF" w:rsidP="00DB4449">
      <w:pPr>
        <w:pStyle w:val="ProductList-Body"/>
        <w:numPr>
          <w:ilvl w:val="0"/>
          <w:numId w:val="8"/>
        </w:numPr>
        <w:rPr>
          <w:bCs/>
          <w:color w:val="000000" w:themeColor="text1"/>
          <w:lang w:val="en-US"/>
        </w:rPr>
      </w:pPr>
      <w:r w:rsidRPr="00C84B0F">
        <w:rPr>
          <w:bCs/>
          <w:color w:val="000000" w:themeColor="text1"/>
          <w:lang w:val="en-US"/>
        </w:rPr>
        <w:t>Azure Cosmos DB for Apache Gremlin</w:t>
      </w:r>
    </w:p>
    <w:p w14:paraId="1AFEB853" w14:textId="77777777" w:rsidR="004005AF" w:rsidRPr="00401AE7" w:rsidRDefault="004005AF" w:rsidP="00DB4449">
      <w:pPr>
        <w:pStyle w:val="ProductList-Body"/>
        <w:numPr>
          <w:ilvl w:val="0"/>
          <w:numId w:val="8"/>
        </w:numPr>
        <w:rPr>
          <w:bCs/>
          <w:color w:val="000000" w:themeColor="text1"/>
        </w:rPr>
      </w:pP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Table</w:t>
      </w:r>
      <w:proofErr w:type="spellEnd"/>
    </w:p>
    <w:p w14:paraId="38F20080" w14:textId="77777777" w:rsidR="004005AF" w:rsidRDefault="004005AF" w:rsidP="004005AF">
      <w:pPr>
        <w:pStyle w:val="ProductList-Body"/>
        <w:rPr>
          <w:b/>
          <w:color w:val="00188F"/>
        </w:rPr>
      </w:pPr>
    </w:p>
    <w:p w14:paraId="3709F8C1" w14:textId="77777777" w:rsidR="004005AF" w:rsidRPr="0096559A" w:rsidRDefault="004005AF" w:rsidP="004005AF">
      <w:pPr>
        <w:pStyle w:val="ProductList-Body"/>
        <w:rPr>
          <w:b/>
          <w:color w:val="00188F"/>
          <w:lang w:val="pt-BR"/>
        </w:rPr>
      </w:pPr>
      <w:r w:rsidRPr="0096559A">
        <w:rPr>
          <w:b/>
          <w:color w:val="00188F"/>
          <w:lang w:val="pt-BR"/>
        </w:rPr>
        <w:t>Microsoft Azure Cosmos DB for PostgreSQL</w:t>
      </w:r>
    </w:p>
    <w:p w14:paraId="1498DE2E" w14:textId="77777777" w:rsidR="004005AF" w:rsidRPr="00AC11E3" w:rsidRDefault="004005AF" w:rsidP="004005AF">
      <w:pPr>
        <w:pStyle w:val="ProductList-Body"/>
        <w:rPr>
          <w:bCs/>
          <w:color w:val="000000" w:themeColor="text1"/>
        </w:rPr>
      </w:pPr>
      <w:r w:rsidRPr="00381145">
        <w:t>„</w:t>
      </w:r>
      <w:r>
        <w:rPr>
          <w:b/>
          <w:color w:val="00188F"/>
        </w:rPr>
        <w:t>Serwer</w:t>
      </w:r>
      <w:r w:rsidRPr="00381145">
        <w:t>”</w:t>
      </w:r>
      <w:r>
        <w:rPr>
          <w:bCs/>
          <w:color w:val="000000" w:themeColor="text1"/>
        </w:rPr>
        <w:t xml:space="preserve"> to dowolny serwer </w:t>
      </w: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PostgreSQL</w:t>
      </w:r>
      <w:proofErr w:type="spellEnd"/>
      <w:r>
        <w:rPr>
          <w:bCs/>
          <w:color w:val="000000" w:themeColor="text1"/>
        </w:rPr>
        <w:t>.</w:t>
      </w:r>
    </w:p>
    <w:p w14:paraId="47904AED" w14:textId="77777777" w:rsidR="004005AF" w:rsidRPr="00AC11E3" w:rsidRDefault="004005AF" w:rsidP="004005AF">
      <w:pPr>
        <w:pStyle w:val="ProductList-Body"/>
        <w:rPr>
          <w:bCs/>
          <w:color w:val="000000" w:themeColor="text1"/>
        </w:rPr>
      </w:pPr>
      <w:r w:rsidRPr="00381145">
        <w:t>„</w:t>
      </w:r>
      <w:r>
        <w:rPr>
          <w:b/>
          <w:color w:val="00188F"/>
        </w:rPr>
        <w:t>Klaster o Wysokiej Dostępności</w:t>
      </w:r>
      <w:r w:rsidRPr="00381145">
        <w:t xml:space="preserve">” </w:t>
      </w:r>
      <w:r>
        <w:rPr>
          <w:bCs/>
          <w:color w:val="000000" w:themeColor="text1"/>
        </w:rPr>
        <w:t>to zestaw Węzłów o Wysokiej Dostępności.</w:t>
      </w:r>
    </w:p>
    <w:p w14:paraId="05973321" w14:textId="77777777" w:rsidR="004005AF" w:rsidRPr="00AC11E3" w:rsidRDefault="004005AF" w:rsidP="004005AF">
      <w:pPr>
        <w:pStyle w:val="ProductList-Body"/>
        <w:rPr>
          <w:bCs/>
          <w:color w:val="000000" w:themeColor="text1"/>
        </w:rPr>
      </w:pPr>
      <w:r w:rsidRPr="00381145">
        <w:t>„</w:t>
      </w:r>
      <w:r>
        <w:rPr>
          <w:b/>
          <w:color w:val="00188F"/>
        </w:rPr>
        <w:t>Węzeł o Wysokiej Dostępności</w:t>
      </w:r>
      <w:r w:rsidRPr="00381145">
        <w:t>”</w:t>
      </w:r>
      <w:r>
        <w:rPr>
          <w:bCs/>
          <w:color w:val="000000" w:themeColor="text1"/>
        </w:rPr>
        <w:t xml:space="preserve"> to Węzeł w klastrze z włączoną funkcją wysokiej dostępności.</w:t>
      </w:r>
    </w:p>
    <w:p w14:paraId="149121FA" w14:textId="77777777" w:rsidR="004005AF" w:rsidRPr="00AC11E3" w:rsidRDefault="004005AF" w:rsidP="004005AF">
      <w:pPr>
        <w:pStyle w:val="ProductList-Body"/>
        <w:rPr>
          <w:bCs/>
          <w:color w:val="000000" w:themeColor="text1"/>
        </w:rPr>
      </w:pPr>
      <w:r w:rsidRPr="00381145">
        <w:t>„</w:t>
      </w:r>
      <w:r>
        <w:rPr>
          <w:b/>
          <w:color w:val="00188F"/>
        </w:rPr>
        <w:t>Węzeł Koordynacji</w:t>
      </w:r>
      <w:r w:rsidRPr="00381145">
        <w:t xml:space="preserve">” </w:t>
      </w:r>
      <w:r>
        <w:rPr>
          <w:bCs/>
          <w:color w:val="000000" w:themeColor="text1"/>
        </w:rPr>
        <w:t>to Węzeł, do którego przypisano rolę Koordynacja Klastra.</w:t>
      </w:r>
    </w:p>
    <w:p w14:paraId="1ED13503" w14:textId="77777777" w:rsidR="004005AF" w:rsidRPr="00AC11E3" w:rsidRDefault="004005AF" w:rsidP="004005AF">
      <w:pPr>
        <w:pStyle w:val="ProductList-Body"/>
        <w:rPr>
          <w:bCs/>
          <w:color w:val="000000" w:themeColor="text1"/>
        </w:rPr>
      </w:pPr>
      <w:r w:rsidRPr="00381145">
        <w:t>„</w:t>
      </w:r>
      <w:r>
        <w:rPr>
          <w:b/>
          <w:color w:val="00188F"/>
        </w:rPr>
        <w:t>Węzeł Roboczy</w:t>
      </w:r>
      <w:r w:rsidRPr="00381145">
        <w:t>”</w:t>
      </w:r>
      <w:r>
        <w:rPr>
          <w:bCs/>
          <w:color w:val="000000" w:themeColor="text1"/>
        </w:rPr>
        <w:t xml:space="preserve"> to Węzeł, do którego przypisano rolę Roboczy.</w:t>
      </w:r>
    </w:p>
    <w:p w14:paraId="5AEB689D" w14:textId="0CD3C6A2" w:rsidR="004005AF" w:rsidRPr="00AC11E3" w:rsidRDefault="004005AF" w:rsidP="004005AF">
      <w:pPr>
        <w:pStyle w:val="ProductList-Body"/>
        <w:rPr>
          <w:bCs/>
          <w:color w:val="000000" w:themeColor="text1"/>
        </w:rPr>
      </w:pPr>
      <w:r w:rsidRPr="00381145">
        <w:t>„</w:t>
      </w:r>
      <w:r>
        <w:rPr>
          <w:b/>
          <w:color w:val="00188F"/>
        </w:rPr>
        <w:t>Węzeł</w:t>
      </w:r>
      <w:r w:rsidRPr="00381145">
        <w:t xml:space="preserve">” </w:t>
      </w:r>
      <w:r w:rsidR="00381145" w:rsidRPr="00381145">
        <w:t>„</w:t>
      </w:r>
      <w:r>
        <w:rPr>
          <w:b/>
          <w:color w:val="00188F"/>
        </w:rPr>
        <w:t>węzły</w:t>
      </w:r>
      <w:r w:rsidR="00381145" w:rsidRPr="00381145">
        <w:t>”</w:t>
      </w:r>
      <w:r w:rsidRPr="00381145">
        <w:t xml:space="preserve"> </w:t>
      </w:r>
      <w:r>
        <w:rPr>
          <w:bCs/>
          <w:color w:val="000000" w:themeColor="text1"/>
        </w:rPr>
        <w:t xml:space="preserve">ani to Węzeł Koordynacji lub Węzeł Roboczy dla usługi </w:t>
      </w: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PostgreSQL</w:t>
      </w:r>
      <w:proofErr w:type="spellEnd"/>
      <w:r>
        <w:rPr>
          <w:bCs/>
          <w:color w:val="000000" w:themeColor="text1"/>
        </w:rPr>
        <w:t>.</w:t>
      </w:r>
    </w:p>
    <w:p w14:paraId="1419358A" w14:textId="77777777" w:rsidR="004005AF" w:rsidRPr="00E248F3" w:rsidRDefault="004005AF" w:rsidP="004005AF">
      <w:pPr>
        <w:pStyle w:val="ProductList-Body"/>
        <w:rPr>
          <w:bCs/>
          <w:color w:val="000000" w:themeColor="text1"/>
          <w:sz w:val="12"/>
          <w:szCs w:val="12"/>
        </w:rPr>
      </w:pPr>
    </w:p>
    <w:p w14:paraId="2627B531" w14:textId="2F0782A0" w:rsidR="004005AF" w:rsidRPr="00401AE7" w:rsidRDefault="00EE6E3C" w:rsidP="004005AF">
      <w:pPr>
        <w:pStyle w:val="ProductList-Body"/>
        <w:rPr>
          <w:b/>
          <w:color w:val="00188F"/>
        </w:rPr>
      </w:pPr>
      <w:r>
        <w:rPr>
          <w:b/>
          <w:color w:val="00188F"/>
        </w:rPr>
        <w:t xml:space="preserve">Obliczanie Czasu Sprawnego Działania i Poziomów Usługi dla Microsoft </w:t>
      </w:r>
      <w:proofErr w:type="spellStart"/>
      <w:r>
        <w:rPr>
          <w:b/>
          <w:color w:val="00188F"/>
        </w:rPr>
        <w:t>Azure</w:t>
      </w:r>
      <w:proofErr w:type="spellEnd"/>
      <w:r>
        <w:rPr>
          <w:b/>
          <w:color w:val="00188F"/>
        </w:rPr>
        <w:t xml:space="preserve"> </w:t>
      </w:r>
      <w:proofErr w:type="spellStart"/>
      <w:r>
        <w:rPr>
          <w:b/>
          <w:color w:val="00188F"/>
        </w:rPr>
        <w:t>Cosmos</w:t>
      </w:r>
      <w:proofErr w:type="spellEnd"/>
      <w:r>
        <w:rPr>
          <w:b/>
          <w:color w:val="00188F"/>
        </w:rPr>
        <w:t xml:space="preserve"> DB for </w:t>
      </w:r>
      <w:proofErr w:type="spellStart"/>
      <w:r>
        <w:rPr>
          <w:b/>
          <w:color w:val="00188F"/>
        </w:rPr>
        <w:t>PostgreSQL</w:t>
      </w:r>
      <w:proofErr w:type="spellEnd"/>
      <w:r>
        <w:rPr>
          <w:b/>
          <w:color w:val="00188F"/>
        </w:rPr>
        <w:t xml:space="preserve"> — Węzeł Wysokiej Dostępności</w:t>
      </w:r>
    </w:p>
    <w:p w14:paraId="5C5EEC45" w14:textId="4E2AFF0E" w:rsidR="004005AF" w:rsidRPr="00AC11E3" w:rsidRDefault="004005AF" w:rsidP="004005AF">
      <w:pPr>
        <w:pStyle w:val="ProductList-Body"/>
        <w:rPr>
          <w:bCs/>
          <w:color w:val="000000" w:themeColor="text1"/>
        </w:rPr>
      </w:pPr>
      <w:r w:rsidRPr="00381145">
        <w:t>„</w:t>
      </w:r>
      <w:r>
        <w:rPr>
          <w:b/>
          <w:color w:val="00188F"/>
        </w:rPr>
        <w:t>Maksymalna Liczba Dostępnych Minut</w:t>
      </w:r>
      <w:r w:rsidRPr="00381145">
        <w:t>”</w:t>
      </w:r>
      <w:r>
        <w:rPr>
          <w:bCs/>
          <w:color w:val="00188F"/>
        </w:rPr>
        <w:t xml:space="preserve"> </w:t>
      </w:r>
      <w:r>
        <w:rPr>
          <w:bCs/>
          <w:color w:val="000000" w:themeColor="text1"/>
        </w:rPr>
        <w:t xml:space="preserve">liczba minut dla danego Węzła Wysokiej Dostępności wdrożonych przez klienta w ramach subskrypcji Microsoft </w:t>
      </w:r>
      <w:proofErr w:type="spellStart"/>
      <w:r>
        <w:rPr>
          <w:bCs/>
          <w:color w:val="000000" w:themeColor="text1"/>
        </w:rPr>
        <w:t>Azure</w:t>
      </w:r>
      <w:proofErr w:type="spellEnd"/>
      <w:r>
        <w:rPr>
          <w:bCs/>
          <w:color w:val="000000" w:themeColor="text1"/>
        </w:rPr>
        <w:t xml:space="preserve"> we Właściwym Okresie.</w:t>
      </w:r>
    </w:p>
    <w:p w14:paraId="409AFA3E" w14:textId="77777777" w:rsidR="004005AF" w:rsidRPr="00AC11E3" w:rsidRDefault="004005AF" w:rsidP="004005AF">
      <w:pPr>
        <w:pStyle w:val="ProductList-Body"/>
        <w:rPr>
          <w:bCs/>
          <w:color w:val="000000" w:themeColor="text1"/>
        </w:rPr>
      </w:pPr>
      <w:r w:rsidRPr="00381145">
        <w:t>„</w:t>
      </w:r>
      <w:r>
        <w:rPr>
          <w:b/>
          <w:color w:val="00188F"/>
        </w:rPr>
        <w:t>Przestój</w:t>
      </w:r>
      <w:r w:rsidRPr="00381145">
        <w:t>”</w:t>
      </w:r>
      <w:r>
        <w:rPr>
          <w:bCs/>
          <w:color w:val="000000" w:themeColor="text1"/>
        </w:rPr>
        <w:t xml:space="preserve"> to łączna liczba minut w ramach Maksymalnej Liczby Dostępnych Minut, podczas których Węzeł jest niedostępny. Minuta jest uznawana za minutę niedostępności, jeśli wszystkie podejmowane przez Klienta kolejne próby zmierzające do nawiązania łączności z Węzłem zwróciły Kod Błędu albo nie zwróciły odpowiedzi w ciągu minuty. Minuta jest również uważana za niedostępną dla Węzła Roboczego, jeśli jego Węzeł Koordynacji był niedostępny w ciągu tej minuty.</w:t>
      </w:r>
    </w:p>
    <w:p w14:paraId="147EFAF0" w14:textId="03B03F10" w:rsidR="004005AF" w:rsidRPr="00AC11E3" w:rsidRDefault="004005AF" w:rsidP="004005AF">
      <w:pPr>
        <w:pStyle w:val="ProductList-Body"/>
        <w:rPr>
          <w:bCs/>
          <w:color w:val="000000" w:themeColor="text1"/>
        </w:rPr>
      </w:pPr>
      <w:r w:rsidRPr="00381145">
        <w:t>„</w:t>
      </w:r>
      <w:r>
        <w:rPr>
          <w:b/>
          <w:color w:val="00188F"/>
        </w:rPr>
        <w:t>Procent Czasu Sprawnego Działania</w:t>
      </w:r>
      <w:r w:rsidR="00381145" w:rsidRPr="00381145">
        <w:t>”</w:t>
      </w:r>
      <w:r>
        <w:rPr>
          <w:bCs/>
          <w:color w:val="000000" w:themeColor="text1"/>
        </w:rPr>
        <w:t xml:space="preserve"> dla Węzła Wysokiej Dostępności </w:t>
      </w:r>
      <w:proofErr w:type="spellStart"/>
      <w:r>
        <w:rPr>
          <w:bCs/>
          <w:color w:val="000000" w:themeColor="text1"/>
        </w:rPr>
        <w:t>Azure</w:t>
      </w:r>
      <w:proofErr w:type="spellEnd"/>
      <w:r>
        <w:rPr>
          <w:bCs/>
          <w:color w:val="000000" w:themeColor="text1"/>
        </w:rPr>
        <w:t xml:space="preserve"> </w:t>
      </w:r>
      <w:proofErr w:type="spellStart"/>
      <w:r>
        <w:rPr>
          <w:bCs/>
          <w:color w:val="000000" w:themeColor="text1"/>
        </w:rPr>
        <w:t>Cosmos</w:t>
      </w:r>
      <w:proofErr w:type="spellEnd"/>
      <w:r>
        <w:rPr>
          <w:bCs/>
          <w:color w:val="000000" w:themeColor="text1"/>
        </w:rPr>
        <w:t xml:space="preserve"> DB for </w:t>
      </w:r>
      <w:proofErr w:type="spellStart"/>
      <w:r>
        <w:rPr>
          <w:bCs/>
          <w:color w:val="000000" w:themeColor="text1"/>
        </w:rPr>
        <w:t>PostgreSQL</w:t>
      </w:r>
      <w:proofErr w:type="spellEnd"/>
      <w:r>
        <w:rPr>
          <w:bCs/>
          <w:color w:val="000000" w:themeColor="text1"/>
        </w:rPr>
        <w:t xml:space="preserve"> High jest obliczany jako Maksymalna Liczba Dostępnych Minut pomniejszona o Przestój podzielona przez Maksymalną Liczbę Dostępnych Minut.</w:t>
      </w:r>
    </w:p>
    <w:p w14:paraId="1090E03A" w14:textId="047E8E92" w:rsidR="004005AF" w:rsidRDefault="004005AF" w:rsidP="004005AF">
      <w:pPr>
        <w:pStyle w:val="ProductList-Body"/>
      </w:pPr>
      <w:r>
        <w:t>Procent Czasu Sprawnego Działania jest obliczany przy użyciu następującego wzoru:</w:t>
      </w:r>
    </w:p>
    <w:p w14:paraId="378E2D22" w14:textId="63EC6BA7" w:rsidR="004005AF" w:rsidRPr="00AC11E3" w:rsidRDefault="00000000" w:rsidP="002954D1">
      <w:pPr>
        <w:pStyle w:val="ProductList-Body"/>
        <w:spacing w:before="120" w:after="120"/>
        <w:rPr>
          <w:bCs/>
          <w:color w:val="00188F"/>
        </w:rPr>
      </w:pPr>
      <m:oMathPara>
        <m:oMath>
          <m:f>
            <m:fPr>
              <m:ctrlPr>
                <w:rPr>
                  <w:rFonts w:ascii="Cambria Math" w:hAnsi="Cambria Math" w:cs="Calibri"/>
                  <w:i/>
                  <w:szCs w:val="18"/>
                </w:rPr>
              </m:ctrlPr>
            </m:fPr>
            <m:num>
              <m:r>
                <m:rPr>
                  <m:nor/>
                </m:rPr>
                <w:rPr>
                  <w:rFonts w:ascii="Cambria Math" w:hAnsi="Cambria Math" w:cs="Calibri"/>
                  <w:i/>
                  <w:szCs w:val="18"/>
                </w:rPr>
                <m:t xml:space="preserve">Maksymalna Liczba Dostępnych Minut - Przestój </m:t>
              </m:r>
            </m:num>
            <m:den>
              <m:r>
                <m:rPr>
                  <m:nor/>
                </m:rPr>
                <w:rPr>
                  <w:rFonts w:ascii="Cambria Math" w:hAnsi="Cambria Math" w:cs="Calibri"/>
                  <w:i/>
                  <w:szCs w:val="18"/>
                </w:rPr>
                <m:t>Maksymalna Liczba Dostępnych Minut</m:t>
              </m:r>
            </m:den>
          </m:f>
          <m:r>
            <w:rPr>
              <w:rFonts w:ascii="Cambria Math" w:hAnsi="Cambria Math" w:cs="Calibri"/>
              <w:szCs w:val="18"/>
            </w:rPr>
            <m:t xml:space="preserve"> x 100</m:t>
          </m:r>
        </m:oMath>
      </m:oMathPara>
    </w:p>
    <w:p w14:paraId="42A770C0" w14:textId="77777777" w:rsidR="004005AF" w:rsidRPr="00491D0A" w:rsidRDefault="004005AF" w:rsidP="004005AF">
      <w:pPr>
        <w:pStyle w:val="ProductList-Body"/>
        <w:keepNext/>
        <w:rPr>
          <w:b/>
          <w:bCs/>
          <w:color w:val="00188F"/>
        </w:rPr>
      </w:pPr>
      <w:r>
        <w:rPr>
          <w:rFonts w:ascii="Calibri" w:hAnsi="Calibri" w:cs="Calibri"/>
          <w:b/>
          <w:bCs/>
          <w:color w:val="00188F"/>
          <w:shd w:val="clear" w:color="auto" w:fill="FFFFFF"/>
        </w:rPr>
        <w:t xml:space="preserve">Do używania przez Klienta Węzła o Wysokiej Dostępności usługi Microsoft </w:t>
      </w:r>
      <w:proofErr w:type="spellStart"/>
      <w:r>
        <w:rPr>
          <w:rFonts w:ascii="Calibri" w:hAnsi="Calibri" w:cs="Calibri"/>
          <w:b/>
          <w:bCs/>
          <w:color w:val="00188F"/>
          <w:shd w:val="clear" w:color="auto" w:fill="FFFFFF"/>
        </w:rPr>
        <w:t>Azure</w:t>
      </w:r>
      <w:proofErr w:type="spellEnd"/>
      <w:r>
        <w:rPr>
          <w:rFonts w:ascii="Calibri" w:hAnsi="Calibri" w:cs="Calibri"/>
          <w:b/>
          <w:bCs/>
          <w:color w:val="00188F"/>
          <w:shd w:val="clear" w:color="auto" w:fill="FFFFFF"/>
        </w:rPr>
        <w:t xml:space="preserve"> </w:t>
      </w:r>
      <w:proofErr w:type="spellStart"/>
      <w:r>
        <w:rPr>
          <w:rFonts w:ascii="Calibri" w:hAnsi="Calibri" w:cs="Calibri"/>
          <w:b/>
          <w:bCs/>
          <w:color w:val="00188F"/>
          <w:shd w:val="clear" w:color="auto" w:fill="FFFFFF"/>
        </w:rPr>
        <w:t>Cosmos</w:t>
      </w:r>
      <w:proofErr w:type="spellEnd"/>
      <w:r>
        <w:rPr>
          <w:rFonts w:ascii="Calibri" w:hAnsi="Calibri" w:cs="Calibri"/>
          <w:b/>
          <w:bCs/>
          <w:color w:val="00188F"/>
          <w:shd w:val="clear" w:color="auto" w:fill="FFFFFF"/>
        </w:rPr>
        <w:t xml:space="preserve"> DB for </w:t>
      </w:r>
      <w:proofErr w:type="spellStart"/>
      <w:r>
        <w:rPr>
          <w:rFonts w:ascii="Calibri" w:hAnsi="Calibri" w:cs="Calibri"/>
          <w:b/>
          <w:bCs/>
          <w:color w:val="00188F"/>
          <w:shd w:val="clear" w:color="auto" w:fill="FFFFFF"/>
        </w:rPr>
        <w:t>PostgreSQL</w:t>
      </w:r>
      <w:proofErr w:type="spellEnd"/>
      <w:r>
        <w:rPr>
          <w:rFonts w:ascii="Calibri" w:hAnsi="Calibri" w:cs="Calibri"/>
          <w:b/>
          <w:bCs/>
          <w:color w:val="00188F"/>
          <w:shd w:val="clear" w:color="auto" w:fill="FFFFFF"/>
        </w:rPr>
        <w:t xml:space="preserve"> mają zastosowanie następujące Poziomy Usługi i Środki Serwisowe na Używanie Usługi: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E829116" w14:textId="77777777" w:rsidTr="00277097">
        <w:trPr>
          <w:tblHeader/>
        </w:trPr>
        <w:tc>
          <w:tcPr>
            <w:tcW w:w="5400" w:type="dxa"/>
            <w:shd w:val="clear" w:color="auto" w:fill="0072C6"/>
          </w:tcPr>
          <w:p w14:paraId="2C9D4A58" w14:textId="06302114"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939EE95"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551D3C59" w14:textId="77777777" w:rsidTr="00277097">
        <w:tc>
          <w:tcPr>
            <w:tcW w:w="5400" w:type="dxa"/>
          </w:tcPr>
          <w:p w14:paraId="6204D35B" w14:textId="4B88CAE8" w:rsidR="004005AF" w:rsidRPr="0076238C" w:rsidRDefault="004005AF" w:rsidP="000F31B4">
            <w:pPr>
              <w:pStyle w:val="ProductList-OfferingBody"/>
              <w:jc w:val="center"/>
            </w:pPr>
            <w:r>
              <w:t>&lt; 99,99%</w:t>
            </w:r>
          </w:p>
        </w:tc>
        <w:tc>
          <w:tcPr>
            <w:tcW w:w="5400" w:type="dxa"/>
          </w:tcPr>
          <w:p w14:paraId="6E2D2625" w14:textId="77777777" w:rsidR="004005AF" w:rsidRPr="0076238C" w:rsidRDefault="004005AF" w:rsidP="000F31B4">
            <w:pPr>
              <w:pStyle w:val="ProductList-OfferingBody"/>
              <w:jc w:val="center"/>
            </w:pPr>
            <w:r>
              <w:t>10%</w:t>
            </w:r>
          </w:p>
        </w:tc>
      </w:tr>
      <w:tr w:rsidR="004005AF" w:rsidRPr="00B44CF9" w14:paraId="0339648C" w14:textId="77777777" w:rsidTr="00277097">
        <w:tc>
          <w:tcPr>
            <w:tcW w:w="5400" w:type="dxa"/>
          </w:tcPr>
          <w:p w14:paraId="5DA0F32E" w14:textId="77777777" w:rsidR="004005AF" w:rsidRPr="0076238C" w:rsidRDefault="004005AF" w:rsidP="000F31B4">
            <w:pPr>
              <w:pStyle w:val="ProductList-OfferingBody"/>
              <w:jc w:val="center"/>
            </w:pPr>
            <w:r>
              <w:t>&lt; 99%</w:t>
            </w:r>
          </w:p>
        </w:tc>
        <w:tc>
          <w:tcPr>
            <w:tcW w:w="5400" w:type="dxa"/>
          </w:tcPr>
          <w:p w14:paraId="029E052E" w14:textId="77777777" w:rsidR="004005AF" w:rsidRPr="0076238C" w:rsidRDefault="004005AF" w:rsidP="000F31B4">
            <w:pPr>
              <w:pStyle w:val="ProductList-OfferingBody"/>
              <w:jc w:val="center"/>
            </w:pPr>
            <w:r>
              <w:t>25%</w:t>
            </w:r>
          </w:p>
        </w:tc>
      </w:tr>
    </w:tbl>
    <w:p w14:paraId="76530556" w14:textId="27B5F661" w:rsidR="004005AF" w:rsidRPr="00AC11E3" w:rsidRDefault="004005AF" w:rsidP="00E248F3">
      <w:pPr>
        <w:pStyle w:val="ProductList-Body"/>
        <w:spacing w:before="120"/>
        <w:rPr>
          <w:b/>
          <w:color w:val="00188F"/>
        </w:rPr>
      </w:pPr>
      <w:r>
        <w:rPr>
          <w:b/>
          <w:color w:val="00188F"/>
        </w:rPr>
        <w:t xml:space="preserve">Microsoft </w:t>
      </w:r>
      <w:proofErr w:type="spellStart"/>
      <w:r>
        <w:rPr>
          <w:b/>
          <w:color w:val="00188F"/>
        </w:rPr>
        <w:t>Azure</w:t>
      </w:r>
      <w:proofErr w:type="spellEnd"/>
      <w:r>
        <w:rPr>
          <w:b/>
          <w:color w:val="00188F"/>
        </w:rPr>
        <w:t xml:space="preserve"> </w:t>
      </w:r>
      <w:proofErr w:type="spellStart"/>
      <w:r>
        <w:rPr>
          <w:b/>
          <w:color w:val="00188F"/>
        </w:rPr>
        <w:t>Cosmos</w:t>
      </w:r>
      <w:proofErr w:type="spellEnd"/>
      <w:r>
        <w:rPr>
          <w:b/>
          <w:color w:val="00188F"/>
        </w:rPr>
        <w:t xml:space="preserve"> DB for </w:t>
      </w:r>
      <w:proofErr w:type="spellStart"/>
      <w:r>
        <w:rPr>
          <w:b/>
          <w:color w:val="00188F"/>
        </w:rPr>
        <w:t>NoSQL</w:t>
      </w:r>
      <w:proofErr w:type="spellEnd"/>
      <w:r>
        <w:rPr>
          <w:b/>
          <w:color w:val="00188F"/>
        </w:rPr>
        <w:t xml:space="preserve">, Microsoft </w:t>
      </w:r>
      <w:proofErr w:type="spellStart"/>
      <w:r>
        <w:rPr>
          <w:b/>
          <w:color w:val="00188F"/>
        </w:rPr>
        <w:t>Azure</w:t>
      </w:r>
      <w:proofErr w:type="spellEnd"/>
      <w:r>
        <w:rPr>
          <w:b/>
          <w:color w:val="00188F"/>
        </w:rPr>
        <w:t xml:space="preserve"> </w:t>
      </w:r>
      <w:proofErr w:type="spellStart"/>
      <w:r>
        <w:rPr>
          <w:b/>
          <w:color w:val="00188F"/>
        </w:rPr>
        <w:t>Cosmos</w:t>
      </w:r>
      <w:proofErr w:type="spellEnd"/>
      <w:r>
        <w:rPr>
          <w:b/>
          <w:color w:val="00188F"/>
        </w:rPr>
        <w:t xml:space="preserve"> DB for </w:t>
      </w:r>
      <w:proofErr w:type="spellStart"/>
      <w:r>
        <w:rPr>
          <w:b/>
          <w:color w:val="00188F"/>
        </w:rPr>
        <w:t>MongoDB</w:t>
      </w:r>
      <w:proofErr w:type="spellEnd"/>
      <w:r w:rsidR="00CD22B6">
        <w:rPr>
          <w:b/>
          <w:color w:val="00188F"/>
        </w:rPr>
        <w:t xml:space="preserve"> (RU)</w:t>
      </w:r>
      <w:r>
        <w:rPr>
          <w:b/>
          <w:color w:val="00188F"/>
        </w:rPr>
        <w:t xml:space="preserve">, Microsoft </w:t>
      </w:r>
      <w:proofErr w:type="spellStart"/>
      <w:r>
        <w:rPr>
          <w:b/>
          <w:color w:val="00188F"/>
        </w:rPr>
        <w:t>Azure</w:t>
      </w:r>
      <w:proofErr w:type="spellEnd"/>
      <w:r>
        <w:rPr>
          <w:b/>
          <w:color w:val="00188F"/>
        </w:rPr>
        <w:t xml:space="preserve"> </w:t>
      </w:r>
      <w:proofErr w:type="spellStart"/>
      <w:r>
        <w:rPr>
          <w:b/>
          <w:color w:val="00188F"/>
        </w:rPr>
        <w:t>Cosmos</w:t>
      </w:r>
      <w:proofErr w:type="spellEnd"/>
      <w:r>
        <w:rPr>
          <w:b/>
          <w:color w:val="00188F"/>
        </w:rPr>
        <w:t xml:space="preserve"> DB for Apache </w:t>
      </w:r>
      <w:proofErr w:type="spellStart"/>
      <w:r>
        <w:rPr>
          <w:b/>
          <w:color w:val="00188F"/>
        </w:rPr>
        <w:t>Cassandra</w:t>
      </w:r>
      <w:proofErr w:type="spellEnd"/>
      <w:r>
        <w:rPr>
          <w:b/>
          <w:color w:val="00188F"/>
        </w:rPr>
        <w:t xml:space="preserve">, Microsoft </w:t>
      </w:r>
      <w:proofErr w:type="spellStart"/>
      <w:r>
        <w:rPr>
          <w:b/>
          <w:color w:val="00188F"/>
        </w:rPr>
        <w:t>Azure</w:t>
      </w:r>
      <w:proofErr w:type="spellEnd"/>
      <w:r>
        <w:rPr>
          <w:b/>
          <w:color w:val="00188F"/>
        </w:rPr>
        <w:t xml:space="preserve"> </w:t>
      </w:r>
      <w:proofErr w:type="spellStart"/>
      <w:r>
        <w:rPr>
          <w:b/>
          <w:color w:val="00188F"/>
        </w:rPr>
        <w:t>Cosmos</w:t>
      </w:r>
      <w:proofErr w:type="spellEnd"/>
      <w:r>
        <w:rPr>
          <w:b/>
          <w:color w:val="00188F"/>
        </w:rPr>
        <w:t xml:space="preserve"> DB for Apache </w:t>
      </w:r>
      <w:proofErr w:type="spellStart"/>
      <w:r>
        <w:rPr>
          <w:b/>
          <w:color w:val="00188F"/>
        </w:rPr>
        <w:t>Gremlin</w:t>
      </w:r>
      <w:proofErr w:type="spellEnd"/>
      <w:r>
        <w:rPr>
          <w:b/>
          <w:color w:val="00188F"/>
        </w:rPr>
        <w:t xml:space="preserve">, Microsoft </w:t>
      </w:r>
      <w:proofErr w:type="spellStart"/>
      <w:r>
        <w:rPr>
          <w:b/>
          <w:color w:val="00188F"/>
        </w:rPr>
        <w:t>Azure</w:t>
      </w:r>
      <w:proofErr w:type="spellEnd"/>
      <w:r>
        <w:rPr>
          <w:b/>
          <w:color w:val="00188F"/>
        </w:rPr>
        <w:t xml:space="preserve"> </w:t>
      </w:r>
      <w:proofErr w:type="spellStart"/>
      <w:r>
        <w:rPr>
          <w:b/>
          <w:color w:val="00188F"/>
        </w:rPr>
        <w:t>Cosmos</w:t>
      </w:r>
      <w:proofErr w:type="spellEnd"/>
      <w:r>
        <w:rPr>
          <w:b/>
          <w:color w:val="00188F"/>
        </w:rPr>
        <w:t xml:space="preserve"> DB for </w:t>
      </w:r>
      <w:proofErr w:type="spellStart"/>
      <w:r>
        <w:rPr>
          <w:b/>
          <w:color w:val="00188F"/>
        </w:rPr>
        <w:t>Table</w:t>
      </w:r>
      <w:proofErr w:type="spellEnd"/>
    </w:p>
    <w:p w14:paraId="6A00A741" w14:textId="77777777" w:rsidR="004005AF" w:rsidRPr="00EF7CF9" w:rsidRDefault="004005AF" w:rsidP="004005AF">
      <w:pPr>
        <w:pStyle w:val="ProductList-Body"/>
        <w:rPr>
          <w:b/>
          <w:color w:val="00188F"/>
        </w:rPr>
      </w:pPr>
      <w:r>
        <w:rPr>
          <w:b/>
          <w:color w:val="00188F"/>
        </w:rPr>
        <w:t>Dodatkowe definicje</w:t>
      </w:r>
      <w:r w:rsidRPr="007B038A">
        <w:rPr>
          <w:b/>
          <w:color w:val="00188F"/>
        </w:rPr>
        <w:t>:</w:t>
      </w:r>
    </w:p>
    <w:p w14:paraId="361D61EC" w14:textId="77777777" w:rsidR="004005AF" w:rsidRPr="00EF7CF9" w:rsidRDefault="004005AF" w:rsidP="004005AF">
      <w:pPr>
        <w:pStyle w:val="ProductList-Body"/>
      </w:pPr>
      <w:r>
        <w:t>„</w:t>
      </w:r>
      <w:r>
        <w:rPr>
          <w:b/>
          <w:color w:val="00188F"/>
        </w:rPr>
        <w:t>Kontener</w:t>
      </w:r>
      <w:r>
        <w:t>” to kontener zawierający elementy danych oraz jednostkę skali dla transakcji i kwerend.</w:t>
      </w:r>
    </w:p>
    <w:p w14:paraId="2042777F" w14:textId="77777777" w:rsidR="004005AF" w:rsidRPr="00EF7CF9" w:rsidRDefault="004005AF" w:rsidP="004005AF">
      <w:pPr>
        <w:pStyle w:val="ProductList-Body"/>
      </w:pPr>
      <w:r>
        <w:t>„</w:t>
      </w:r>
      <w:r>
        <w:rPr>
          <w:b/>
          <w:color w:val="00188F"/>
        </w:rPr>
        <w:t>Wykorzystane Jednostki Żądania</w:t>
      </w:r>
      <w:r>
        <w:t xml:space="preserve">” to suma Jednostek Żądania wykorzystana w ciągu sekundy w ramach wszystkich żądań przetwarzanych przez Kontener </w:t>
      </w:r>
      <w:proofErr w:type="spellStart"/>
      <w:r>
        <w:t>Azure</w:t>
      </w:r>
      <w:proofErr w:type="spellEnd"/>
      <w:r>
        <w:t xml:space="preserve"> </w:t>
      </w:r>
      <w:proofErr w:type="spellStart"/>
      <w:r>
        <w:t>Cosmos</w:t>
      </w:r>
      <w:proofErr w:type="spellEnd"/>
      <w:r>
        <w:t xml:space="preserve"> DB.</w:t>
      </w:r>
    </w:p>
    <w:p w14:paraId="30EF1808" w14:textId="77777777" w:rsidR="004005AF" w:rsidRPr="00EF7CF9" w:rsidRDefault="004005AF" w:rsidP="004005AF">
      <w:pPr>
        <w:pStyle w:val="ProductList-Body"/>
        <w:spacing w:after="40"/>
      </w:pPr>
      <w:r>
        <w:t>„</w:t>
      </w:r>
      <w:r>
        <w:rPr>
          <w:b/>
          <w:color w:val="00188F"/>
        </w:rPr>
        <w:t>Konto Bazy Danych</w:t>
      </w:r>
      <w:r>
        <w:t xml:space="preserve">” to zasób najwyższego poziomu w modelu zasobów </w:t>
      </w:r>
      <w:proofErr w:type="spellStart"/>
      <w:r>
        <w:t>Azure</w:t>
      </w:r>
      <w:proofErr w:type="spellEnd"/>
      <w:r>
        <w:t xml:space="preserve"> </w:t>
      </w:r>
      <w:proofErr w:type="spellStart"/>
      <w:r>
        <w:t>Cosmos</w:t>
      </w:r>
      <w:proofErr w:type="spellEnd"/>
      <w:r>
        <w:t xml:space="preserve"> DB. Konto Bazy Danych </w:t>
      </w:r>
      <w:proofErr w:type="spellStart"/>
      <w:r>
        <w:t>Azure</w:t>
      </w:r>
      <w:proofErr w:type="spellEnd"/>
      <w:r>
        <w:t xml:space="preserve"> </w:t>
      </w:r>
      <w:proofErr w:type="spellStart"/>
      <w:r>
        <w:t>Cosmos</w:t>
      </w:r>
      <w:proofErr w:type="spellEnd"/>
      <w:r>
        <w:t xml:space="preserve"> DB obejmuje co najmniej jedną bazę danych.</w:t>
      </w:r>
    </w:p>
    <w:p w14:paraId="5F79BD07" w14:textId="77777777" w:rsidR="004005AF" w:rsidRPr="00EF7CF9" w:rsidRDefault="004005AF" w:rsidP="004005AF">
      <w:pPr>
        <w:pStyle w:val="ProductList-Body"/>
        <w:spacing w:after="40"/>
      </w:pPr>
      <w:r>
        <w:t>„</w:t>
      </w:r>
      <w:r>
        <w:rPr>
          <w:b/>
          <w:color w:val="00188F"/>
        </w:rPr>
        <w:t>Żądania Zakończone Niepowodzeniem</w:t>
      </w:r>
      <w:r>
        <w:t>” to żądania w ramach Łącznej Liczby Żądań, które albo zwracają Kod Błędu, albo nie zwracają Kodu Sukcesu w ramach maksymalnych górnych granic określonych w poniższej tabeli.</w:t>
      </w:r>
    </w:p>
    <w:p w14:paraId="5C559261" w14:textId="77777777" w:rsidR="004005AF" w:rsidRPr="00EF7CF9" w:rsidRDefault="004005AF" w:rsidP="004005AF">
      <w:pPr>
        <w:pStyle w:val="ProductList-Body"/>
      </w:pPr>
      <w:r>
        <w:t>„</w:t>
      </w:r>
      <w:r>
        <w:rPr>
          <w:b/>
          <w:color w:val="00188F"/>
        </w:rPr>
        <w:t>Żądania Odczytu Zakończone Niepowodzeniem</w:t>
      </w:r>
      <w:r>
        <w:t>” to żądania w ramach Łącznej Liczby Żądań Odczytu, które albo zwracają Kod Błędu, albo nie zwracają Kodu Sukcesu w ramach maksymalnych górnych granic określonych w poniższej tabeli.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5407277" w14:textId="77777777" w:rsidTr="00277097">
        <w:trPr>
          <w:tblHeader/>
        </w:trPr>
        <w:tc>
          <w:tcPr>
            <w:tcW w:w="5400" w:type="dxa"/>
            <w:shd w:val="clear" w:color="auto" w:fill="0072C6"/>
          </w:tcPr>
          <w:p w14:paraId="1EFC0673" w14:textId="77777777" w:rsidR="004005AF" w:rsidRPr="00EF7CF9" w:rsidRDefault="004005AF" w:rsidP="000F31B4">
            <w:pPr>
              <w:pStyle w:val="ProductList-OfferingBody"/>
              <w:rPr>
                <w:color w:val="FFFFFF" w:themeColor="background1"/>
              </w:rPr>
            </w:pPr>
            <w:r>
              <w:rPr>
                <w:color w:val="FFFFFF" w:themeColor="background1"/>
              </w:rPr>
              <w:t>Operacja</w:t>
            </w:r>
          </w:p>
        </w:tc>
        <w:tc>
          <w:tcPr>
            <w:tcW w:w="5400" w:type="dxa"/>
            <w:shd w:val="clear" w:color="auto" w:fill="0072C6"/>
          </w:tcPr>
          <w:p w14:paraId="459020A0" w14:textId="77777777" w:rsidR="004005AF" w:rsidRPr="00EF7CF9" w:rsidRDefault="004005AF" w:rsidP="000F31B4">
            <w:pPr>
              <w:pStyle w:val="ProductList-OfferingBody"/>
              <w:rPr>
                <w:color w:val="FFFFFF" w:themeColor="background1"/>
              </w:rPr>
            </w:pPr>
            <w:r>
              <w:rPr>
                <w:color w:val="FFFFFF" w:themeColor="background1"/>
              </w:rPr>
              <w:t>Maksymalna Górna Granica w kontekście Opóźnienia Przetwarzania</w:t>
            </w:r>
          </w:p>
        </w:tc>
      </w:tr>
      <w:tr w:rsidR="004005AF" w:rsidRPr="00B44CF9" w14:paraId="71A7335E" w14:textId="77777777" w:rsidTr="00277097">
        <w:tc>
          <w:tcPr>
            <w:tcW w:w="5400" w:type="dxa"/>
          </w:tcPr>
          <w:p w14:paraId="54741EFD" w14:textId="77777777" w:rsidR="004005AF" w:rsidRPr="00EF7CF9" w:rsidRDefault="004005AF" w:rsidP="000F31B4">
            <w:pPr>
              <w:pStyle w:val="ProductList-OfferingBody"/>
            </w:pPr>
            <w:r>
              <w:t>Resource Operations</w:t>
            </w:r>
          </w:p>
        </w:tc>
        <w:tc>
          <w:tcPr>
            <w:tcW w:w="5400" w:type="dxa"/>
          </w:tcPr>
          <w:p w14:paraId="05D5AEFF"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5 sek.</w:t>
            </w:r>
          </w:p>
        </w:tc>
      </w:tr>
      <w:tr w:rsidR="004005AF" w:rsidRPr="00B44CF9" w14:paraId="430DE826" w14:textId="77777777" w:rsidTr="00277097">
        <w:tc>
          <w:tcPr>
            <w:tcW w:w="5400" w:type="dxa"/>
          </w:tcPr>
          <w:p w14:paraId="366A88F9" w14:textId="77777777" w:rsidR="004005AF" w:rsidRPr="00EF7CF9" w:rsidRDefault="004005AF" w:rsidP="000F31B4">
            <w:pPr>
              <w:pStyle w:val="ProductList-OfferingBody"/>
            </w:pPr>
            <w:r>
              <w:t>Media Operations</w:t>
            </w:r>
          </w:p>
        </w:tc>
        <w:tc>
          <w:tcPr>
            <w:tcW w:w="5400" w:type="dxa"/>
          </w:tcPr>
          <w:p w14:paraId="30157A9F" w14:textId="77777777" w:rsidR="004005AF" w:rsidRPr="00EF7CF9" w:rsidRDefault="004005AF" w:rsidP="000F31B4">
            <w:pPr>
              <w:pStyle w:val="ProductList-OfferingBody"/>
            </w:pPr>
            <w:r>
              <w:t>60 sek.</w:t>
            </w:r>
          </w:p>
        </w:tc>
      </w:tr>
    </w:tbl>
    <w:p w14:paraId="078FD11A" w14:textId="77777777" w:rsidR="004005AF" w:rsidRPr="00E248F3" w:rsidRDefault="004005AF" w:rsidP="004005AF">
      <w:pPr>
        <w:spacing w:after="0" w:line="240" w:lineRule="auto"/>
        <w:rPr>
          <w:sz w:val="12"/>
          <w:szCs w:val="12"/>
        </w:rPr>
      </w:pPr>
    </w:p>
    <w:p w14:paraId="33557703" w14:textId="77777777" w:rsidR="004005AF" w:rsidRPr="00EF7CF9" w:rsidRDefault="004005AF" w:rsidP="00FD1C87">
      <w:pPr>
        <w:spacing w:after="0" w:line="240" w:lineRule="auto"/>
        <w:rPr>
          <w:sz w:val="18"/>
        </w:rPr>
      </w:pPr>
      <w:r>
        <w:rPr>
          <w:sz w:val="18"/>
        </w:rPr>
        <w:t>„</w:t>
      </w:r>
      <w:r>
        <w:rPr>
          <w:b/>
          <w:color w:val="00188F"/>
          <w:sz w:val="18"/>
        </w:rPr>
        <w:t>Przydzielone Jednostki Żądania</w:t>
      </w:r>
      <w:r>
        <w:rPr>
          <w:sz w:val="18"/>
        </w:rPr>
        <w:t xml:space="preserve">” to łączna liczba Jednostek Żądania przydzielona w ciągu sekundy danej Kontenerowi </w:t>
      </w:r>
      <w:proofErr w:type="spellStart"/>
      <w:r>
        <w:rPr>
          <w:sz w:val="18"/>
        </w:rPr>
        <w:t>Azure</w:t>
      </w:r>
      <w:proofErr w:type="spellEnd"/>
      <w:r>
        <w:rPr>
          <w:sz w:val="18"/>
        </w:rPr>
        <w:t xml:space="preserve"> </w:t>
      </w:r>
      <w:proofErr w:type="spellStart"/>
      <w:r>
        <w:rPr>
          <w:rStyle w:val="ProductList-BodyChar"/>
        </w:rPr>
        <w:t>Cosmos</w:t>
      </w:r>
      <w:proofErr w:type="spellEnd"/>
      <w:r>
        <w:rPr>
          <w:rStyle w:val="ProductList-BodyChar"/>
        </w:rPr>
        <w:t xml:space="preserve"> DB</w:t>
      </w:r>
      <w:r>
        <w:rPr>
          <w:sz w:val="18"/>
        </w:rPr>
        <w:t>.</w:t>
      </w:r>
    </w:p>
    <w:p w14:paraId="70C37A24" w14:textId="77777777" w:rsidR="004005AF" w:rsidRPr="00ED4527" w:rsidRDefault="004005AF" w:rsidP="00FD1C87">
      <w:pPr>
        <w:spacing w:after="0" w:line="240" w:lineRule="auto"/>
        <w:rPr>
          <w:color w:val="000000" w:themeColor="text1"/>
          <w:sz w:val="18"/>
        </w:rPr>
      </w:pPr>
      <w:r w:rsidRPr="00381145">
        <w:rPr>
          <w:sz w:val="18"/>
        </w:rPr>
        <w:t>„</w:t>
      </w:r>
      <w:r>
        <w:rPr>
          <w:b/>
          <w:bCs/>
          <w:color w:val="00188F"/>
          <w:sz w:val="18"/>
        </w:rPr>
        <w:t>Zasoby Przydzielonej Przepustowości</w:t>
      </w:r>
      <w:r w:rsidRPr="00381145">
        <w:rPr>
          <w:sz w:val="18"/>
        </w:rPr>
        <w:t>”</w:t>
      </w:r>
      <w:r>
        <w:rPr>
          <w:color w:val="000000" w:themeColor="text1"/>
          <w:sz w:val="18"/>
        </w:rPr>
        <w:t xml:space="preserve"> to Kontenery </w:t>
      </w:r>
      <w:proofErr w:type="spellStart"/>
      <w:r>
        <w:rPr>
          <w:color w:val="000000" w:themeColor="text1"/>
          <w:sz w:val="18"/>
        </w:rPr>
        <w:t>Azure</w:t>
      </w:r>
      <w:proofErr w:type="spellEnd"/>
      <w:r>
        <w:rPr>
          <w:color w:val="000000" w:themeColor="text1"/>
          <w:sz w:val="18"/>
        </w:rPr>
        <w:t xml:space="preserve"> </w:t>
      </w:r>
      <w:proofErr w:type="spellStart"/>
      <w:r>
        <w:rPr>
          <w:color w:val="000000" w:themeColor="text1"/>
          <w:sz w:val="18"/>
        </w:rPr>
        <w:t>Cosmos</w:t>
      </w:r>
      <w:proofErr w:type="spellEnd"/>
      <w:r>
        <w:rPr>
          <w:color w:val="000000" w:themeColor="text1"/>
          <w:sz w:val="18"/>
        </w:rPr>
        <w:t xml:space="preserve"> DB skonfigurowane w trybie przydzielonej przepustowości, gdzie fakturowana jest liczba Przydzielonych Jednostek Żądania.</w:t>
      </w:r>
    </w:p>
    <w:p w14:paraId="16319EEE" w14:textId="77777777" w:rsidR="004005AF" w:rsidRPr="00EF7CF9" w:rsidRDefault="004005AF" w:rsidP="00FD1C87">
      <w:pPr>
        <w:spacing w:after="0" w:line="240" w:lineRule="auto"/>
        <w:rPr>
          <w:sz w:val="18"/>
        </w:rPr>
      </w:pPr>
      <w:r>
        <w:rPr>
          <w:sz w:val="18"/>
        </w:rPr>
        <w:t>„</w:t>
      </w:r>
      <w:r>
        <w:rPr>
          <w:b/>
          <w:color w:val="00188F"/>
          <w:sz w:val="18"/>
        </w:rPr>
        <w:t>Żądania Nadliczbowe</w:t>
      </w:r>
      <w:r>
        <w:rPr>
          <w:sz w:val="18"/>
        </w:rPr>
        <w:t xml:space="preserve">” to żądania, które zwracają kod stanu 429 z Kontenera </w:t>
      </w:r>
      <w:proofErr w:type="spellStart"/>
      <w:r>
        <w:rPr>
          <w:sz w:val="18"/>
        </w:rPr>
        <w:t>Azure</w:t>
      </w:r>
      <w:proofErr w:type="spellEnd"/>
      <w:r>
        <w:rPr>
          <w:sz w:val="18"/>
        </w:rPr>
        <w:t xml:space="preserve"> </w:t>
      </w:r>
      <w:proofErr w:type="spellStart"/>
      <w:r>
        <w:rPr>
          <w:sz w:val="18"/>
        </w:rPr>
        <w:t>Cosmos</w:t>
      </w:r>
      <w:proofErr w:type="spellEnd"/>
      <w:r>
        <w:rPr>
          <w:sz w:val="18"/>
        </w:rPr>
        <w:t xml:space="preserve"> DB, wskazujące, że Wykorzystane Jednostki Żądania przekroczyły poziom Przydzielonych Jednostek Żądania w odniesieniu do partycji w Kontenerze w ciągu sekundy.</w:t>
      </w:r>
    </w:p>
    <w:p w14:paraId="08AAE103" w14:textId="77777777" w:rsidR="004005AF" w:rsidRPr="00EF7CF9" w:rsidRDefault="004005AF" w:rsidP="00FD1C87">
      <w:pPr>
        <w:pStyle w:val="ProductList-Body"/>
      </w:pPr>
      <w:r>
        <w:t>„</w:t>
      </w:r>
      <w:r>
        <w:rPr>
          <w:b/>
          <w:color w:val="00188F"/>
        </w:rPr>
        <w:t>Jednostka Żądania</w:t>
      </w:r>
      <w:r>
        <w:t xml:space="preserve">” to miara przepustowości w usłudze </w:t>
      </w:r>
      <w:proofErr w:type="spellStart"/>
      <w:r>
        <w:t>Azure</w:t>
      </w:r>
      <w:proofErr w:type="spellEnd"/>
      <w:r>
        <w:t xml:space="preserve"> </w:t>
      </w:r>
      <w:proofErr w:type="spellStart"/>
      <w:r>
        <w:t>Cosmos</w:t>
      </w:r>
      <w:proofErr w:type="spellEnd"/>
      <w:r>
        <w:rPr>
          <w:rStyle w:val="ProductList-BodyChar"/>
        </w:rPr>
        <w:t xml:space="preserve"> DB</w:t>
      </w:r>
      <w:r>
        <w:t>.</w:t>
      </w:r>
    </w:p>
    <w:p w14:paraId="1E86EDAF" w14:textId="77777777" w:rsidR="004005AF" w:rsidRPr="00EF7CF9" w:rsidRDefault="004005AF" w:rsidP="00FD1C87">
      <w:pPr>
        <w:pStyle w:val="ProductList-Body"/>
      </w:pPr>
      <w:r>
        <w:t>„</w:t>
      </w:r>
      <w:r>
        <w:rPr>
          <w:b/>
          <w:color w:val="00188F"/>
        </w:rPr>
        <w:t>Zasób</w:t>
      </w:r>
      <w:r>
        <w:t>” to zbiór podmiotów adresowalnych przez URI powiązanych z Kontem Bazy Danych.</w:t>
      </w:r>
    </w:p>
    <w:p w14:paraId="395911E4" w14:textId="77777777" w:rsidR="004005AF" w:rsidRPr="00ED4527" w:rsidRDefault="004005AF" w:rsidP="00FD1C87">
      <w:pPr>
        <w:pStyle w:val="ProductList-Body"/>
        <w:rPr>
          <w:color w:val="000000" w:themeColor="text1"/>
        </w:rPr>
      </w:pPr>
      <w:r w:rsidRPr="00381145">
        <w:t>„</w:t>
      </w:r>
      <w:r>
        <w:rPr>
          <w:b/>
          <w:bCs/>
          <w:color w:val="00188F"/>
        </w:rPr>
        <w:t xml:space="preserve">Zasoby </w:t>
      </w:r>
      <w:proofErr w:type="spellStart"/>
      <w:r>
        <w:rPr>
          <w:b/>
          <w:bCs/>
          <w:color w:val="00188F"/>
        </w:rPr>
        <w:t>Bezserwerowe</w:t>
      </w:r>
      <w:proofErr w:type="spellEnd"/>
      <w:r w:rsidRPr="00381145">
        <w:t xml:space="preserve">” </w:t>
      </w:r>
      <w:r>
        <w:rPr>
          <w:color w:val="000000" w:themeColor="text1"/>
        </w:rPr>
        <w:t xml:space="preserve">to Kontenery </w:t>
      </w:r>
      <w:proofErr w:type="spellStart"/>
      <w:r>
        <w:rPr>
          <w:color w:val="000000" w:themeColor="text1"/>
        </w:rPr>
        <w:t>Azure</w:t>
      </w:r>
      <w:proofErr w:type="spellEnd"/>
      <w:r>
        <w:rPr>
          <w:color w:val="000000" w:themeColor="text1"/>
        </w:rPr>
        <w:t xml:space="preserve"> </w:t>
      </w:r>
      <w:proofErr w:type="spellStart"/>
      <w:r>
        <w:rPr>
          <w:color w:val="000000" w:themeColor="text1"/>
        </w:rPr>
        <w:t>Cosmos</w:t>
      </w:r>
      <w:proofErr w:type="spellEnd"/>
      <w:r>
        <w:rPr>
          <w:color w:val="000000" w:themeColor="text1"/>
        </w:rPr>
        <w:t xml:space="preserve"> DB skonfigurowane w trybie </w:t>
      </w:r>
      <w:proofErr w:type="spellStart"/>
      <w:r>
        <w:rPr>
          <w:color w:val="000000" w:themeColor="text1"/>
        </w:rPr>
        <w:t>bezserwerowym</w:t>
      </w:r>
      <w:proofErr w:type="spellEnd"/>
      <w:r>
        <w:rPr>
          <w:color w:val="000000" w:themeColor="text1"/>
        </w:rPr>
        <w:t>, gdzie fakturowana jest liczba Wykorzystanych Jednostek Żądania.</w:t>
      </w:r>
    </w:p>
    <w:p w14:paraId="29101DF6" w14:textId="77777777" w:rsidR="004005AF" w:rsidRPr="00EF7CF9" w:rsidRDefault="004005AF" w:rsidP="00FD1C87">
      <w:pPr>
        <w:pStyle w:val="ProductList-Body"/>
      </w:pPr>
      <w:r>
        <w:t>„</w:t>
      </w:r>
      <w:r>
        <w:rPr>
          <w:b/>
          <w:color w:val="00188F"/>
        </w:rPr>
        <w:t>Żądania Zakończone Powodzeniem</w:t>
      </w:r>
      <w:r>
        <w:t>” to Łączna Liczba Żądań pomniejszona o Żądania Zakończone Niepowodzeniem.</w:t>
      </w:r>
    </w:p>
    <w:p w14:paraId="6A5A40CE" w14:textId="7F71ABEB" w:rsidR="004005AF" w:rsidRPr="00EF7CF9" w:rsidRDefault="004005AF" w:rsidP="00FD1C87">
      <w:pPr>
        <w:pStyle w:val="ProductList-Body"/>
      </w:pPr>
      <w:r>
        <w:t>„</w:t>
      </w:r>
      <w:r>
        <w:rPr>
          <w:b/>
          <w:color w:val="00188F"/>
        </w:rPr>
        <w:t>Łączna Liczba Żądań Odczytu</w:t>
      </w:r>
      <w:r>
        <w:t xml:space="preserve">” to zbiór wszystkich żądań odczytu, w tym Żądań Ograniczonych Przepustowością i wszystkich Żądań Odczytu Zakończonych Niepowodzeniem, wykonywanych na Zasobach w ciągu jednej godziny w ramach danej subskrypcji platformy </w:t>
      </w:r>
      <w:proofErr w:type="spellStart"/>
      <w:r>
        <w:t>Azure</w:t>
      </w:r>
      <w:proofErr w:type="spellEnd"/>
      <w:r>
        <w:t xml:space="preserve"> we Właściwym Okresie.</w:t>
      </w:r>
    </w:p>
    <w:p w14:paraId="237501E5" w14:textId="46DD444A" w:rsidR="004005AF" w:rsidRPr="00EF7CF9" w:rsidRDefault="004005AF" w:rsidP="00FD1C87">
      <w:pPr>
        <w:pStyle w:val="ProductList-Body"/>
      </w:pPr>
      <w:r>
        <w:t>„</w:t>
      </w:r>
      <w:r>
        <w:rPr>
          <w:b/>
          <w:color w:val="00188F"/>
        </w:rPr>
        <w:t>Łączna Liczba Żądań</w:t>
      </w:r>
      <w:r>
        <w:t xml:space="preserve">” to zbiór wszystkich żądań w tym Żądań Ograniczonych Przepustowością i wszystkich Żądań Odczytu Zakończonych Niepowodzeniem, wykonywanych na Zasobach w ciągu jednej godziny w ramach danej subskrypcji platformy </w:t>
      </w:r>
      <w:proofErr w:type="spellStart"/>
      <w:r>
        <w:t>Azure</w:t>
      </w:r>
      <w:proofErr w:type="spellEnd"/>
      <w:r>
        <w:t xml:space="preserve"> we Właściwym Okresie.</w:t>
      </w:r>
    </w:p>
    <w:p w14:paraId="5AD6669C" w14:textId="77777777" w:rsidR="004005AF" w:rsidRPr="00E248F3" w:rsidRDefault="004005AF" w:rsidP="004005AF">
      <w:pPr>
        <w:pStyle w:val="ProductList-Body"/>
        <w:rPr>
          <w:b/>
          <w:color w:val="00188F"/>
          <w:sz w:val="12"/>
          <w:szCs w:val="12"/>
        </w:rPr>
      </w:pPr>
    </w:p>
    <w:p w14:paraId="6E2B6641" w14:textId="77777777" w:rsidR="004005AF" w:rsidRPr="00EF7CF9" w:rsidRDefault="004005AF" w:rsidP="004005AF">
      <w:pPr>
        <w:pStyle w:val="ProductList-Body"/>
        <w:rPr>
          <w:b/>
          <w:color w:val="00188F"/>
        </w:rPr>
      </w:pPr>
      <w:r>
        <w:rPr>
          <w:b/>
          <w:color w:val="00188F"/>
        </w:rPr>
        <w:t>Umowa SLA dotycząca dostępności</w:t>
      </w:r>
    </w:p>
    <w:p w14:paraId="11FEC7EC" w14:textId="77777777" w:rsidR="004005AF" w:rsidRPr="00EF7CF9" w:rsidRDefault="004005AF" w:rsidP="004005AF">
      <w:pPr>
        <w:pStyle w:val="ProductList-Body"/>
        <w:ind w:left="360"/>
      </w:pPr>
      <w:r>
        <w:t>„</w:t>
      </w:r>
      <w:r>
        <w:rPr>
          <w:b/>
          <w:color w:val="0072C6"/>
        </w:rPr>
        <w:t>Częstość Błędów Odczytu</w:t>
      </w:r>
      <w:r>
        <w:t xml:space="preserve">” to łączna liczba Żądań Odczytu Zakończonych Niepowodzeniem podzielona przez Łączną Liczbę Żądań Odczytu we wszystkich Zasobach w danym jednogodzinnym przedziale. Jeśli Łączna Liczba Żądań Odczytu w danym jednogodzinnym przedziale wynosi zero, Częstość Błędów Odczytu dla tego przedziału wynosi 0%. </w:t>
      </w:r>
    </w:p>
    <w:p w14:paraId="76486965" w14:textId="77777777" w:rsidR="004005AF" w:rsidRPr="00EF7CF9" w:rsidRDefault="004005AF" w:rsidP="004005AF">
      <w:pPr>
        <w:pStyle w:val="ProductList-Body"/>
        <w:ind w:left="360"/>
      </w:pPr>
      <w:r>
        <w:t>„</w:t>
      </w:r>
      <w:r>
        <w:rPr>
          <w:b/>
          <w:color w:val="0072C6"/>
        </w:rPr>
        <w:t>Częstość Błędów</w:t>
      </w:r>
      <w:r>
        <w:t>” to łączna liczba Żądań Zakończonych Niepowodzeniem podzielona przez Łączną Liczbę Żądań we wszystkich Zasobach w danym jednogodzinnym przedziale. Jeśli Łączna Liczba Żądań w danym jednogodzinnym przedziale wynosi zero, Częstość Błędów dla tego przedziału wynosi 0%.</w:t>
      </w:r>
    </w:p>
    <w:p w14:paraId="53003E87" w14:textId="2CD5BCE3" w:rsidR="004005AF" w:rsidRPr="00EF7CF9" w:rsidRDefault="004005AF" w:rsidP="004005AF">
      <w:pPr>
        <w:pStyle w:val="ProductList-Body"/>
        <w:ind w:left="360"/>
      </w:pPr>
      <w:r>
        <w:t>„</w:t>
      </w:r>
      <w:r>
        <w:rPr>
          <w:b/>
          <w:color w:val="0072C6"/>
        </w:rPr>
        <w:t>Średnia Częstość Błędów</w:t>
      </w:r>
      <w:r>
        <w:t xml:space="preserve">” we Właściwym Okresie to suma Częstości Błędów dla każdej godziny we Właściwym Okresie podzielona przez łączną liczbę godzin we Właściwym Okresie. </w:t>
      </w:r>
    </w:p>
    <w:p w14:paraId="4B6B9E2E" w14:textId="3C739362" w:rsidR="004005AF" w:rsidRPr="00ED4527" w:rsidRDefault="004005AF" w:rsidP="004005AF">
      <w:pPr>
        <w:pStyle w:val="ProductList-Body"/>
        <w:ind w:left="360"/>
        <w:rPr>
          <w:rFonts w:cstheme="minorHAnsi"/>
          <w:color w:val="000000" w:themeColor="text1"/>
        </w:rPr>
      </w:pPr>
      <w:r>
        <w:t>„</w:t>
      </w:r>
      <w:r>
        <w:rPr>
          <w:b/>
          <w:color w:val="0072C6"/>
        </w:rPr>
        <w:t>Średnia Częstość Błędów Odczytu</w:t>
      </w:r>
      <w:r>
        <w:t>” we Właściwym Okresie to suma współczynników błędów dla każdej godziny we Właściwym Okresie podzielona przez całkowitą liczbę godzin we Właściwym Okresie.</w:t>
      </w:r>
    </w:p>
    <w:p w14:paraId="7AA01C14" w14:textId="5588D8C2" w:rsidR="004005AF" w:rsidRDefault="00381145" w:rsidP="004005AF">
      <w:pPr>
        <w:pStyle w:val="ProductList-Body"/>
        <w:ind w:left="360"/>
      </w:pPr>
      <w:r>
        <w:t>„</w:t>
      </w:r>
      <w:r w:rsidR="004005AF">
        <w:rPr>
          <w:b/>
          <w:color w:val="0072C6"/>
        </w:rPr>
        <w:t>Procent Czasu Dostępności w pojedynczym regionie</w:t>
      </w:r>
      <w:r w:rsidR="004005AF" w:rsidRPr="00381145">
        <w:t>”</w:t>
      </w:r>
      <w:r w:rsidR="004005AF">
        <w:t xml:space="preserve"> dla Usługi </w:t>
      </w:r>
      <w:proofErr w:type="spellStart"/>
      <w:r w:rsidR="004005AF">
        <w:t>Azure</w:t>
      </w:r>
      <w:proofErr w:type="spellEnd"/>
      <w:r w:rsidR="004005AF">
        <w:t xml:space="preserve"> </w:t>
      </w:r>
      <w:proofErr w:type="spellStart"/>
      <w:r w:rsidR="004005AF">
        <w:t>Cosmos</w:t>
      </w:r>
      <w:proofErr w:type="spellEnd"/>
      <w:r w:rsidR="004005AF">
        <w:t xml:space="preserve"> DB wdrożonej za pośrednictwem Kont Bazy Danych w zakresie jednego regionu </w:t>
      </w:r>
      <w:proofErr w:type="spellStart"/>
      <w:r w:rsidR="004005AF">
        <w:t>Azure</w:t>
      </w:r>
      <w:proofErr w:type="spellEnd"/>
      <w:r w:rsidR="004005AF">
        <w:t xml:space="preserve"> skonfigurowanego z dowolnym z pięciu Poziomów Spójności jest obliczana poprzez odjęcie od 100% Średniej Częstości Błędów dla danej subskrypcji Microsoft </w:t>
      </w:r>
      <w:proofErr w:type="spellStart"/>
      <w:r w:rsidR="004005AF">
        <w:t>Azure</w:t>
      </w:r>
      <w:proofErr w:type="spellEnd"/>
      <w:r w:rsidR="004005AF">
        <w:t xml:space="preserve"> we Właściwym Okresie. </w:t>
      </w:r>
    </w:p>
    <w:p w14:paraId="6B623582" w14:textId="49CC4D1B" w:rsidR="004005AF" w:rsidRPr="00EF7CF9" w:rsidRDefault="004005AF" w:rsidP="004005AF">
      <w:pPr>
        <w:pStyle w:val="ProductList-Body"/>
        <w:ind w:left="360"/>
      </w:pPr>
      <w:r>
        <w:t>Procent Czasu Dostępności przedstawia się za pomocą następującego wzoru:</w:t>
      </w:r>
    </w:p>
    <w:p w14:paraId="31AB9B03" w14:textId="77777777" w:rsidR="004005AF" w:rsidRPr="00E248F3" w:rsidRDefault="004005AF" w:rsidP="004005AF">
      <w:pPr>
        <w:pStyle w:val="ProductList-Body"/>
        <w:rPr>
          <w:sz w:val="12"/>
          <w:szCs w:val="12"/>
        </w:rPr>
      </w:pPr>
    </w:p>
    <w:p w14:paraId="1F669364" w14:textId="05BE790B" w:rsidR="004005AF" w:rsidRPr="00EF7CF9" w:rsidRDefault="00272B37" w:rsidP="004005AF">
      <w:pPr>
        <w:pStyle w:val="ListParagraph"/>
        <w:rPr>
          <w:rFonts w:ascii="Cambria Math" w:hAnsi="Cambria Math" w:cs="Tahoma"/>
          <w:i/>
          <w:sz w:val="12"/>
          <w:szCs w:val="12"/>
        </w:rPr>
      </w:pPr>
      <m:oMathPara>
        <m:oMath>
          <m:r>
            <m:rPr>
              <m:nor/>
            </m:rPr>
            <w:rPr>
              <w:rFonts w:ascii="Cambria Math" w:hAnsi="Cambria Math" w:cs="Tahoma"/>
              <w:i/>
              <w:sz w:val="18"/>
              <w:szCs w:val="18"/>
            </w:rPr>
            <m:t xml:space="preserve">100% - </m:t>
          </m:r>
          <m:r>
            <m:rPr>
              <m:nor/>
            </m:rPr>
            <w:rPr>
              <w:rFonts w:ascii="Cambria Math" w:hAnsi="Cambria Math" w:cs="Tahoma"/>
              <w:i/>
              <w:iCs/>
              <w:sz w:val="18"/>
              <w:szCs w:val="18"/>
            </w:rPr>
            <m:t>Średnia Częstość Błędów</m:t>
          </m:r>
        </m:oMath>
      </m:oMathPara>
    </w:p>
    <w:p w14:paraId="3D3119E0" w14:textId="77777777" w:rsidR="004005AF" w:rsidRPr="007B038A" w:rsidRDefault="004005AF" w:rsidP="004005AF">
      <w:pPr>
        <w:pStyle w:val="ProductList-Body"/>
        <w:keepNext/>
        <w:ind w:left="360"/>
        <w:rPr>
          <w:b/>
          <w:color w:val="0072C6"/>
        </w:rPr>
      </w:pPr>
      <w:r>
        <w:rPr>
          <w:b/>
          <w:color w:val="0072C6"/>
        </w:rPr>
        <w:t>Środki Serwisowe na Używanie Usług dla Zasobów Przydzielonej Przepustowości</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5CF675F0" w14:textId="77777777" w:rsidTr="000F31B4">
        <w:trPr>
          <w:tblHeader/>
        </w:trPr>
        <w:tc>
          <w:tcPr>
            <w:tcW w:w="5220" w:type="dxa"/>
            <w:shd w:val="clear" w:color="auto" w:fill="0072C6"/>
          </w:tcPr>
          <w:p w14:paraId="1FBA8935" w14:textId="3DB6E731" w:rsidR="004005AF" w:rsidRPr="00EF7CF9" w:rsidRDefault="004005AF" w:rsidP="000F31B4">
            <w:pPr>
              <w:pStyle w:val="ProductList-OfferingBody"/>
              <w:jc w:val="center"/>
              <w:rPr>
                <w:color w:val="FFFFFF" w:themeColor="background1"/>
              </w:rPr>
            </w:pPr>
            <w:r>
              <w:rPr>
                <w:color w:val="FFFFFF" w:themeColor="background1"/>
              </w:rPr>
              <w:t>Procent Czasu Dostępności</w:t>
            </w:r>
          </w:p>
        </w:tc>
        <w:tc>
          <w:tcPr>
            <w:tcW w:w="5220" w:type="dxa"/>
            <w:shd w:val="clear" w:color="auto" w:fill="0072C6"/>
          </w:tcPr>
          <w:p w14:paraId="522E8022"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3F7E68C5" w14:textId="77777777" w:rsidTr="000F31B4">
        <w:tc>
          <w:tcPr>
            <w:tcW w:w="5220" w:type="dxa"/>
          </w:tcPr>
          <w:p w14:paraId="76174D01" w14:textId="77777777" w:rsidR="004005AF" w:rsidRPr="00EF7CF9" w:rsidRDefault="004005AF" w:rsidP="000F31B4">
            <w:pPr>
              <w:pStyle w:val="ProductList-OfferingBody"/>
              <w:jc w:val="center"/>
            </w:pPr>
            <w:r>
              <w:t>&lt; 99,99%</w:t>
            </w:r>
          </w:p>
        </w:tc>
        <w:tc>
          <w:tcPr>
            <w:tcW w:w="5220" w:type="dxa"/>
          </w:tcPr>
          <w:p w14:paraId="76F210E0" w14:textId="77777777" w:rsidR="004005AF" w:rsidRPr="00EF7CF9" w:rsidRDefault="004005AF" w:rsidP="000F31B4">
            <w:pPr>
              <w:pStyle w:val="ProductList-OfferingBody"/>
              <w:jc w:val="center"/>
            </w:pPr>
            <w:r>
              <w:t>10%</w:t>
            </w:r>
          </w:p>
        </w:tc>
      </w:tr>
      <w:tr w:rsidR="004005AF" w:rsidRPr="00B44CF9" w14:paraId="57C140FF" w14:textId="77777777" w:rsidTr="000F31B4">
        <w:tc>
          <w:tcPr>
            <w:tcW w:w="5220" w:type="dxa"/>
          </w:tcPr>
          <w:p w14:paraId="6F863018" w14:textId="77777777" w:rsidR="004005AF" w:rsidRPr="00EF7CF9" w:rsidRDefault="004005AF" w:rsidP="000F31B4">
            <w:pPr>
              <w:pStyle w:val="ProductList-OfferingBody"/>
              <w:jc w:val="center"/>
            </w:pPr>
            <w:r>
              <w:t>&lt; 99%</w:t>
            </w:r>
          </w:p>
        </w:tc>
        <w:tc>
          <w:tcPr>
            <w:tcW w:w="5220" w:type="dxa"/>
          </w:tcPr>
          <w:p w14:paraId="09F00374" w14:textId="77777777" w:rsidR="004005AF" w:rsidRPr="00EF7CF9" w:rsidRDefault="004005AF" w:rsidP="000F31B4">
            <w:pPr>
              <w:pStyle w:val="ProductList-OfferingBody"/>
              <w:jc w:val="center"/>
            </w:pPr>
            <w:r>
              <w:t>25%</w:t>
            </w:r>
          </w:p>
        </w:tc>
      </w:tr>
    </w:tbl>
    <w:p w14:paraId="2BE757E5" w14:textId="77777777" w:rsidR="004005AF" w:rsidRPr="00E248F3" w:rsidRDefault="004005AF" w:rsidP="004005AF">
      <w:pPr>
        <w:pStyle w:val="ProductList-Body"/>
        <w:rPr>
          <w:sz w:val="12"/>
          <w:szCs w:val="12"/>
        </w:rPr>
      </w:pPr>
    </w:p>
    <w:p w14:paraId="1C678F12" w14:textId="460A3B35" w:rsidR="004005AF" w:rsidRPr="00272B37" w:rsidRDefault="004005AF" w:rsidP="004005AF">
      <w:pPr>
        <w:pStyle w:val="ProductList-Body"/>
        <w:ind w:left="360"/>
        <w:rPr>
          <w:color w:val="000000" w:themeColor="text1"/>
          <w:spacing w:val="-2"/>
        </w:rPr>
      </w:pPr>
      <w:r w:rsidRPr="00381145">
        <w:t>„</w:t>
      </w:r>
      <w:r w:rsidRPr="00272B37">
        <w:rPr>
          <w:b/>
          <w:bCs/>
          <w:color w:val="00188F"/>
          <w:spacing w:val="-2"/>
        </w:rPr>
        <w:t>Procent Czasu Dostępności w pojedynczym regionie ze strefami dostępności (SR-AZ)</w:t>
      </w:r>
      <w:r w:rsidRPr="00381145">
        <w:t>”</w:t>
      </w:r>
      <w:r w:rsidRPr="00272B37">
        <w:rPr>
          <w:spacing w:val="-2"/>
        </w:rPr>
        <w:t xml:space="preserve"> </w:t>
      </w:r>
      <w:r w:rsidRPr="00272B37">
        <w:rPr>
          <w:color w:val="000000" w:themeColor="text1"/>
          <w:spacing w:val="-2"/>
        </w:rPr>
        <w:t xml:space="preserve">dla Usługi </w:t>
      </w:r>
      <w:proofErr w:type="spellStart"/>
      <w:r w:rsidRPr="00272B37">
        <w:rPr>
          <w:color w:val="000000" w:themeColor="text1"/>
          <w:spacing w:val="-2"/>
        </w:rPr>
        <w:t>Azure</w:t>
      </w:r>
      <w:proofErr w:type="spellEnd"/>
      <w:r w:rsidRPr="00272B37">
        <w:rPr>
          <w:color w:val="000000" w:themeColor="text1"/>
          <w:spacing w:val="-2"/>
        </w:rPr>
        <w:t xml:space="preserve"> </w:t>
      </w:r>
      <w:proofErr w:type="spellStart"/>
      <w:r w:rsidRPr="00272B37">
        <w:rPr>
          <w:color w:val="000000" w:themeColor="text1"/>
          <w:spacing w:val="-2"/>
        </w:rPr>
        <w:t>Cosmos</w:t>
      </w:r>
      <w:proofErr w:type="spellEnd"/>
      <w:r w:rsidRPr="00272B37">
        <w:rPr>
          <w:color w:val="000000" w:themeColor="text1"/>
          <w:spacing w:val="-2"/>
        </w:rPr>
        <w:t xml:space="preserve"> DB wdrożonej za pośrednictwem Kont Bazy Danych w zakresie jednego regionu </w:t>
      </w:r>
      <w:proofErr w:type="spellStart"/>
      <w:r w:rsidRPr="00272B37">
        <w:rPr>
          <w:color w:val="000000" w:themeColor="text1"/>
          <w:spacing w:val="-2"/>
        </w:rPr>
        <w:t>Azure</w:t>
      </w:r>
      <w:proofErr w:type="spellEnd"/>
      <w:r w:rsidRPr="00272B37">
        <w:rPr>
          <w:color w:val="000000" w:themeColor="text1"/>
          <w:spacing w:val="-2"/>
        </w:rPr>
        <w:t xml:space="preserve"> skonfigurowanego ze strefami dostępności oraz z dowolnym z pięciu Poziomów Spójności jest obliczana poprzez odjęcie od 100% Średniej Częstości Błędów dla danej subskrypcji Microsoft </w:t>
      </w:r>
      <w:proofErr w:type="spellStart"/>
      <w:r w:rsidRPr="00272B37">
        <w:rPr>
          <w:color w:val="000000" w:themeColor="text1"/>
          <w:spacing w:val="-2"/>
        </w:rPr>
        <w:t>Azure</w:t>
      </w:r>
      <w:proofErr w:type="spellEnd"/>
      <w:r w:rsidRPr="00272B37">
        <w:rPr>
          <w:color w:val="000000" w:themeColor="text1"/>
          <w:spacing w:val="-2"/>
        </w:rPr>
        <w:t xml:space="preserve"> we Właściwym Okresie. </w:t>
      </w:r>
    </w:p>
    <w:p w14:paraId="4BE8750A" w14:textId="118E4410" w:rsidR="004005AF" w:rsidRPr="00ED4527" w:rsidRDefault="004005AF" w:rsidP="004005AF">
      <w:pPr>
        <w:pStyle w:val="ProductList-Body"/>
        <w:ind w:left="360"/>
        <w:rPr>
          <w:color w:val="000000" w:themeColor="text1"/>
        </w:rPr>
      </w:pPr>
      <w:r>
        <w:rPr>
          <w:color w:val="000000" w:themeColor="text1"/>
        </w:rPr>
        <w:t>Procent Czasu Dostępności przedstawia się za pomocą następującego wzoru:</w:t>
      </w:r>
    </w:p>
    <w:p w14:paraId="2FDECFC2" w14:textId="77777777" w:rsidR="004005AF" w:rsidRPr="00983F23" w:rsidRDefault="004005AF" w:rsidP="004005AF">
      <w:pPr>
        <w:pStyle w:val="ProductList-Body"/>
        <w:rPr>
          <w:sz w:val="12"/>
          <w:szCs w:val="12"/>
        </w:rPr>
      </w:pPr>
    </w:p>
    <w:p w14:paraId="11D51820" w14:textId="286588E0" w:rsidR="004005AF" w:rsidRPr="00EF7CF9" w:rsidRDefault="00272B37"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Średnia Częstość Błędów</m:t>
          </m:r>
        </m:oMath>
      </m:oMathPara>
    </w:p>
    <w:p w14:paraId="370B4484" w14:textId="77777777" w:rsidR="004005AF" w:rsidRPr="00EF7CF9" w:rsidRDefault="004005AF" w:rsidP="004005AF">
      <w:pPr>
        <w:pStyle w:val="ProductList-Body"/>
        <w:keepNext/>
        <w:ind w:left="360"/>
        <w:rPr>
          <w:color w:val="0072C6"/>
        </w:rPr>
      </w:pPr>
      <w:r>
        <w:rPr>
          <w:b/>
          <w:color w:val="0072C6"/>
        </w:rPr>
        <w:t>Środki Serwisowe na Używanie Usług dla Zasobów Przydzielonej Przepustowości</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3BB368" w14:textId="77777777" w:rsidTr="000F31B4">
        <w:trPr>
          <w:tblHeader/>
        </w:trPr>
        <w:tc>
          <w:tcPr>
            <w:tcW w:w="5220" w:type="dxa"/>
            <w:shd w:val="clear" w:color="auto" w:fill="0072C6"/>
          </w:tcPr>
          <w:p w14:paraId="46503AF8" w14:textId="19D5CB31" w:rsidR="004005AF" w:rsidRPr="00EF7CF9" w:rsidRDefault="004005AF" w:rsidP="000F31B4">
            <w:pPr>
              <w:pStyle w:val="ProductList-OfferingBody"/>
              <w:jc w:val="center"/>
              <w:rPr>
                <w:color w:val="FFFFFF" w:themeColor="background1"/>
              </w:rPr>
            </w:pPr>
            <w:r>
              <w:rPr>
                <w:color w:val="FFFFFF" w:themeColor="background1"/>
              </w:rPr>
              <w:t>Procent Czasu Dostępności (SR-AZ)</w:t>
            </w:r>
          </w:p>
        </w:tc>
        <w:tc>
          <w:tcPr>
            <w:tcW w:w="5220" w:type="dxa"/>
            <w:shd w:val="clear" w:color="auto" w:fill="0072C6"/>
          </w:tcPr>
          <w:p w14:paraId="0EF30CB8"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10B4E570" w14:textId="77777777" w:rsidTr="000F31B4">
        <w:tc>
          <w:tcPr>
            <w:tcW w:w="5220" w:type="dxa"/>
          </w:tcPr>
          <w:p w14:paraId="165E57FA" w14:textId="77777777" w:rsidR="004005AF" w:rsidRPr="00EF7CF9" w:rsidRDefault="004005AF" w:rsidP="000F31B4">
            <w:pPr>
              <w:pStyle w:val="ProductList-OfferingBody"/>
              <w:jc w:val="center"/>
            </w:pPr>
            <w:r>
              <w:t>&lt; 99,995%</w:t>
            </w:r>
          </w:p>
        </w:tc>
        <w:tc>
          <w:tcPr>
            <w:tcW w:w="5220" w:type="dxa"/>
          </w:tcPr>
          <w:p w14:paraId="3C61D854" w14:textId="77777777" w:rsidR="004005AF" w:rsidRPr="00EF7CF9" w:rsidRDefault="004005AF" w:rsidP="000F31B4">
            <w:pPr>
              <w:pStyle w:val="ProductList-OfferingBody"/>
              <w:jc w:val="center"/>
            </w:pPr>
            <w:r>
              <w:t>10%</w:t>
            </w:r>
          </w:p>
        </w:tc>
      </w:tr>
      <w:tr w:rsidR="004005AF" w:rsidRPr="00B44CF9" w14:paraId="459DA578" w14:textId="77777777" w:rsidTr="000F31B4">
        <w:tc>
          <w:tcPr>
            <w:tcW w:w="5220" w:type="dxa"/>
          </w:tcPr>
          <w:p w14:paraId="06D2A1C7" w14:textId="77777777" w:rsidR="004005AF" w:rsidRPr="00EF7CF9" w:rsidRDefault="004005AF" w:rsidP="000F31B4">
            <w:pPr>
              <w:pStyle w:val="ProductList-OfferingBody"/>
              <w:jc w:val="center"/>
            </w:pPr>
            <w:r>
              <w:t>&lt; 99%</w:t>
            </w:r>
          </w:p>
        </w:tc>
        <w:tc>
          <w:tcPr>
            <w:tcW w:w="5220" w:type="dxa"/>
          </w:tcPr>
          <w:p w14:paraId="59950996" w14:textId="77777777" w:rsidR="004005AF" w:rsidRPr="00EF7CF9" w:rsidRDefault="004005AF" w:rsidP="000F31B4">
            <w:pPr>
              <w:pStyle w:val="ProductList-OfferingBody"/>
              <w:jc w:val="center"/>
            </w:pPr>
            <w:r>
              <w:t>25%</w:t>
            </w:r>
          </w:p>
        </w:tc>
      </w:tr>
    </w:tbl>
    <w:p w14:paraId="4BE1CE99" w14:textId="77777777" w:rsidR="004005AF" w:rsidRPr="00E248F3" w:rsidRDefault="004005AF" w:rsidP="004005AF">
      <w:pPr>
        <w:pStyle w:val="ProductList-Body"/>
        <w:rPr>
          <w:sz w:val="12"/>
          <w:szCs w:val="12"/>
        </w:rPr>
      </w:pPr>
    </w:p>
    <w:p w14:paraId="2163FA83" w14:textId="03C4C90A" w:rsidR="004005AF" w:rsidRDefault="004005AF" w:rsidP="004005AF">
      <w:pPr>
        <w:pStyle w:val="ProductList-Body"/>
        <w:ind w:left="360"/>
      </w:pPr>
      <w:r w:rsidRPr="00381145">
        <w:t>„</w:t>
      </w:r>
      <w:r>
        <w:rPr>
          <w:b/>
          <w:color w:val="0072C6"/>
        </w:rPr>
        <w:t>Procent Czasu Dostępności Odczytu w wielu regionach</w:t>
      </w:r>
      <w:r>
        <w:t xml:space="preserve">” dla Usługi </w:t>
      </w:r>
      <w:proofErr w:type="spellStart"/>
      <w:r>
        <w:t>Azure</w:t>
      </w:r>
      <w:proofErr w:type="spellEnd"/>
      <w:r>
        <w:t xml:space="preserve"> </w:t>
      </w:r>
      <w:proofErr w:type="spellStart"/>
      <w:r>
        <w:t>Cosmos</w:t>
      </w:r>
      <w:proofErr w:type="spellEnd"/>
      <w:r>
        <w:t xml:space="preserve"> DB wdrożonej za pośrednictwem Konta Bazy Danych</w:t>
      </w:r>
      <w:r>
        <w:rPr>
          <w:rFonts w:ascii="Segoe UI" w:hAnsi="Segoe UI"/>
          <w:color w:val="505050"/>
          <w:szCs w:val="18"/>
        </w:rPr>
        <w:t xml:space="preserve"> </w:t>
      </w:r>
      <w:r>
        <w:t xml:space="preserve">skonfigurowanego tak, aby obejmował co najmniej dwa regiony, oblicza się, odejmując od 100% Średnią Częstość Błędów Odczytu dla danej subskrypcji Microsoft </w:t>
      </w:r>
      <w:proofErr w:type="spellStart"/>
      <w:r>
        <w:t>Azure</w:t>
      </w:r>
      <w:proofErr w:type="spellEnd"/>
      <w:r>
        <w:t xml:space="preserve"> we Właściwym Okresie. </w:t>
      </w:r>
    </w:p>
    <w:p w14:paraId="138E383A" w14:textId="2F61485F" w:rsidR="004005AF" w:rsidRPr="00EF7CF9" w:rsidRDefault="004005AF" w:rsidP="004005AF">
      <w:pPr>
        <w:pStyle w:val="ProductList-Body"/>
        <w:ind w:left="360"/>
      </w:pPr>
      <w:r>
        <w:t>Procent Czasu Dostępności Odczytu przedstawia się za pomocą następującego wzoru:</w:t>
      </w:r>
    </w:p>
    <w:p w14:paraId="520FCB3B" w14:textId="77777777" w:rsidR="004005AF" w:rsidRPr="00E248F3" w:rsidRDefault="004005AF" w:rsidP="004005AF">
      <w:pPr>
        <w:pStyle w:val="ProductList-Body"/>
        <w:ind w:left="360"/>
        <w:rPr>
          <w:sz w:val="12"/>
          <w:szCs w:val="12"/>
        </w:rPr>
      </w:pPr>
    </w:p>
    <w:p w14:paraId="42F47F2F" w14:textId="77777777" w:rsidR="004005AF" w:rsidRPr="00B44CF9"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100% - Średnia Częstość Błędów Odczytu</w:t>
      </w:r>
    </w:p>
    <w:p w14:paraId="38C0055E" w14:textId="77777777" w:rsidR="004005AF" w:rsidRPr="00EF7CF9" w:rsidRDefault="004005AF" w:rsidP="004005AF">
      <w:pPr>
        <w:pStyle w:val="ProductList-Body"/>
        <w:ind w:left="360"/>
        <w:rPr>
          <w:color w:val="0072C6"/>
        </w:rPr>
      </w:pPr>
      <w:r>
        <w:rPr>
          <w:b/>
          <w:color w:val="0072C6"/>
        </w:rPr>
        <w:t>Środki Serwisowe na Używanie Usług dla Zasobów Przydzielonej Przepustowości</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5D78C48" w14:textId="77777777" w:rsidTr="000F31B4">
        <w:trPr>
          <w:tblHeader/>
        </w:trPr>
        <w:tc>
          <w:tcPr>
            <w:tcW w:w="5220" w:type="dxa"/>
            <w:shd w:val="clear" w:color="auto" w:fill="0072C6"/>
          </w:tcPr>
          <w:p w14:paraId="399AB214" w14:textId="42221FC8" w:rsidR="004005AF" w:rsidRPr="00EF7CF9" w:rsidRDefault="004005AF" w:rsidP="000F31B4">
            <w:pPr>
              <w:pStyle w:val="ProductList-OfferingBody"/>
              <w:jc w:val="center"/>
              <w:rPr>
                <w:color w:val="FFFFFF" w:themeColor="background1"/>
              </w:rPr>
            </w:pPr>
            <w:r>
              <w:rPr>
                <w:color w:val="FFFFFF" w:themeColor="background1"/>
              </w:rPr>
              <w:t>Procent Czasu Dostępności Odczytu</w:t>
            </w:r>
          </w:p>
        </w:tc>
        <w:tc>
          <w:tcPr>
            <w:tcW w:w="5220" w:type="dxa"/>
            <w:shd w:val="clear" w:color="auto" w:fill="0072C6"/>
          </w:tcPr>
          <w:p w14:paraId="7EAE7550"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555F3CA0" w14:textId="77777777" w:rsidTr="000F31B4">
        <w:tc>
          <w:tcPr>
            <w:tcW w:w="5220" w:type="dxa"/>
          </w:tcPr>
          <w:p w14:paraId="392D5057" w14:textId="77777777" w:rsidR="004005AF" w:rsidRPr="00EF7CF9" w:rsidRDefault="004005AF" w:rsidP="000F31B4">
            <w:pPr>
              <w:pStyle w:val="ProductList-OfferingBody"/>
              <w:jc w:val="center"/>
            </w:pPr>
            <w:r>
              <w:t>&lt; 99,999%</w:t>
            </w:r>
          </w:p>
        </w:tc>
        <w:tc>
          <w:tcPr>
            <w:tcW w:w="5220" w:type="dxa"/>
          </w:tcPr>
          <w:p w14:paraId="1A6FFD90" w14:textId="77777777" w:rsidR="004005AF" w:rsidRPr="00EF7CF9" w:rsidRDefault="004005AF" w:rsidP="000F31B4">
            <w:pPr>
              <w:pStyle w:val="ProductList-OfferingBody"/>
              <w:jc w:val="center"/>
            </w:pPr>
            <w:r>
              <w:t>10%</w:t>
            </w:r>
          </w:p>
        </w:tc>
      </w:tr>
      <w:tr w:rsidR="004005AF" w:rsidRPr="00B44CF9" w14:paraId="16BE7F96" w14:textId="77777777" w:rsidTr="000F31B4">
        <w:tc>
          <w:tcPr>
            <w:tcW w:w="5220" w:type="dxa"/>
          </w:tcPr>
          <w:p w14:paraId="41A5B29F" w14:textId="77777777" w:rsidR="004005AF" w:rsidRPr="00EF7CF9" w:rsidRDefault="004005AF" w:rsidP="000F31B4">
            <w:pPr>
              <w:pStyle w:val="ProductList-OfferingBody"/>
              <w:jc w:val="center"/>
            </w:pPr>
            <w:r>
              <w:t>&lt; 99%</w:t>
            </w:r>
          </w:p>
        </w:tc>
        <w:tc>
          <w:tcPr>
            <w:tcW w:w="5220" w:type="dxa"/>
          </w:tcPr>
          <w:p w14:paraId="0CC25834" w14:textId="77777777" w:rsidR="004005AF" w:rsidRPr="00EF7CF9" w:rsidRDefault="004005AF" w:rsidP="000F31B4">
            <w:pPr>
              <w:pStyle w:val="ProductList-OfferingBody"/>
              <w:jc w:val="center"/>
            </w:pPr>
            <w:r>
              <w:t>25%</w:t>
            </w:r>
          </w:p>
        </w:tc>
      </w:tr>
    </w:tbl>
    <w:p w14:paraId="16EE59B5" w14:textId="0001F90C" w:rsidR="004005AF" w:rsidRDefault="004005AF" w:rsidP="004005AF">
      <w:pPr>
        <w:pStyle w:val="ProductList-Body"/>
        <w:ind w:left="360"/>
      </w:pPr>
      <w:r w:rsidRPr="00381145">
        <w:t>„</w:t>
      </w:r>
      <w:r>
        <w:rPr>
          <w:b/>
          <w:color w:val="0072C6"/>
        </w:rPr>
        <w:t>Procent Dostępności Zapisu w Wielu Lokalizacjach</w:t>
      </w:r>
      <w:r>
        <w:t>”</w:t>
      </w:r>
      <w:r>
        <w:rPr>
          <w:b/>
          <w:color w:val="00188F"/>
        </w:rPr>
        <w:t xml:space="preserve"> </w:t>
      </w:r>
      <w:r>
        <w:t xml:space="preserve">dla Usługi </w:t>
      </w:r>
      <w:proofErr w:type="spellStart"/>
      <w:r>
        <w:t>Azure</w:t>
      </w:r>
      <w:proofErr w:type="spellEnd"/>
      <w:r>
        <w:t xml:space="preserve"> </w:t>
      </w:r>
      <w:proofErr w:type="spellStart"/>
      <w:r>
        <w:t>Cosmos</w:t>
      </w:r>
      <w:proofErr w:type="spellEnd"/>
      <w:r>
        <w:t xml:space="preserve"> wdrożonej za pośrednictwem Kont Bazy Danych skonfigurowanych tak, aby obejmowały wiele regionów </w:t>
      </w:r>
      <w:proofErr w:type="spellStart"/>
      <w:r>
        <w:t>Azure</w:t>
      </w:r>
      <w:proofErr w:type="spellEnd"/>
      <w:r>
        <w:t xml:space="preserve"> z wieloma lokalizacjami z możliwością zapisu, oblicza się poprzez odjęcie od</w:t>
      </w:r>
      <w:r w:rsidR="00BF095A">
        <w:t> </w:t>
      </w:r>
      <w:r>
        <w:t xml:space="preserve">100% Średnią Częstość Błędów dla danej subskrypcji Microsoft </w:t>
      </w:r>
      <w:proofErr w:type="spellStart"/>
      <w:r>
        <w:t>Azure</w:t>
      </w:r>
      <w:proofErr w:type="spellEnd"/>
      <w:r>
        <w:t xml:space="preserve"> we Właściwym Okresie.</w:t>
      </w:r>
    </w:p>
    <w:p w14:paraId="50F42BFA" w14:textId="3D482DA0" w:rsidR="004005AF" w:rsidRDefault="004005AF" w:rsidP="004005AF">
      <w:pPr>
        <w:pStyle w:val="ProductList-Body"/>
        <w:ind w:left="360"/>
        <w:rPr>
          <w:color w:val="00188F"/>
        </w:rPr>
      </w:pPr>
      <w:r>
        <w:t>Procent Czasu Dostępności przedstawia się za pomocą następującego wzoru:</w:t>
      </w:r>
    </w:p>
    <w:p w14:paraId="4247EAA4" w14:textId="77777777" w:rsidR="004005AF" w:rsidRPr="00E248F3" w:rsidRDefault="004005AF" w:rsidP="004005AF">
      <w:pPr>
        <w:pStyle w:val="ProductList-Body"/>
        <w:ind w:left="360"/>
        <w:rPr>
          <w:sz w:val="12"/>
          <w:szCs w:val="12"/>
        </w:rPr>
      </w:pPr>
    </w:p>
    <w:p w14:paraId="5C0160BB" w14:textId="150B2480" w:rsidR="004005AF" w:rsidRPr="00445EC8" w:rsidRDefault="004005AF" w:rsidP="004005AF">
      <w:pPr>
        <w:pStyle w:val="ListParagraph"/>
        <w:jc w:val="center"/>
        <w:rPr>
          <w:rFonts w:ascii="Cambria Math" w:hAnsi="Cambria Math" w:cs="Tahoma"/>
          <w:i/>
          <w:sz w:val="18"/>
          <w:szCs w:val="18"/>
        </w:rPr>
      </w:pPr>
      <w:r>
        <w:rPr>
          <w:rFonts w:ascii="Cambria Math" w:hAnsi="Cambria Math" w:cs="Tahoma"/>
          <w:i/>
          <w:sz w:val="18"/>
          <w:szCs w:val="18"/>
        </w:rPr>
        <w:t>Procent Czasu Sprawnego Działania = 100% - Średnia Częstość Błędów</w:t>
      </w:r>
    </w:p>
    <w:p w14:paraId="3BE8C6E4" w14:textId="77777777" w:rsidR="004005AF" w:rsidRPr="00EF7CF9" w:rsidRDefault="004005AF" w:rsidP="004005AF">
      <w:pPr>
        <w:pStyle w:val="ProductList-Body"/>
        <w:ind w:left="360"/>
        <w:rPr>
          <w:color w:val="0072C6"/>
        </w:rPr>
      </w:pPr>
      <w:r>
        <w:rPr>
          <w:b/>
          <w:color w:val="0072C6"/>
        </w:rPr>
        <w:t>Środki Serwisowe na Używanie Usług dla Zasobów Przydzielonej Przepustowości</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690F6DBA" w14:textId="77777777" w:rsidTr="000F31B4">
        <w:trPr>
          <w:tblHeader/>
        </w:trPr>
        <w:tc>
          <w:tcPr>
            <w:tcW w:w="5220" w:type="dxa"/>
            <w:shd w:val="clear" w:color="auto" w:fill="0072C6"/>
          </w:tcPr>
          <w:p w14:paraId="6C22F450" w14:textId="67840004" w:rsidR="004005AF" w:rsidRPr="00EF7CF9" w:rsidRDefault="004005AF" w:rsidP="000F31B4">
            <w:pPr>
              <w:pStyle w:val="ProductList-OfferingBody"/>
              <w:jc w:val="center"/>
              <w:rPr>
                <w:color w:val="FFFFFF" w:themeColor="background1"/>
              </w:rPr>
            </w:pPr>
            <w:r>
              <w:rPr>
                <w:color w:val="FFFFFF" w:themeColor="background1"/>
              </w:rPr>
              <w:t>Procent Dostępności Zapisu w Wielu Lokalizacjach</w:t>
            </w:r>
          </w:p>
        </w:tc>
        <w:tc>
          <w:tcPr>
            <w:tcW w:w="5220" w:type="dxa"/>
            <w:shd w:val="clear" w:color="auto" w:fill="0072C6"/>
          </w:tcPr>
          <w:p w14:paraId="140398F3"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37EFF141" w14:textId="77777777" w:rsidTr="000F31B4">
        <w:tc>
          <w:tcPr>
            <w:tcW w:w="5220" w:type="dxa"/>
          </w:tcPr>
          <w:p w14:paraId="0FF17567" w14:textId="77777777" w:rsidR="004005AF" w:rsidRPr="00EF7CF9" w:rsidRDefault="004005AF" w:rsidP="000F31B4">
            <w:pPr>
              <w:pStyle w:val="ProductList-OfferingBody"/>
              <w:jc w:val="center"/>
            </w:pPr>
            <w:r>
              <w:t>&lt; 99,999%</w:t>
            </w:r>
          </w:p>
        </w:tc>
        <w:tc>
          <w:tcPr>
            <w:tcW w:w="5220" w:type="dxa"/>
          </w:tcPr>
          <w:p w14:paraId="3D31BB6C" w14:textId="77777777" w:rsidR="004005AF" w:rsidRPr="00EF7CF9" w:rsidRDefault="004005AF" w:rsidP="000F31B4">
            <w:pPr>
              <w:pStyle w:val="ProductList-OfferingBody"/>
              <w:jc w:val="center"/>
            </w:pPr>
            <w:r>
              <w:t>10%</w:t>
            </w:r>
          </w:p>
        </w:tc>
      </w:tr>
      <w:tr w:rsidR="004005AF" w:rsidRPr="00B44CF9" w14:paraId="17346986" w14:textId="77777777" w:rsidTr="000F31B4">
        <w:tc>
          <w:tcPr>
            <w:tcW w:w="5220" w:type="dxa"/>
          </w:tcPr>
          <w:p w14:paraId="0B072E59" w14:textId="77777777" w:rsidR="004005AF" w:rsidRPr="00EF7CF9" w:rsidRDefault="004005AF" w:rsidP="000F31B4">
            <w:pPr>
              <w:pStyle w:val="ProductList-OfferingBody"/>
              <w:jc w:val="center"/>
            </w:pPr>
            <w:r>
              <w:t>&lt; 99%</w:t>
            </w:r>
          </w:p>
        </w:tc>
        <w:tc>
          <w:tcPr>
            <w:tcW w:w="5220" w:type="dxa"/>
          </w:tcPr>
          <w:p w14:paraId="2D89B6BE" w14:textId="77777777" w:rsidR="004005AF" w:rsidRPr="00EF7CF9" w:rsidRDefault="004005AF" w:rsidP="000F31B4">
            <w:pPr>
              <w:pStyle w:val="ProductList-OfferingBody"/>
              <w:jc w:val="center"/>
            </w:pPr>
            <w:r>
              <w:t>25%</w:t>
            </w:r>
          </w:p>
        </w:tc>
      </w:tr>
    </w:tbl>
    <w:p w14:paraId="368915AF" w14:textId="77777777" w:rsidR="004005AF" w:rsidRPr="00EF7CF9" w:rsidRDefault="004005AF" w:rsidP="004005AF">
      <w:pPr>
        <w:pStyle w:val="ProductList-Body"/>
        <w:tabs>
          <w:tab w:val="clear" w:pos="360"/>
        </w:tabs>
        <w:rPr>
          <w:b/>
          <w:color w:val="00188F"/>
        </w:rPr>
      </w:pPr>
      <w:r>
        <w:rPr>
          <w:b/>
          <w:color w:val="00188F"/>
        </w:rPr>
        <w:t>Umowa SLA dotycząca przepustowości</w:t>
      </w:r>
    </w:p>
    <w:p w14:paraId="4411A7D3" w14:textId="77777777" w:rsidR="004005AF" w:rsidRPr="00EF7CF9" w:rsidRDefault="004005AF" w:rsidP="004005AF">
      <w:pPr>
        <w:pStyle w:val="ProductList-Body"/>
        <w:ind w:left="360"/>
      </w:pPr>
      <w:r>
        <w:t>„</w:t>
      </w:r>
      <w:r>
        <w:rPr>
          <w:b/>
          <w:color w:val="0072C6"/>
        </w:rPr>
        <w:t>Zakończone Niepowodzeniem Żądania dotyczące Przepustowości</w:t>
      </w:r>
      <w:r>
        <w:t>” to Żądania Nadliczbowe, skutkujące zwróceniem Kodu Błędu, zanim Wykorzystane Jednostki Żądania przekroczą poziom Przydzielonych Jednostek Żądania w odniesieniu do partycji w Kontenerze w danej sekundzie.</w:t>
      </w:r>
    </w:p>
    <w:p w14:paraId="74602DE7" w14:textId="77777777" w:rsidR="004005AF" w:rsidRPr="00EF7CF9" w:rsidRDefault="004005AF" w:rsidP="004005AF">
      <w:pPr>
        <w:pStyle w:val="ProductList-Body"/>
        <w:ind w:left="360"/>
      </w:pPr>
      <w:r>
        <w:t>„</w:t>
      </w:r>
      <w:r>
        <w:rPr>
          <w:b/>
          <w:color w:val="0072C6"/>
        </w:rPr>
        <w:t>Częstość Błędów</w:t>
      </w:r>
      <w:r>
        <w:t>” to łączna liczba Zakończonych Niepowodzeniem Żądań dotyczących Przepustowości podzielona przez Łączną Liczbę Żądań we wszystkich Zasobach w danym jednogodzinnym przedziale. Jeśli Łączna Liczba Żądań w danym jednogodzinnym przedziale wynosi zero, Częstość Błędów dla tego przedziału wynosi 0%.</w:t>
      </w:r>
    </w:p>
    <w:p w14:paraId="28CDF879" w14:textId="5F78713E" w:rsidR="004005AF" w:rsidRPr="00EF7CF9" w:rsidRDefault="004005AF" w:rsidP="004005AF">
      <w:pPr>
        <w:pStyle w:val="ProductList-Body"/>
        <w:ind w:left="360"/>
      </w:pPr>
      <w:r>
        <w:t>„</w:t>
      </w:r>
      <w:r>
        <w:rPr>
          <w:b/>
          <w:color w:val="0072C6"/>
        </w:rPr>
        <w:t>Średnia Częstość Błędów</w:t>
      </w:r>
      <w:r>
        <w:t>” we Właściwym Okresie to suma Częstości Błędów dla każdej godziny we Właściwym Okresie podzielona przez łączną liczbę godzin we Właściwym Okresie.</w:t>
      </w:r>
    </w:p>
    <w:p w14:paraId="00C1EFAF" w14:textId="6F4FC25B" w:rsidR="004005AF" w:rsidRDefault="004005AF" w:rsidP="004005AF">
      <w:pPr>
        <w:pStyle w:val="ProductList-Body"/>
        <w:ind w:left="360"/>
      </w:pPr>
      <w:r>
        <w:t>„</w:t>
      </w:r>
      <w:r>
        <w:rPr>
          <w:b/>
          <w:color w:val="0072C6"/>
        </w:rPr>
        <w:t>Procent Przepustowości</w:t>
      </w:r>
      <w:r>
        <w:t xml:space="preserve">” dla Usługi </w:t>
      </w:r>
      <w:proofErr w:type="spellStart"/>
      <w:r>
        <w:t>Azure</w:t>
      </w:r>
      <w:proofErr w:type="spellEnd"/>
      <w:r>
        <w:t xml:space="preserve"> </w:t>
      </w:r>
      <w:proofErr w:type="spellStart"/>
      <w:r>
        <w:t>Cosmos</w:t>
      </w:r>
      <w:proofErr w:type="spellEnd"/>
      <w:r>
        <w:rPr>
          <w:rStyle w:val="ProductList-BodyChar"/>
        </w:rPr>
        <w:t xml:space="preserve"> DB</w:t>
      </w:r>
      <w:r>
        <w:t xml:space="preserve"> jest obliczana poprzez odjęcie od 100% Średniej Częstości Błędów dla danej subskrypcji Microsoft </w:t>
      </w:r>
      <w:proofErr w:type="spellStart"/>
      <w:r>
        <w:t>Azure</w:t>
      </w:r>
      <w:proofErr w:type="spellEnd"/>
      <w:r>
        <w:t xml:space="preserve"> we Właściwym Okresie. </w:t>
      </w:r>
    </w:p>
    <w:p w14:paraId="2B14C91E" w14:textId="61E0049C" w:rsidR="004005AF" w:rsidRDefault="004005AF" w:rsidP="004005AF">
      <w:pPr>
        <w:pStyle w:val="ProductList-Body"/>
        <w:ind w:left="360"/>
      </w:pPr>
      <w:r>
        <w:t>Procent Przepustowości przedstawia się za pomocą następującego wzoru:</w:t>
      </w:r>
    </w:p>
    <w:p w14:paraId="577454BF" w14:textId="77777777" w:rsidR="004005AF" w:rsidRPr="00AE255C" w:rsidRDefault="004005AF" w:rsidP="004005AF">
      <w:pPr>
        <w:pStyle w:val="ProductList-Body"/>
        <w:ind w:left="360"/>
        <w:rPr>
          <w:sz w:val="12"/>
          <w:szCs w:val="12"/>
        </w:rPr>
      </w:pPr>
    </w:p>
    <w:p w14:paraId="24E4085B" w14:textId="54216169" w:rsidR="004005AF" w:rsidRPr="00EF7CF9" w:rsidRDefault="00272B37" w:rsidP="00272B37">
      <w:pPr>
        <w:pStyle w:val="ProductList-Body"/>
        <w:spacing w:after="120"/>
        <w:rPr>
          <w:rFonts w:ascii="Cambria Math" w:hAnsi="Cambria Math" w:cs="Tahoma"/>
          <w:i/>
          <w:sz w:val="12"/>
          <w:szCs w:val="12"/>
        </w:rPr>
      </w:pPr>
      <m:oMathPara>
        <m:oMath>
          <m:r>
            <m:rPr>
              <m:nor/>
            </m:rPr>
            <w:rPr>
              <w:rFonts w:ascii="Cambria Math" w:hAnsi="Cambria Math" w:cs="Tahoma"/>
              <w:i/>
              <w:szCs w:val="18"/>
            </w:rPr>
            <m:t>100% - Średnia Częstość Błędów</m:t>
          </m:r>
        </m:oMath>
      </m:oMathPara>
    </w:p>
    <w:p w14:paraId="5B214880" w14:textId="77777777" w:rsidR="004005AF" w:rsidRPr="00EF7CF9" w:rsidRDefault="004005AF" w:rsidP="004005AF">
      <w:pPr>
        <w:pStyle w:val="ProductList-Body"/>
        <w:keepNext/>
        <w:ind w:left="360"/>
        <w:rPr>
          <w:color w:val="0072C6"/>
        </w:rPr>
      </w:pPr>
      <w:r>
        <w:rPr>
          <w:b/>
          <w:color w:val="0072C6"/>
        </w:rPr>
        <w:t>Środki Serwisowe na Używanie Usług dla Zasobów Przydzielonej Przepustowości</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443F273E" w14:textId="77777777" w:rsidTr="000F31B4">
        <w:trPr>
          <w:tblHeader/>
        </w:trPr>
        <w:tc>
          <w:tcPr>
            <w:tcW w:w="5220" w:type="dxa"/>
            <w:shd w:val="clear" w:color="auto" w:fill="0072C6"/>
          </w:tcPr>
          <w:p w14:paraId="26E72E3E" w14:textId="6A1DAFB5" w:rsidR="004005AF" w:rsidRPr="00EF7CF9" w:rsidRDefault="004005AF" w:rsidP="000F31B4">
            <w:pPr>
              <w:pStyle w:val="ProductList-OfferingBody"/>
              <w:jc w:val="center"/>
              <w:rPr>
                <w:color w:val="FFFFFF" w:themeColor="background1"/>
              </w:rPr>
            </w:pPr>
            <w:r>
              <w:rPr>
                <w:color w:val="FFFFFF" w:themeColor="background1"/>
              </w:rPr>
              <w:t>Procent Przepustowości</w:t>
            </w:r>
          </w:p>
        </w:tc>
        <w:tc>
          <w:tcPr>
            <w:tcW w:w="5220" w:type="dxa"/>
            <w:shd w:val="clear" w:color="auto" w:fill="0072C6"/>
          </w:tcPr>
          <w:p w14:paraId="0DE5CEE7"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2FD6482B" w14:textId="77777777" w:rsidTr="000F31B4">
        <w:tc>
          <w:tcPr>
            <w:tcW w:w="5220" w:type="dxa"/>
          </w:tcPr>
          <w:p w14:paraId="45D15F9F" w14:textId="77777777" w:rsidR="004005AF" w:rsidRPr="00EF7CF9" w:rsidRDefault="004005AF" w:rsidP="000F31B4">
            <w:pPr>
              <w:pStyle w:val="ProductList-OfferingBody"/>
              <w:jc w:val="center"/>
            </w:pPr>
            <w:r>
              <w:t>&lt; 99,99%</w:t>
            </w:r>
          </w:p>
        </w:tc>
        <w:tc>
          <w:tcPr>
            <w:tcW w:w="5220" w:type="dxa"/>
          </w:tcPr>
          <w:p w14:paraId="0C4E3866" w14:textId="77777777" w:rsidR="004005AF" w:rsidRPr="00EF7CF9" w:rsidRDefault="004005AF" w:rsidP="000F31B4">
            <w:pPr>
              <w:pStyle w:val="ProductList-OfferingBody"/>
              <w:jc w:val="center"/>
            </w:pPr>
            <w:r>
              <w:t>10%</w:t>
            </w:r>
          </w:p>
        </w:tc>
      </w:tr>
      <w:tr w:rsidR="004005AF" w:rsidRPr="00B44CF9" w14:paraId="234F70CD" w14:textId="77777777" w:rsidTr="000F31B4">
        <w:tc>
          <w:tcPr>
            <w:tcW w:w="5220" w:type="dxa"/>
          </w:tcPr>
          <w:p w14:paraId="4A9B6C6B" w14:textId="77777777" w:rsidR="004005AF" w:rsidRPr="00EF7CF9" w:rsidRDefault="004005AF" w:rsidP="000F31B4">
            <w:pPr>
              <w:pStyle w:val="ProductList-OfferingBody"/>
              <w:jc w:val="center"/>
            </w:pPr>
            <w:r>
              <w:t>&lt; 99%</w:t>
            </w:r>
          </w:p>
        </w:tc>
        <w:tc>
          <w:tcPr>
            <w:tcW w:w="5220" w:type="dxa"/>
          </w:tcPr>
          <w:p w14:paraId="479B13B2" w14:textId="77777777" w:rsidR="004005AF" w:rsidRPr="00EF7CF9" w:rsidRDefault="004005AF" w:rsidP="000F31B4">
            <w:pPr>
              <w:pStyle w:val="ProductList-OfferingBody"/>
              <w:jc w:val="center"/>
            </w:pPr>
            <w:r>
              <w:t>25%</w:t>
            </w:r>
          </w:p>
        </w:tc>
      </w:tr>
    </w:tbl>
    <w:p w14:paraId="5F62F759" w14:textId="77777777" w:rsidR="004005AF" w:rsidRPr="00EF7CF9" w:rsidRDefault="004005AF" w:rsidP="004005AF">
      <w:pPr>
        <w:pStyle w:val="ProductList-Body"/>
        <w:tabs>
          <w:tab w:val="clear" w:pos="360"/>
        </w:tabs>
        <w:rPr>
          <w:b/>
          <w:color w:val="00188F"/>
        </w:rPr>
      </w:pPr>
      <w:r>
        <w:rPr>
          <w:b/>
          <w:color w:val="00188F"/>
        </w:rPr>
        <w:t>Umowa SLA dotycząca spójności</w:t>
      </w:r>
    </w:p>
    <w:p w14:paraId="72B7F00A" w14:textId="77777777" w:rsidR="004005AF" w:rsidRPr="00EF7CF9" w:rsidRDefault="004005AF" w:rsidP="004005AF">
      <w:pPr>
        <w:pStyle w:val="ProductList-Body"/>
        <w:ind w:left="360"/>
      </w:pPr>
      <w:r>
        <w:t>„</w:t>
      </w:r>
      <w:r>
        <w:rPr>
          <w:b/>
          <w:color w:val="0072C6"/>
        </w:rPr>
        <w:t>K</w:t>
      </w:r>
      <w:r>
        <w:t>” to liczba wersji danego elementu danych, w przypadku którego odczyty są opóźnione w stosunku do zapisów.</w:t>
      </w:r>
    </w:p>
    <w:p w14:paraId="1580A041" w14:textId="77777777" w:rsidR="004005AF" w:rsidRPr="00EF7CF9" w:rsidRDefault="004005AF" w:rsidP="004005AF">
      <w:pPr>
        <w:pStyle w:val="ProductList-Body"/>
        <w:ind w:left="360"/>
      </w:pPr>
      <w:r>
        <w:t>„</w:t>
      </w:r>
      <w:r>
        <w:rPr>
          <w:b/>
          <w:color w:val="0072C6"/>
        </w:rPr>
        <w:t>T</w:t>
      </w:r>
      <w:r>
        <w:t>” to dany przedział czasu.</w:t>
      </w:r>
    </w:p>
    <w:p w14:paraId="02909165" w14:textId="77777777" w:rsidR="004005AF" w:rsidRPr="00EF7CF9" w:rsidRDefault="004005AF" w:rsidP="004005AF">
      <w:pPr>
        <w:pStyle w:val="ProductList-Body"/>
        <w:ind w:left="360"/>
      </w:pPr>
      <w:r>
        <w:t>„</w:t>
      </w:r>
      <w:r>
        <w:rPr>
          <w:b/>
          <w:color w:val="0072C6"/>
        </w:rPr>
        <w:t>Poziom Spójności</w:t>
      </w:r>
      <w:r>
        <w:t>” to ustawienie dla określonego żądania odczytu, którego dotyczą gwarancje spójności. W poniższej tabeli przedstawiono gwarancje związane z Poziomami Spójności. Należy zwrócić uwagę, że wszystkie Poziomy Spójności: Sesja, Powiązana Nieaktualność, Spójny Prefiks i Ostateczne są określane jako „swobodne”.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0B8060DE" w14:textId="77777777" w:rsidTr="000F31B4">
        <w:trPr>
          <w:tblHeader/>
        </w:trPr>
        <w:tc>
          <w:tcPr>
            <w:tcW w:w="5220" w:type="dxa"/>
            <w:shd w:val="clear" w:color="auto" w:fill="0072C6"/>
          </w:tcPr>
          <w:p w14:paraId="7F267082" w14:textId="77777777" w:rsidR="004005AF" w:rsidRPr="00EF7CF9" w:rsidRDefault="004005AF" w:rsidP="000F31B4">
            <w:pPr>
              <w:pStyle w:val="ProductList-OfferingBody"/>
              <w:rPr>
                <w:color w:val="FFFFFF" w:themeColor="background1"/>
              </w:rPr>
            </w:pPr>
            <w:r>
              <w:rPr>
                <w:color w:val="FFFFFF" w:themeColor="background1"/>
              </w:rPr>
              <w:t>Poziom Spójności</w:t>
            </w:r>
          </w:p>
        </w:tc>
        <w:tc>
          <w:tcPr>
            <w:tcW w:w="5220" w:type="dxa"/>
            <w:shd w:val="clear" w:color="auto" w:fill="0072C6"/>
          </w:tcPr>
          <w:p w14:paraId="00B71A80" w14:textId="77777777" w:rsidR="004005AF" w:rsidRPr="00EF7CF9" w:rsidRDefault="004005AF" w:rsidP="000F31B4">
            <w:pPr>
              <w:pStyle w:val="ProductList-OfferingBody"/>
              <w:rPr>
                <w:color w:val="FFFFFF" w:themeColor="background1"/>
              </w:rPr>
            </w:pPr>
            <w:r>
              <w:rPr>
                <w:color w:val="FFFFFF" w:themeColor="background1"/>
              </w:rPr>
              <w:t>Gwarancje Spójności</w:t>
            </w:r>
          </w:p>
        </w:tc>
      </w:tr>
      <w:tr w:rsidR="004005AF" w:rsidRPr="00B44CF9" w14:paraId="79574E8B" w14:textId="77777777" w:rsidTr="000F31B4">
        <w:tc>
          <w:tcPr>
            <w:tcW w:w="5220" w:type="dxa"/>
          </w:tcPr>
          <w:p w14:paraId="5710D940" w14:textId="77777777" w:rsidR="004005AF" w:rsidRPr="00EF7CF9" w:rsidRDefault="004005AF" w:rsidP="000F31B4">
            <w:pPr>
              <w:pStyle w:val="ProductList-OfferingBody"/>
            </w:pPr>
            <w:r>
              <w:t>Silne</w:t>
            </w:r>
          </w:p>
        </w:tc>
        <w:tc>
          <w:tcPr>
            <w:tcW w:w="5220" w:type="dxa"/>
          </w:tcPr>
          <w:p w14:paraId="3C6B3EDC" w14:textId="77777777" w:rsidR="004005AF" w:rsidRPr="00EF7CF9" w:rsidRDefault="004005AF" w:rsidP="000F31B4">
            <w:pPr>
              <w:pStyle w:val="ProductList-OfferingBody"/>
            </w:pPr>
            <w:r>
              <w:t>Operacje Atomowe</w:t>
            </w:r>
          </w:p>
        </w:tc>
      </w:tr>
      <w:tr w:rsidR="004005AF" w:rsidRPr="00B44CF9" w14:paraId="3B5F933E" w14:textId="77777777" w:rsidTr="000F31B4">
        <w:tc>
          <w:tcPr>
            <w:tcW w:w="5220" w:type="dxa"/>
          </w:tcPr>
          <w:p w14:paraId="256D156C" w14:textId="77777777" w:rsidR="004005AF" w:rsidRPr="00EF7CF9" w:rsidRDefault="004005AF" w:rsidP="000F31B4">
            <w:pPr>
              <w:pStyle w:val="ProductList-OfferingBody"/>
            </w:pPr>
            <w:r>
              <w:t>Sesja</w:t>
            </w:r>
          </w:p>
        </w:tc>
        <w:tc>
          <w:tcPr>
            <w:tcW w:w="5220" w:type="dxa"/>
          </w:tcPr>
          <w:p w14:paraId="64DB8B80"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Odczyt własnej zapisanej wersji (w regionie zapisu)</w:t>
            </w:r>
          </w:p>
          <w:p w14:paraId="5583A157" w14:textId="77777777" w:rsidR="004005AF" w:rsidRPr="00EF7CF9" w:rsidRDefault="004005AF" w:rsidP="000F31B4">
            <w:pPr>
              <w:pStyle w:val="ProductList-Body"/>
              <w:rPr>
                <w:sz w:val="16"/>
                <w:szCs w:val="16"/>
              </w:rPr>
            </w:pPr>
            <w:r>
              <w:rPr>
                <w:sz w:val="16"/>
                <w:szCs w:val="16"/>
              </w:rPr>
              <w:t>Odczyt monotoniczny</w:t>
            </w:r>
          </w:p>
          <w:p w14:paraId="35D15967" w14:textId="77777777" w:rsidR="004005AF" w:rsidRPr="00EF7CF9" w:rsidRDefault="004005AF" w:rsidP="000F31B4">
            <w:pPr>
              <w:pStyle w:val="ProductList-Body"/>
            </w:pPr>
            <w:r>
              <w:rPr>
                <w:sz w:val="16"/>
                <w:szCs w:val="16"/>
              </w:rPr>
              <w:t>Spójny Prefiks</w:t>
            </w:r>
          </w:p>
        </w:tc>
      </w:tr>
      <w:tr w:rsidR="004005AF" w:rsidRPr="00B44CF9" w14:paraId="4C1EC5FC" w14:textId="77777777" w:rsidTr="000F31B4">
        <w:tc>
          <w:tcPr>
            <w:tcW w:w="5220" w:type="dxa"/>
          </w:tcPr>
          <w:p w14:paraId="5CA08EA8" w14:textId="77777777" w:rsidR="004005AF" w:rsidRPr="00EF7CF9" w:rsidRDefault="004005AF" w:rsidP="000F31B4">
            <w:pPr>
              <w:pStyle w:val="ProductList-OfferingBody"/>
            </w:pPr>
            <w:r>
              <w:t>Ograniczona Nieaktualność</w:t>
            </w:r>
          </w:p>
        </w:tc>
        <w:tc>
          <w:tcPr>
            <w:tcW w:w="5220" w:type="dxa"/>
          </w:tcPr>
          <w:p w14:paraId="168DBAC5"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Odczyt własnej zapisanej wersji (w regionie zapisu)</w:t>
            </w:r>
          </w:p>
          <w:p w14:paraId="5642D515" w14:textId="77777777" w:rsidR="004005AF" w:rsidRPr="00EF7CF9" w:rsidRDefault="004005AF" w:rsidP="000F31B4">
            <w:pPr>
              <w:pStyle w:val="ProductList-Body"/>
              <w:rPr>
                <w:sz w:val="16"/>
                <w:szCs w:val="16"/>
              </w:rPr>
            </w:pPr>
            <w:r>
              <w:rPr>
                <w:sz w:val="16"/>
                <w:szCs w:val="16"/>
              </w:rPr>
              <w:t>Odczyt monotoniczny (w danym regionie)</w:t>
            </w:r>
          </w:p>
          <w:p w14:paraId="5CF56556" w14:textId="77777777" w:rsidR="004005AF" w:rsidRPr="00EF7CF9" w:rsidRDefault="004005AF" w:rsidP="000F31B4">
            <w:pPr>
              <w:pStyle w:val="ProductList-OfferingBody"/>
              <w:rPr>
                <w:szCs w:val="16"/>
              </w:rPr>
            </w:pPr>
            <w:r>
              <w:rPr>
                <w:szCs w:val="16"/>
              </w:rPr>
              <w:t>Spójny Prefiks</w:t>
            </w:r>
          </w:p>
          <w:p w14:paraId="4D3D84DC" w14:textId="77777777" w:rsidR="004005AF" w:rsidRPr="00EF7CF9" w:rsidRDefault="004005AF" w:rsidP="000F31B4">
            <w:pPr>
              <w:pStyle w:val="ProductList-Body"/>
              <w:rPr>
                <w:sz w:val="16"/>
                <w:szCs w:val="16"/>
              </w:rPr>
            </w:pPr>
            <w:r>
              <w:rPr>
                <w:sz w:val="16"/>
                <w:szCs w:val="16"/>
              </w:rPr>
              <w:t>Granica nieaktualności &lt; K, T</w:t>
            </w:r>
          </w:p>
        </w:tc>
      </w:tr>
      <w:tr w:rsidR="004005AF" w:rsidRPr="00B44CF9" w14:paraId="0AE56105" w14:textId="77777777" w:rsidTr="000F31B4">
        <w:tc>
          <w:tcPr>
            <w:tcW w:w="5220" w:type="dxa"/>
          </w:tcPr>
          <w:p w14:paraId="539E3B1F" w14:textId="77777777" w:rsidR="004005AF" w:rsidRPr="00EF7CF9" w:rsidRDefault="004005AF" w:rsidP="000F31B4">
            <w:pPr>
              <w:pStyle w:val="ProductList-OfferingBody"/>
            </w:pPr>
            <w:r>
              <w:t>Spójny Prefiks</w:t>
            </w:r>
          </w:p>
        </w:tc>
        <w:tc>
          <w:tcPr>
            <w:tcW w:w="5220" w:type="dxa"/>
          </w:tcPr>
          <w:p w14:paraId="784F07A6" w14:textId="77777777" w:rsidR="004005AF" w:rsidRPr="00EF7CF9" w:rsidRDefault="004005AF" w:rsidP="000F31B4">
            <w:pPr>
              <w:pStyle w:val="ProductList-OfferingBody"/>
              <w:rPr>
                <w:rFonts w:ascii="Calibri" w:eastAsia="Times New Roman" w:hAnsi="Calibri"/>
              </w:rPr>
            </w:pPr>
            <w:r>
              <w:rPr>
                <w:rFonts w:ascii="Calibri" w:eastAsia="Times New Roman" w:hAnsi="Calibri"/>
              </w:rPr>
              <w:t>Spójny Prefiks</w:t>
            </w:r>
          </w:p>
        </w:tc>
      </w:tr>
      <w:tr w:rsidR="004005AF" w:rsidRPr="00B44CF9" w14:paraId="1D5672A5" w14:textId="77777777" w:rsidTr="000F31B4">
        <w:tc>
          <w:tcPr>
            <w:tcW w:w="5220" w:type="dxa"/>
          </w:tcPr>
          <w:p w14:paraId="1CC7BE15" w14:textId="77777777" w:rsidR="004005AF" w:rsidRPr="00EF7CF9" w:rsidRDefault="004005AF" w:rsidP="000F31B4">
            <w:pPr>
              <w:pStyle w:val="ProductList-OfferingBody"/>
            </w:pPr>
            <w:r>
              <w:t>Ostateczne</w:t>
            </w:r>
          </w:p>
        </w:tc>
        <w:tc>
          <w:tcPr>
            <w:tcW w:w="5220" w:type="dxa"/>
          </w:tcPr>
          <w:p w14:paraId="35D3E71F" w14:textId="77777777" w:rsidR="004005AF" w:rsidRPr="00EF7CF9" w:rsidRDefault="004005AF" w:rsidP="000F31B4">
            <w:pPr>
              <w:pStyle w:val="ProductList-OfferingBody"/>
            </w:pPr>
            <w:r>
              <w:t>Ostateczne</w:t>
            </w:r>
          </w:p>
        </w:tc>
      </w:tr>
    </w:tbl>
    <w:p w14:paraId="1878EA60" w14:textId="77777777" w:rsidR="004005AF" w:rsidRDefault="004005AF" w:rsidP="004005AF">
      <w:pPr>
        <w:pStyle w:val="ProductList-Body"/>
        <w:ind w:left="360"/>
      </w:pPr>
    </w:p>
    <w:p w14:paraId="71C434D2" w14:textId="77777777" w:rsidR="004005AF" w:rsidRPr="00EF7CF9" w:rsidRDefault="004005AF" w:rsidP="004005AF">
      <w:pPr>
        <w:pStyle w:val="ProductList-Body"/>
        <w:ind w:left="360"/>
      </w:pPr>
      <w:r>
        <w:t>„</w:t>
      </w:r>
      <w:r>
        <w:rPr>
          <w:b/>
          <w:color w:val="0072C6"/>
        </w:rPr>
        <w:t>Częstość Naruszania Spójności</w:t>
      </w:r>
      <w:r>
        <w:t xml:space="preserve">” to Liczba Żądań Zakończonych Powodzeniem, które nie mogły być dostarczone podczas realizacji gwarancji spójności określonych dla wybranego Poziomu Spójności, podzielona przez Łączną Liczbę Żądań dla wszystkich Zasobów w ramach danej subskrypcji </w:t>
      </w:r>
      <w:proofErr w:type="spellStart"/>
      <w:r>
        <w:t>Azure</w:t>
      </w:r>
      <w:proofErr w:type="spellEnd"/>
      <w:r>
        <w:t xml:space="preserve"> w danym jednogodzinnym przedziale. Jeśli Łączna Liczba Żądań w danym przedziale jednogodzinnym wynosi zero, Częstość Naruszania Spójności dla tego przedziału wynosi 0%.</w:t>
      </w:r>
    </w:p>
    <w:p w14:paraId="0F2B553A" w14:textId="381CE6FB" w:rsidR="004005AF" w:rsidRPr="00EF7CF9" w:rsidRDefault="004005AF" w:rsidP="004005AF">
      <w:pPr>
        <w:pStyle w:val="ProductList-Body"/>
        <w:ind w:left="360"/>
      </w:pPr>
      <w:r>
        <w:t>„</w:t>
      </w:r>
      <w:r>
        <w:rPr>
          <w:b/>
          <w:color w:val="0072C6"/>
        </w:rPr>
        <w:t>Średnia Częstości Naruszania Spójności</w:t>
      </w:r>
      <w:r>
        <w:t>” we Właściwym Okresie to suma Częstości Naruszania Spójności dla każdej godziny we Właściwym Okresie podzielona przez całkowitą liczbę godzin w miesiącu rozliczeniowym.</w:t>
      </w:r>
    </w:p>
    <w:p w14:paraId="0C714C25" w14:textId="77B3F28C" w:rsidR="004005AF" w:rsidRPr="00EF7CF9" w:rsidRDefault="004005AF" w:rsidP="004005AF">
      <w:pPr>
        <w:pStyle w:val="ProductList-Body"/>
        <w:ind w:left="360"/>
      </w:pPr>
      <w:r>
        <w:t>„</w:t>
      </w:r>
      <w:r>
        <w:rPr>
          <w:b/>
          <w:color w:val="0072C6"/>
        </w:rPr>
        <w:t>Procent Osiągnięcia Spójności</w:t>
      </w:r>
      <w:r>
        <w:t xml:space="preserve">” dla Usługi </w:t>
      </w:r>
      <w:proofErr w:type="spellStart"/>
      <w:r>
        <w:t>Azure</w:t>
      </w:r>
      <w:proofErr w:type="spellEnd"/>
      <w:r>
        <w:t xml:space="preserve"> </w:t>
      </w:r>
      <w:proofErr w:type="spellStart"/>
      <w:r>
        <w:t>Cosmos</w:t>
      </w:r>
      <w:proofErr w:type="spellEnd"/>
      <w:r>
        <w:rPr>
          <w:rStyle w:val="ProductList-BodyChar"/>
        </w:rPr>
        <w:t xml:space="preserve"> DB</w:t>
      </w:r>
      <w:r>
        <w:t xml:space="preserve"> jest obliczany poprzez odjęcie od 100% Średniej Częstości Naruszania Spójnością dla danej subskrypcji Microsoft </w:t>
      </w:r>
      <w:proofErr w:type="spellStart"/>
      <w:r>
        <w:t>Azure</w:t>
      </w:r>
      <w:proofErr w:type="spellEnd"/>
      <w:r>
        <w:t xml:space="preserve"> we Właściwym Okresie. </w:t>
      </w:r>
    </w:p>
    <w:p w14:paraId="7182D226" w14:textId="65DE85A8" w:rsidR="004005AF" w:rsidRDefault="004005AF" w:rsidP="004005AF">
      <w:pPr>
        <w:pStyle w:val="ProductList-Body"/>
        <w:ind w:left="360"/>
      </w:pPr>
      <w:r>
        <w:rPr>
          <w:b/>
          <w:color w:val="0072C6"/>
        </w:rPr>
        <w:t>Procent Spójności</w:t>
      </w:r>
      <w:r w:rsidRPr="007B038A">
        <w:rPr>
          <w:b/>
          <w:color w:val="0072C6"/>
        </w:rPr>
        <w:t>:</w:t>
      </w:r>
      <w:r>
        <w:t xml:space="preserve"> Dla Usługi </w:t>
      </w:r>
      <w:proofErr w:type="spellStart"/>
      <w:r>
        <w:t>Azure</w:t>
      </w:r>
      <w:proofErr w:type="spellEnd"/>
      <w:r>
        <w:t xml:space="preserve"> </w:t>
      </w:r>
      <w:proofErr w:type="spellStart"/>
      <w:r>
        <w:t>Cosmos</w:t>
      </w:r>
      <w:proofErr w:type="spellEnd"/>
      <w:r>
        <w:rPr>
          <w:rStyle w:val="ProductList-BodyChar"/>
        </w:rPr>
        <w:t xml:space="preserve"> DB</w:t>
      </w:r>
      <w:r>
        <w:t xml:space="preserve"> jest obliczany poprzez odjęcie od 100% Średniej Częstości Naruszania Spójności dla danej subskrypcji Microsoft </w:t>
      </w:r>
      <w:proofErr w:type="spellStart"/>
      <w:r>
        <w:t>Azure</w:t>
      </w:r>
      <w:proofErr w:type="spellEnd"/>
      <w:r>
        <w:t xml:space="preserve"> we Właściwym Okresie. </w:t>
      </w:r>
    </w:p>
    <w:p w14:paraId="42C4EA2D" w14:textId="24BA79AA" w:rsidR="004005AF" w:rsidRPr="00EF7CF9" w:rsidRDefault="004005AF" w:rsidP="004005AF">
      <w:pPr>
        <w:pStyle w:val="ProductList-Body"/>
        <w:ind w:left="360"/>
      </w:pPr>
      <w:r>
        <w:t>Procent Spójności przedstawia się za pomocą następującego wzoru:</w:t>
      </w:r>
    </w:p>
    <w:p w14:paraId="17588941" w14:textId="77777777" w:rsidR="004005AF" w:rsidRPr="00CB492D" w:rsidRDefault="004005AF" w:rsidP="004005AF">
      <w:pPr>
        <w:pStyle w:val="ProductList-Body"/>
        <w:rPr>
          <w:sz w:val="12"/>
          <w:szCs w:val="12"/>
        </w:rPr>
      </w:pPr>
    </w:p>
    <w:p w14:paraId="3A965256" w14:textId="616105BA" w:rsidR="004005AF" w:rsidRPr="00EF7CF9" w:rsidRDefault="00272B37" w:rsidP="004005AF">
      <w:pPr>
        <w:pStyle w:val="ListParagraph"/>
        <w:rPr>
          <w:rFonts w:ascii="Cambria Math" w:hAnsi="Cambria Math" w:cs="Tahoma"/>
          <w:i/>
          <w:sz w:val="12"/>
          <w:szCs w:val="12"/>
        </w:rPr>
      </w:pPr>
      <m:oMathPara>
        <m:oMath>
          <m:r>
            <m:rPr>
              <m:nor/>
            </m:rPr>
            <w:rPr>
              <w:rFonts w:ascii="Cambria Math" w:hAnsi="Cambria Math" w:cs="Tahoma"/>
              <w:i/>
              <w:sz w:val="18"/>
              <w:szCs w:val="18"/>
            </w:rPr>
            <m:t>100% - Średnia Częstość Naruszania Spójności</m:t>
          </m:r>
        </m:oMath>
      </m:oMathPara>
    </w:p>
    <w:p w14:paraId="33E19146" w14:textId="77777777" w:rsidR="004005AF" w:rsidRPr="00EF7CF9" w:rsidRDefault="004005AF" w:rsidP="004005AF">
      <w:pPr>
        <w:pStyle w:val="ProductList-Body"/>
        <w:keepNext/>
        <w:ind w:left="360"/>
        <w:rPr>
          <w:color w:val="0072C6"/>
        </w:rPr>
      </w:pPr>
      <w:r>
        <w:rPr>
          <w:b/>
          <w:color w:val="0072C6"/>
        </w:rPr>
        <w:t>Środki Serwisowe na Używanie Usług</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1DF6E2AA" w14:textId="77777777" w:rsidTr="000F31B4">
        <w:trPr>
          <w:tblHeader/>
        </w:trPr>
        <w:tc>
          <w:tcPr>
            <w:tcW w:w="5220" w:type="dxa"/>
            <w:shd w:val="clear" w:color="auto" w:fill="0072C6"/>
          </w:tcPr>
          <w:p w14:paraId="6F8EF0B6" w14:textId="77777777" w:rsidR="004005AF" w:rsidRPr="00EF7CF9" w:rsidRDefault="004005AF" w:rsidP="000F31B4">
            <w:pPr>
              <w:pStyle w:val="ProductList-OfferingBody"/>
              <w:jc w:val="center"/>
              <w:rPr>
                <w:color w:val="FFFFFF" w:themeColor="background1"/>
              </w:rPr>
            </w:pPr>
            <w:r>
              <w:rPr>
                <w:color w:val="FFFFFF" w:themeColor="background1"/>
              </w:rPr>
              <w:t>Procent Osiągnięcia Spójności</w:t>
            </w:r>
          </w:p>
        </w:tc>
        <w:tc>
          <w:tcPr>
            <w:tcW w:w="5220" w:type="dxa"/>
            <w:shd w:val="clear" w:color="auto" w:fill="0072C6"/>
          </w:tcPr>
          <w:p w14:paraId="59B55E7E"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AD5AE81" w14:textId="77777777" w:rsidTr="000F31B4">
        <w:tc>
          <w:tcPr>
            <w:tcW w:w="5220" w:type="dxa"/>
          </w:tcPr>
          <w:p w14:paraId="236253E6" w14:textId="77777777" w:rsidR="004005AF" w:rsidRPr="00EF7CF9" w:rsidRDefault="004005AF" w:rsidP="000F31B4">
            <w:pPr>
              <w:pStyle w:val="ProductList-OfferingBody"/>
              <w:jc w:val="center"/>
            </w:pPr>
            <w:r>
              <w:t>&lt; 99,99%</w:t>
            </w:r>
          </w:p>
        </w:tc>
        <w:tc>
          <w:tcPr>
            <w:tcW w:w="5220" w:type="dxa"/>
          </w:tcPr>
          <w:p w14:paraId="0E39649E" w14:textId="77777777" w:rsidR="004005AF" w:rsidRPr="00EF7CF9" w:rsidRDefault="004005AF" w:rsidP="000F31B4">
            <w:pPr>
              <w:pStyle w:val="ProductList-OfferingBody"/>
              <w:jc w:val="center"/>
            </w:pPr>
            <w:r>
              <w:t>10%</w:t>
            </w:r>
          </w:p>
        </w:tc>
      </w:tr>
      <w:tr w:rsidR="004005AF" w:rsidRPr="00B44CF9" w14:paraId="3DF222BE" w14:textId="77777777" w:rsidTr="000F31B4">
        <w:tc>
          <w:tcPr>
            <w:tcW w:w="5220" w:type="dxa"/>
          </w:tcPr>
          <w:p w14:paraId="0294720B" w14:textId="77777777" w:rsidR="004005AF" w:rsidRPr="00EF7CF9" w:rsidRDefault="004005AF" w:rsidP="000F31B4">
            <w:pPr>
              <w:pStyle w:val="ProductList-OfferingBody"/>
              <w:jc w:val="center"/>
            </w:pPr>
            <w:r>
              <w:t>&lt; 99%</w:t>
            </w:r>
          </w:p>
        </w:tc>
        <w:tc>
          <w:tcPr>
            <w:tcW w:w="5220" w:type="dxa"/>
          </w:tcPr>
          <w:p w14:paraId="13E7C80C" w14:textId="77777777" w:rsidR="004005AF" w:rsidRPr="00EF7CF9" w:rsidRDefault="004005AF" w:rsidP="000F31B4">
            <w:pPr>
              <w:pStyle w:val="ProductList-OfferingBody"/>
              <w:jc w:val="center"/>
            </w:pPr>
            <w:r>
              <w:t>25%</w:t>
            </w:r>
          </w:p>
        </w:tc>
      </w:tr>
    </w:tbl>
    <w:p w14:paraId="5FC729A1" w14:textId="77777777" w:rsidR="004005AF" w:rsidRPr="00EF7CF9" w:rsidRDefault="004005AF" w:rsidP="004005AF">
      <w:pPr>
        <w:pStyle w:val="ProductList-Body"/>
        <w:tabs>
          <w:tab w:val="clear" w:pos="360"/>
        </w:tabs>
        <w:rPr>
          <w:b/>
          <w:color w:val="00188F"/>
        </w:rPr>
      </w:pPr>
      <w:r>
        <w:rPr>
          <w:b/>
          <w:color w:val="00188F"/>
        </w:rPr>
        <w:t>Umowa SLA dotycząca opóźnień</w:t>
      </w:r>
    </w:p>
    <w:p w14:paraId="7694E16C" w14:textId="20DA3D5C" w:rsidR="004005AF" w:rsidRPr="00EF7CF9" w:rsidRDefault="004005AF" w:rsidP="004005AF">
      <w:pPr>
        <w:pStyle w:val="ProductList-Body"/>
        <w:ind w:left="360"/>
      </w:pPr>
      <w:r>
        <w:t>„</w:t>
      </w:r>
      <w:r>
        <w:rPr>
          <w:b/>
          <w:color w:val="0072C6"/>
        </w:rPr>
        <w:t>Aplikacja</w:t>
      </w:r>
      <w:r>
        <w:t xml:space="preserve">” to Aplikacja </w:t>
      </w:r>
      <w:proofErr w:type="spellStart"/>
      <w:r>
        <w:t>Azure</w:t>
      </w:r>
      <w:proofErr w:type="spellEnd"/>
      <w:r>
        <w:t xml:space="preserve"> </w:t>
      </w:r>
      <w:proofErr w:type="spellStart"/>
      <w:r>
        <w:t>Cosmos</w:t>
      </w:r>
      <w:proofErr w:type="spellEnd"/>
      <w:r>
        <w:rPr>
          <w:rStyle w:val="ProductList-BodyChar"/>
        </w:rPr>
        <w:t xml:space="preserve"> DB</w:t>
      </w:r>
      <w:r>
        <w:t xml:space="preserve"> wdrożona w lokalnym regionie </w:t>
      </w:r>
      <w:proofErr w:type="spellStart"/>
      <w:r>
        <w:t>Azure</w:t>
      </w:r>
      <w:proofErr w:type="spellEnd"/>
      <w:r>
        <w:t xml:space="preserve"> z włączoną funkcją przyspieszenia sieci oraz wykorzystaniem SDK klienta </w:t>
      </w:r>
      <w:proofErr w:type="spellStart"/>
      <w:r>
        <w:t>Azure</w:t>
      </w:r>
      <w:proofErr w:type="spellEnd"/>
      <w:r>
        <w:t xml:space="preserve"> </w:t>
      </w:r>
      <w:proofErr w:type="spellStart"/>
      <w:r>
        <w:t>Cosmos</w:t>
      </w:r>
      <w:proofErr w:type="spellEnd"/>
      <w:r>
        <w:rPr>
          <w:rStyle w:val="ProductList-BodyChar"/>
        </w:rPr>
        <w:t xml:space="preserve"> DB</w:t>
      </w:r>
      <w:r>
        <w:t xml:space="preserve"> skonfigurowanego z bezpośrednią łącznością TCP dla danej subskrypcji Microsoft </w:t>
      </w:r>
      <w:proofErr w:type="spellStart"/>
      <w:r>
        <w:t>Azure</w:t>
      </w:r>
      <w:proofErr w:type="spellEnd"/>
      <w:r>
        <w:t xml:space="preserve"> we Właściwym Okresie.</w:t>
      </w:r>
    </w:p>
    <w:p w14:paraId="4898E791" w14:textId="77777777" w:rsidR="004005AF" w:rsidRDefault="004005AF" w:rsidP="004005AF">
      <w:pPr>
        <w:pStyle w:val="ProductList-Body"/>
        <w:ind w:left="360"/>
      </w:pPr>
      <w:r>
        <w:t>„</w:t>
      </w:r>
      <w:r>
        <w:rPr>
          <w:b/>
          <w:color w:val="0072C6"/>
        </w:rPr>
        <w:t>N</w:t>
      </w:r>
      <w:r>
        <w:t>” to liczba Żądań Zakończonych Powodzeniem w odniesieniu do danej Aplikacji wykonującej operacje odczytu lub zapisu elementu danych przy rozmiarze ładunku mniejszym niż lub równym 1 KB w ciągu danej godziny.</w:t>
      </w:r>
    </w:p>
    <w:p w14:paraId="2CF87EEB" w14:textId="77777777" w:rsidR="004005AF" w:rsidRPr="00EF7CF9" w:rsidRDefault="004005AF" w:rsidP="004005AF">
      <w:pPr>
        <w:pStyle w:val="ProductList-Body"/>
        <w:ind w:left="360"/>
      </w:pPr>
      <w:r>
        <w:t>„</w:t>
      </w:r>
      <w:r>
        <w:rPr>
          <w:b/>
          <w:color w:val="0072C6"/>
        </w:rPr>
        <w:t>S</w:t>
      </w:r>
      <w:r>
        <w:t>” to uszeregowany rosnąco pod względem czasu oczekiwania zbiór czasów odpowiedzi na Żądania Zakończone Powodzeniem w odniesieniu do danej Aplikacji wykonującej operacje odczytu lub zapisu elementu danych przy rozmiarze ładunku mniejszym niż lub równym 1 KB w ciągu danej godziny.</w:t>
      </w:r>
    </w:p>
    <w:p w14:paraId="5429BDA9" w14:textId="77777777" w:rsidR="004005AF" w:rsidRDefault="004005AF" w:rsidP="004005AF">
      <w:pPr>
        <w:pStyle w:val="ListParagraph"/>
        <w:spacing w:after="0" w:line="240" w:lineRule="auto"/>
        <w:ind w:left="360"/>
        <w:rPr>
          <w:sz w:val="18"/>
        </w:rPr>
      </w:pPr>
      <w:r>
        <w:rPr>
          <w:rStyle w:val="ProductList-BodyChar"/>
        </w:rPr>
        <w:t>„</w:t>
      </w:r>
      <w:r>
        <w:rPr>
          <w:rStyle w:val="ProductList-BodyChar"/>
          <w:b/>
          <w:color w:val="0072C6"/>
        </w:rPr>
        <w:t>Pozycja w Klasyfikacji</w:t>
      </w:r>
      <w:r>
        <w:rPr>
          <w:rStyle w:val="ProductList-BodyChar"/>
        </w:rPr>
        <w:t xml:space="preserve">” to 99. </w:t>
      </w:r>
      <w:proofErr w:type="spellStart"/>
      <w:r>
        <w:rPr>
          <w:rStyle w:val="ProductList-BodyChar"/>
        </w:rPr>
        <w:t>percentyl</w:t>
      </w:r>
      <w:proofErr w:type="spellEnd"/>
      <w:r>
        <w:rPr>
          <w:rStyle w:val="ProductList-BodyChar"/>
        </w:rPr>
        <w:t xml:space="preserve"> określony z wykorzystaniem metody najbliższej pozycji w klasyfikacji, obliczany według poniższego wzoru</w:t>
      </w:r>
      <w:r>
        <w:rPr>
          <w:sz w:val="18"/>
          <w:szCs w:val="18"/>
        </w:rPr>
        <w:t>:</w:t>
      </w:r>
    </w:p>
    <w:p w14:paraId="0A10578F" w14:textId="3A97DB27" w:rsidR="004005AF" w:rsidRPr="00EF7CF9" w:rsidRDefault="00272B37" w:rsidP="004005AF">
      <w:pPr>
        <w:pStyle w:val="ListParagraph"/>
        <w:ind w:left="360"/>
        <w:rPr>
          <w:rFonts w:ascii="Cambria Math" w:hAnsi="Cambria Math" w:cs="Tahoma"/>
          <w:i/>
          <w:sz w:val="12"/>
          <w:szCs w:val="12"/>
        </w:rPr>
      </w:pPr>
      <m:oMathPara>
        <m:oMath>
          <m:r>
            <w:rPr>
              <w:rFonts w:ascii="Cambria Math" w:hAnsi="Cambria Math" w:cs="Tahoma"/>
              <w:sz w:val="18"/>
              <w:szCs w:val="18"/>
            </w:rPr>
            <m:t xml:space="preserve">Pozycja w Klasyfikacji= </m:t>
          </m:r>
          <m:f>
            <m:fPr>
              <m:ctrlPr>
                <w:rPr>
                  <w:rFonts w:ascii="Cambria Math" w:hAnsi="Cambria Math" w:cs="Tahoma"/>
                  <w:i/>
                  <w:sz w:val="18"/>
                  <w:szCs w:val="18"/>
                </w:rPr>
              </m:ctrlPr>
            </m:fPr>
            <m:num>
              <m:r>
                <w:rPr>
                  <w:rFonts w:ascii="Cambria Math" w:hAnsi="Cambria Math" w:cs="Tahoma"/>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2FFBCA83" w14:textId="77777777" w:rsidR="004005AF" w:rsidRPr="00EF7CF9" w:rsidRDefault="004005AF" w:rsidP="004005AF">
      <w:pPr>
        <w:pStyle w:val="ProductList-Body"/>
        <w:ind w:left="360"/>
      </w:pPr>
      <w:r>
        <w:t>„</w:t>
      </w:r>
      <w:r>
        <w:rPr>
          <w:b/>
          <w:color w:val="0072C6"/>
        </w:rPr>
        <w:t>Opóźnienie P99</w:t>
      </w:r>
      <w:r>
        <w:t>” to wartość odpowiadająca Pozycji w Klasyfikacji S.</w:t>
      </w:r>
    </w:p>
    <w:p w14:paraId="6994DAF4" w14:textId="77777777" w:rsidR="004005AF" w:rsidRPr="00EF7CF9" w:rsidRDefault="004005AF" w:rsidP="004005AF">
      <w:pPr>
        <w:pStyle w:val="ProductList-Body"/>
        <w:ind w:left="360"/>
      </w:pPr>
      <w:r>
        <w:t>„</w:t>
      </w:r>
      <w:r>
        <w:rPr>
          <w:b/>
          <w:color w:val="0072C6"/>
        </w:rPr>
        <w:t>Liczba Godzin Nadmiernego Opóźnienia</w:t>
      </w:r>
      <w:r>
        <w:t>” to łączna liczba jednogodzinnych przedziałów, w których Żądania Zakończone Powodzeniem zgłoszone przez Aplikację skutkowały Opóźnieniem P99 większym niż lub równym 10 ms dla operacji odczytu elementu danych lub 10 ms dla operacji zapisu elementu danych. Jeśli liczba Żądań Zakończonych Powodzeniem w danym jednogodzinnym przedziale wynosi zero, Liczba Godzin Nadmiernego Opóźnienia dla tego przedziału wynosi 0.</w:t>
      </w:r>
    </w:p>
    <w:p w14:paraId="0EA0BAE7" w14:textId="168C3040" w:rsidR="004005AF" w:rsidRPr="00EF7CF9" w:rsidRDefault="004005AF" w:rsidP="004005AF">
      <w:pPr>
        <w:pStyle w:val="ProductList-Body"/>
        <w:ind w:left="360"/>
      </w:pPr>
      <w:r>
        <w:t>„</w:t>
      </w:r>
      <w:r>
        <w:rPr>
          <w:b/>
          <w:color w:val="0072C6"/>
        </w:rPr>
        <w:t>Średni Wskaźnik Nadmiernego Opóźnienia</w:t>
      </w:r>
      <w:r>
        <w:t>” we Właściwym Okresie to łączna Liczba Godzin Nadmiernego Opóźnienia podzielona przez łączną liczbę godzin we Właściwym Okresie.</w:t>
      </w:r>
    </w:p>
    <w:p w14:paraId="472EF7D9" w14:textId="481ABC93" w:rsidR="004005AF" w:rsidRDefault="004005AF" w:rsidP="004005AF">
      <w:pPr>
        <w:pStyle w:val="ProductList-Body"/>
        <w:ind w:left="360"/>
      </w:pPr>
      <w:r>
        <w:t>„</w:t>
      </w:r>
      <w:r>
        <w:rPr>
          <w:b/>
          <w:color w:val="0072C6"/>
        </w:rPr>
        <w:t>Procent Zmaterializowanych Opóźnień P99</w:t>
      </w:r>
      <w:r>
        <w:t xml:space="preserve">” dla danej Aplikacji </w:t>
      </w:r>
      <w:proofErr w:type="spellStart"/>
      <w:r>
        <w:t>Azure</w:t>
      </w:r>
      <w:proofErr w:type="spellEnd"/>
      <w:r>
        <w:t xml:space="preserve"> </w:t>
      </w:r>
      <w:proofErr w:type="spellStart"/>
      <w:r>
        <w:t>Cosmos</w:t>
      </w:r>
      <w:proofErr w:type="spellEnd"/>
      <w:r>
        <w:rPr>
          <w:rStyle w:val="ProductList-BodyChar"/>
        </w:rPr>
        <w:t xml:space="preserve"> DB</w:t>
      </w:r>
      <w:r>
        <w:t xml:space="preserve"> wdrożonej za pośrednictwem Kont Bazy Danych w zakresie jednego regionu </w:t>
      </w:r>
      <w:proofErr w:type="spellStart"/>
      <w:r>
        <w:t>Azure</w:t>
      </w:r>
      <w:proofErr w:type="spellEnd"/>
      <w:r>
        <w:t xml:space="preserve"> skonfigurowanego z dowolnym z pięciu Poziomów Spójności lub Kont Baz Danych obejmujących wiele regionów, skonfigurowanych z dowolnym z czterech swobodnych Poziomów Spójności jest obliczany poprzez odjęcie od 100% Średniego Wskaźnika Nadmiernego Opóźnienia dla danej subskrypcji Microsoft </w:t>
      </w:r>
      <w:proofErr w:type="spellStart"/>
      <w:r>
        <w:t>Azure</w:t>
      </w:r>
      <w:proofErr w:type="spellEnd"/>
      <w:r>
        <w:t xml:space="preserve"> we Właściwym Okresie. </w:t>
      </w:r>
    </w:p>
    <w:p w14:paraId="6FE7280E" w14:textId="44C12839" w:rsidR="004005AF" w:rsidRDefault="004005AF" w:rsidP="004005AF">
      <w:pPr>
        <w:pStyle w:val="ProductList-Body"/>
        <w:ind w:left="360"/>
      </w:pPr>
      <w:r>
        <w:t>Procent Zmaterializowanych Opóźnień przedstawia się za pomocą następującego wzoru:</w:t>
      </w:r>
    </w:p>
    <w:p w14:paraId="11F89454" w14:textId="18F9A7D8" w:rsidR="004005AF" w:rsidRPr="00EF7CF9" w:rsidRDefault="00272B37" w:rsidP="00310131">
      <w:pPr>
        <w:pStyle w:val="ProductList-Body"/>
        <w:spacing w:before="120" w:after="120"/>
        <w:rPr>
          <w:rFonts w:ascii="Cambria Math" w:hAnsi="Cambria Math" w:cs="Tahoma"/>
          <w:i/>
          <w:sz w:val="12"/>
          <w:szCs w:val="12"/>
        </w:rPr>
      </w:pPr>
      <m:oMathPara>
        <m:oMath>
          <m:r>
            <m:rPr>
              <m:nor/>
            </m:rPr>
            <w:rPr>
              <w:rFonts w:ascii="Cambria Math" w:hAnsi="Cambria Math" w:cs="Tahoma"/>
              <w:i/>
              <w:szCs w:val="18"/>
            </w:rPr>
            <m:t>100% - Średni Wskaźnik Nadmiernego Opóźnienia</m:t>
          </m:r>
        </m:oMath>
      </m:oMathPara>
    </w:p>
    <w:p w14:paraId="43C502A2" w14:textId="77777777" w:rsidR="004005AF" w:rsidRPr="00EF7CF9" w:rsidRDefault="004005AF" w:rsidP="004005AF">
      <w:pPr>
        <w:pStyle w:val="ProductList-Body"/>
        <w:keepNext/>
        <w:ind w:left="360"/>
        <w:rPr>
          <w:color w:val="0072C6"/>
        </w:rPr>
      </w:pPr>
      <w:r>
        <w:rPr>
          <w:b/>
          <w:color w:val="0072C6"/>
        </w:rPr>
        <w:t>Środki Serwisowe na Używanie Usług dla Zasobów Przydzielonej Przepustowości</w:t>
      </w:r>
      <w:r w:rsidRPr="007B038A">
        <w:rPr>
          <w:b/>
          <w:color w:val="0072C6"/>
        </w:rPr>
        <w:t>:</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220"/>
      </w:tblGrid>
      <w:tr w:rsidR="004005AF" w:rsidRPr="00B44CF9" w14:paraId="216E1670" w14:textId="77777777" w:rsidTr="000F31B4">
        <w:trPr>
          <w:tblHeader/>
        </w:trPr>
        <w:tc>
          <w:tcPr>
            <w:tcW w:w="5220" w:type="dxa"/>
            <w:shd w:val="clear" w:color="auto" w:fill="0072C6"/>
          </w:tcPr>
          <w:p w14:paraId="7802D2BF" w14:textId="4130DDDC" w:rsidR="004005AF" w:rsidRPr="00EF7CF9" w:rsidRDefault="004005AF" w:rsidP="000F31B4">
            <w:pPr>
              <w:pStyle w:val="ProductList-OfferingBody"/>
              <w:jc w:val="center"/>
              <w:rPr>
                <w:color w:val="FFFFFF" w:themeColor="background1"/>
              </w:rPr>
            </w:pPr>
            <w:r>
              <w:rPr>
                <w:color w:val="FFFFFF" w:themeColor="background1"/>
              </w:rPr>
              <w:t>Procent Zmaterializowanych Opóźnień P99</w:t>
            </w:r>
          </w:p>
        </w:tc>
        <w:tc>
          <w:tcPr>
            <w:tcW w:w="5220" w:type="dxa"/>
            <w:shd w:val="clear" w:color="auto" w:fill="0072C6"/>
          </w:tcPr>
          <w:p w14:paraId="1F5BD7AF"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2B90B2C9" w14:textId="77777777" w:rsidTr="000F31B4">
        <w:tc>
          <w:tcPr>
            <w:tcW w:w="5220" w:type="dxa"/>
          </w:tcPr>
          <w:p w14:paraId="175F9391" w14:textId="77777777" w:rsidR="004005AF" w:rsidRPr="00EF7CF9" w:rsidRDefault="004005AF" w:rsidP="000F31B4">
            <w:pPr>
              <w:pStyle w:val="ProductList-OfferingBody"/>
              <w:jc w:val="center"/>
            </w:pPr>
            <w:r>
              <w:t>&lt; 99,99%</w:t>
            </w:r>
          </w:p>
        </w:tc>
        <w:tc>
          <w:tcPr>
            <w:tcW w:w="5220" w:type="dxa"/>
          </w:tcPr>
          <w:p w14:paraId="48ACE317" w14:textId="77777777" w:rsidR="004005AF" w:rsidRPr="00EF7CF9" w:rsidRDefault="004005AF" w:rsidP="000F31B4">
            <w:pPr>
              <w:pStyle w:val="ProductList-OfferingBody"/>
              <w:jc w:val="center"/>
            </w:pPr>
            <w:r>
              <w:t>10%</w:t>
            </w:r>
          </w:p>
        </w:tc>
      </w:tr>
      <w:tr w:rsidR="004005AF" w:rsidRPr="00B44CF9" w14:paraId="306D7F2C" w14:textId="77777777" w:rsidTr="000F31B4">
        <w:tc>
          <w:tcPr>
            <w:tcW w:w="5220" w:type="dxa"/>
          </w:tcPr>
          <w:p w14:paraId="6927A328" w14:textId="77777777" w:rsidR="004005AF" w:rsidRPr="00EF7CF9" w:rsidRDefault="004005AF" w:rsidP="000F31B4">
            <w:pPr>
              <w:pStyle w:val="ProductList-OfferingBody"/>
              <w:jc w:val="center"/>
            </w:pPr>
            <w:r>
              <w:t>&lt; 99%</w:t>
            </w:r>
          </w:p>
        </w:tc>
        <w:tc>
          <w:tcPr>
            <w:tcW w:w="5220" w:type="dxa"/>
          </w:tcPr>
          <w:p w14:paraId="30AB2314" w14:textId="77777777" w:rsidR="004005AF" w:rsidRPr="00EF7CF9" w:rsidRDefault="004005AF" w:rsidP="000F31B4">
            <w:pPr>
              <w:pStyle w:val="ProductList-OfferingBody"/>
              <w:jc w:val="center"/>
            </w:pPr>
            <w:r>
              <w:t>25%</w:t>
            </w:r>
          </w:p>
        </w:tc>
      </w:tr>
    </w:tbl>
    <w:bookmarkStart w:id="199" w:name="_Toc513395510"/>
    <w:bookmarkStart w:id="200" w:name="_Hlk513540106"/>
    <w:p w14:paraId="73B48AB5" w14:textId="38A3B2A9"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772543A" w14:textId="77777777" w:rsidR="00AA02E4" w:rsidRPr="00EF7CF9" w:rsidRDefault="00AA02E4" w:rsidP="00BC02A7">
      <w:pPr>
        <w:pStyle w:val="ProductList-Offering2Heading"/>
        <w:keepNext/>
        <w:tabs>
          <w:tab w:val="clear" w:pos="360"/>
          <w:tab w:val="clear" w:pos="720"/>
          <w:tab w:val="clear" w:pos="1080"/>
        </w:tabs>
        <w:outlineLvl w:val="2"/>
      </w:pPr>
      <w:bookmarkStart w:id="201" w:name="_Toc457821546"/>
      <w:bookmarkStart w:id="202" w:name="_Toc52348948"/>
      <w:bookmarkStart w:id="203" w:name="_Toc239174988"/>
      <w:bookmarkStart w:id="204" w:name="_Toc52348927"/>
      <w:r>
        <w:t xml:space="preserve">Data </w:t>
      </w:r>
      <w:proofErr w:type="spellStart"/>
      <w:r>
        <w:t>Catalog</w:t>
      </w:r>
      <w:bookmarkEnd w:id="201"/>
      <w:bookmarkEnd w:id="202"/>
      <w:bookmarkEnd w:id="203"/>
      <w:proofErr w:type="spellEnd"/>
    </w:p>
    <w:p w14:paraId="581628D5" w14:textId="77777777" w:rsidR="00AA02E4" w:rsidRPr="00EF7CF9" w:rsidRDefault="00AA02E4" w:rsidP="00AA02E4">
      <w:pPr>
        <w:pStyle w:val="ProductList-Body"/>
        <w:rPr>
          <w:b/>
          <w:color w:val="00188F"/>
        </w:rPr>
      </w:pPr>
      <w:r>
        <w:rPr>
          <w:b/>
          <w:color w:val="00188F"/>
        </w:rPr>
        <w:t>Dodatkowe definicje</w:t>
      </w:r>
      <w:r w:rsidRPr="007B038A">
        <w:rPr>
          <w:b/>
          <w:color w:val="00188F"/>
        </w:rPr>
        <w:t>:</w:t>
      </w:r>
    </w:p>
    <w:p w14:paraId="65296591" w14:textId="0ABC21E2" w:rsidR="00AA02E4" w:rsidRPr="00EF7CF9" w:rsidRDefault="00AA02E4" w:rsidP="00AA02E4">
      <w:pPr>
        <w:pStyle w:val="ProductList-Body"/>
      </w:pPr>
      <w:r>
        <w:t>„</w:t>
      </w:r>
      <w:r>
        <w:rPr>
          <w:b/>
          <w:color w:val="00188F"/>
        </w:rPr>
        <w:t>Minuty Wdrożenia</w:t>
      </w:r>
      <w:r>
        <w:t xml:space="preserve">” to łączna liczba minut, na którą Usługa Data </w:t>
      </w:r>
      <w:proofErr w:type="spellStart"/>
      <w:r>
        <w:t>Catalog</w:t>
      </w:r>
      <w:proofErr w:type="spellEnd"/>
      <w:r>
        <w:t xml:space="preserve"> została zakupiona podczas Właściwego Okresu.</w:t>
      </w:r>
    </w:p>
    <w:p w14:paraId="002A64FD" w14:textId="77777777" w:rsidR="00AA02E4" w:rsidRPr="00EF7CF9" w:rsidRDefault="00AA02E4" w:rsidP="00AA02E4">
      <w:pPr>
        <w:pStyle w:val="ProductList-Body"/>
      </w:pPr>
      <w:r>
        <w:t>„</w:t>
      </w:r>
      <w:r>
        <w:rPr>
          <w:b/>
          <w:color w:val="00188F"/>
        </w:rPr>
        <w:t>Wpisy</w:t>
      </w:r>
      <w:r>
        <w:t xml:space="preserve">” oznaczają wszelkie rejestracje obiektów katalogu w Usłudze Data </w:t>
      </w:r>
      <w:proofErr w:type="spellStart"/>
      <w:r>
        <w:t>Catalog</w:t>
      </w:r>
      <w:proofErr w:type="spellEnd"/>
      <w:r>
        <w:t xml:space="preserve"> (np. tabela, widok, miara, klaster lub raport).</w:t>
      </w:r>
    </w:p>
    <w:p w14:paraId="7570F44E" w14:textId="6E6C9039" w:rsidR="00AA02E4" w:rsidRPr="00EF7CF9" w:rsidRDefault="00AA02E4" w:rsidP="00AA02E4">
      <w:pPr>
        <w:pStyle w:val="ProductList-Body"/>
        <w:rPr>
          <w:color w:val="000000" w:themeColor="text1"/>
        </w:rPr>
      </w:pPr>
      <w:r>
        <w:t>„</w:t>
      </w:r>
      <w:r>
        <w:rPr>
          <w:b/>
          <w:color w:val="00188F"/>
        </w:rPr>
        <w:t>Maksymalna Liczba Dostępnych Minut</w:t>
      </w:r>
      <w:r>
        <w:t>”</w:t>
      </w:r>
      <w:r>
        <w:rPr>
          <w:color w:val="000000" w:themeColor="text1"/>
        </w:rPr>
        <w:t xml:space="preserve"> </w:t>
      </w:r>
      <w:r>
        <w:rPr>
          <w:rFonts w:cs="Segoe UI"/>
          <w:color w:val="000000" w:themeColor="text1"/>
        </w:rPr>
        <w:t xml:space="preserve">suma wszystkich Minut Wdrożenia dla Usługi Data </w:t>
      </w:r>
      <w:proofErr w:type="spellStart"/>
      <w:r>
        <w:rPr>
          <w:rFonts w:cs="Segoe UI"/>
          <w:color w:val="000000" w:themeColor="text1"/>
        </w:rPr>
        <w:t>Catalog</w:t>
      </w:r>
      <w:proofErr w:type="spellEnd"/>
      <w:r>
        <w:rPr>
          <w:rFonts w:cs="Segoe UI"/>
          <w:color w:val="000000" w:themeColor="text1"/>
        </w:rPr>
        <w:t xml:space="preserve"> w ramach danej subskrypcji Microsoft </w:t>
      </w:r>
      <w:proofErr w:type="spellStart"/>
      <w:r>
        <w:rPr>
          <w:rFonts w:cs="Segoe UI"/>
          <w:color w:val="000000" w:themeColor="text1"/>
        </w:rPr>
        <w:t>Azure</w:t>
      </w:r>
      <w:proofErr w:type="spellEnd"/>
      <w:r>
        <w:rPr>
          <w:rFonts w:cs="Segoe UI"/>
          <w:color w:val="000000" w:themeColor="text1"/>
        </w:rPr>
        <w:t xml:space="preserve"> we Właściwym Okresie.</w:t>
      </w:r>
      <w:r>
        <w:rPr>
          <w:rFonts w:cs="Segoe UI"/>
          <w:b/>
          <w:bCs/>
          <w:color w:val="000000" w:themeColor="text1"/>
        </w:rPr>
        <w:t xml:space="preserve"> </w:t>
      </w:r>
    </w:p>
    <w:p w14:paraId="09594F99" w14:textId="77777777" w:rsidR="00AA02E4" w:rsidRPr="00B44CF9" w:rsidRDefault="00AA02E4" w:rsidP="00AA02E4">
      <w:pPr>
        <w:pStyle w:val="NormalWeb"/>
        <w:shd w:val="clear" w:color="auto" w:fill="FFFFFF"/>
        <w:spacing w:before="0" w:beforeAutospacing="0" w:after="0" w:afterAutospacing="0"/>
        <w:rPr>
          <w:rFonts w:asciiTheme="minorHAnsi" w:hAnsiTheme="minorHAnsi" w:cstheme="minorHAnsi"/>
          <w:sz w:val="18"/>
          <w:szCs w:val="18"/>
        </w:rPr>
      </w:pPr>
      <w:r>
        <w:rPr>
          <w:rFonts w:asciiTheme="minorHAnsi" w:eastAsiaTheme="minorHAnsi" w:hAnsiTheme="minorHAnsi" w:cstheme="minorBidi"/>
          <w:b/>
          <w:color w:val="00188F"/>
          <w:sz w:val="18"/>
          <w:szCs w:val="22"/>
        </w:rPr>
        <w:t>Przestój</w:t>
      </w:r>
      <w:r w:rsidRPr="007B038A">
        <w:rPr>
          <w:rFonts w:asciiTheme="minorHAnsi" w:eastAsiaTheme="minorHAnsi" w:hAnsiTheme="minorHAnsi" w:cstheme="minorBidi"/>
          <w:b/>
          <w:color w:val="00188F"/>
          <w:sz w:val="18"/>
          <w:szCs w:val="22"/>
        </w:rPr>
        <w:t>:</w:t>
      </w:r>
      <w:r>
        <w:rPr>
          <w:rFonts w:asciiTheme="minorHAnsi" w:eastAsiaTheme="minorHAnsi" w:hAnsiTheme="minorHAnsi" w:cstheme="minorBidi"/>
          <w:sz w:val="18"/>
          <w:szCs w:val="22"/>
        </w:rPr>
        <w:t xml:space="preserve"> to łączna skumulowana liczba Minut Wdrożenia, podczas których Usługa Data </w:t>
      </w:r>
      <w:proofErr w:type="spellStart"/>
      <w:r>
        <w:rPr>
          <w:rFonts w:asciiTheme="minorHAnsi" w:eastAsiaTheme="minorHAnsi" w:hAnsiTheme="minorHAnsi" w:cstheme="minorBidi"/>
          <w:sz w:val="18"/>
          <w:szCs w:val="22"/>
        </w:rPr>
        <w:t>Catalog</w:t>
      </w:r>
      <w:proofErr w:type="spellEnd"/>
      <w:r>
        <w:rPr>
          <w:rFonts w:asciiTheme="minorHAnsi" w:eastAsiaTheme="minorHAnsi" w:hAnsiTheme="minorHAnsi" w:cstheme="minorBidi"/>
          <w:sz w:val="18"/>
          <w:szCs w:val="22"/>
        </w:rPr>
        <w:t xml:space="preserve"> jest niedostępna. Minuta jest uważana za niedostępną dla danej Usługi Data </w:t>
      </w:r>
      <w:proofErr w:type="spellStart"/>
      <w:r>
        <w:rPr>
          <w:rFonts w:asciiTheme="minorHAnsi" w:eastAsiaTheme="minorHAnsi" w:hAnsiTheme="minorHAnsi" w:cstheme="minorBidi"/>
          <w:sz w:val="18"/>
          <w:szCs w:val="22"/>
        </w:rPr>
        <w:t>Catalog</w:t>
      </w:r>
      <w:proofErr w:type="spellEnd"/>
      <w:r>
        <w:rPr>
          <w:rFonts w:asciiTheme="minorHAnsi" w:eastAsiaTheme="minorHAnsi" w:hAnsiTheme="minorHAnsi" w:cstheme="minorBidi"/>
          <w:sz w:val="18"/>
          <w:szCs w:val="22"/>
        </w:rPr>
        <w:t xml:space="preserve">, jeśli wszystkie podejmowane przez administratorów próby dodania lub usunięcia użytkowników do Usługi Data </w:t>
      </w:r>
      <w:proofErr w:type="spellStart"/>
      <w:r>
        <w:rPr>
          <w:rFonts w:asciiTheme="minorHAnsi" w:eastAsiaTheme="minorHAnsi" w:hAnsiTheme="minorHAnsi" w:cstheme="minorBidi"/>
          <w:sz w:val="18"/>
          <w:szCs w:val="22"/>
        </w:rPr>
        <w:t>Catalog</w:t>
      </w:r>
      <w:proofErr w:type="spellEnd"/>
      <w:r>
        <w:rPr>
          <w:rFonts w:asciiTheme="minorHAnsi" w:eastAsiaTheme="minorHAnsi" w:hAnsiTheme="minorHAnsi" w:cstheme="minorBidi"/>
          <w:sz w:val="18"/>
          <w:szCs w:val="22"/>
        </w:rPr>
        <w:t xml:space="preserve"> lub wszelkie próby wykonania przez użytkowników </w:t>
      </w:r>
      <w:proofErr w:type="spellStart"/>
      <w:r>
        <w:rPr>
          <w:rFonts w:asciiTheme="minorHAnsi" w:eastAsiaTheme="minorHAnsi" w:hAnsiTheme="minorHAnsi" w:cstheme="minorBidi"/>
          <w:sz w:val="18"/>
          <w:szCs w:val="22"/>
        </w:rPr>
        <w:t>wywołań</w:t>
      </w:r>
      <w:proofErr w:type="spellEnd"/>
      <w:r>
        <w:rPr>
          <w:rFonts w:asciiTheme="minorHAnsi" w:eastAsiaTheme="minorHAnsi" w:hAnsiTheme="minorHAnsi" w:cstheme="minorBidi"/>
          <w:sz w:val="18"/>
          <w:szCs w:val="22"/>
        </w:rPr>
        <w:t xml:space="preserve"> interfejsu API W Usłudze Data </w:t>
      </w:r>
      <w:proofErr w:type="spellStart"/>
      <w:r>
        <w:rPr>
          <w:rFonts w:asciiTheme="minorHAnsi" w:eastAsiaTheme="minorHAnsi" w:hAnsiTheme="minorHAnsi" w:cstheme="minorBidi"/>
          <w:sz w:val="18"/>
          <w:szCs w:val="22"/>
        </w:rPr>
        <w:t>Catalog</w:t>
      </w:r>
      <w:proofErr w:type="spellEnd"/>
      <w:r>
        <w:rPr>
          <w:rFonts w:asciiTheme="minorHAnsi" w:eastAsiaTheme="minorHAnsi" w:hAnsiTheme="minorHAnsi" w:cstheme="minorBidi"/>
          <w:sz w:val="18"/>
          <w:szCs w:val="22"/>
        </w:rPr>
        <w:t xml:space="preserve"> w celu rejestracji, wyszukiwania lub usunięcia Wpisów kończą się wyświetleniem Kodu Błędu lub nie przynoszą odpowiedzi w ciągu pięciu minut.</w:t>
      </w:r>
    </w:p>
    <w:p w14:paraId="424F5ACD" w14:textId="6CCCDCAB" w:rsidR="00AA02E4" w:rsidRPr="00EF7CF9" w:rsidRDefault="00AC48A7" w:rsidP="00AA02E4">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795B497B" w14:textId="77777777" w:rsidR="00AA02E4" w:rsidRPr="00EF7CF9" w:rsidRDefault="00AA02E4" w:rsidP="00AA02E4">
      <w:pPr>
        <w:pStyle w:val="ProductList-Body"/>
        <w:rPr>
          <w:szCs w:val="18"/>
        </w:rPr>
      </w:pPr>
    </w:p>
    <w:p w14:paraId="3E1ED9D0" w14:textId="3CA8CE2E" w:rsidR="00AA02E4" w:rsidRPr="00EF7CF9" w:rsidRDefault="00000000" w:rsidP="00A85FAA">
      <w:pPr>
        <w:pStyle w:val="ListParagraph"/>
        <w:spacing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096CA38" w14:textId="77777777" w:rsidR="00AA02E4" w:rsidRPr="00EF7CF9" w:rsidRDefault="00AA02E4" w:rsidP="00AA02E4">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02414BE5" w14:textId="77777777" w:rsidTr="00277097">
        <w:trPr>
          <w:tblHeader/>
        </w:trPr>
        <w:tc>
          <w:tcPr>
            <w:tcW w:w="5400" w:type="dxa"/>
            <w:shd w:val="clear" w:color="auto" w:fill="0072C6"/>
          </w:tcPr>
          <w:p w14:paraId="73D88F05" w14:textId="0A3A88F5" w:rsidR="00AA02E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5F3BA5C" w14:textId="77777777" w:rsidR="00AA02E4" w:rsidRPr="00EF7CF9" w:rsidRDefault="00AA02E4" w:rsidP="000F31B4">
            <w:pPr>
              <w:pStyle w:val="ProductList-OfferingBody"/>
              <w:jc w:val="center"/>
              <w:rPr>
                <w:color w:val="FFFFFF" w:themeColor="background1"/>
              </w:rPr>
            </w:pPr>
            <w:r>
              <w:rPr>
                <w:color w:val="FFFFFF" w:themeColor="background1"/>
              </w:rPr>
              <w:t>Środki Serwisowe na Używanie Usług</w:t>
            </w:r>
          </w:p>
        </w:tc>
      </w:tr>
      <w:tr w:rsidR="00AA02E4" w:rsidRPr="00B44CF9" w14:paraId="414F5226" w14:textId="77777777" w:rsidTr="00277097">
        <w:tc>
          <w:tcPr>
            <w:tcW w:w="5400" w:type="dxa"/>
          </w:tcPr>
          <w:p w14:paraId="1E0935F5" w14:textId="77777777" w:rsidR="00AA02E4" w:rsidRPr="00EF7CF9" w:rsidRDefault="00AA02E4" w:rsidP="000F31B4">
            <w:pPr>
              <w:pStyle w:val="ProductList-OfferingBody"/>
              <w:jc w:val="center"/>
            </w:pPr>
            <w:r>
              <w:t>&lt; 99,9%</w:t>
            </w:r>
          </w:p>
        </w:tc>
        <w:tc>
          <w:tcPr>
            <w:tcW w:w="5400" w:type="dxa"/>
          </w:tcPr>
          <w:p w14:paraId="6267C076" w14:textId="77777777" w:rsidR="00AA02E4" w:rsidRPr="00EF7CF9" w:rsidRDefault="00AA02E4" w:rsidP="000F31B4">
            <w:pPr>
              <w:pStyle w:val="ProductList-OfferingBody"/>
              <w:jc w:val="center"/>
            </w:pPr>
            <w:r>
              <w:t>10%</w:t>
            </w:r>
          </w:p>
        </w:tc>
      </w:tr>
      <w:tr w:rsidR="00AA02E4" w:rsidRPr="00B44CF9" w14:paraId="164588B0" w14:textId="77777777" w:rsidTr="00277097">
        <w:tc>
          <w:tcPr>
            <w:tcW w:w="5400" w:type="dxa"/>
          </w:tcPr>
          <w:p w14:paraId="1B0F4922" w14:textId="77777777" w:rsidR="00AA02E4" w:rsidRPr="00EF7CF9" w:rsidRDefault="00AA02E4" w:rsidP="000F31B4">
            <w:pPr>
              <w:pStyle w:val="ProductList-OfferingBody"/>
              <w:jc w:val="center"/>
            </w:pPr>
            <w:r>
              <w:t>&lt; 99%</w:t>
            </w:r>
          </w:p>
        </w:tc>
        <w:tc>
          <w:tcPr>
            <w:tcW w:w="5400" w:type="dxa"/>
          </w:tcPr>
          <w:p w14:paraId="34756236" w14:textId="77777777" w:rsidR="00AA02E4" w:rsidRPr="00EF7CF9" w:rsidRDefault="00AA02E4" w:rsidP="000F31B4">
            <w:pPr>
              <w:pStyle w:val="ProductList-OfferingBody"/>
              <w:jc w:val="center"/>
            </w:pPr>
            <w:r>
              <w:t>25%</w:t>
            </w:r>
          </w:p>
        </w:tc>
      </w:tr>
    </w:tbl>
    <w:bookmarkStart w:id="205" w:name="_Toc457821547"/>
    <w:p w14:paraId="04997DF7" w14:textId="39EA44E3" w:rsidR="00AA02E4" w:rsidRPr="00EF7CF9" w:rsidRDefault="00C71F89"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AC3E10A" w14:textId="31E3D0CA" w:rsidR="00F240D4" w:rsidRDefault="00F240D4" w:rsidP="00F240D4">
      <w:pPr>
        <w:pStyle w:val="ProductList-Offering2Heading"/>
        <w:keepNext/>
        <w:tabs>
          <w:tab w:val="clear" w:pos="360"/>
          <w:tab w:val="clear" w:pos="720"/>
          <w:tab w:val="clear" w:pos="1080"/>
        </w:tabs>
        <w:outlineLvl w:val="2"/>
      </w:pPr>
      <w:bookmarkStart w:id="206" w:name="_Toc239174989"/>
      <w:bookmarkStart w:id="207" w:name="_Toc52348949"/>
      <w:proofErr w:type="spellStart"/>
      <w:r>
        <w:t>Azure</w:t>
      </w:r>
      <w:proofErr w:type="spellEnd"/>
      <w:r>
        <w:t xml:space="preserve"> Data Explorer (Kusto)</w:t>
      </w:r>
      <w:bookmarkEnd w:id="206"/>
    </w:p>
    <w:p w14:paraId="279D2037" w14:textId="77777777" w:rsidR="00F240D4" w:rsidRPr="009F4F1B" w:rsidRDefault="00F240D4" w:rsidP="009F4F1B">
      <w:pPr>
        <w:pStyle w:val="ProductList-Body"/>
        <w:keepNext/>
        <w:rPr>
          <w:b/>
          <w:bCs/>
          <w:color w:val="00188F"/>
        </w:rPr>
      </w:pPr>
      <w:r>
        <w:rPr>
          <w:b/>
          <w:bCs/>
          <w:color w:val="00188F"/>
        </w:rPr>
        <w:t>Dodatkowe definicje</w:t>
      </w:r>
    </w:p>
    <w:p w14:paraId="51E9A0D1" w14:textId="61402D26" w:rsidR="00F240D4" w:rsidRDefault="00F240D4" w:rsidP="00F240D4">
      <w:pPr>
        <w:pStyle w:val="ProductList-Body"/>
      </w:pPr>
      <w:r>
        <w:t>„</w:t>
      </w:r>
      <w:r>
        <w:rPr>
          <w:b/>
          <w:color w:val="00188F"/>
        </w:rPr>
        <w:t>Klaster</w:t>
      </w:r>
      <w:r>
        <w:t xml:space="preserve">” to klaster obsługiwany przez usługę </w:t>
      </w:r>
      <w:proofErr w:type="spellStart"/>
      <w:r>
        <w:t>Azure</w:t>
      </w:r>
      <w:proofErr w:type="spellEnd"/>
      <w:r>
        <w:t xml:space="preserve"> Data Explorer (ADX).</w:t>
      </w:r>
    </w:p>
    <w:p w14:paraId="3448EE53" w14:textId="05F823B5" w:rsidR="00F240D4" w:rsidRPr="009F4F1B" w:rsidRDefault="00EE6E3C" w:rsidP="00465991">
      <w:pPr>
        <w:pStyle w:val="ProductList-Body"/>
        <w:spacing w:before="60"/>
        <w:rPr>
          <w:b/>
          <w:bCs/>
          <w:color w:val="00188F"/>
        </w:rPr>
      </w:pPr>
      <w:r>
        <w:rPr>
          <w:b/>
          <w:bCs/>
          <w:color w:val="00188F"/>
        </w:rPr>
        <w:t xml:space="preserve">Obliczanie Czasu Sprawnego Działania i Poziomy Usługi dla </w:t>
      </w:r>
      <w:proofErr w:type="spellStart"/>
      <w:r>
        <w:rPr>
          <w:b/>
          <w:bCs/>
          <w:color w:val="00188F"/>
        </w:rPr>
        <w:t>Azure</w:t>
      </w:r>
      <w:proofErr w:type="spellEnd"/>
      <w:r>
        <w:rPr>
          <w:b/>
          <w:bCs/>
          <w:color w:val="00188F"/>
        </w:rPr>
        <w:t xml:space="preserve"> Data Explorer</w:t>
      </w:r>
    </w:p>
    <w:p w14:paraId="6CEBB473" w14:textId="1C24AB11" w:rsidR="00F240D4" w:rsidRDefault="00B41CC1" w:rsidP="00F240D4">
      <w:pPr>
        <w:pStyle w:val="ProductList-Body"/>
      </w:pPr>
      <w:r>
        <w:t>„</w:t>
      </w:r>
      <w:r w:rsidR="00F240D4">
        <w:rPr>
          <w:b/>
          <w:color w:val="00188F"/>
        </w:rPr>
        <w:t>Maksymalna Liczba Dostępnych Minut</w:t>
      </w:r>
      <w:r>
        <w:t>”</w:t>
      </w:r>
      <w:r w:rsidR="00F240D4">
        <w:t xml:space="preserve"> to łączna liczba minut dla danego Klastra wdrożonego przez klienta w ramach subskrypcji Microsoft </w:t>
      </w:r>
      <w:proofErr w:type="spellStart"/>
      <w:r w:rsidR="00F240D4">
        <w:t>Azure</w:t>
      </w:r>
      <w:proofErr w:type="spellEnd"/>
      <w:r w:rsidR="00F240D4">
        <w:t xml:space="preserve"> we Właściwym Okresie.</w:t>
      </w:r>
    </w:p>
    <w:p w14:paraId="297698DD" w14:textId="77777777" w:rsidR="00F240D4" w:rsidRDefault="00F240D4" w:rsidP="00F240D4">
      <w:pPr>
        <w:pStyle w:val="ProductList-Body"/>
      </w:pPr>
      <w:r>
        <w:t>„</w:t>
      </w:r>
      <w:r>
        <w:rPr>
          <w:b/>
          <w:color w:val="00188F"/>
        </w:rPr>
        <w:t>Przestój</w:t>
      </w:r>
      <w:r>
        <w:t>” to łączna liczba minut w ramach Maksymalnej Liczby Dostępnych Minut, podczas których Klaster jest niedostępny. Minuta jest uznawana za minutę niedostępności dla danego Klastra, jeśli wszystkie podejmowane w trakcie tej minuty kolejne próby zmierzające do nawiązania łączności z Klastrem zwróciły Kod Błędu.</w:t>
      </w:r>
    </w:p>
    <w:p w14:paraId="4F382C56" w14:textId="2F3101B9" w:rsidR="00F240D4" w:rsidRDefault="00C84B0F" w:rsidP="00C84B0F">
      <w:pPr>
        <w:pStyle w:val="ProductList-Body"/>
      </w:pPr>
      <w:r w:rsidRPr="00C84B0F">
        <w:t>„</w:t>
      </w:r>
      <w:r w:rsidR="00F240D4">
        <w:rPr>
          <w:b/>
          <w:color w:val="00188F"/>
        </w:rPr>
        <w:t>Procent Czasu Sprawnego Działania</w:t>
      </w:r>
      <w:r>
        <w:t>”</w:t>
      </w:r>
      <w:r w:rsidR="00F240D4">
        <w:t xml:space="preserve"> dla </w:t>
      </w:r>
      <w:proofErr w:type="spellStart"/>
      <w:r w:rsidR="00F240D4">
        <w:t>Azure</w:t>
      </w:r>
      <w:proofErr w:type="spellEnd"/>
      <w:r w:rsidR="00F240D4">
        <w:t xml:space="preserve"> Data Explorer jest obliczany jako Maksymalna Liczba Dostępnych Minut pomniejszona o Przestój podzielona przez Maksymalną Liczbę Dostępnych Minut.</w:t>
      </w:r>
    </w:p>
    <w:p w14:paraId="3909B03E" w14:textId="77777777" w:rsidR="00F240D4" w:rsidRDefault="00F240D4" w:rsidP="00F240D4">
      <w:pPr>
        <w:pStyle w:val="ProductList-Body"/>
      </w:pPr>
    </w:p>
    <w:p w14:paraId="43BAFB90" w14:textId="1EC0DA1E" w:rsidR="00F240D4" w:rsidRDefault="00AC48A7" w:rsidP="00F240D4">
      <w:pPr>
        <w:pStyle w:val="ProductList-Body"/>
      </w:pPr>
      <w:r>
        <w:t>Procent Czasu Sprawnego Działania przedstawia się za pomocą następującego wzoru:</w:t>
      </w:r>
    </w:p>
    <w:p w14:paraId="0F184916" w14:textId="32FA83D8" w:rsidR="00F240D4" w:rsidRPr="006A1FA3" w:rsidRDefault="00000000" w:rsidP="00A57C32">
      <w:pPr>
        <w:pStyle w:val="ProductList-Body"/>
        <w:spacing w:before="120" w:after="120"/>
        <w:rPr>
          <w:rFonts w:eastAsiaTheme="minorEastAsia"/>
          <w:color w:val="000000" w:themeColor="text1"/>
          <w:szCs w:val="18"/>
        </w:rPr>
      </w:pPr>
      <m:oMathPara>
        <m:oMath>
          <m:f>
            <m:fPr>
              <m:ctrlPr>
                <w:rPr>
                  <w:rFonts w:ascii="Cambria Math" w:hAnsi="Cambria Math" w:cs="Calibri"/>
                  <w:i/>
                  <w:szCs w:val="18"/>
                </w:rPr>
              </m:ctrlPr>
            </m:fPr>
            <m:num>
              <m:r>
                <m:rPr>
                  <m:nor/>
                </m:rPr>
                <w:rPr>
                  <w:rFonts w:ascii="Cambria Math" w:hAnsi="Cambria Math" w:cs="Calibri"/>
                  <w:i/>
                  <w:szCs w:val="18"/>
                </w:rPr>
                <m:t xml:space="preserve">Maksymalna Liczba Dostępnych Minut - Przestój </m:t>
              </m:r>
            </m:num>
            <m:den>
              <m:r>
                <m:rPr>
                  <m:nor/>
                </m:rPr>
                <w:rPr>
                  <w:rFonts w:ascii="Cambria Math" w:hAnsi="Cambria Math" w:cs="Calibri"/>
                  <w:i/>
                  <w:szCs w:val="18"/>
                </w:rPr>
                <m:t>Maksymalna Liczba Dostępnych Minut</m:t>
              </m:r>
            </m:den>
          </m:f>
          <m:r>
            <w:rPr>
              <w:rFonts w:ascii="Cambria Math" w:hAnsi="Cambria Math" w:cs="Calibri"/>
              <w:szCs w:val="18"/>
            </w:rPr>
            <m:t xml:space="preserve"> x 100</m:t>
          </m:r>
        </m:oMath>
      </m:oMathPara>
    </w:p>
    <w:p w14:paraId="1170A23B" w14:textId="77777777" w:rsidR="00F240D4" w:rsidRPr="00EF7CF9" w:rsidRDefault="00F240D4" w:rsidP="00F240D4">
      <w:pPr>
        <w:pStyle w:val="ProductList-Body"/>
      </w:pPr>
      <w:r>
        <w:rPr>
          <w:b/>
          <w:color w:val="00188F"/>
        </w:rPr>
        <w:t>Następujące Poziomy Usługi i Zniżki mają zastosowanie do używania przez Klienta Usługi: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240D4" w:rsidRPr="00B44CF9" w14:paraId="370EA53A" w14:textId="77777777" w:rsidTr="00963F40">
        <w:trPr>
          <w:tblHeader/>
        </w:trPr>
        <w:tc>
          <w:tcPr>
            <w:tcW w:w="5400" w:type="dxa"/>
            <w:shd w:val="clear" w:color="auto" w:fill="0072C6"/>
          </w:tcPr>
          <w:p w14:paraId="290C6CDA" w14:textId="2CD84961" w:rsidR="00F240D4" w:rsidRPr="00EF7CF9" w:rsidRDefault="00AC48A7" w:rsidP="00963F40">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CB8C29B" w14:textId="77777777" w:rsidR="00F240D4" w:rsidRPr="00EF7CF9" w:rsidRDefault="00F240D4" w:rsidP="00963F40">
            <w:pPr>
              <w:pStyle w:val="ProductList-OfferingBody"/>
              <w:jc w:val="center"/>
              <w:rPr>
                <w:color w:val="FFFFFF" w:themeColor="background1"/>
              </w:rPr>
            </w:pPr>
            <w:r>
              <w:rPr>
                <w:color w:val="FFFFFF" w:themeColor="background1"/>
              </w:rPr>
              <w:t>Środki Serwisowe na Używanie Usług</w:t>
            </w:r>
          </w:p>
        </w:tc>
      </w:tr>
      <w:tr w:rsidR="00F240D4" w:rsidRPr="00B44CF9" w14:paraId="31A630CC" w14:textId="77777777" w:rsidTr="00963F40">
        <w:tc>
          <w:tcPr>
            <w:tcW w:w="5400" w:type="dxa"/>
            <w:tcBorders>
              <w:bottom w:val="single" w:sz="4" w:space="0" w:color="000000" w:themeColor="text1"/>
            </w:tcBorders>
          </w:tcPr>
          <w:p w14:paraId="47E571A5" w14:textId="77777777" w:rsidR="00F240D4" w:rsidRPr="00EF7CF9" w:rsidRDefault="00F240D4" w:rsidP="00963F40">
            <w:pPr>
              <w:pStyle w:val="ProductList-OfferingBody"/>
              <w:jc w:val="center"/>
            </w:pPr>
            <w:r>
              <w:t>&lt; 99,9%</w:t>
            </w:r>
          </w:p>
        </w:tc>
        <w:tc>
          <w:tcPr>
            <w:tcW w:w="5400" w:type="dxa"/>
            <w:tcBorders>
              <w:bottom w:val="single" w:sz="4" w:space="0" w:color="000000" w:themeColor="text1"/>
            </w:tcBorders>
          </w:tcPr>
          <w:p w14:paraId="48459D09" w14:textId="77777777" w:rsidR="00F240D4" w:rsidRPr="00EF7CF9" w:rsidRDefault="00F240D4" w:rsidP="00963F40">
            <w:pPr>
              <w:pStyle w:val="ProductList-OfferingBody"/>
              <w:jc w:val="center"/>
            </w:pPr>
            <w:r>
              <w:t>10%</w:t>
            </w:r>
          </w:p>
        </w:tc>
      </w:tr>
      <w:tr w:rsidR="00F240D4" w:rsidRPr="00B44CF9" w14:paraId="1672F988" w14:textId="77777777" w:rsidTr="00963F40">
        <w:tc>
          <w:tcPr>
            <w:tcW w:w="5400" w:type="dxa"/>
            <w:tcBorders>
              <w:bottom w:val="single" w:sz="4" w:space="0" w:color="auto"/>
            </w:tcBorders>
          </w:tcPr>
          <w:p w14:paraId="4FAAC35F" w14:textId="77777777" w:rsidR="00F240D4" w:rsidRPr="00EF7CF9" w:rsidRDefault="00F240D4" w:rsidP="00963F40">
            <w:pPr>
              <w:pStyle w:val="ProductList-OfferingBody"/>
              <w:jc w:val="center"/>
            </w:pPr>
            <w:r>
              <w:t>&lt; 99%</w:t>
            </w:r>
          </w:p>
        </w:tc>
        <w:tc>
          <w:tcPr>
            <w:tcW w:w="5400" w:type="dxa"/>
            <w:tcBorders>
              <w:bottom w:val="single" w:sz="4" w:space="0" w:color="auto"/>
            </w:tcBorders>
          </w:tcPr>
          <w:p w14:paraId="6515F55E" w14:textId="77777777" w:rsidR="00F240D4" w:rsidRPr="00EF7CF9" w:rsidRDefault="00F240D4" w:rsidP="00963F40">
            <w:pPr>
              <w:pStyle w:val="ProductList-OfferingBody"/>
              <w:jc w:val="center"/>
            </w:pPr>
            <w:r>
              <w:t>25%</w:t>
            </w:r>
          </w:p>
        </w:tc>
      </w:tr>
    </w:tbl>
    <w:p w14:paraId="53DB9CD7" w14:textId="213C364F" w:rsidR="00F240D4" w:rsidRPr="00EF7CF9" w:rsidRDefault="00C71F89" w:rsidP="00F240D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F821EC9" w14:textId="77777777" w:rsidR="00AA02E4" w:rsidRPr="00EF7CF9" w:rsidRDefault="00AA02E4" w:rsidP="00EA7DBB">
      <w:pPr>
        <w:pStyle w:val="ProductList-Offering2Heading"/>
        <w:keepNext/>
        <w:tabs>
          <w:tab w:val="clear" w:pos="360"/>
          <w:tab w:val="clear" w:pos="720"/>
          <w:tab w:val="clear" w:pos="1080"/>
        </w:tabs>
        <w:outlineLvl w:val="2"/>
      </w:pPr>
      <w:bookmarkStart w:id="208" w:name="_Toc239174990"/>
      <w:proofErr w:type="spellStart"/>
      <w:r>
        <w:t>Azure</w:t>
      </w:r>
      <w:proofErr w:type="spellEnd"/>
      <w:r>
        <w:t xml:space="preserve"> Data </w:t>
      </w:r>
      <w:proofErr w:type="spellStart"/>
      <w:r>
        <w:t>Factory</w:t>
      </w:r>
      <w:bookmarkEnd w:id="208"/>
      <w:proofErr w:type="spellEnd"/>
      <w:r>
        <w:t xml:space="preserve"> </w:t>
      </w:r>
      <w:bookmarkEnd w:id="205"/>
      <w:bookmarkEnd w:id="207"/>
    </w:p>
    <w:p w14:paraId="0DE3C563" w14:textId="77777777" w:rsidR="00AA02E4" w:rsidRPr="00EF7CF9" w:rsidRDefault="00AA02E4" w:rsidP="00AA02E4">
      <w:pPr>
        <w:pStyle w:val="ProductList-Body"/>
        <w:rPr>
          <w:b/>
          <w:color w:val="00188F"/>
        </w:rPr>
      </w:pPr>
      <w:r>
        <w:rPr>
          <w:b/>
          <w:color w:val="00188F"/>
        </w:rPr>
        <w:t>Dodatkowe definicje</w:t>
      </w:r>
      <w:r w:rsidRPr="007B038A">
        <w:rPr>
          <w:b/>
          <w:color w:val="00188F"/>
        </w:rPr>
        <w:t>:</w:t>
      </w:r>
    </w:p>
    <w:p w14:paraId="76181B90" w14:textId="77777777" w:rsidR="00AA02E4" w:rsidRDefault="00AA02E4" w:rsidP="00AA02E4">
      <w:pPr>
        <w:pStyle w:val="ProductList-Body"/>
      </w:pPr>
      <w:r>
        <w:t>„</w:t>
      </w:r>
      <w:r>
        <w:rPr>
          <w:b/>
          <w:color w:val="00188F"/>
        </w:rPr>
        <w:t>Zasoby</w:t>
      </w:r>
      <w:r>
        <w:t xml:space="preserve">” to środowiska Integration Runtime, w tym środowiska </w:t>
      </w:r>
      <w:proofErr w:type="spellStart"/>
      <w:r>
        <w:t>Azure</w:t>
      </w:r>
      <w:proofErr w:type="spellEnd"/>
      <w:r>
        <w:t>, SSIS i Integration Runtime (</w:t>
      </w:r>
      <w:proofErr w:type="spellStart"/>
      <w:r>
        <w:t>Self-hosted</w:t>
      </w:r>
      <w:proofErr w:type="spellEnd"/>
      <w:r>
        <w:t xml:space="preserve">), wyzwalacze, potoki, zestawy danych oraz powiązane usługi utworzone w ramach usługi Data </w:t>
      </w:r>
      <w:proofErr w:type="spellStart"/>
      <w:r>
        <w:t>Factory</w:t>
      </w:r>
      <w:proofErr w:type="spellEnd"/>
      <w:r>
        <w:t>.</w:t>
      </w:r>
    </w:p>
    <w:p w14:paraId="15E650C9" w14:textId="77777777" w:rsidR="00AA02E4" w:rsidRPr="00EF7CF9" w:rsidRDefault="00AA02E4" w:rsidP="00AA02E4">
      <w:pPr>
        <w:pStyle w:val="ProductList-Body"/>
      </w:pPr>
      <w:r>
        <w:t>„</w:t>
      </w:r>
      <w:r>
        <w:rPr>
          <w:b/>
          <w:color w:val="00188F"/>
        </w:rPr>
        <w:t>Uruchamiane Działanie</w:t>
      </w:r>
      <w:r>
        <w:t>”</w:t>
      </w:r>
      <w:r>
        <w:rPr>
          <w:b/>
          <w:color w:val="00188F"/>
        </w:rPr>
        <w:t xml:space="preserve"> </w:t>
      </w:r>
      <w:r>
        <w:t>to wykonanie albo próba wykonania działania.</w:t>
      </w:r>
    </w:p>
    <w:p w14:paraId="3FB5F108" w14:textId="77777777" w:rsidR="00AA02E4" w:rsidRPr="00B96941" w:rsidRDefault="00AA02E4" w:rsidP="00AA02E4">
      <w:pPr>
        <w:pStyle w:val="ProductList-Body"/>
        <w:rPr>
          <w:sz w:val="12"/>
          <w:szCs w:val="12"/>
        </w:rPr>
      </w:pPr>
    </w:p>
    <w:p w14:paraId="41EC9AB8" w14:textId="0083EBE7" w:rsidR="00AA02E4" w:rsidRPr="00ED4527" w:rsidRDefault="00EE6E3C" w:rsidP="00AA02E4">
      <w:pPr>
        <w:pStyle w:val="ProductList-Body"/>
        <w:rPr>
          <w:b/>
          <w:bCs/>
          <w:color w:val="00188F"/>
        </w:rPr>
      </w:pPr>
      <w:r>
        <w:rPr>
          <w:b/>
          <w:bCs/>
          <w:color w:val="00188F"/>
        </w:rPr>
        <w:t xml:space="preserve">Obliczanie Czasu Sprawnego Działania dla </w:t>
      </w:r>
      <w:proofErr w:type="spellStart"/>
      <w:r>
        <w:rPr>
          <w:b/>
          <w:bCs/>
          <w:color w:val="00188F"/>
        </w:rPr>
        <w:t>Wywołań</w:t>
      </w:r>
      <w:proofErr w:type="spellEnd"/>
      <w:r>
        <w:rPr>
          <w:b/>
          <w:bCs/>
          <w:color w:val="00188F"/>
        </w:rPr>
        <w:t xml:space="preserve"> interfejsu API Usługi Data </w:t>
      </w:r>
      <w:proofErr w:type="spellStart"/>
      <w:r>
        <w:rPr>
          <w:b/>
          <w:bCs/>
          <w:color w:val="00188F"/>
        </w:rPr>
        <w:t>Factory</w:t>
      </w:r>
      <w:proofErr w:type="spellEnd"/>
    </w:p>
    <w:p w14:paraId="2CF86461" w14:textId="77777777" w:rsidR="00AA02E4" w:rsidRDefault="00AA02E4" w:rsidP="00AA02E4">
      <w:pPr>
        <w:pStyle w:val="ProductList-Body"/>
        <w:rPr>
          <w:b/>
          <w:color w:val="00188F"/>
        </w:rPr>
      </w:pPr>
      <w:r>
        <w:rPr>
          <w:b/>
          <w:color w:val="00188F"/>
        </w:rPr>
        <w:t>Dodatkowe definicje</w:t>
      </w:r>
      <w:r w:rsidRPr="007B038A">
        <w:rPr>
          <w:b/>
          <w:color w:val="00188F"/>
        </w:rPr>
        <w:t>:</w:t>
      </w:r>
    </w:p>
    <w:p w14:paraId="502FA76B" w14:textId="5FFDB257" w:rsidR="00AA02E4" w:rsidRDefault="00AA02E4" w:rsidP="00AA02E4">
      <w:pPr>
        <w:pStyle w:val="ProductList-Body"/>
      </w:pPr>
      <w:r>
        <w:t>„</w:t>
      </w:r>
      <w:r>
        <w:rPr>
          <w:b/>
          <w:color w:val="00188F"/>
        </w:rPr>
        <w:t>Łączna Liczba Żądań</w:t>
      </w:r>
      <w:r>
        <w:t xml:space="preserve">” to zbiór wszystkich żądań, innych niż Żądania Nieuwzględnione, mających na celu wykonanie operacji na Zasobach we Właściwym Okresie dla danej subskrypcji Microsoft </w:t>
      </w:r>
      <w:proofErr w:type="spellStart"/>
      <w:r>
        <w:t>Azure</w:t>
      </w:r>
      <w:proofErr w:type="spellEnd"/>
      <w:r>
        <w:t>.</w:t>
      </w:r>
    </w:p>
    <w:p w14:paraId="4F3686F7" w14:textId="77777777" w:rsidR="00AA02E4" w:rsidRDefault="00AA02E4" w:rsidP="00AA02E4">
      <w:pPr>
        <w:pStyle w:val="ProductList-Body"/>
      </w:pPr>
      <w:r>
        <w:t>„</w:t>
      </w:r>
      <w:r>
        <w:rPr>
          <w:b/>
          <w:color w:val="00188F"/>
        </w:rPr>
        <w:t>Żądania Nieuwzględnione</w:t>
      </w:r>
      <w:r>
        <w:t xml:space="preserve">” to zbiór żądań, których wynikiem jest kod stanu HTTP 4xx inny niż kod stanu HTTP 408. </w:t>
      </w:r>
    </w:p>
    <w:p w14:paraId="79E49C6D" w14:textId="77777777" w:rsidR="00AA02E4" w:rsidRDefault="00AA02E4" w:rsidP="00AA02E4">
      <w:pPr>
        <w:pStyle w:val="ProductList-Body"/>
      </w:pPr>
      <w:r>
        <w:t>„</w:t>
      </w:r>
      <w:r>
        <w:rPr>
          <w:b/>
          <w:color w:val="00188F"/>
        </w:rPr>
        <w:t>Żądania Zakończone Niepowodzeniem</w:t>
      </w:r>
      <w:r>
        <w:t xml:space="preserve">” to zbiór wszystkich żądań w ramach Łącznej Liczby Żądań, które zwracają Kod Błędu lub kod stanu HTTP 408 lub w inny sposób nie zwracają Kodu Sukcesu w ciągu dwóch minut. </w:t>
      </w:r>
    </w:p>
    <w:p w14:paraId="2D21FDFB" w14:textId="46C069CC" w:rsidR="00AA02E4" w:rsidRDefault="00AA02E4" w:rsidP="00AA02E4">
      <w:pPr>
        <w:pStyle w:val="ProductList-Body"/>
      </w:pPr>
      <w:r w:rsidRPr="00B41CC1">
        <w:t>„</w:t>
      </w:r>
      <w:r>
        <w:rPr>
          <w:b/>
          <w:color w:val="00188F"/>
        </w:rPr>
        <w:t>Procent Czasu Sprawnego Działania</w:t>
      </w:r>
      <w:r>
        <w:t xml:space="preserve">” dla </w:t>
      </w:r>
      <w:proofErr w:type="spellStart"/>
      <w:r>
        <w:t>wywołań</w:t>
      </w:r>
      <w:proofErr w:type="spellEnd"/>
      <w:r>
        <w:t xml:space="preserve"> interfejsu API skierowanych do Usług Data </w:t>
      </w:r>
      <w:proofErr w:type="spellStart"/>
      <w:r>
        <w:t>Factory</w:t>
      </w:r>
      <w:proofErr w:type="spellEnd"/>
      <w:r>
        <w:t xml:space="preserve"> jest obliczany jako Łączna Liczba Żądań pomniejszona o Żądania Zakończone Niepowodzeniem, podzielona przez Łączną Liczbę Żądań we Właściwym Okresie dla danej subskrypcji Microsoft </w:t>
      </w:r>
      <w:proofErr w:type="spellStart"/>
      <w:r>
        <w:t>Azure</w:t>
      </w:r>
      <w:proofErr w:type="spellEnd"/>
      <w:r>
        <w:t xml:space="preserve">. </w:t>
      </w:r>
    </w:p>
    <w:p w14:paraId="0C1962F3" w14:textId="5EA7870E" w:rsidR="00AA02E4" w:rsidRPr="00EF7CF9" w:rsidRDefault="00AC48A7" w:rsidP="00AA02E4">
      <w:pPr>
        <w:pStyle w:val="ProductList-Body"/>
      </w:pPr>
      <w:r>
        <w:t>Procent Czasu Sprawnego Działania przedstawia się za pomocą następującego wzoru:</w:t>
      </w:r>
    </w:p>
    <w:p w14:paraId="20D98153" w14:textId="3C70AFA2" w:rsidR="00AA02E4" w:rsidRPr="00272B37" w:rsidRDefault="00272B37" w:rsidP="00A57C32">
      <w:pPr>
        <w:spacing w:before="120" w:after="120" w:line="240" w:lineRule="auto"/>
        <w:rPr>
          <w:rFonts w:ascii="Cambria Math" w:hAnsi="Cambria Math" w:cs="Tahoma"/>
          <w:i/>
          <w:color w:val="000000" w:themeColor="text1"/>
          <w:sz w:val="18"/>
          <w:szCs w:val="18"/>
        </w:rPr>
      </w:pPr>
      <m:oMathPara>
        <m:oMath>
          <m:r>
            <m:rPr>
              <m:nor/>
            </m:rPr>
            <w:rPr>
              <w:rFonts w:ascii="Cambria Math" w:hAnsi="Cambria Math" w:cs="Tahoma"/>
              <w:i/>
              <w:sz w:val="18"/>
              <w:szCs w:val="18"/>
            </w:rPr>
            <m:t xml:space="preserve">Procent Czasu Sprawnego Działania w Miesiącu = </m:t>
          </m:r>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Żądań - Żądania Zakończone Niepowodzeniem)</m:t>
              </m:r>
            </m:num>
            <m:den>
              <m:r>
                <m:rPr>
                  <m:nor/>
                </m:rPr>
                <w:rPr>
                  <w:rFonts w:ascii="Cambria Math" w:hAnsi="Cambria Math" w:cs="Tahoma"/>
                  <w:i/>
                  <w:color w:val="000000" w:themeColor="text1"/>
                  <w:sz w:val="18"/>
                  <w:szCs w:val="18"/>
                </w:rPr>
                <m:t>Łączna Liczba Żądań</m:t>
              </m:r>
            </m:den>
          </m:f>
        </m:oMath>
      </m:oMathPara>
    </w:p>
    <w:p w14:paraId="534303A0" w14:textId="77777777" w:rsidR="00AA02E4" w:rsidRPr="000225DD" w:rsidRDefault="00AA02E4" w:rsidP="00AA02E4">
      <w:pPr>
        <w:pStyle w:val="ProductList-Body"/>
        <w:rPr>
          <w:b/>
          <w:color w:val="00188F"/>
        </w:rPr>
      </w:pPr>
      <w:r w:rsidRPr="000225DD">
        <w:rPr>
          <w:b/>
          <w:color w:val="00188F"/>
        </w:rPr>
        <w:t xml:space="preserve">Następujące Środki Serwisowe na Używanie Usług mają zastosowanie do korzystania przez klienta z </w:t>
      </w:r>
      <w:proofErr w:type="spellStart"/>
      <w:r w:rsidRPr="000225DD">
        <w:rPr>
          <w:b/>
          <w:color w:val="00188F"/>
        </w:rPr>
        <w:t>wywołań</w:t>
      </w:r>
      <w:proofErr w:type="spellEnd"/>
      <w:r w:rsidRPr="000225DD">
        <w:rPr>
          <w:b/>
          <w:color w:val="00188F"/>
        </w:rPr>
        <w:t xml:space="preserve"> interfejsu API w ramach Usługi Data </w:t>
      </w:r>
      <w:proofErr w:type="spellStart"/>
      <w:r w:rsidRPr="000225DD">
        <w:rPr>
          <w:b/>
          <w:color w:val="00188F"/>
        </w:rPr>
        <w:t>Factory</w:t>
      </w:r>
      <w:proofErr w:type="spellEnd"/>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63998EDA" w14:textId="77777777" w:rsidTr="00277097">
        <w:trPr>
          <w:tblHeader/>
        </w:trPr>
        <w:tc>
          <w:tcPr>
            <w:tcW w:w="5400" w:type="dxa"/>
            <w:shd w:val="clear" w:color="auto" w:fill="0072C6"/>
          </w:tcPr>
          <w:p w14:paraId="4CEEECFD" w14:textId="5BF51D05" w:rsidR="00AA02E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50673EA" w14:textId="77777777" w:rsidR="00AA02E4" w:rsidRPr="00EF7CF9" w:rsidRDefault="00AA02E4" w:rsidP="000F31B4">
            <w:pPr>
              <w:pStyle w:val="ProductList-OfferingBody"/>
              <w:jc w:val="center"/>
              <w:rPr>
                <w:color w:val="FFFFFF" w:themeColor="background1"/>
              </w:rPr>
            </w:pPr>
            <w:r>
              <w:rPr>
                <w:color w:val="FFFFFF" w:themeColor="background1"/>
              </w:rPr>
              <w:t>Środki Serwisowe na Używanie Usług</w:t>
            </w:r>
          </w:p>
        </w:tc>
      </w:tr>
      <w:tr w:rsidR="00AA02E4" w:rsidRPr="00B44CF9" w14:paraId="18C3EE26" w14:textId="77777777" w:rsidTr="00277097">
        <w:tc>
          <w:tcPr>
            <w:tcW w:w="5400" w:type="dxa"/>
          </w:tcPr>
          <w:p w14:paraId="150A3FE7" w14:textId="77777777" w:rsidR="00AA02E4" w:rsidRPr="00EF7CF9" w:rsidRDefault="00AA02E4" w:rsidP="000F31B4">
            <w:pPr>
              <w:pStyle w:val="ProductList-OfferingBody"/>
              <w:jc w:val="center"/>
            </w:pPr>
            <w:r>
              <w:t>&lt; 99,9%</w:t>
            </w:r>
          </w:p>
        </w:tc>
        <w:tc>
          <w:tcPr>
            <w:tcW w:w="5400" w:type="dxa"/>
          </w:tcPr>
          <w:p w14:paraId="45423A50" w14:textId="77777777" w:rsidR="00AA02E4" w:rsidRPr="00EF7CF9" w:rsidRDefault="00AA02E4" w:rsidP="000F31B4">
            <w:pPr>
              <w:pStyle w:val="ProductList-OfferingBody"/>
              <w:jc w:val="center"/>
            </w:pPr>
            <w:r>
              <w:t>10%</w:t>
            </w:r>
          </w:p>
        </w:tc>
      </w:tr>
      <w:tr w:rsidR="00AA02E4" w:rsidRPr="00B44CF9" w14:paraId="11382E4F" w14:textId="77777777" w:rsidTr="00277097">
        <w:tc>
          <w:tcPr>
            <w:tcW w:w="5400" w:type="dxa"/>
          </w:tcPr>
          <w:p w14:paraId="2F93EE8A" w14:textId="77777777" w:rsidR="00AA02E4" w:rsidRPr="00EF7CF9" w:rsidRDefault="00AA02E4" w:rsidP="000F31B4">
            <w:pPr>
              <w:pStyle w:val="ProductList-OfferingBody"/>
              <w:jc w:val="center"/>
            </w:pPr>
            <w:r>
              <w:t>&lt; 99%</w:t>
            </w:r>
          </w:p>
        </w:tc>
        <w:tc>
          <w:tcPr>
            <w:tcW w:w="5400" w:type="dxa"/>
          </w:tcPr>
          <w:p w14:paraId="5932E997" w14:textId="77777777" w:rsidR="00AA02E4" w:rsidRPr="00EF7CF9" w:rsidRDefault="00AA02E4" w:rsidP="000F31B4">
            <w:pPr>
              <w:pStyle w:val="ProductList-OfferingBody"/>
              <w:jc w:val="center"/>
            </w:pPr>
            <w:r>
              <w:t>25%</w:t>
            </w:r>
          </w:p>
        </w:tc>
      </w:tr>
    </w:tbl>
    <w:p w14:paraId="7FE0019D" w14:textId="65672919" w:rsidR="00AA02E4" w:rsidRPr="00ED4527" w:rsidRDefault="00EE6E3C" w:rsidP="000225DD">
      <w:pPr>
        <w:pStyle w:val="ProductList-Body"/>
        <w:keepNext/>
        <w:spacing w:before="120"/>
        <w:rPr>
          <w:b/>
          <w:bCs/>
          <w:color w:val="00188F"/>
        </w:rPr>
      </w:pPr>
      <w:r>
        <w:rPr>
          <w:b/>
          <w:bCs/>
          <w:color w:val="00188F"/>
        </w:rPr>
        <w:t xml:space="preserve">Obliczanie Czasu Sprawnego Działania dla Uruchamianych Działań w ramach Usługi Data </w:t>
      </w:r>
      <w:proofErr w:type="spellStart"/>
      <w:r>
        <w:rPr>
          <w:b/>
          <w:bCs/>
          <w:color w:val="00188F"/>
        </w:rPr>
        <w:t>Factory</w:t>
      </w:r>
      <w:proofErr w:type="spellEnd"/>
    </w:p>
    <w:p w14:paraId="4FAAD9F9" w14:textId="77777777" w:rsidR="00AA02E4" w:rsidRPr="00AA02E4" w:rsidRDefault="00AA02E4" w:rsidP="00AA02E4">
      <w:pPr>
        <w:pStyle w:val="ProductList-Body"/>
        <w:keepNext/>
        <w:rPr>
          <w:b/>
          <w:bCs/>
          <w:color w:val="00188F"/>
        </w:rPr>
      </w:pPr>
      <w:r>
        <w:rPr>
          <w:b/>
          <w:bCs/>
          <w:color w:val="00188F"/>
        </w:rPr>
        <w:t>Dodatkowe definicje:</w:t>
      </w:r>
    </w:p>
    <w:p w14:paraId="6878FBB3" w14:textId="41A08D95" w:rsidR="00AA02E4" w:rsidRPr="00EF7CF9" w:rsidRDefault="00AA02E4" w:rsidP="00AA02E4">
      <w:pPr>
        <w:pStyle w:val="ProductList-Body"/>
      </w:pPr>
      <w:r>
        <w:t>„</w:t>
      </w:r>
      <w:r>
        <w:rPr>
          <w:b/>
          <w:color w:val="00188F"/>
        </w:rPr>
        <w:t>Łączna Liczba Uruchamianych Działań</w:t>
      </w:r>
      <w:r>
        <w:t>”</w:t>
      </w:r>
      <w:r>
        <w:rPr>
          <w:b/>
          <w:color w:val="00188F"/>
        </w:rPr>
        <w:t xml:space="preserve"> </w:t>
      </w:r>
      <w:r>
        <w:rPr>
          <w:rFonts w:cs="Tahoma"/>
        </w:rPr>
        <w:t xml:space="preserve">to łączna liczba Uruchamianych Działań, które próbowano wykonać we Właściwym Okresie dla danej subskrypcji Microsoft </w:t>
      </w:r>
      <w:proofErr w:type="spellStart"/>
      <w:r>
        <w:rPr>
          <w:rFonts w:cs="Tahoma"/>
        </w:rPr>
        <w:t>Azure</w:t>
      </w:r>
      <w:proofErr w:type="spellEnd"/>
      <w:r>
        <w:rPr>
          <w:rFonts w:cs="Tahoma"/>
        </w:rPr>
        <w:t xml:space="preserve">. </w:t>
      </w:r>
    </w:p>
    <w:p w14:paraId="045CDE7E" w14:textId="77777777" w:rsidR="00AA02E4" w:rsidRPr="00EF7CF9" w:rsidRDefault="00AA02E4" w:rsidP="00AA02E4">
      <w:pPr>
        <w:pStyle w:val="ProductList-Body"/>
      </w:pPr>
      <w:r>
        <w:t>„</w:t>
      </w:r>
      <w:r>
        <w:rPr>
          <w:b/>
          <w:color w:val="00188F"/>
        </w:rPr>
        <w:t>Opóźnione Uruchamiane Działania</w:t>
      </w:r>
      <w:r>
        <w:t>” to łączna liczba Uruchamianych Działań, które próbowano podjąć i w przypadku których wykonywanie działania nie rozpoczęło się w ciągu czterech (4) minut od planowanego czasu wykonania danego działania, przy założeniu, że spełnione zostały wszelkie zależności wymagane do wykonania danego działania.</w:t>
      </w:r>
    </w:p>
    <w:p w14:paraId="45528E5A" w14:textId="705F1A51" w:rsidR="00AA02E4" w:rsidRPr="00ED4527" w:rsidRDefault="00AA02E4" w:rsidP="00AA02E4">
      <w:pPr>
        <w:pStyle w:val="ProductList-Body"/>
        <w:rPr>
          <w:color w:val="000000" w:themeColor="text1"/>
        </w:rPr>
      </w:pPr>
      <w:r>
        <w:t>„</w:t>
      </w:r>
      <w:r>
        <w:rPr>
          <w:b/>
          <w:color w:val="00188F"/>
        </w:rPr>
        <w:t>Procent Czasu Sprawnego Działania</w:t>
      </w:r>
      <w:r>
        <w:t xml:space="preserve">” </w:t>
      </w:r>
      <w:r>
        <w:rPr>
          <w:color w:val="000000" w:themeColor="text1"/>
        </w:rPr>
        <w:t xml:space="preserve">dla Usługi Data </w:t>
      </w:r>
      <w:proofErr w:type="spellStart"/>
      <w:r>
        <w:rPr>
          <w:color w:val="000000" w:themeColor="text1"/>
        </w:rPr>
        <w:t>Factory</w:t>
      </w:r>
      <w:proofErr w:type="spellEnd"/>
      <w:r>
        <w:rPr>
          <w:color w:val="000000" w:themeColor="text1"/>
        </w:rPr>
        <w:t xml:space="preserve"> jest obliczany jako Łączna Liczba Uruchamianych Działań pomniejszona o Opóźnione Uruchomienia Działań podzielona przez Łączną Liczbę Uruchamianych Działań we Właściwym Okresie dla danej subskrypcji Microsoft </w:t>
      </w:r>
      <w:proofErr w:type="spellStart"/>
      <w:r>
        <w:rPr>
          <w:color w:val="000000" w:themeColor="text1"/>
        </w:rPr>
        <w:t>Azure</w:t>
      </w:r>
      <w:proofErr w:type="spellEnd"/>
      <w:r>
        <w:rPr>
          <w:color w:val="000000" w:themeColor="text1"/>
        </w:rPr>
        <w:t>.</w:t>
      </w:r>
    </w:p>
    <w:p w14:paraId="0B2BEE09" w14:textId="0B818B97" w:rsidR="00AA02E4" w:rsidRPr="00EF7CF9" w:rsidRDefault="00AA02E4" w:rsidP="00AA02E4">
      <w:pPr>
        <w:pStyle w:val="ProductList-Body"/>
      </w:pPr>
      <w:r>
        <w:t>Procent Czasu Sprawnego Działania jest obliczany przy użyciu następującego wzoru:</w:t>
      </w:r>
    </w:p>
    <w:p w14:paraId="4DA9AF41" w14:textId="1FB8AF80" w:rsidR="00AA02E4" w:rsidRPr="00EF7CF9" w:rsidRDefault="00000000" w:rsidP="00A57C3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Uruchamianych Działań – Opóźnione Uruchamiane Działania</m:t>
              </m:r>
            </m:num>
            <m:den>
              <m:r>
                <m:rPr>
                  <m:nor/>
                </m:rPr>
                <w:rPr>
                  <w:rFonts w:ascii="Cambria Math" w:hAnsi="Cambria Math" w:cs="Tahoma"/>
                  <w:i/>
                  <w:color w:val="000000" w:themeColor="text1"/>
                  <w:sz w:val="18"/>
                  <w:szCs w:val="18"/>
                </w:rPr>
                <m:t>Łączna Liczba Uruchamianych Działań</m:t>
              </m:r>
            </m:den>
          </m:f>
          <m:r>
            <w:rPr>
              <w:rFonts w:ascii="Cambria Math" w:hAnsi="Cambria Math" w:cs="Tahoma"/>
              <w:color w:val="000000" w:themeColor="text1"/>
              <w:sz w:val="18"/>
              <w:szCs w:val="18"/>
            </w:rPr>
            <m:t xml:space="preserve"> x 100</m:t>
          </m:r>
        </m:oMath>
      </m:oMathPara>
    </w:p>
    <w:p w14:paraId="01B52656" w14:textId="77777777" w:rsidR="00AA02E4" w:rsidRPr="00EF7CF9" w:rsidRDefault="00AA02E4" w:rsidP="00AA02E4">
      <w:pPr>
        <w:pStyle w:val="ProductList-Body"/>
      </w:pPr>
      <w:r>
        <w:rPr>
          <w:b/>
          <w:color w:val="00188F"/>
        </w:rPr>
        <w:t xml:space="preserve">Do używania przez Klienta Uruchamianych Działań klienta w ramach Usługi Data </w:t>
      </w:r>
      <w:proofErr w:type="spellStart"/>
      <w:r>
        <w:rPr>
          <w:b/>
          <w:color w:val="00188F"/>
        </w:rPr>
        <w:t>Factory</w:t>
      </w:r>
      <w:proofErr w:type="spellEnd"/>
      <w:r>
        <w:rPr>
          <w:b/>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20188BB8" w14:textId="77777777" w:rsidTr="00277097">
        <w:trPr>
          <w:tblHeader/>
        </w:trPr>
        <w:tc>
          <w:tcPr>
            <w:tcW w:w="5400" w:type="dxa"/>
            <w:shd w:val="clear" w:color="auto" w:fill="0072C6"/>
          </w:tcPr>
          <w:p w14:paraId="1D8C5CEE" w14:textId="195157CF" w:rsidR="00AA02E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CD5C5F8" w14:textId="77777777" w:rsidR="00AA02E4" w:rsidRPr="00EF7CF9" w:rsidRDefault="00AA02E4" w:rsidP="000F31B4">
            <w:pPr>
              <w:pStyle w:val="ProductList-OfferingBody"/>
              <w:jc w:val="center"/>
              <w:rPr>
                <w:color w:val="FFFFFF" w:themeColor="background1"/>
              </w:rPr>
            </w:pPr>
            <w:r>
              <w:rPr>
                <w:color w:val="FFFFFF" w:themeColor="background1"/>
              </w:rPr>
              <w:t>Środki Serwisowe na Używanie Usług</w:t>
            </w:r>
          </w:p>
        </w:tc>
      </w:tr>
      <w:tr w:rsidR="00AA02E4" w:rsidRPr="00B44CF9" w14:paraId="0A555355" w14:textId="77777777" w:rsidTr="00277097">
        <w:tc>
          <w:tcPr>
            <w:tcW w:w="5400" w:type="dxa"/>
            <w:tcBorders>
              <w:bottom w:val="single" w:sz="4" w:space="0" w:color="000000" w:themeColor="text1"/>
            </w:tcBorders>
          </w:tcPr>
          <w:p w14:paraId="68B4D667" w14:textId="77777777" w:rsidR="00AA02E4" w:rsidRPr="00EF7CF9" w:rsidRDefault="00AA02E4" w:rsidP="000F31B4">
            <w:pPr>
              <w:pStyle w:val="ProductList-OfferingBody"/>
              <w:jc w:val="center"/>
            </w:pPr>
            <w:r>
              <w:t>&lt; 99,9%</w:t>
            </w:r>
          </w:p>
        </w:tc>
        <w:tc>
          <w:tcPr>
            <w:tcW w:w="5400" w:type="dxa"/>
            <w:tcBorders>
              <w:bottom w:val="single" w:sz="4" w:space="0" w:color="000000" w:themeColor="text1"/>
            </w:tcBorders>
          </w:tcPr>
          <w:p w14:paraId="7C920EF9" w14:textId="77777777" w:rsidR="00AA02E4" w:rsidRPr="00EF7CF9" w:rsidRDefault="00AA02E4" w:rsidP="000F31B4">
            <w:pPr>
              <w:pStyle w:val="ProductList-OfferingBody"/>
              <w:jc w:val="center"/>
            </w:pPr>
            <w:r>
              <w:t>10%</w:t>
            </w:r>
          </w:p>
        </w:tc>
      </w:tr>
      <w:tr w:rsidR="00AA02E4" w:rsidRPr="00B44CF9" w14:paraId="66B4DA7A" w14:textId="77777777" w:rsidTr="00277097">
        <w:tc>
          <w:tcPr>
            <w:tcW w:w="5400" w:type="dxa"/>
            <w:tcBorders>
              <w:bottom w:val="single" w:sz="4" w:space="0" w:color="auto"/>
            </w:tcBorders>
          </w:tcPr>
          <w:p w14:paraId="066A9483" w14:textId="77777777" w:rsidR="00AA02E4" w:rsidRPr="00EF7CF9" w:rsidRDefault="00AA02E4" w:rsidP="000F31B4">
            <w:pPr>
              <w:pStyle w:val="ProductList-OfferingBody"/>
              <w:jc w:val="center"/>
            </w:pPr>
            <w:r>
              <w:t>&lt; 99%</w:t>
            </w:r>
          </w:p>
        </w:tc>
        <w:tc>
          <w:tcPr>
            <w:tcW w:w="5400" w:type="dxa"/>
            <w:tcBorders>
              <w:bottom w:val="single" w:sz="4" w:space="0" w:color="auto"/>
            </w:tcBorders>
          </w:tcPr>
          <w:p w14:paraId="41D014A5" w14:textId="77777777" w:rsidR="00AA02E4" w:rsidRPr="00EF7CF9" w:rsidRDefault="00AA02E4" w:rsidP="000F31B4">
            <w:pPr>
              <w:pStyle w:val="ProductList-OfferingBody"/>
              <w:jc w:val="center"/>
            </w:pPr>
            <w:r>
              <w:t>25%</w:t>
            </w:r>
          </w:p>
        </w:tc>
      </w:tr>
    </w:tbl>
    <w:bookmarkStart w:id="209" w:name="_Toc457821548"/>
    <w:p w14:paraId="432E60AC" w14:textId="5B971D72" w:rsidR="00AA02E4" w:rsidRPr="00EF7CF9" w:rsidRDefault="00C71F89"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53F84F8" w14:textId="2A9E744D" w:rsidR="00AA02E4" w:rsidRPr="00EF7CF9" w:rsidRDefault="00AA02E4" w:rsidP="00AA02E4">
      <w:pPr>
        <w:pStyle w:val="ProductList-Offering2Heading"/>
        <w:keepNext/>
        <w:tabs>
          <w:tab w:val="clear" w:pos="360"/>
          <w:tab w:val="clear" w:pos="720"/>
          <w:tab w:val="clear" w:pos="1080"/>
        </w:tabs>
        <w:outlineLvl w:val="2"/>
      </w:pPr>
      <w:bookmarkStart w:id="210" w:name="_Toc52348951"/>
      <w:bookmarkStart w:id="211" w:name="_Toc239174991"/>
      <w:bookmarkStart w:id="212" w:name="_Toc457821549"/>
      <w:bookmarkEnd w:id="209"/>
      <w:r>
        <w:t>Data Lake Analytics</w:t>
      </w:r>
      <w:bookmarkEnd w:id="210"/>
      <w:bookmarkEnd w:id="211"/>
    </w:p>
    <w:p w14:paraId="50DCF9CE" w14:textId="77777777" w:rsidR="00AA02E4" w:rsidRPr="00EF7CF9" w:rsidRDefault="00AA02E4" w:rsidP="00AA02E4">
      <w:pPr>
        <w:pStyle w:val="ProductList-Body"/>
        <w:keepNext/>
        <w:rPr>
          <w:b/>
          <w:color w:val="00188F"/>
        </w:rPr>
      </w:pPr>
      <w:r>
        <w:rPr>
          <w:b/>
          <w:color w:val="00188F"/>
        </w:rPr>
        <w:t>Dodatkowe definicje</w:t>
      </w:r>
      <w:r w:rsidRPr="007B038A">
        <w:rPr>
          <w:b/>
          <w:color w:val="00188F"/>
        </w:rPr>
        <w:t>:</w:t>
      </w:r>
    </w:p>
    <w:p w14:paraId="48683A43" w14:textId="60A25E77" w:rsidR="00AA02E4" w:rsidRPr="00EF7CF9" w:rsidRDefault="00AA02E4" w:rsidP="00AA02E4">
      <w:pPr>
        <w:pStyle w:val="ProductList-Body"/>
      </w:pPr>
      <w:r>
        <w:t>„</w:t>
      </w:r>
      <w:r>
        <w:rPr>
          <w:b/>
          <w:color w:val="00188F"/>
        </w:rPr>
        <w:t>Łączna Liczba Operacji</w:t>
      </w:r>
      <w:r>
        <w:t xml:space="preserve">” to łączna liczba operacji uwierzytelnionych, które próbowano wykonać w ciągu jednogodzinnego przedziału na wszystkich kontach Data Lake Analytics w danej subskrypcji </w:t>
      </w:r>
      <w:proofErr w:type="spellStart"/>
      <w:r>
        <w:t>Azure</w:t>
      </w:r>
      <w:proofErr w:type="spellEnd"/>
      <w:r>
        <w:t xml:space="preserve"> we Właściwym Okresie. </w:t>
      </w:r>
    </w:p>
    <w:p w14:paraId="619001CB"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Operacje Zakończone Niepowodzeniem</w:t>
      </w:r>
      <w:r>
        <w:rPr>
          <w:sz w:val="18"/>
          <w:szCs w:val="18"/>
        </w:rPr>
        <w:t>” to zbiór wszystkich operacji w ramach Łącznej Liczby Operacji, które zwracają Kod Błędu albo nie zwracają Kodu Sukcesu w ciągu pięciu minut w przypadku utworzenia albo usunięcia konta albo 25 sekund w przypadku wszystkich innych operacji, z doliczeniem dwóch sekund na 1 MB w przypadku operacji z ładunkiem</w:t>
      </w:r>
      <w:r>
        <w:rPr>
          <w:rFonts w:ascii="Calibri" w:eastAsia="Calibri" w:hAnsi="Calibri" w:cs="Calibri"/>
          <w:sz w:val="18"/>
          <w:szCs w:val="18"/>
        </w:rPr>
        <w:t>.</w:t>
      </w:r>
    </w:p>
    <w:p w14:paraId="6CA1A056" w14:textId="77777777" w:rsidR="00AA02E4" w:rsidRPr="00EF7CF9"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Częstość Błędów</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to łączna liczba Operacji Zakończonych Niepowodzeniem podzielona przez Łączną Liczbę Operacji w danym jednogodzinnym przedziale. Jeśli Łączna Liczba Operacji w danym przedziale jednogodzinnym wynosi zero, Częstość Błędów dla tego przedziału wynosi 0%.</w:t>
      </w:r>
    </w:p>
    <w:p w14:paraId="456F89ED" w14:textId="793C232D" w:rsidR="00AA02E4" w:rsidRPr="00EF7CF9" w:rsidRDefault="00AC48A7" w:rsidP="00AA02E4">
      <w:pPr>
        <w:pStyle w:val="ProductList-Body"/>
      </w:pPr>
      <w:r>
        <w:rPr>
          <w:b/>
          <w:color w:val="00188F"/>
        </w:rPr>
        <w:t>Procent Czasu Sprawnego Działania</w:t>
      </w:r>
      <w:r w:rsidRPr="007B038A">
        <w:rPr>
          <w:b/>
          <w:color w:val="00188F"/>
        </w:rPr>
        <w:t>:</w:t>
      </w:r>
      <w:r>
        <w:t xml:space="preserve"> Procent Czasu Sprawnego Działania jest obliczany przy użyciu następującego wzoru:</w:t>
      </w:r>
    </w:p>
    <w:p w14:paraId="3F9B2817" w14:textId="03CA6571" w:rsidR="00AA02E4" w:rsidRPr="00EF7CF9" w:rsidRDefault="00272B37" w:rsidP="000225DD">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Średnia Częstość Błędów</m:t>
          </m:r>
        </m:oMath>
      </m:oMathPara>
    </w:p>
    <w:p w14:paraId="3E5DCAAE" w14:textId="77777777" w:rsidR="00AA02E4" w:rsidRPr="00EF7CF9" w:rsidRDefault="00AA02E4" w:rsidP="00AA02E4">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7623A6D3" w14:textId="77777777" w:rsidTr="00277097">
        <w:trPr>
          <w:tblHeader/>
        </w:trPr>
        <w:tc>
          <w:tcPr>
            <w:tcW w:w="5400" w:type="dxa"/>
            <w:shd w:val="clear" w:color="auto" w:fill="0072C6"/>
          </w:tcPr>
          <w:p w14:paraId="2F354443" w14:textId="131E5F13" w:rsidR="00AA02E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9888A05" w14:textId="77777777" w:rsidR="00AA02E4" w:rsidRPr="00EF7CF9" w:rsidRDefault="00AA02E4" w:rsidP="000F31B4">
            <w:pPr>
              <w:pStyle w:val="ProductList-OfferingBody"/>
              <w:jc w:val="center"/>
              <w:rPr>
                <w:color w:val="FFFFFF" w:themeColor="background1"/>
              </w:rPr>
            </w:pPr>
            <w:r>
              <w:rPr>
                <w:color w:val="FFFFFF" w:themeColor="background1"/>
              </w:rPr>
              <w:t>Środki Serwisowe na Używanie Usług</w:t>
            </w:r>
          </w:p>
        </w:tc>
      </w:tr>
      <w:tr w:rsidR="00AA02E4" w:rsidRPr="00B44CF9" w14:paraId="06140D84" w14:textId="77777777" w:rsidTr="00277097">
        <w:tc>
          <w:tcPr>
            <w:tcW w:w="5400" w:type="dxa"/>
          </w:tcPr>
          <w:p w14:paraId="50C3D1A8" w14:textId="77777777" w:rsidR="00AA02E4" w:rsidRPr="00EF7CF9" w:rsidRDefault="00AA02E4" w:rsidP="000F31B4">
            <w:pPr>
              <w:pStyle w:val="ProductList-OfferingBody"/>
              <w:jc w:val="center"/>
            </w:pPr>
            <w:r>
              <w:t>&lt; 99,9%</w:t>
            </w:r>
          </w:p>
        </w:tc>
        <w:tc>
          <w:tcPr>
            <w:tcW w:w="5400" w:type="dxa"/>
          </w:tcPr>
          <w:p w14:paraId="034EEE2E" w14:textId="77777777" w:rsidR="00AA02E4" w:rsidRPr="00EF7CF9" w:rsidRDefault="00AA02E4" w:rsidP="000F31B4">
            <w:pPr>
              <w:pStyle w:val="ProductList-OfferingBody"/>
              <w:jc w:val="center"/>
            </w:pPr>
            <w:r>
              <w:t>10%</w:t>
            </w:r>
          </w:p>
        </w:tc>
      </w:tr>
      <w:tr w:rsidR="00AA02E4" w:rsidRPr="00B44CF9" w14:paraId="76FA4CFF" w14:textId="77777777" w:rsidTr="00277097">
        <w:tc>
          <w:tcPr>
            <w:tcW w:w="5400" w:type="dxa"/>
          </w:tcPr>
          <w:p w14:paraId="4A573A46" w14:textId="77777777" w:rsidR="00AA02E4" w:rsidRPr="00EF7CF9" w:rsidRDefault="00AA02E4" w:rsidP="000F31B4">
            <w:pPr>
              <w:pStyle w:val="ProductList-OfferingBody"/>
              <w:jc w:val="center"/>
            </w:pPr>
            <w:r>
              <w:t>&lt; 99%</w:t>
            </w:r>
          </w:p>
        </w:tc>
        <w:tc>
          <w:tcPr>
            <w:tcW w:w="5400" w:type="dxa"/>
          </w:tcPr>
          <w:p w14:paraId="0F637E8B" w14:textId="77777777" w:rsidR="00AA02E4" w:rsidRPr="00EF7CF9" w:rsidRDefault="00AA02E4" w:rsidP="000F31B4">
            <w:pPr>
              <w:pStyle w:val="ProductList-OfferingBody"/>
              <w:jc w:val="center"/>
            </w:pPr>
            <w:r>
              <w:t>25%</w:t>
            </w:r>
          </w:p>
        </w:tc>
      </w:tr>
    </w:tbl>
    <w:p w14:paraId="7B68BCCF" w14:textId="4C41FF7F" w:rsidR="00AA02E4" w:rsidRPr="00EF7CF9" w:rsidRDefault="00C71F89"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C2039DF" w14:textId="77777777" w:rsidR="00AA02E4" w:rsidRPr="00EF7CF9" w:rsidRDefault="00AA02E4" w:rsidP="00AA02E4">
      <w:pPr>
        <w:pStyle w:val="ProductList-Offering2Heading"/>
        <w:tabs>
          <w:tab w:val="clear" w:pos="360"/>
          <w:tab w:val="clear" w:pos="720"/>
          <w:tab w:val="clear" w:pos="1080"/>
        </w:tabs>
        <w:outlineLvl w:val="2"/>
      </w:pPr>
      <w:bookmarkStart w:id="213" w:name="_Toc52348952"/>
      <w:bookmarkStart w:id="214" w:name="_Toc239174992"/>
      <w:r>
        <w:t>Data Lake Storage Gen1</w:t>
      </w:r>
      <w:bookmarkEnd w:id="213"/>
      <w:bookmarkEnd w:id="214"/>
    </w:p>
    <w:p w14:paraId="7B5916C5" w14:textId="77777777" w:rsidR="00AA02E4" w:rsidRPr="00EF7CF9" w:rsidRDefault="00AA02E4" w:rsidP="00AA02E4">
      <w:pPr>
        <w:pStyle w:val="ProductList-Body"/>
        <w:rPr>
          <w:b/>
          <w:color w:val="00188F"/>
        </w:rPr>
      </w:pPr>
      <w:r>
        <w:rPr>
          <w:b/>
          <w:color w:val="00188F"/>
        </w:rPr>
        <w:t>Dodatkowe definicje</w:t>
      </w:r>
      <w:r w:rsidRPr="007B038A">
        <w:rPr>
          <w:b/>
          <w:color w:val="00188F"/>
        </w:rPr>
        <w:t>:</w:t>
      </w:r>
    </w:p>
    <w:p w14:paraId="23CB8006" w14:textId="0F321AC5" w:rsidR="00AA02E4" w:rsidRPr="00EF7CF9" w:rsidRDefault="00AA02E4" w:rsidP="00AA02E4">
      <w:pPr>
        <w:pStyle w:val="ProductList-Body"/>
      </w:pPr>
      <w:r>
        <w:t>„</w:t>
      </w:r>
      <w:r>
        <w:rPr>
          <w:b/>
          <w:color w:val="00188F"/>
        </w:rPr>
        <w:t>Łączna Liczba Operacji</w:t>
      </w:r>
      <w:r>
        <w:t xml:space="preserve">” to łączna liczba operacji uwierzytelnionych, które próbowano wykonać w ciągu jednogodzinnego przedziału na wszystkich kontach Data Lake </w:t>
      </w:r>
      <w:proofErr w:type="spellStart"/>
      <w:r>
        <w:t>Store</w:t>
      </w:r>
      <w:proofErr w:type="spellEnd"/>
      <w:r>
        <w:t xml:space="preserve"> w danej subskrypcji </w:t>
      </w:r>
      <w:proofErr w:type="spellStart"/>
      <w:r>
        <w:t>Azure</w:t>
      </w:r>
      <w:proofErr w:type="spellEnd"/>
      <w:r>
        <w:t xml:space="preserve"> we Właściwym Okresie.</w:t>
      </w:r>
    </w:p>
    <w:p w14:paraId="50FB34C7" w14:textId="77777777" w:rsidR="00AA02E4" w:rsidRPr="00B32E8E" w:rsidRDefault="00AA02E4" w:rsidP="00AA02E4">
      <w:pPr>
        <w:spacing w:after="0" w:line="240" w:lineRule="auto"/>
        <w:rPr>
          <w:rFonts w:ascii="Calibri" w:eastAsia="Calibri" w:hAnsi="Calibri" w:cs="Calibri"/>
          <w:sz w:val="18"/>
          <w:szCs w:val="18"/>
        </w:rPr>
      </w:pPr>
      <w:r>
        <w:rPr>
          <w:sz w:val="18"/>
          <w:szCs w:val="18"/>
        </w:rPr>
        <w:t>„</w:t>
      </w:r>
      <w:r>
        <w:rPr>
          <w:b/>
          <w:color w:val="00188F"/>
          <w:sz w:val="18"/>
          <w:szCs w:val="18"/>
        </w:rPr>
        <w:t>Operacje Zakończone Niepowodzeniem</w:t>
      </w:r>
      <w:r>
        <w:rPr>
          <w:sz w:val="18"/>
          <w:szCs w:val="18"/>
        </w:rPr>
        <w:t>” to zbiór wszystkich operacji w ramach Łącznej Liczby Operacji, które zwracają Kod Błędu albo nie zwracają Kodu Sukcesu w ciągu pięciu minut w przypadku utworzenia albo usunięcia konta, dwóch sekund na plik w przypadku operacji na wielu plikach, dwóch sekund na 1 MB w przypadku operacji przesyłania danych albo dwóch sekund w przypadku wszystkich innych operacji.</w:t>
      </w:r>
    </w:p>
    <w:p w14:paraId="5024A4E3" w14:textId="77777777" w:rsidR="00AA02E4" w:rsidRDefault="00AA02E4" w:rsidP="00AA02E4">
      <w:pPr>
        <w:pStyle w:val="NormalWeb"/>
        <w:shd w:val="clear" w:color="auto" w:fill="FFFFFF"/>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Częstość Błędów</w:t>
      </w:r>
      <w:r>
        <w:rPr>
          <w:rFonts w:asciiTheme="minorHAnsi" w:eastAsiaTheme="minorHAnsi" w:hAnsiTheme="minorHAnsi" w:cstheme="minorBidi"/>
          <w:sz w:val="18"/>
          <w:szCs w:val="22"/>
        </w:rPr>
        <w:t>”</w:t>
      </w:r>
      <w:r>
        <w:rPr>
          <w:rFonts w:asciiTheme="minorHAnsi" w:hAnsiTheme="minorHAnsi" w:cstheme="minorHAnsi"/>
          <w:sz w:val="18"/>
          <w:szCs w:val="18"/>
        </w:rPr>
        <w:t xml:space="preserve"> </w:t>
      </w:r>
      <w:r>
        <w:rPr>
          <w:rFonts w:asciiTheme="minorHAnsi" w:eastAsiaTheme="minorHAnsi" w:hAnsiTheme="minorHAnsi" w:cstheme="minorBidi"/>
          <w:sz w:val="18"/>
          <w:szCs w:val="22"/>
        </w:rPr>
        <w:t>to łączna liczba Operacji Zakończonych Niepowodzeniem podzielona przez Łączną Liczbę Operacji w danym jednogodzinnym przedziale. Jeśli Łączna Liczba Operacji w danym przedziale jednogodzinnym wynosi zero, Częstość Błędów dla tego przedziału wynosi 0%.</w:t>
      </w:r>
    </w:p>
    <w:p w14:paraId="28D67634" w14:textId="6C6DEF50" w:rsidR="00AA02E4" w:rsidRPr="00ED4527" w:rsidRDefault="00AA02E4" w:rsidP="00AA02E4">
      <w:pPr>
        <w:pStyle w:val="NormalWeb"/>
        <w:shd w:val="clear" w:color="auto" w:fill="FFFFFF"/>
        <w:spacing w:before="0" w:beforeAutospacing="0" w:after="0" w:afterAutospacing="0"/>
        <w:rPr>
          <w:rFonts w:asciiTheme="minorHAnsi" w:eastAsiaTheme="minorHAnsi" w:hAnsiTheme="minorHAnsi" w:cstheme="minorBidi"/>
          <w:color w:val="000000" w:themeColor="text1"/>
          <w:sz w:val="18"/>
          <w:szCs w:val="22"/>
        </w:rPr>
      </w:pPr>
      <w:r>
        <w:rPr>
          <w:rFonts w:asciiTheme="minorHAnsi" w:eastAsiaTheme="minorHAnsi" w:hAnsiTheme="minorHAnsi" w:cstheme="minorBidi"/>
          <w:color w:val="000000" w:themeColor="text1"/>
          <w:sz w:val="18"/>
          <w:szCs w:val="22"/>
        </w:rPr>
        <w:t>„</w:t>
      </w:r>
      <w:r>
        <w:rPr>
          <w:rFonts w:asciiTheme="minorHAnsi" w:eastAsiaTheme="minorHAnsi" w:hAnsiTheme="minorHAnsi" w:cstheme="minorBidi"/>
          <w:b/>
          <w:bCs/>
          <w:color w:val="00188F"/>
          <w:sz w:val="18"/>
          <w:szCs w:val="22"/>
        </w:rPr>
        <w:t xml:space="preserve">Średnia Częstość </w:t>
      </w:r>
      <w:proofErr w:type="spellStart"/>
      <w:r>
        <w:rPr>
          <w:rFonts w:asciiTheme="minorHAnsi" w:eastAsiaTheme="minorHAnsi" w:hAnsiTheme="minorHAnsi" w:cstheme="minorBidi"/>
          <w:b/>
          <w:bCs/>
          <w:color w:val="00188F"/>
          <w:sz w:val="18"/>
          <w:szCs w:val="22"/>
        </w:rPr>
        <w:t>Błędów</w:t>
      </w:r>
      <w:r>
        <w:rPr>
          <w:rFonts w:asciiTheme="minorHAnsi" w:eastAsiaTheme="minorHAnsi" w:hAnsiTheme="minorHAnsi" w:cstheme="minorBidi"/>
          <w:color w:val="000000" w:themeColor="text1"/>
          <w:sz w:val="18"/>
          <w:szCs w:val="22"/>
        </w:rPr>
        <w:t>”we</w:t>
      </w:r>
      <w:proofErr w:type="spellEnd"/>
      <w:r>
        <w:rPr>
          <w:rFonts w:asciiTheme="minorHAnsi" w:eastAsiaTheme="minorHAnsi" w:hAnsiTheme="minorHAnsi" w:cstheme="minorBidi"/>
          <w:color w:val="000000" w:themeColor="text1"/>
          <w:sz w:val="18"/>
          <w:szCs w:val="22"/>
        </w:rPr>
        <w:t xml:space="preserve"> Właściwym Okresie to suma Częstości Błędów dla każdej godziny we Właściwym Okresie podzielona przez łączną liczbę godzin we Właściwym Okresie.</w:t>
      </w:r>
    </w:p>
    <w:p w14:paraId="6D17646E" w14:textId="190CFA3F" w:rsidR="00AA02E4" w:rsidRDefault="00AA02E4" w:rsidP="00AA02E4">
      <w:pPr>
        <w:pStyle w:val="ProductList-Body"/>
      </w:pPr>
      <w:r w:rsidRPr="00B41CC1">
        <w:t>„</w:t>
      </w:r>
      <w:r>
        <w:rPr>
          <w:b/>
          <w:color w:val="00188F"/>
        </w:rPr>
        <w:t>Procent Czasu Sprawnego Działania</w:t>
      </w:r>
      <w:r>
        <w:t xml:space="preserve">” jest obliczany poprzez odjęcie od 100% Średniej Częstości Błędów dla danej subskrypcji Microsoft </w:t>
      </w:r>
      <w:proofErr w:type="spellStart"/>
      <w:r>
        <w:t>Azure</w:t>
      </w:r>
      <w:proofErr w:type="spellEnd"/>
      <w:r>
        <w:t xml:space="preserve"> we</w:t>
      </w:r>
      <w:r w:rsidR="00DB2789">
        <w:t> </w:t>
      </w:r>
      <w:r>
        <w:t>Właściwym Okresie.</w:t>
      </w:r>
    </w:p>
    <w:p w14:paraId="3574B1AB" w14:textId="44DF7591" w:rsidR="00AA02E4" w:rsidRPr="00EF7CF9" w:rsidRDefault="00AA02E4" w:rsidP="00AA02E4">
      <w:pPr>
        <w:pStyle w:val="ProductList-Body"/>
      </w:pPr>
      <w:r>
        <w:t>Procent Czasu Sprawnego Działania jest obliczany przy użyciu następującego wzoru:</w:t>
      </w:r>
    </w:p>
    <w:p w14:paraId="5B9EA659" w14:textId="7DE7FDF6" w:rsidR="00AA02E4" w:rsidRPr="00EF7CF9" w:rsidRDefault="00272B37" w:rsidP="000225DD">
      <w:pPr>
        <w:pStyle w:val="ListParagraph"/>
        <w:spacing w:before="120" w:after="0" w:line="240" w:lineRule="auto"/>
        <w:contextualSpacing w:val="0"/>
        <w:rPr>
          <w:rFonts w:ascii="Cambria Math" w:hAnsi="Cambria Math" w:cs="Tahoma"/>
          <w:i/>
          <w:sz w:val="12"/>
          <w:szCs w:val="12"/>
        </w:rPr>
      </w:pPr>
      <m:oMathPara>
        <m:oMath>
          <m:r>
            <m:rPr>
              <m:nor/>
            </m:rPr>
            <w:rPr>
              <w:rFonts w:ascii="Cambria Math" w:hAnsi="Cambria Math" w:cs="Tahoma"/>
              <w:i/>
              <w:sz w:val="18"/>
              <w:szCs w:val="18"/>
            </w:rPr>
            <m:t>100% - Średnia Częstość Błędów</m:t>
          </m:r>
        </m:oMath>
      </m:oMathPara>
    </w:p>
    <w:p w14:paraId="706099E4" w14:textId="77777777" w:rsidR="00AA02E4" w:rsidRPr="00EF7CF9" w:rsidRDefault="00AA02E4" w:rsidP="00AA02E4">
      <w:pPr>
        <w:pStyle w:val="ProductList-Body"/>
        <w:keepNext/>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A02E4" w:rsidRPr="00B44CF9" w14:paraId="3D31FD7C" w14:textId="77777777" w:rsidTr="00277097">
        <w:trPr>
          <w:tblHeader/>
        </w:trPr>
        <w:tc>
          <w:tcPr>
            <w:tcW w:w="5400" w:type="dxa"/>
            <w:shd w:val="clear" w:color="auto" w:fill="0072C6"/>
          </w:tcPr>
          <w:p w14:paraId="44FCBFCE" w14:textId="4BAE09E7" w:rsidR="00AA02E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F5724F8" w14:textId="77777777" w:rsidR="00AA02E4" w:rsidRPr="00EF7CF9" w:rsidRDefault="00AA02E4" w:rsidP="000F31B4">
            <w:pPr>
              <w:pStyle w:val="ProductList-OfferingBody"/>
              <w:jc w:val="center"/>
              <w:rPr>
                <w:color w:val="FFFFFF" w:themeColor="background1"/>
              </w:rPr>
            </w:pPr>
            <w:r>
              <w:rPr>
                <w:color w:val="FFFFFF" w:themeColor="background1"/>
              </w:rPr>
              <w:t>Środki Serwisowe na Używanie Usług</w:t>
            </w:r>
          </w:p>
        </w:tc>
      </w:tr>
      <w:tr w:rsidR="00AA02E4" w:rsidRPr="00B44CF9" w14:paraId="0C9CD3B2" w14:textId="77777777" w:rsidTr="00277097">
        <w:tc>
          <w:tcPr>
            <w:tcW w:w="5400" w:type="dxa"/>
          </w:tcPr>
          <w:p w14:paraId="41D64B26" w14:textId="77777777" w:rsidR="00AA02E4" w:rsidRPr="00EF7CF9" w:rsidRDefault="00AA02E4" w:rsidP="000F31B4">
            <w:pPr>
              <w:pStyle w:val="ProductList-OfferingBody"/>
              <w:jc w:val="center"/>
            </w:pPr>
            <w:r>
              <w:t>&lt; 99,9%</w:t>
            </w:r>
          </w:p>
        </w:tc>
        <w:tc>
          <w:tcPr>
            <w:tcW w:w="5400" w:type="dxa"/>
          </w:tcPr>
          <w:p w14:paraId="550DC71F" w14:textId="77777777" w:rsidR="00AA02E4" w:rsidRPr="00EF7CF9" w:rsidRDefault="00AA02E4" w:rsidP="000F31B4">
            <w:pPr>
              <w:pStyle w:val="ProductList-OfferingBody"/>
              <w:jc w:val="center"/>
            </w:pPr>
            <w:r>
              <w:t>10%</w:t>
            </w:r>
          </w:p>
        </w:tc>
      </w:tr>
      <w:tr w:rsidR="00AA02E4" w:rsidRPr="00B44CF9" w14:paraId="04B79824" w14:textId="77777777" w:rsidTr="00277097">
        <w:tc>
          <w:tcPr>
            <w:tcW w:w="5400" w:type="dxa"/>
          </w:tcPr>
          <w:p w14:paraId="7772088F" w14:textId="77777777" w:rsidR="00AA02E4" w:rsidRPr="00EF7CF9" w:rsidRDefault="00AA02E4" w:rsidP="000F31B4">
            <w:pPr>
              <w:pStyle w:val="ProductList-OfferingBody"/>
              <w:jc w:val="center"/>
            </w:pPr>
            <w:r>
              <w:t>&lt; 99%</w:t>
            </w:r>
          </w:p>
        </w:tc>
        <w:tc>
          <w:tcPr>
            <w:tcW w:w="5400" w:type="dxa"/>
          </w:tcPr>
          <w:p w14:paraId="6CBF5F4A" w14:textId="77777777" w:rsidR="00AA02E4" w:rsidRPr="00EF7CF9" w:rsidRDefault="00AA02E4" w:rsidP="000F31B4">
            <w:pPr>
              <w:pStyle w:val="ProductList-OfferingBody"/>
              <w:jc w:val="center"/>
            </w:pPr>
            <w:r>
              <w:t>25%</w:t>
            </w:r>
          </w:p>
        </w:tc>
      </w:tr>
    </w:tbl>
    <w:bookmarkEnd w:id="212"/>
    <w:p w14:paraId="1254531B" w14:textId="176232F0" w:rsidR="00AA02E4" w:rsidRPr="00EF7CF9" w:rsidRDefault="00C71F89" w:rsidP="00AA02E4">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AAEE03E" w14:textId="77777777" w:rsidR="00C71243" w:rsidRPr="00C71243" w:rsidRDefault="00C71243" w:rsidP="00C71243">
      <w:pPr>
        <w:pStyle w:val="ProductList-Offering2Heading"/>
        <w:keepNext/>
        <w:tabs>
          <w:tab w:val="clear" w:pos="360"/>
          <w:tab w:val="clear" w:pos="720"/>
          <w:tab w:val="clear" w:pos="1080"/>
        </w:tabs>
        <w:outlineLvl w:val="2"/>
      </w:pPr>
      <w:bookmarkStart w:id="215" w:name="_Toc239174993"/>
      <w:proofErr w:type="spellStart"/>
      <w:r>
        <w:t>Azure</w:t>
      </w:r>
      <w:proofErr w:type="spellEnd"/>
      <w:r>
        <w:t xml:space="preserve"> Database for </w:t>
      </w:r>
      <w:proofErr w:type="spellStart"/>
      <w:r>
        <w:t>MariaDB</w:t>
      </w:r>
      <w:bookmarkEnd w:id="215"/>
      <w:proofErr w:type="spellEnd"/>
    </w:p>
    <w:p w14:paraId="01DD9227" w14:textId="77777777" w:rsidR="00C71243" w:rsidRPr="00C71243" w:rsidRDefault="00C71243" w:rsidP="00C71243">
      <w:pPr>
        <w:pStyle w:val="ProductList-Body"/>
        <w:rPr>
          <w:b/>
          <w:bCs/>
          <w:color w:val="00188F"/>
        </w:rPr>
      </w:pPr>
      <w:r>
        <w:rPr>
          <w:b/>
          <w:bCs/>
          <w:color w:val="00188F"/>
        </w:rPr>
        <w:t>Dodatkowe definicje</w:t>
      </w:r>
    </w:p>
    <w:p w14:paraId="2C3C9DAA" w14:textId="77777777" w:rsidR="00C71243" w:rsidRPr="00C84B0F" w:rsidRDefault="00C71243" w:rsidP="003C20C4">
      <w:pPr>
        <w:pStyle w:val="ProductList-Body"/>
        <w:rPr>
          <w:lang w:val="en-US"/>
        </w:rPr>
      </w:pPr>
      <w:r w:rsidRPr="00C84B0F">
        <w:rPr>
          <w:lang w:val="en-US"/>
        </w:rPr>
        <w:t>„</w:t>
      </w:r>
      <w:r w:rsidRPr="00C84B0F">
        <w:rPr>
          <w:b/>
          <w:bCs/>
          <w:color w:val="00188F"/>
          <w:lang w:val="en-US"/>
        </w:rPr>
        <w:t>Serwer</w:t>
      </w:r>
      <w:r w:rsidRPr="00C84B0F">
        <w:rPr>
          <w:lang w:val="en-US"/>
        </w:rPr>
        <w:t xml:space="preserve">” to </w:t>
      </w:r>
      <w:proofErr w:type="spellStart"/>
      <w:r w:rsidRPr="00C84B0F">
        <w:rPr>
          <w:lang w:val="en-US"/>
        </w:rPr>
        <w:t>dowolny</w:t>
      </w:r>
      <w:proofErr w:type="spellEnd"/>
      <w:r w:rsidRPr="00C84B0F">
        <w:rPr>
          <w:lang w:val="en-US"/>
        </w:rPr>
        <w:t xml:space="preserve"> </w:t>
      </w:r>
      <w:proofErr w:type="spellStart"/>
      <w:r w:rsidRPr="00C84B0F">
        <w:rPr>
          <w:lang w:val="en-US"/>
        </w:rPr>
        <w:t>serwer</w:t>
      </w:r>
      <w:proofErr w:type="spellEnd"/>
      <w:r w:rsidRPr="00C84B0F">
        <w:rPr>
          <w:lang w:val="en-US"/>
        </w:rPr>
        <w:t xml:space="preserve"> Azure Database for MariaDB.</w:t>
      </w:r>
    </w:p>
    <w:p w14:paraId="426A35BB" w14:textId="243FC877" w:rsidR="00C71243" w:rsidRPr="00C71243" w:rsidRDefault="00EE6E3C" w:rsidP="003C20C4">
      <w:pPr>
        <w:pStyle w:val="ProductList-Body"/>
        <w:rPr>
          <w:b/>
          <w:bCs/>
          <w:color w:val="00188F"/>
        </w:rPr>
      </w:pPr>
      <w:r>
        <w:rPr>
          <w:b/>
          <w:bCs/>
          <w:color w:val="00188F"/>
        </w:rPr>
        <w:t xml:space="preserve">Obliczanie Czasu Sprawnego Działania i Poziomy Usługi dla Microsoft </w:t>
      </w:r>
      <w:proofErr w:type="spellStart"/>
      <w:r>
        <w:rPr>
          <w:b/>
          <w:bCs/>
          <w:color w:val="00188F"/>
        </w:rPr>
        <w:t>Azure</w:t>
      </w:r>
      <w:proofErr w:type="spellEnd"/>
      <w:r>
        <w:rPr>
          <w:b/>
          <w:bCs/>
          <w:color w:val="00188F"/>
        </w:rPr>
        <w:t xml:space="preserve"> Database for </w:t>
      </w:r>
      <w:proofErr w:type="spellStart"/>
      <w:r>
        <w:rPr>
          <w:b/>
          <w:bCs/>
          <w:color w:val="00188F"/>
        </w:rPr>
        <w:t>MariaDB</w:t>
      </w:r>
      <w:proofErr w:type="spellEnd"/>
    </w:p>
    <w:p w14:paraId="7F9C0DD0" w14:textId="11AE91EC" w:rsidR="00C71243" w:rsidRDefault="00812E06" w:rsidP="003C20C4">
      <w:pPr>
        <w:pStyle w:val="ProductList-Body"/>
      </w:pPr>
      <w:r w:rsidRPr="00812E06">
        <w:t>„</w:t>
      </w:r>
      <w:r w:rsidR="00C71243">
        <w:rPr>
          <w:b/>
          <w:bCs/>
          <w:color w:val="00188F"/>
        </w:rPr>
        <w:t>Maksymalna Liczba Dostępnych Minut</w:t>
      </w:r>
      <w:r>
        <w:t>”</w:t>
      </w:r>
      <w:r w:rsidR="00C71243">
        <w:t xml:space="preserve"> to łączna liczba minut dla danego Serwera wdrożonych przez klienta w ramach subskrypcji Microsoft </w:t>
      </w:r>
      <w:proofErr w:type="spellStart"/>
      <w:r w:rsidR="00C71243">
        <w:t>Azure</w:t>
      </w:r>
      <w:proofErr w:type="spellEnd"/>
      <w:r w:rsidR="00C71243">
        <w:t xml:space="preserve"> we Właściwym Okresie.</w:t>
      </w:r>
    </w:p>
    <w:p w14:paraId="21BFD013" w14:textId="51E6DD80" w:rsidR="00C71243" w:rsidRDefault="00C71243" w:rsidP="003C20C4">
      <w:pPr>
        <w:pStyle w:val="ProductList-Body"/>
      </w:pPr>
      <w:r>
        <w:t>„</w:t>
      </w:r>
      <w:r>
        <w:rPr>
          <w:b/>
          <w:bCs/>
          <w:color w:val="00188F"/>
        </w:rPr>
        <w:t>Przestój</w:t>
      </w:r>
      <w:r>
        <w:t>” to łączna liczba minut w ramach Maksymalnej Liczby Dostępnych Minut, podczas których Serwer jest niedostępny. Minuta jest uznawana za minutę niedostępności, jeśli wszystkie kolejne próby podejmowane przez Klienta w trakcie tej minuty, zmierzające do ustanowienia połączenia z</w:t>
      </w:r>
      <w:r w:rsidR="00677058">
        <w:t> </w:t>
      </w:r>
      <w:r>
        <w:t>Serwerem, kończą się Kodem Błędu.</w:t>
      </w:r>
    </w:p>
    <w:p w14:paraId="0D0C4BE2" w14:textId="3C88F8A7" w:rsidR="00C71243" w:rsidRDefault="00B41CC1" w:rsidP="003C20C4">
      <w:pPr>
        <w:pStyle w:val="ProductList-Body"/>
      </w:pPr>
      <w:r>
        <w:t>„</w:t>
      </w:r>
      <w:r w:rsidR="00C71243">
        <w:rPr>
          <w:b/>
          <w:bCs/>
          <w:color w:val="00188F"/>
        </w:rPr>
        <w:t>Procent Czasu Sprawnego Działania</w:t>
      </w:r>
      <w:r>
        <w:t>”</w:t>
      </w:r>
      <w:r w:rsidR="00C71243">
        <w:t xml:space="preserve"> dla Microsoft </w:t>
      </w:r>
      <w:proofErr w:type="spellStart"/>
      <w:r w:rsidR="00C71243">
        <w:t>Azure</w:t>
      </w:r>
      <w:proofErr w:type="spellEnd"/>
      <w:r w:rsidR="00C71243">
        <w:t xml:space="preserve"> Database for </w:t>
      </w:r>
      <w:proofErr w:type="spellStart"/>
      <w:r w:rsidR="00C71243">
        <w:t>MariaDB</w:t>
      </w:r>
      <w:proofErr w:type="spellEnd"/>
      <w:r w:rsidR="00C71243">
        <w:t xml:space="preserve"> jest obliczany jako Maksymalna Liczba Dostępnych Minut pomniejszona o Przestój podzielona przez Maksymalną Liczbę Dostępnych Minut.</w:t>
      </w:r>
    </w:p>
    <w:p w14:paraId="2EB00BE0" w14:textId="6FAD217D" w:rsidR="00C71243" w:rsidRDefault="00AC48A7" w:rsidP="00C71243">
      <w:pPr>
        <w:pStyle w:val="ProductList-Body"/>
      </w:pPr>
      <w:r>
        <w:t>Procent Czasu Sprawnego Działania przedstawia się za pomocą następującego wzoru:</w:t>
      </w:r>
    </w:p>
    <w:p w14:paraId="505452FD" w14:textId="4806BD6E" w:rsidR="00C71243" w:rsidRPr="00191B8C" w:rsidRDefault="00000000" w:rsidP="003C20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0F69D4B" w14:textId="77777777" w:rsidR="00C71243" w:rsidRPr="00C71243" w:rsidRDefault="00C71243" w:rsidP="00C71243">
      <w:pPr>
        <w:pStyle w:val="ProductList-Body"/>
        <w:keepNext/>
        <w:rPr>
          <w:b/>
          <w:bCs/>
          <w:color w:val="00188F"/>
        </w:rPr>
      </w:pPr>
      <w:r>
        <w:rPr>
          <w:b/>
          <w:bCs/>
          <w:color w:val="00188F"/>
        </w:rPr>
        <w:t xml:space="preserve">Do używania przez Klienta Microsoft </w:t>
      </w:r>
      <w:proofErr w:type="spellStart"/>
      <w:r>
        <w:rPr>
          <w:b/>
          <w:bCs/>
          <w:color w:val="00188F"/>
        </w:rPr>
        <w:t>Azure</w:t>
      </w:r>
      <w:proofErr w:type="spellEnd"/>
      <w:r>
        <w:rPr>
          <w:b/>
          <w:bCs/>
          <w:color w:val="00188F"/>
        </w:rPr>
        <w:t xml:space="preserve"> Database for </w:t>
      </w:r>
      <w:proofErr w:type="spellStart"/>
      <w:r>
        <w:rPr>
          <w:b/>
          <w:bCs/>
          <w:color w:val="00188F"/>
        </w:rPr>
        <w:t>MariaDB</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71243" w:rsidRPr="00B44CF9" w14:paraId="75B2C8E6" w14:textId="77777777" w:rsidTr="00277097">
        <w:trPr>
          <w:tblHeader/>
        </w:trPr>
        <w:tc>
          <w:tcPr>
            <w:tcW w:w="5400" w:type="dxa"/>
            <w:shd w:val="clear" w:color="auto" w:fill="0072C6"/>
          </w:tcPr>
          <w:p w14:paraId="311665D1" w14:textId="489FA8E4" w:rsidR="00C71243"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34CD5CC" w14:textId="77777777" w:rsidR="00C71243" w:rsidRPr="00EF7CF9" w:rsidRDefault="00C71243" w:rsidP="000F31B4">
            <w:pPr>
              <w:pStyle w:val="ProductList-OfferingBody"/>
              <w:jc w:val="center"/>
              <w:rPr>
                <w:color w:val="FFFFFF" w:themeColor="background1"/>
              </w:rPr>
            </w:pPr>
            <w:r>
              <w:rPr>
                <w:color w:val="FFFFFF" w:themeColor="background1"/>
              </w:rPr>
              <w:t>Środki Serwisowe na Używanie Usług</w:t>
            </w:r>
          </w:p>
        </w:tc>
      </w:tr>
      <w:tr w:rsidR="00C71243" w:rsidRPr="00B44CF9" w14:paraId="70F92965" w14:textId="77777777" w:rsidTr="00277097">
        <w:tc>
          <w:tcPr>
            <w:tcW w:w="5400" w:type="dxa"/>
          </w:tcPr>
          <w:p w14:paraId="66D21EEE" w14:textId="00C67912" w:rsidR="00C71243" w:rsidRPr="00EF7CF9" w:rsidRDefault="00C71243" w:rsidP="000F31B4">
            <w:pPr>
              <w:pStyle w:val="ProductList-OfferingBody"/>
              <w:jc w:val="center"/>
            </w:pPr>
            <w:r>
              <w:t>&lt; 99,99%</w:t>
            </w:r>
          </w:p>
        </w:tc>
        <w:tc>
          <w:tcPr>
            <w:tcW w:w="5400" w:type="dxa"/>
          </w:tcPr>
          <w:p w14:paraId="25F98893" w14:textId="77777777" w:rsidR="00C71243" w:rsidRPr="00EF7CF9" w:rsidRDefault="00C71243" w:rsidP="000F31B4">
            <w:pPr>
              <w:pStyle w:val="ProductList-OfferingBody"/>
              <w:jc w:val="center"/>
            </w:pPr>
            <w:r>
              <w:t>10%</w:t>
            </w:r>
          </w:p>
        </w:tc>
      </w:tr>
      <w:tr w:rsidR="00C71243" w:rsidRPr="00B44CF9" w14:paraId="18AFD382" w14:textId="77777777" w:rsidTr="00277097">
        <w:tc>
          <w:tcPr>
            <w:tcW w:w="5400" w:type="dxa"/>
          </w:tcPr>
          <w:p w14:paraId="21B5F829" w14:textId="77777777" w:rsidR="00C71243" w:rsidRPr="00EF7CF9" w:rsidRDefault="00C71243" w:rsidP="000F31B4">
            <w:pPr>
              <w:pStyle w:val="ProductList-OfferingBody"/>
              <w:jc w:val="center"/>
            </w:pPr>
            <w:r>
              <w:t>&lt; 99%</w:t>
            </w:r>
          </w:p>
        </w:tc>
        <w:tc>
          <w:tcPr>
            <w:tcW w:w="5400" w:type="dxa"/>
          </w:tcPr>
          <w:p w14:paraId="5CFE0918" w14:textId="77777777" w:rsidR="00C71243" w:rsidRPr="00EF7CF9" w:rsidRDefault="00C71243" w:rsidP="000F31B4">
            <w:pPr>
              <w:pStyle w:val="ProductList-OfferingBody"/>
              <w:jc w:val="center"/>
            </w:pPr>
            <w:r>
              <w:t>25%</w:t>
            </w:r>
          </w:p>
        </w:tc>
      </w:tr>
      <w:tr w:rsidR="00C71243" w:rsidRPr="00B44CF9" w14:paraId="16CB6AA2" w14:textId="77777777" w:rsidTr="00277097">
        <w:tc>
          <w:tcPr>
            <w:tcW w:w="5400" w:type="dxa"/>
          </w:tcPr>
          <w:p w14:paraId="64D2162F" w14:textId="5B84F213" w:rsidR="00C71243" w:rsidRPr="00EF7CF9" w:rsidRDefault="00C71243" w:rsidP="000F31B4">
            <w:pPr>
              <w:pStyle w:val="ProductList-OfferingBody"/>
              <w:jc w:val="center"/>
            </w:pPr>
            <w:r>
              <w:t>&lt; 95%</w:t>
            </w:r>
          </w:p>
        </w:tc>
        <w:tc>
          <w:tcPr>
            <w:tcW w:w="5400" w:type="dxa"/>
          </w:tcPr>
          <w:p w14:paraId="6AA9FFE9" w14:textId="14A3DFC2" w:rsidR="00C71243" w:rsidRPr="00EF7CF9" w:rsidRDefault="00C71243" w:rsidP="000F31B4">
            <w:pPr>
              <w:pStyle w:val="ProductList-OfferingBody"/>
              <w:jc w:val="center"/>
            </w:pPr>
            <w:r>
              <w:t>100%</w:t>
            </w:r>
          </w:p>
        </w:tc>
      </w:tr>
    </w:tbl>
    <w:p w14:paraId="3D22B33D" w14:textId="3958122E" w:rsidR="00C71243" w:rsidRPr="00EF7CF9" w:rsidRDefault="00C71F89" w:rsidP="00C7124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03A25C8" w14:textId="0EEE7C79" w:rsidR="004005AF" w:rsidRDefault="004005AF" w:rsidP="004005AF">
      <w:pPr>
        <w:pStyle w:val="ProductList-Offering2Heading"/>
        <w:tabs>
          <w:tab w:val="clear" w:pos="360"/>
          <w:tab w:val="clear" w:pos="720"/>
          <w:tab w:val="clear" w:pos="1080"/>
        </w:tabs>
        <w:outlineLvl w:val="2"/>
      </w:pPr>
      <w:bookmarkStart w:id="216" w:name="_Toc239174994"/>
      <w:proofErr w:type="spellStart"/>
      <w:r>
        <w:t>Azure</w:t>
      </w:r>
      <w:proofErr w:type="spellEnd"/>
      <w:r>
        <w:t xml:space="preserve"> Database for MySQL</w:t>
      </w:r>
      <w:bookmarkEnd w:id="199"/>
      <w:bookmarkEnd w:id="204"/>
      <w:bookmarkEnd w:id="216"/>
    </w:p>
    <w:p w14:paraId="01C85662" w14:textId="77777777" w:rsidR="004005AF" w:rsidRPr="00C84B0F" w:rsidRDefault="004005AF" w:rsidP="004005AF">
      <w:pPr>
        <w:pStyle w:val="ProductList-Body"/>
        <w:rPr>
          <w:b/>
          <w:color w:val="00188F"/>
          <w:lang w:val="en-US"/>
        </w:rPr>
      </w:pPr>
      <w:r w:rsidRPr="00C84B0F">
        <w:rPr>
          <w:b/>
          <w:color w:val="00188F"/>
          <w:lang w:val="en-US"/>
        </w:rPr>
        <w:t>Microsoft Azure Database for MySQL – Single Server</w:t>
      </w:r>
    </w:p>
    <w:p w14:paraId="7DA6904A" w14:textId="77777777" w:rsidR="004005AF" w:rsidRPr="00C84B0F" w:rsidRDefault="004005AF" w:rsidP="004005AF">
      <w:pPr>
        <w:pStyle w:val="ProductList-Body"/>
        <w:rPr>
          <w:lang w:val="en-US"/>
        </w:rPr>
      </w:pPr>
      <w:proofErr w:type="spellStart"/>
      <w:r w:rsidRPr="00C84B0F">
        <w:rPr>
          <w:b/>
          <w:color w:val="00188F"/>
          <w:lang w:val="en-US"/>
        </w:rPr>
        <w:t>Dodatkowe</w:t>
      </w:r>
      <w:proofErr w:type="spellEnd"/>
      <w:r w:rsidRPr="00C84B0F">
        <w:rPr>
          <w:b/>
          <w:color w:val="00188F"/>
          <w:lang w:val="en-US"/>
        </w:rPr>
        <w:t xml:space="preserve"> </w:t>
      </w:r>
      <w:proofErr w:type="spellStart"/>
      <w:r w:rsidRPr="00C84B0F">
        <w:rPr>
          <w:b/>
          <w:color w:val="00188F"/>
          <w:lang w:val="en-US"/>
        </w:rPr>
        <w:t>definicje</w:t>
      </w:r>
      <w:proofErr w:type="spellEnd"/>
      <w:r w:rsidRPr="00C84B0F">
        <w:rPr>
          <w:b/>
          <w:color w:val="00188F"/>
          <w:lang w:val="en-US"/>
        </w:rPr>
        <w:t>:</w:t>
      </w:r>
    </w:p>
    <w:p w14:paraId="79FA6AE8" w14:textId="77777777" w:rsidR="004005AF" w:rsidRPr="00C84B0F" w:rsidRDefault="004005AF" w:rsidP="004005AF">
      <w:pPr>
        <w:pStyle w:val="NormalWeb"/>
        <w:spacing w:before="0" w:beforeAutospacing="0" w:after="0" w:afterAutospacing="0"/>
        <w:rPr>
          <w:rFonts w:asciiTheme="minorHAnsi" w:eastAsiaTheme="minorHAnsi" w:hAnsiTheme="minorHAnsi" w:cstheme="minorBidi"/>
          <w:sz w:val="18"/>
          <w:szCs w:val="22"/>
          <w:lang w:val="en-US"/>
        </w:rPr>
      </w:pPr>
      <w:r w:rsidRPr="00C84B0F">
        <w:rPr>
          <w:rFonts w:asciiTheme="minorHAnsi" w:eastAsiaTheme="minorHAnsi" w:hAnsiTheme="minorHAnsi" w:cstheme="minorBidi"/>
          <w:sz w:val="18"/>
          <w:szCs w:val="22"/>
          <w:lang w:val="en-US"/>
        </w:rPr>
        <w:t>„</w:t>
      </w:r>
      <w:r w:rsidRPr="00C84B0F">
        <w:rPr>
          <w:rFonts w:asciiTheme="minorHAnsi" w:eastAsiaTheme="minorHAnsi" w:hAnsiTheme="minorHAnsi" w:cstheme="minorBidi"/>
          <w:b/>
          <w:color w:val="00188F"/>
          <w:sz w:val="18"/>
          <w:szCs w:val="22"/>
          <w:lang w:val="en-US"/>
        </w:rPr>
        <w:t>Serwer</w:t>
      </w:r>
      <w:r w:rsidRPr="00C84B0F">
        <w:rPr>
          <w:rFonts w:asciiTheme="minorHAnsi" w:eastAsiaTheme="minorHAnsi" w:hAnsiTheme="minorHAnsi" w:cstheme="minorBidi"/>
          <w:sz w:val="18"/>
          <w:szCs w:val="22"/>
          <w:lang w:val="en-US"/>
        </w:rPr>
        <w:t>”</w:t>
      </w:r>
      <w:r w:rsidRPr="00C84B0F">
        <w:rPr>
          <w:rFonts w:asciiTheme="minorHAnsi" w:hAnsiTheme="minorHAnsi" w:cstheme="minorHAnsi"/>
          <w:color w:val="505050"/>
          <w:sz w:val="18"/>
          <w:szCs w:val="18"/>
          <w:lang w:val="en-US"/>
        </w:rPr>
        <w:t xml:space="preserve"> </w:t>
      </w:r>
      <w:r w:rsidRPr="00C84B0F">
        <w:rPr>
          <w:rFonts w:asciiTheme="minorHAnsi" w:eastAsiaTheme="minorHAnsi" w:hAnsiTheme="minorHAnsi" w:cstheme="minorBidi"/>
          <w:sz w:val="18"/>
          <w:szCs w:val="22"/>
          <w:lang w:val="en-US"/>
        </w:rPr>
        <w:t xml:space="preserve">to </w:t>
      </w:r>
      <w:proofErr w:type="spellStart"/>
      <w:r w:rsidRPr="00C84B0F">
        <w:rPr>
          <w:rFonts w:asciiTheme="minorHAnsi" w:eastAsiaTheme="minorHAnsi" w:hAnsiTheme="minorHAnsi" w:cstheme="minorBidi"/>
          <w:sz w:val="18"/>
          <w:szCs w:val="22"/>
          <w:lang w:val="en-US"/>
        </w:rPr>
        <w:t>dowolny</w:t>
      </w:r>
      <w:proofErr w:type="spellEnd"/>
      <w:r w:rsidRPr="00C84B0F">
        <w:rPr>
          <w:rFonts w:asciiTheme="minorHAnsi" w:eastAsiaTheme="minorHAnsi" w:hAnsiTheme="minorHAnsi" w:cstheme="minorBidi"/>
          <w:sz w:val="18"/>
          <w:szCs w:val="22"/>
          <w:lang w:val="en-US"/>
        </w:rPr>
        <w:t xml:space="preserve"> </w:t>
      </w:r>
      <w:proofErr w:type="spellStart"/>
      <w:r w:rsidRPr="00C84B0F">
        <w:rPr>
          <w:rFonts w:asciiTheme="minorHAnsi" w:eastAsiaTheme="minorHAnsi" w:hAnsiTheme="minorHAnsi" w:cstheme="minorBidi"/>
          <w:sz w:val="18"/>
          <w:szCs w:val="22"/>
          <w:lang w:val="en-US"/>
        </w:rPr>
        <w:t>serwer</w:t>
      </w:r>
      <w:proofErr w:type="spellEnd"/>
      <w:r w:rsidRPr="00C84B0F">
        <w:rPr>
          <w:rFonts w:asciiTheme="minorHAnsi" w:eastAsiaTheme="minorHAnsi" w:hAnsiTheme="minorHAnsi" w:cstheme="minorBidi"/>
          <w:sz w:val="18"/>
          <w:szCs w:val="22"/>
          <w:lang w:val="en-US"/>
        </w:rPr>
        <w:t xml:space="preserve"> </w:t>
      </w:r>
      <w:proofErr w:type="spellStart"/>
      <w:r w:rsidRPr="00C84B0F">
        <w:rPr>
          <w:rFonts w:asciiTheme="minorHAnsi" w:eastAsiaTheme="minorHAnsi" w:hAnsiTheme="minorHAnsi" w:cstheme="minorBidi"/>
          <w:sz w:val="18"/>
          <w:szCs w:val="22"/>
          <w:lang w:val="en-US"/>
        </w:rPr>
        <w:t>usługi</w:t>
      </w:r>
      <w:proofErr w:type="spellEnd"/>
      <w:r w:rsidRPr="00C84B0F">
        <w:rPr>
          <w:rFonts w:asciiTheme="minorHAnsi" w:eastAsiaTheme="minorHAnsi" w:hAnsiTheme="minorHAnsi" w:cstheme="minorBidi"/>
          <w:sz w:val="18"/>
          <w:szCs w:val="22"/>
          <w:lang w:val="en-US"/>
        </w:rPr>
        <w:t xml:space="preserve"> Azure Database for MySQL – Single Server.</w:t>
      </w:r>
    </w:p>
    <w:p w14:paraId="16E43926" w14:textId="301F0F97" w:rsidR="004005AF" w:rsidRPr="00ED4527" w:rsidRDefault="00EE6E3C" w:rsidP="004005AF">
      <w:pPr>
        <w:spacing w:after="0"/>
        <w:rPr>
          <w:b/>
          <w:bCs/>
          <w:color w:val="00188F"/>
          <w:sz w:val="18"/>
        </w:rPr>
      </w:pPr>
      <w:r>
        <w:rPr>
          <w:b/>
          <w:bCs/>
          <w:color w:val="00188F"/>
          <w:sz w:val="18"/>
        </w:rPr>
        <w:t xml:space="preserve">Obliczanie Czasu Sprawnego Działania i Poziomy Usługi dla Microsoft </w:t>
      </w:r>
      <w:proofErr w:type="spellStart"/>
      <w:r>
        <w:rPr>
          <w:b/>
          <w:bCs/>
          <w:color w:val="00188F"/>
          <w:sz w:val="18"/>
        </w:rPr>
        <w:t>Azure</w:t>
      </w:r>
      <w:proofErr w:type="spellEnd"/>
      <w:r>
        <w:rPr>
          <w:b/>
          <w:bCs/>
          <w:color w:val="00188F"/>
          <w:sz w:val="18"/>
        </w:rPr>
        <w:t xml:space="preserve"> Database for MySQL – Single Server</w:t>
      </w:r>
    </w:p>
    <w:p w14:paraId="4C712BD0" w14:textId="32A5E8C0" w:rsidR="004005AF" w:rsidRPr="009D08F6" w:rsidRDefault="004005AF" w:rsidP="004005AF">
      <w:pPr>
        <w:spacing w:after="0"/>
        <w:rPr>
          <w:sz w:val="18"/>
        </w:rPr>
      </w:pPr>
      <w:r>
        <w:rPr>
          <w:sz w:val="18"/>
        </w:rPr>
        <w:t>„</w:t>
      </w:r>
      <w:r>
        <w:rPr>
          <w:b/>
          <w:color w:val="00188F"/>
          <w:sz w:val="18"/>
        </w:rPr>
        <w:t>Maksymalna Liczba Dostępnych Minut</w:t>
      </w:r>
      <w:r>
        <w:rPr>
          <w:sz w:val="18"/>
        </w:rPr>
        <w:t>”</w:t>
      </w:r>
      <w:r>
        <w:rPr>
          <w:rFonts w:eastAsiaTheme="minorEastAsia" w:cstheme="minorHAnsi"/>
          <w:sz w:val="18"/>
          <w:szCs w:val="18"/>
        </w:rPr>
        <w:t xml:space="preserve"> </w:t>
      </w:r>
      <w:r>
        <w:rPr>
          <w:sz w:val="18"/>
        </w:rPr>
        <w:t xml:space="preserve">to łączna liczba minut dla danego Serwera wdrożonych przez klienta w ramach subskrypcji Microsoft </w:t>
      </w:r>
      <w:proofErr w:type="spellStart"/>
      <w:r>
        <w:rPr>
          <w:sz w:val="18"/>
        </w:rPr>
        <w:t>Azure</w:t>
      </w:r>
      <w:proofErr w:type="spellEnd"/>
      <w:r>
        <w:rPr>
          <w:sz w:val="18"/>
        </w:rPr>
        <w:t xml:space="preserve"> we Właściwym Okresie.</w:t>
      </w:r>
    </w:p>
    <w:p w14:paraId="2CAAAF91" w14:textId="30F2CF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Przestój</w:t>
      </w:r>
      <w:r>
        <w:rPr>
          <w:sz w:val="18"/>
        </w:rPr>
        <w:t>”</w:t>
      </w:r>
      <w:r>
        <w:rPr>
          <w:rFonts w:eastAsiaTheme="minorEastAsia" w:cstheme="minorHAnsi"/>
          <w:sz w:val="18"/>
          <w:szCs w:val="18"/>
        </w:rPr>
        <w:t xml:space="preserve"> </w:t>
      </w:r>
      <w:r>
        <w:rPr>
          <w:sz w:val="18"/>
        </w:rPr>
        <w:t>to łączna liczba minut w ramach Maksymalnej Liczby Dostępnych Minut, podczas których Serwer jest niedostępny. Minuta jest uznawana za minutę niedostępności, jeśli wszystkie kolejne próby podejmowane przez Klienta w trakcie tej minuty, zmierzające do ustanowienia połączenia z</w:t>
      </w:r>
      <w:r w:rsidR="00DF1C85">
        <w:rPr>
          <w:sz w:val="18"/>
        </w:rPr>
        <w:t> </w:t>
      </w:r>
      <w:r>
        <w:rPr>
          <w:sz w:val="18"/>
        </w:rPr>
        <w:t>Serwerem, kończą się Kodem Błędu.</w:t>
      </w:r>
    </w:p>
    <w:p w14:paraId="2B1E21D2" w14:textId="38784868" w:rsidR="004005AF" w:rsidRDefault="00B41CC1" w:rsidP="004005AF">
      <w:pPr>
        <w:pStyle w:val="ProductList-Body"/>
      </w:pPr>
      <w:r>
        <w:t>„</w:t>
      </w:r>
      <w:r w:rsidR="004005AF">
        <w:rPr>
          <w:b/>
          <w:color w:val="00188F"/>
        </w:rPr>
        <w:t>Procent Czasu Sprawnego Działania</w:t>
      </w:r>
      <w:r w:rsidR="004005AF">
        <w:t xml:space="preserve">” </w:t>
      </w:r>
      <w:proofErr w:type="spellStart"/>
      <w:r w:rsidR="004005AF">
        <w:t>Azure</w:t>
      </w:r>
      <w:proofErr w:type="spellEnd"/>
      <w:r w:rsidR="004005AF">
        <w:t xml:space="preserve"> Database for MySQL jest obliczany jako Maksymalna Liczba Dostępnych Minut pomniejszona o</w:t>
      </w:r>
      <w:r w:rsidR="00AA48A4">
        <w:t> </w:t>
      </w:r>
      <w:r w:rsidR="004005AF">
        <w:t>Przestój podzielona przez Maksymalną Liczbę Dostępnych Minut.</w:t>
      </w:r>
    </w:p>
    <w:p w14:paraId="3E044E74" w14:textId="7E3F4AD8" w:rsidR="004005AF" w:rsidRDefault="004005AF" w:rsidP="004005AF">
      <w:pPr>
        <w:pStyle w:val="ProductList-Body"/>
      </w:pPr>
      <w:r>
        <w:t xml:space="preserve">Procent Czasu Sprawnego Działania jest obliczany przy użyciu następującego wzoru: </w:t>
      </w:r>
    </w:p>
    <w:p w14:paraId="03C751C6" w14:textId="459DF090" w:rsidR="004005AF" w:rsidRPr="00191B8C" w:rsidRDefault="00000000" w:rsidP="003C20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098BD6C" w14:textId="77777777" w:rsidR="004005AF" w:rsidRDefault="004005AF" w:rsidP="004005AF">
      <w:pPr>
        <w:pStyle w:val="ProductList-Body"/>
      </w:pPr>
      <w:r>
        <w:rPr>
          <w:b/>
          <w:color w:val="00188F"/>
        </w:rPr>
        <w:t xml:space="preserve">Do używania przez Klienta usługi </w:t>
      </w:r>
      <w:proofErr w:type="spellStart"/>
      <w:r>
        <w:rPr>
          <w:b/>
          <w:color w:val="00188F"/>
        </w:rPr>
        <w:t>Azure</w:t>
      </w:r>
      <w:proofErr w:type="spellEnd"/>
      <w:r>
        <w:rPr>
          <w:b/>
          <w:color w:val="00188F"/>
        </w:rPr>
        <w:t xml:space="preserve"> Database for MySQL – Single Server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EF3D114" w14:textId="77777777" w:rsidTr="00277097">
        <w:trPr>
          <w:tblHeader/>
        </w:trPr>
        <w:tc>
          <w:tcPr>
            <w:tcW w:w="5400" w:type="dxa"/>
            <w:shd w:val="clear" w:color="auto" w:fill="0072C6"/>
          </w:tcPr>
          <w:p w14:paraId="4EA79D51" w14:textId="5D2742B1"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F4B1867"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5AA55FA9" w14:textId="77777777" w:rsidTr="00277097">
        <w:tc>
          <w:tcPr>
            <w:tcW w:w="5400" w:type="dxa"/>
          </w:tcPr>
          <w:p w14:paraId="7AA8C5CD" w14:textId="77777777" w:rsidR="004005AF" w:rsidRPr="0076238C" w:rsidRDefault="004005AF" w:rsidP="000F31B4">
            <w:pPr>
              <w:pStyle w:val="ProductList-OfferingBody"/>
              <w:jc w:val="center"/>
            </w:pPr>
            <w:r>
              <w:t>&lt; 99,99%</w:t>
            </w:r>
          </w:p>
        </w:tc>
        <w:tc>
          <w:tcPr>
            <w:tcW w:w="5400" w:type="dxa"/>
          </w:tcPr>
          <w:p w14:paraId="37B94C00" w14:textId="77777777" w:rsidR="004005AF" w:rsidRPr="0076238C" w:rsidRDefault="004005AF" w:rsidP="000F31B4">
            <w:pPr>
              <w:pStyle w:val="ProductList-OfferingBody"/>
              <w:jc w:val="center"/>
            </w:pPr>
            <w:r>
              <w:t>10%</w:t>
            </w:r>
          </w:p>
        </w:tc>
      </w:tr>
      <w:tr w:rsidR="004005AF" w:rsidRPr="00B44CF9" w14:paraId="4370C4C8" w14:textId="77777777" w:rsidTr="00277097">
        <w:tc>
          <w:tcPr>
            <w:tcW w:w="5400" w:type="dxa"/>
          </w:tcPr>
          <w:p w14:paraId="1553B110" w14:textId="77777777" w:rsidR="004005AF" w:rsidRPr="0076238C" w:rsidRDefault="004005AF" w:rsidP="000F31B4">
            <w:pPr>
              <w:pStyle w:val="ProductList-OfferingBody"/>
              <w:jc w:val="center"/>
            </w:pPr>
            <w:r>
              <w:t>&lt; 99%</w:t>
            </w:r>
          </w:p>
        </w:tc>
        <w:tc>
          <w:tcPr>
            <w:tcW w:w="5400" w:type="dxa"/>
          </w:tcPr>
          <w:p w14:paraId="46BC5E0C" w14:textId="77777777" w:rsidR="004005AF" w:rsidRPr="0076238C" w:rsidRDefault="004005AF" w:rsidP="000F31B4">
            <w:pPr>
              <w:pStyle w:val="ProductList-OfferingBody"/>
              <w:jc w:val="center"/>
            </w:pPr>
            <w:r>
              <w:t>25%</w:t>
            </w:r>
          </w:p>
        </w:tc>
      </w:tr>
      <w:tr w:rsidR="004005AF" w:rsidRPr="00B44CF9" w14:paraId="326F0C86" w14:textId="77777777" w:rsidTr="00277097">
        <w:tc>
          <w:tcPr>
            <w:tcW w:w="5400" w:type="dxa"/>
          </w:tcPr>
          <w:p w14:paraId="5839FF00" w14:textId="77777777" w:rsidR="004005AF" w:rsidRPr="0076238C" w:rsidRDefault="004005AF" w:rsidP="000F31B4">
            <w:pPr>
              <w:pStyle w:val="ProductList-OfferingBody"/>
              <w:jc w:val="center"/>
            </w:pPr>
            <w:r>
              <w:t>&lt; 95%</w:t>
            </w:r>
          </w:p>
        </w:tc>
        <w:tc>
          <w:tcPr>
            <w:tcW w:w="5400" w:type="dxa"/>
          </w:tcPr>
          <w:p w14:paraId="43F894BE" w14:textId="77777777" w:rsidR="004005AF" w:rsidRDefault="004005AF" w:rsidP="000F31B4">
            <w:pPr>
              <w:pStyle w:val="ProductList-OfferingBody"/>
              <w:jc w:val="center"/>
            </w:pPr>
            <w:r>
              <w:t>100%</w:t>
            </w:r>
          </w:p>
        </w:tc>
      </w:tr>
    </w:tbl>
    <w:p w14:paraId="60DC947B" w14:textId="77777777" w:rsidR="004005AF" w:rsidRPr="00C84B0F" w:rsidRDefault="004005AF" w:rsidP="000225DD">
      <w:pPr>
        <w:pStyle w:val="ProductList-Body"/>
        <w:tabs>
          <w:tab w:val="clear" w:pos="360"/>
          <w:tab w:val="clear" w:pos="720"/>
          <w:tab w:val="clear" w:pos="1080"/>
        </w:tabs>
        <w:spacing w:before="120"/>
        <w:rPr>
          <w:b/>
          <w:bCs/>
          <w:lang w:val="en-US"/>
        </w:rPr>
      </w:pPr>
      <w:bookmarkStart w:id="217" w:name="_Toc513395511"/>
      <w:r w:rsidRPr="00C84B0F">
        <w:rPr>
          <w:b/>
          <w:bCs/>
          <w:color w:val="00188F"/>
          <w:lang w:val="en-US"/>
        </w:rPr>
        <w:t>Microsoft Azure Database for MySQL – Flexible Server</w:t>
      </w:r>
    </w:p>
    <w:p w14:paraId="093919F0" w14:textId="77777777" w:rsidR="004005AF" w:rsidRPr="00C84B0F" w:rsidRDefault="004005AF" w:rsidP="004005AF">
      <w:pPr>
        <w:pStyle w:val="ProductList-Body"/>
        <w:rPr>
          <w:lang w:val="en-US"/>
        </w:rPr>
      </w:pPr>
      <w:proofErr w:type="spellStart"/>
      <w:r w:rsidRPr="00C84B0F">
        <w:rPr>
          <w:b/>
          <w:color w:val="00188F"/>
          <w:lang w:val="en-US"/>
        </w:rPr>
        <w:t>Dodatkowe</w:t>
      </w:r>
      <w:proofErr w:type="spellEnd"/>
      <w:r w:rsidRPr="00C84B0F">
        <w:rPr>
          <w:b/>
          <w:color w:val="00188F"/>
          <w:lang w:val="en-US"/>
        </w:rPr>
        <w:t xml:space="preserve"> </w:t>
      </w:r>
      <w:proofErr w:type="spellStart"/>
      <w:r w:rsidRPr="00C84B0F">
        <w:rPr>
          <w:b/>
          <w:color w:val="00188F"/>
          <w:lang w:val="en-US"/>
        </w:rPr>
        <w:t>definicje</w:t>
      </w:r>
      <w:proofErr w:type="spellEnd"/>
      <w:r w:rsidRPr="00C84B0F">
        <w:rPr>
          <w:b/>
          <w:color w:val="00188F"/>
          <w:lang w:val="en-US"/>
        </w:rPr>
        <w:t>:</w:t>
      </w:r>
    </w:p>
    <w:p w14:paraId="6EA4CB33" w14:textId="77777777" w:rsidR="004005AF" w:rsidRPr="00C84B0F" w:rsidRDefault="004005AF" w:rsidP="004005AF">
      <w:pPr>
        <w:pStyle w:val="NormalWeb"/>
        <w:spacing w:before="0" w:beforeAutospacing="0" w:after="0" w:afterAutospacing="0"/>
        <w:rPr>
          <w:rFonts w:asciiTheme="minorHAnsi" w:eastAsiaTheme="minorHAnsi" w:hAnsiTheme="minorHAnsi" w:cstheme="minorBidi"/>
          <w:sz w:val="18"/>
          <w:szCs w:val="22"/>
          <w:lang w:val="en-US"/>
        </w:rPr>
      </w:pPr>
      <w:r w:rsidRPr="00C84B0F">
        <w:rPr>
          <w:rFonts w:asciiTheme="minorHAnsi" w:eastAsiaTheme="minorHAnsi" w:hAnsiTheme="minorHAnsi" w:cstheme="minorBidi"/>
          <w:sz w:val="18"/>
          <w:szCs w:val="22"/>
          <w:lang w:val="en-US"/>
        </w:rPr>
        <w:t>„</w:t>
      </w:r>
      <w:r w:rsidRPr="00C84B0F">
        <w:rPr>
          <w:rFonts w:asciiTheme="minorHAnsi" w:eastAsiaTheme="minorHAnsi" w:hAnsiTheme="minorHAnsi" w:cstheme="minorBidi"/>
          <w:b/>
          <w:color w:val="00188F"/>
          <w:sz w:val="18"/>
          <w:szCs w:val="22"/>
          <w:lang w:val="en-US"/>
        </w:rPr>
        <w:t>Serwer</w:t>
      </w:r>
      <w:r w:rsidRPr="00C84B0F">
        <w:rPr>
          <w:rFonts w:asciiTheme="minorHAnsi" w:eastAsiaTheme="minorHAnsi" w:hAnsiTheme="minorHAnsi" w:cstheme="minorBidi"/>
          <w:sz w:val="18"/>
          <w:szCs w:val="22"/>
          <w:lang w:val="en-US"/>
        </w:rPr>
        <w:t>”</w:t>
      </w:r>
      <w:r w:rsidRPr="00C84B0F">
        <w:rPr>
          <w:rFonts w:asciiTheme="minorHAnsi" w:hAnsiTheme="minorHAnsi" w:cstheme="minorHAnsi"/>
          <w:color w:val="505050"/>
          <w:sz w:val="18"/>
          <w:szCs w:val="18"/>
          <w:lang w:val="en-US"/>
        </w:rPr>
        <w:t xml:space="preserve"> </w:t>
      </w:r>
      <w:r w:rsidRPr="00C84B0F">
        <w:rPr>
          <w:rFonts w:asciiTheme="minorHAnsi" w:eastAsiaTheme="minorHAnsi" w:hAnsiTheme="minorHAnsi" w:cstheme="minorBidi"/>
          <w:sz w:val="18"/>
          <w:szCs w:val="22"/>
          <w:lang w:val="en-US"/>
        </w:rPr>
        <w:t xml:space="preserve">to </w:t>
      </w:r>
      <w:proofErr w:type="spellStart"/>
      <w:r w:rsidRPr="00C84B0F">
        <w:rPr>
          <w:rFonts w:asciiTheme="minorHAnsi" w:eastAsiaTheme="minorHAnsi" w:hAnsiTheme="minorHAnsi" w:cstheme="minorBidi"/>
          <w:sz w:val="18"/>
          <w:szCs w:val="22"/>
          <w:lang w:val="en-US"/>
        </w:rPr>
        <w:t>dowolny</w:t>
      </w:r>
      <w:proofErr w:type="spellEnd"/>
      <w:r w:rsidRPr="00C84B0F">
        <w:rPr>
          <w:rFonts w:asciiTheme="minorHAnsi" w:eastAsiaTheme="minorHAnsi" w:hAnsiTheme="minorHAnsi" w:cstheme="minorBidi"/>
          <w:sz w:val="18"/>
          <w:szCs w:val="22"/>
          <w:lang w:val="en-US"/>
        </w:rPr>
        <w:t xml:space="preserve"> </w:t>
      </w:r>
      <w:proofErr w:type="spellStart"/>
      <w:r w:rsidRPr="00C84B0F">
        <w:rPr>
          <w:rFonts w:asciiTheme="minorHAnsi" w:eastAsiaTheme="minorHAnsi" w:hAnsiTheme="minorHAnsi" w:cstheme="minorBidi"/>
          <w:sz w:val="18"/>
          <w:szCs w:val="22"/>
          <w:lang w:val="en-US"/>
        </w:rPr>
        <w:t>serwer</w:t>
      </w:r>
      <w:proofErr w:type="spellEnd"/>
      <w:r w:rsidRPr="00C84B0F">
        <w:rPr>
          <w:rFonts w:asciiTheme="minorHAnsi" w:eastAsiaTheme="minorHAnsi" w:hAnsiTheme="minorHAnsi" w:cstheme="minorBidi"/>
          <w:sz w:val="18"/>
          <w:szCs w:val="22"/>
          <w:lang w:val="en-US"/>
        </w:rPr>
        <w:t xml:space="preserve"> </w:t>
      </w:r>
      <w:proofErr w:type="spellStart"/>
      <w:r w:rsidRPr="00C84B0F">
        <w:rPr>
          <w:rFonts w:asciiTheme="minorHAnsi" w:eastAsiaTheme="minorHAnsi" w:hAnsiTheme="minorHAnsi" w:cstheme="minorBidi"/>
          <w:sz w:val="18"/>
          <w:szCs w:val="22"/>
          <w:lang w:val="en-US"/>
        </w:rPr>
        <w:t>usługi</w:t>
      </w:r>
      <w:proofErr w:type="spellEnd"/>
      <w:r w:rsidRPr="00C84B0F">
        <w:rPr>
          <w:rFonts w:asciiTheme="minorHAnsi" w:eastAsiaTheme="minorHAnsi" w:hAnsiTheme="minorHAnsi" w:cstheme="minorBidi"/>
          <w:sz w:val="18"/>
          <w:szCs w:val="22"/>
          <w:lang w:val="en-US"/>
        </w:rPr>
        <w:t xml:space="preserve"> Azure Database for MySQL – Flexible Server.</w:t>
      </w:r>
    </w:p>
    <w:p w14:paraId="43145A83" w14:textId="7677B181" w:rsidR="004005AF" w:rsidRDefault="00B41CC1" w:rsidP="004005AF">
      <w:pPr>
        <w:pStyle w:val="ProductList-Body"/>
        <w:tabs>
          <w:tab w:val="clear" w:pos="360"/>
          <w:tab w:val="clear" w:pos="720"/>
          <w:tab w:val="clear" w:pos="1080"/>
        </w:tabs>
      </w:pPr>
      <w:r>
        <w:t>„</w:t>
      </w:r>
      <w:r w:rsidR="004005AF">
        <w:rPr>
          <w:b/>
          <w:bCs/>
          <w:color w:val="00188F"/>
        </w:rPr>
        <w:t>Wysoka Dostępność</w:t>
      </w:r>
      <w:r w:rsidRPr="00B41CC1">
        <w:t>”</w:t>
      </w:r>
      <w:r w:rsidR="004005AF">
        <w:t xml:space="preserve"> w kontekście serwera </w:t>
      </w:r>
      <w:proofErr w:type="spellStart"/>
      <w:r w:rsidR="004005AF">
        <w:t>Flexible</w:t>
      </w:r>
      <w:proofErr w:type="spellEnd"/>
      <w:r w:rsidR="004005AF">
        <w:t xml:space="preserve"> to zestaw serwerów o Wysokiej Dostępności (Głównych i rezerwowych) wdrożonych z</w:t>
      </w:r>
      <w:r w:rsidR="00E34EF1">
        <w:t> </w:t>
      </w:r>
      <w:r w:rsidR="004005AF">
        <w:t>uwzględnieniem nadmiarowości w określonych strefach lub w tej samej strefie.</w:t>
      </w:r>
    </w:p>
    <w:p w14:paraId="7EE13E82" w14:textId="463674D0" w:rsidR="004005AF" w:rsidRPr="00ED4527" w:rsidRDefault="00EE6E3C" w:rsidP="004005AF">
      <w:pPr>
        <w:pStyle w:val="ProductList-Body"/>
        <w:rPr>
          <w:b/>
          <w:bCs/>
          <w:color w:val="00188F"/>
        </w:rPr>
      </w:pPr>
      <w:r>
        <w:rPr>
          <w:b/>
          <w:bCs/>
          <w:color w:val="00188F"/>
        </w:rPr>
        <w:t xml:space="preserve">Obliczanie Czasu Sprawnego Działania i Poziomy Usługi dla Microsoft </w:t>
      </w:r>
      <w:proofErr w:type="spellStart"/>
      <w:r>
        <w:rPr>
          <w:b/>
          <w:bCs/>
          <w:color w:val="00188F"/>
        </w:rPr>
        <w:t>Azure</w:t>
      </w:r>
      <w:proofErr w:type="spellEnd"/>
      <w:r>
        <w:rPr>
          <w:b/>
          <w:bCs/>
          <w:color w:val="00188F"/>
        </w:rPr>
        <w:t xml:space="preserve"> Database for MySQL – </w:t>
      </w:r>
      <w:proofErr w:type="spellStart"/>
      <w:r>
        <w:rPr>
          <w:b/>
          <w:bCs/>
          <w:color w:val="00188F"/>
        </w:rPr>
        <w:t>Flexible</w:t>
      </w:r>
      <w:proofErr w:type="spellEnd"/>
      <w:r>
        <w:rPr>
          <w:b/>
          <w:bCs/>
          <w:color w:val="00188F"/>
        </w:rPr>
        <w:t xml:space="preserve"> Server</w:t>
      </w:r>
    </w:p>
    <w:p w14:paraId="22280926" w14:textId="165D28E3" w:rsidR="004005AF" w:rsidRDefault="004005AF" w:rsidP="004005AF">
      <w:pPr>
        <w:pStyle w:val="ProductList-Body"/>
      </w:pPr>
      <w:r w:rsidRPr="00B41CC1">
        <w:t>„</w:t>
      </w:r>
      <w:r>
        <w:rPr>
          <w:b/>
          <w:bCs/>
          <w:color w:val="00188F"/>
        </w:rPr>
        <w:t>Maksymalna Liczba Dostępnych Minut</w:t>
      </w:r>
      <w:r w:rsidR="00B41CC1" w:rsidRPr="00B41CC1">
        <w:t>”</w:t>
      </w:r>
      <w:r>
        <w:t xml:space="preserve"> to łączna liczba minut dla danego Serwera wdrożonych przez klienta w ramach subskrypcji Microsoft </w:t>
      </w:r>
      <w:proofErr w:type="spellStart"/>
      <w:r>
        <w:t>Azure</w:t>
      </w:r>
      <w:proofErr w:type="spellEnd"/>
      <w:r>
        <w:t xml:space="preserve"> we Właściwym Okresie.</w:t>
      </w:r>
    </w:p>
    <w:p w14:paraId="74F3BD76" w14:textId="31BA4771" w:rsidR="004005AF" w:rsidRDefault="004005AF" w:rsidP="004005AF">
      <w:pPr>
        <w:pStyle w:val="ProductList-Body"/>
      </w:pPr>
      <w:r w:rsidRPr="00B41CC1">
        <w:t>„</w:t>
      </w:r>
      <w:r>
        <w:rPr>
          <w:b/>
          <w:bCs/>
          <w:color w:val="00188F"/>
        </w:rPr>
        <w:t>Przestój</w:t>
      </w:r>
      <w:r w:rsidRPr="00B41CC1">
        <w:t>”</w:t>
      </w:r>
      <w:r>
        <w:t xml:space="preserve"> to łączna liczba minut w ramach Maksymalnej Liczby Dostępnych Minut, podczas których Serwer jest niedostępny. Minuta jest uznawana za minutę niedostępności, jeśli wszystkie kolejne próby podejmowane przez Klienta w trakcie tej minuty, zmierzające do ustanowienia połączenia z</w:t>
      </w:r>
      <w:r w:rsidR="00E34EF1">
        <w:t> </w:t>
      </w:r>
      <w:r>
        <w:t>Serwerem, kończą się niepowodzeniem.</w:t>
      </w:r>
    </w:p>
    <w:p w14:paraId="45B83CB8" w14:textId="267AE4D2" w:rsidR="004005AF" w:rsidRDefault="004005AF" w:rsidP="004005AF">
      <w:pPr>
        <w:pStyle w:val="ProductList-Body"/>
      </w:pPr>
      <w:r w:rsidRPr="00B41CC1">
        <w:t>„</w:t>
      </w:r>
      <w:r>
        <w:rPr>
          <w:b/>
          <w:bCs/>
          <w:color w:val="00188F"/>
        </w:rPr>
        <w:t>Procent Czasu Sprawnego Działania</w:t>
      </w:r>
      <w:r w:rsidR="00B41CC1" w:rsidRPr="00B41CC1">
        <w:t>”</w:t>
      </w:r>
      <w:r>
        <w:t xml:space="preserve"> </w:t>
      </w:r>
      <w:proofErr w:type="spellStart"/>
      <w:r>
        <w:t>Azure</w:t>
      </w:r>
      <w:proofErr w:type="spellEnd"/>
      <w:r>
        <w:t xml:space="preserve"> Database for MySQL – </w:t>
      </w:r>
      <w:proofErr w:type="spellStart"/>
      <w:r>
        <w:t>Flexible</w:t>
      </w:r>
      <w:proofErr w:type="spellEnd"/>
      <w:r>
        <w:t xml:space="preserve"> Server jest obliczany jako Maksymalna Liczba Dostępnych Minut pomniejszona o Przestój podzielona przez Maksymalną Liczbę Dostępnych Minut.</w:t>
      </w:r>
    </w:p>
    <w:p w14:paraId="47FE4B91" w14:textId="3F23E174" w:rsidR="004005AF" w:rsidRDefault="00AC48A7" w:rsidP="004005AF">
      <w:pPr>
        <w:pStyle w:val="ProductList-Body"/>
        <w:tabs>
          <w:tab w:val="clear" w:pos="360"/>
          <w:tab w:val="clear" w:pos="720"/>
          <w:tab w:val="clear" w:pos="1080"/>
        </w:tabs>
      </w:pPr>
      <w:r>
        <w:t>Procent Czasu Sprawnego Działania przedstawia się za pomocą następującego wzoru:</w:t>
      </w:r>
    </w:p>
    <w:p w14:paraId="4F297DB9" w14:textId="5722A8B7" w:rsidR="004005AF" w:rsidRPr="00191B8C" w:rsidRDefault="00000000" w:rsidP="003C20C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5C9021F"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Database for MySQL – </w:t>
      </w:r>
      <w:proofErr w:type="spellStart"/>
      <w:r>
        <w:rPr>
          <w:b/>
          <w:color w:val="00188F"/>
        </w:rPr>
        <w:t>Flexible</w:t>
      </w:r>
      <w:proofErr w:type="spellEnd"/>
      <w:r>
        <w:rPr>
          <w:b/>
          <w:color w:val="00188F"/>
        </w:rPr>
        <w:t xml:space="preserve"> Server skonfigurowanej w trybie Wysokiej Dostępności z uwzględnieniem nadmiarowości w określonych strefach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9223188" w14:textId="77777777" w:rsidTr="00277097">
        <w:trPr>
          <w:tblHeader/>
        </w:trPr>
        <w:tc>
          <w:tcPr>
            <w:tcW w:w="5400" w:type="dxa"/>
            <w:shd w:val="clear" w:color="auto" w:fill="0072C6"/>
          </w:tcPr>
          <w:p w14:paraId="0B630B06" w14:textId="5E8CE306"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1AA9BA6"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1EB5028C" w14:textId="77777777" w:rsidTr="00277097">
        <w:tc>
          <w:tcPr>
            <w:tcW w:w="5400" w:type="dxa"/>
          </w:tcPr>
          <w:p w14:paraId="6FD2FC8E" w14:textId="77777777" w:rsidR="004005AF" w:rsidRPr="0076238C" w:rsidRDefault="004005AF" w:rsidP="000F31B4">
            <w:pPr>
              <w:pStyle w:val="ProductList-OfferingBody"/>
              <w:jc w:val="center"/>
            </w:pPr>
            <w:r>
              <w:t>Poniżej 99,99%, ale nie mniej niż 99,00%</w:t>
            </w:r>
          </w:p>
        </w:tc>
        <w:tc>
          <w:tcPr>
            <w:tcW w:w="5400" w:type="dxa"/>
          </w:tcPr>
          <w:p w14:paraId="0C2FBEBD" w14:textId="77777777" w:rsidR="004005AF" w:rsidRPr="0076238C" w:rsidRDefault="004005AF" w:rsidP="000F31B4">
            <w:pPr>
              <w:pStyle w:val="ProductList-OfferingBody"/>
              <w:jc w:val="center"/>
            </w:pPr>
            <w:r>
              <w:t>10%</w:t>
            </w:r>
          </w:p>
        </w:tc>
      </w:tr>
      <w:tr w:rsidR="004005AF" w:rsidRPr="00B44CF9" w14:paraId="5FE2B654" w14:textId="77777777" w:rsidTr="00277097">
        <w:tc>
          <w:tcPr>
            <w:tcW w:w="5400" w:type="dxa"/>
          </w:tcPr>
          <w:p w14:paraId="212F7CF1" w14:textId="77777777" w:rsidR="004005AF" w:rsidRPr="0076238C" w:rsidRDefault="004005AF" w:rsidP="000F31B4">
            <w:pPr>
              <w:pStyle w:val="ProductList-OfferingBody"/>
              <w:jc w:val="center"/>
            </w:pPr>
            <w:r>
              <w:t>Poniżej 99,00%, ale nie mniej niż 95,00%</w:t>
            </w:r>
          </w:p>
        </w:tc>
        <w:tc>
          <w:tcPr>
            <w:tcW w:w="5400" w:type="dxa"/>
          </w:tcPr>
          <w:p w14:paraId="35D8F95A" w14:textId="77777777" w:rsidR="004005AF" w:rsidRPr="0076238C" w:rsidRDefault="004005AF" w:rsidP="000F31B4">
            <w:pPr>
              <w:pStyle w:val="ProductList-OfferingBody"/>
              <w:jc w:val="center"/>
            </w:pPr>
            <w:r>
              <w:t>25%</w:t>
            </w:r>
          </w:p>
        </w:tc>
      </w:tr>
      <w:tr w:rsidR="004005AF" w:rsidRPr="00B44CF9" w14:paraId="6D2C93E4" w14:textId="77777777" w:rsidTr="00277097">
        <w:tc>
          <w:tcPr>
            <w:tcW w:w="5400" w:type="dxa"/>
          </w:tcPr>
          <w:p w14:paraId="17799D0B" w14:textId="77777777" w:rsidR="004005AF" w:rsidRPr="0076238C" w:rsidRDefault="004005AF" w:rsidP="000F31B4">
            <w:pPr>
              <w:pStyle w:val="ProductList-OfferingBody"/>
              <w:jc w:val="center"/>
            </w:pPr>
            <w:r>
              <w:t>&lt; 95%</w:t>
            </w:r>
          </w:p>
        </w:tc>
        <w:tc>
          <w:tcPr>
            <w:tcW w:w="5400" w:type="dxa"/>
          </w:tcPr>
          <w:p w14:paraId="2F8A7162" w14:textId="77777777" w:rsidR="004005AF" w:rsidRDefault="004005AF" w:rsidP="000F31B4">
            <w:pPr>
              <w:pStyle w:val="ProductList-OfferingBody"/>
              <w:jc w:val="center"/>
            </w:pPr>
            <w:r>
              <w:t>100%</w:t>
            </w:r>
          </w:p>
        </w:tc>
      </w:tr>
    </w:tbl>
    <w:p w14:paraId="6232831E" w14:textId="77777777" w:rsidR="004005AF" w:rsidRDefault="004005AF" w:rsidP="004005AF">
      <w:pPr>
        <w:pStyle w:val="ProductList-Body"/>
        <w:tabs>
          <w:tab w:val="clear" w:pos="360"/>
          <w:tab w:val="clear" w:pos="720"/>
          <w:tab w:val="clear" w:pos="1080"/>
        </w:tabs>
      </w:pPr>
    </w:p>
    <w:p w14:paraId="46DD0850"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Database for MySQL – </w:t>
      </w:r>
      <w:proofErr w:type="spellStart"/>
      <w:r>
        <w:rPr>
          <w:b/>
          <w:color w:val="00188F"/>
        </w:rPr>
        <w:t>Flexible</w:t>
      </w:r>
      <w:proofErr w:type="spellEnd"/>
      <w:r>
        <w:rPr>
          <w:b/>
          <w:color w:val="00188F"/>
        </w:rPr>
        <w:t xml:space="preserve"> Server skonfigurowanej w trybie Wysokiej Dostępności z uwzględnieniem nadmiarowości w tej samej strefie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5754CE" w14:textId="77777777" w:rsidTr="00277097">
        <w:trPr>
          <w:tblHeader/>
        </w:trPr>
        <w:tc>
          <w:tcPr>
            <w:tcW w:w="5400" w:type="dxa"/>
            <w:shd w:val="clear" w:color="auto" w:fill="0072C6"/>
          </w:tcPr>
          <w:p w14:paraId="2894CCEA" w14:textId="5DEE4CBF"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F85FD67"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75F74B71" w14:textId="77777777" w:rsidTr="00277097">
        <w:tc>
          <w:tcPr>
            <w:tcW w:w="5400" w:type="dxa"/>
          </w:tcPr>
          <w:p w14:paraId="6B5D0407" w14:textId="77777777" w:rsidR="004005AF" w:rsidRPr="0076238C" w:rsidRDefault="004005AF" w:rsidP="000F31B4">
            <w:pPr>
              <w:pStyle w:val="ProductList-OfferingBody"/>
              <w:jc w:val="center"/>
            </w:pPr>
            <w:r>
              <w:t>Poniżej 99,95%, ale nie mniej niż 99,00%</w:t>
            </w:r>
          </w:p>
        </w:tc>
        <w:tc>
          <w:tcPr>
            <w:tcW w:w="5400" w:type="dxa"/>
          </w:tcPr>
          <w:p w14:paraId="6A706C4A" w14:textId="77777777" w:rsidR="004005AF" w:rsidRPr="0076238C" w:rsidRDefault="004005AF" w:rsidP="000F31B4">
            <w:pPr>
              <w:pStyle w:val="ProductList-OfferingBody"/>
              <w:jc w:val="center"/>
            </w:pPr>
            <w:r>
              <w:t>10%</w:t>
            </w:r>
          </w:p>
        </w:tc>
      </w:tr>
      <w:tr w:rsidR="004005AF" w:rsidRPr="00B44CF9" w14:paraId="0FA5165A" w14:textId="77777777" w:rsidTr="00277097">
        <w:tc>
          <w:tcPr>
            <w:tcW w:w="5400" w:type="dxa"/>
          </w:tcPr>
          <w:p w14:paraId="2B1611DB" w14:textId="77777777" w:rsidR="004005AF" w:rsidRPr="0076238C" w:rsidRDefault="004005AF" w:rsidP="000F31B4">
            <w:pPr>
              <w:pStyle w:val="ProductList-OfferingBody"/>
              <w:jc w:val="center"/>
            </w:pPr>
            <w:r>
              <w:t>&lt; 99%</w:t>
            </w:r>
          </w:p>
        </w:tc>
        <w:tc>
          <w:tcPr>
            <w:tcW w:w="5400" w:type="dxa"/>
          </w:tcPr>
          <w:p w14:paraId="08B7D64E" w14:textId="77777777" w:rsidR="004005AF" w:rsidRPr="0076238C" w:rsidRDefault="004005AF" w:rsidP="000F31B4">
            <w:pPr>
              <w:pStyle w:val="ProductList-OfferingBody"/>
              <w:jc w:val="center"/>
            </w:pPr>
            <w:r>
              <w:t>25%</w:t>
            </w:r>
          </w:p>
        </w:tc>
      </w:tr>
    </w:tbl>
    <w:p w14:paraId="4B572E05" w14:textId="77777777" w:rsidR="004005AF" w:rsidRDefault="004005AF" w:rsidP="004005AF">
      <w:pPr>
        <w:pStyle w:val="ProductList-Body"/>
        <w:tabs>
          <w:tab w:val="clear" w:pos="360"/>
          <w:tab w:val="clear" w:pos="720"/>
          <w:tab w:val="clear" w:pos="1080"/>
        </w:tabs>
      </w:pPr>
    </w:p>
    <w:p w14:paraId="6A8D5FEA"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Database for MySQL – </w:t>
      </w:r>
      <w:proofErr w:type="spellStart"/>
      <w:r>
        <w:rPr>
          <w:b/>
          <w:color w:val="00188F"/>
        </w:rPr>
        <w:t>Flexible</w:t>
      </w:r>
      <w:proofErr w:type="spellEnd"/>
      <w:r>
        <w:rPr>
          <w:b/>
          <w:color w:val="00188F"/>
        </w:rPr>
        <w:t xml:space="preserve"> Server nieskonfigurowanej w trybie Wysokiej Dostępności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45305E2" w14:textId="77777777" w:rsidTr="00277097">
        <w:trPr>
          <w:tblHeader/>
        </w:trPr>
        <w:tc>
          <w:tcPr>
            <w:tcW w:w="5400" w:type="dxa"/>
            <w:shd w:val="clear" w:color="auto" w:fill="0072C6"/>
          </w:tcPr>
          <w:p w14:paraId="4CA575A4" w14:textId="1A0326FD"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29EE20F"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7EA9A976" w14:textId="77777777" w:rsidTr="00277097">
        <w:tc>
          <w:tcPr>
            <w:tcW w:w="5400" w:type="dxa"/>
          </w:tcPr>
          <w:p w14:paraId="20157DEE" w14:textId="77777777" w:rsidR="004005AF" w:rsidRPr="0076238C" w:rsidRDefault="004005AF" w:rsidP="000F31B4">
            <w:pPr>
              <w:pStyle w:val="ProductList-OfferingBody"/>
              <w:jc w:val="center"/>
            </w:pPr>
            <w:r>
              <w:t>Poniżej 99,9%, ale nie mniej niż 99,00%</w:t>
            </w:r>
          </w:p>
        </w:tc>
        <w:tc>
          <w:tcPr>
            <w:tcW w:w="5400" w:type="dxa"/>
          </w:tcPr>
          <w:p w14:paraId="738CE13C" w14:textId="77777777" w:rsidR="004005AF" w:rsidRPr="0076238C" w:rsidRDefault="004005AF" w:rsidP="000F31B4">
            <w:pPr>
              <w:pStyle w:val="ProductList-OfferingBody"/>
              <w:jc w:val="center"/>
            </w:pPr>
            <w:r>
              <w:t>10%</w:t>
            </w:r>
          </w:p>
        </w:tc>
      </w:tr>
      <w:tr w:rsidR="004005AF" w:rsidRPr="00B44CF9" w14:paraId="751DDCE9" w14:textId="77777777" w:rsidTr="00277097">
        <w:tc>
          <w:tcPr>
            <w:tcW w:w="5400" w:type="dxa"/>
          </w:tcPr>
          <w:p w14:paraId="4DD71F02" w14:textId="77777777" w:rsidR="004005AF" w:rsidRPr="0076238C" w:rsidRDefault="004005AF" w:rsidP="000F31B4">
            <w:pPr>
              <w:pStyle w:val="ProductList-OfferingBody"/>
              <w:jc w:val="center"/>
            </w:pPr>
            <w:r>
              <w:t>&lt; 99%</w:t>
            </w:r>
          </w:p>
        </w:tc>
        <w:tc>
          <w:tcPr>
            <w:tcW w:w="5400" w:type="dxa"/>
          </w:tcPr>
          <w:p w14:paraId="50CD7567" w14:textId="77777777" w:rsidR="004005AF" w:rsidRPr="0076238C" w:rsidRDefault="004005AF" w:rsidP="000F31B4">
            <w:pPr>
              <w:pStyle w:val="ProductList-OfferingBody"/>
              <w:jc w:val="center"/>
            </w:pPr>
            <w:r>
              <w:t>25%</w:t>
            </w:r>
          </w:p>
        </w:tc>
      </w:tr>
    </w:tbl>
    <w:p w14:paraId="3C46138B" w14:textId="6F5EA588"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768A13F" w14:textId="77777777" w:rsidR="004005AF" w:rsidRDefault="004005AF" w:rsidP="00BC02A7">
      <w:pPr>
        <w:pStyle w:val="ProductList-Offering2Heading"/>
        <w:keepNext/>
        <w:tabs>
          <w:tab w:val="clear" w:pos="360"/>
          <w:tab w:val="clear" w:pos="720"/>
          <w:tab w:val="clear" w:pos="1080"/>
        </w:tabs>
        <w:outlineLvl w:val="2"/>
      </w:pPr>
      <w:bookmarkStart w:id="218" w:name="_Toc52348928"/>
      <w:bookmarkStart w:id="219" w:name="_Toc239174995"/>
      <w:proofErr w:type="spellStart"/>
      <w:r>
        <w:t>Azure</w:t>
      </w:r>
      <w:proofErr w:type="spellEnd"/>
      <w:r>
        <w:t xml:space="preserve"> Database for </w:t>
      </w:r>
      <w:proofErr w:type="spellStart"/>
      <w:r>
        <w:t>PostgreSQL</w:t>
      </w:r>
      <w:bookmarkEnd w:id="217"/>
      <w:bookmarkEnd w:id="218"/>
      <w:bookmarkEnd w:id="219"/>
      <w:proofErr w:type="spellEnd"/>
    </w:p>
    <w:p w14:paraId="33FEE15A" w14:textId="77777777" w:rsidR="004005AF" w:rsidRPr="00E7723E" w:rsidRDefault="004005AF" w:rsidP="004005AF">
      <w:pPr>
        <w:pStyle w:val="ProductList-Body"/>
        <w:rPr>
          <w:b/>
          <w:color w:val="00188F"/>
        </w:rPr>
      </w:pPr>
      <w:proofErr w:type="spellStart"/>
      <w:r>
        <w:rPr>
          <w:b/>
          <w:color w:val="00188F"/>
        </w:rPr>
        <w:t>Azure</w:t>
      </w:r>
      <w:proofErr w:type="spellEnd"/>
      <w:r>
        <w:rPr>
          <w:b/>
          <w:color w:val="00188F"/>
        </w:rPr>
        <w:t xml:space="preserve"> Database for </w:t>
      </w:r>
      <w:proofErr w:type="spellStart"/>
      <w:r>
        <w:rPr>
          <w:b/>
          <w:color w:val="00188F"/>
        </w:rPr>
        <w:t>PostgreSQL</w:t>
      </w:r>
      <w:proofErr w:type="spellEnd"/>
      <w:r>
        <w:rPr>
          <w:b/>
          <w:color w:val="00188F"/>
        </w:rPr>
        <w:t xml:space="preserve"> – Single Server</w:t>
      </w:r>
    </w:p>
    <w:p w14:paraId="54181003" w14:textId="77777777" w:rsidR="004005AF" w:rsidRPr="00DA6241" w:rsidRDefault="004005AF" w:rsidP="004005AF">
      <w:pPr>
        <w:pStyle w:val="ProductList-Body"/>
      </w:pPr>
      <w:r>
        <w:rPr>
          <w:b/>
          <w:color w:val="00188F"/>
        </w:rPr>
        <w:t>Dodatkowe definicje</w:t>
      </w:r>
      <w:r w:rsidRPr="007B038A">
        <w:rPr>
          <w:b/>
          <w:color w:val="00188F"/>
        </w:rPr>
        <w:t>:</w:t>
      </w:r>
    </w:p>
    <w:p w14:paraId="3A2B2685" w14:textId="77777777" w:rsidR="004005AF" w:rsidRPr="0096559A"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96559A">
        <w:rPr>
          <w:rFonts w:asciiTheme="minorHAnsi" w:eastAsiaTheme="minorHAnsi" w:hAnsiTheme="minorHAnsi" w:cstheme="minorBidi"/>
          <w:sz w:val="18"/>
          <w:szCs w:val="22"/>
        </w:rPr>
        <w:t>„</w:t>
      </w:r>
      <w:r w:rsidRPr="0096559A">
        <w:rPr>
          <w:rFonts w:asciiTheme="minorHAnsi" w:eastAsiaTheme="minorHAnsi" w:hAnsiTheme="minorHAnsi" w:cstheme="minorBidi"/>
          <w:b/>
          <w:bCs/>
          <w:color w:val="00188F"/>
          <w:sz w:val="18"/>
          <w:szCs w:val="22"/>
        </w:rPr>
        <w:t>Serwer</w:t>
      </w:r>
      <w:r w:rsidRPr="0096559A">
        <w:rPr>
          <w:rFonts w:asciiTheme="minorHAnsi" w:eastAsiaTheme="minorHAnsi" w:hAnsiTheme="minorHAnsi" w:cstheme="minorBidi"/>
          <w:sz w:val="18"/>
          <w:szCs w:val="22"/>
        </w:rPr>
        <w:t>”</w:t>
      </w:r>
      <w:r w:rsidRPr="0096559A">
        <w:rPr>
          <w:rFonts w:asciiTheme="minorHAnsi" w:eastAsiaTheme="minorHAnsi" w:hAnsiTheme="minorHAnsi" w:cstheme="minorBidi"/>
          <w:color w:val="000000" w:themeColor="text1"/>
          <w:sz w:val="18"/>
          <w:szCs w:val="22"/>
        </w:rPr>
        <w:t xml:space="preserve"> to dowolny serwer usługi </w:t>
      </w:r>
      <w:proofErr w:type="spellStart"/>
      <w:r w:rsidRPr="0096559A">
        <w:rPr>
          <w:rFonts w:asciiTheme="minorHAnsi" w:eastAsiaTheme="minorHAnsi" w:hAnsiTheme="minorHAnsi" w:cstheme="minorBidi"/>
          <w:color w:val="000000" w:themeColor="text1"/>
          <w:sz w:val="18"/>
          <w:szCs w:val="22"/>
        </w:rPr>
        <w:t>Azure</w:t>
      </w:r>
      <w:proofErr w:type="spellEnd"/>
      <w:r w:rsidRPr="0096559A">
        <w:rPr>
          <w:rFonts w:asciiTheme="minorHAnsi" w:eastAsiaTheme="minorHAnsi" w:hAnsiTheme="minorHAnsi" w:cstheme="minorBidi"/>
          <w:color w:val="000000" w:themeColor="text1"/>
          <w:sz w:val="18"/>
          <w:szCs w:val="22"/>
        </w:rPr>
        <w:t xml:space="preserve"> Database for </w:t>
      </w:r>
      <w:proofErr w:type="spellStart"/>
      <w:r w:rsidRPr="0096559A">
        <w:rPr>
          <w:rFonts w:asciiTheme="minorHAnsi" w:eastAsiaTheme="minorHAnsi" w:hAnsiTheme="minorHAnsi" w:cstheme="minorBidi"/>
          <w:color w:val="000000" w:themeColor="text1"/>
          <w:sz w:val="18"/>
          <w:szCs w:val="22"/>
        </w:rPr>
        <w:t>PostgreSQL</w:t>
      </w:r>
      <w:proofErr w:type="spellEnd"/>
      <w:r w:rsidRPr="0096559A">
        <w:rPr>
          <w:rFonts w:asciiTheme="minorHAnsi" w:eastAsiaTheme="minorHAnsi" w:hAnsiTheme="minorHAnsi" w:cstheme="minorBidi"/>
          <w:color w:val="000000" w:themeColor="text1"/>
          <w:sz w:val="18"/>
          <w:szCs w:val="22"/>
        </w:rPr>
        <w:t xml:space="preserve"> – Single Server.</w:t>
      </w:r>
    </w:p>
    <w:p w14:paraId="24719795"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B41CC1">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Klaster o Wysokiej Dostępności</w:t>
      </w:r>
      <w:r w:rsidRPr="00B41CC1">
        <w:rPr>
          <w:rFonts w:asciiTheme="minorHAnsi" w:eastAsiaTheme="minorHAnsi" w:hAnsiTheme="minorHAnsi" w:cstheme="minorBidi"/>
          <w:sz w:val="18"/>
          <w:szCs w:val="22"/>
        </w:rPr>
        <w:t>”</w:t>
      </w:r>
      <w:r>
        <w:rPr>
          <w:rFonts w:asciiTheme="minorHAnsi" w:eastAsiaTheme="minorHAnsi" w:hAnsiTheme="minorHAnsi" w:cstheme="minorBidi"/>
          <w:color w:val="000000" w:themeColor="text1"/>
          <w:sz w:val="18"/>
          <w:szCs w:val="22"/>
        </w:rPr>
        <w:t xml:space="preserve"> to zestaw Węzłów o Wysokiej Dostępności.</w:t>
      </w:r>
    </w:p>
    <w:p w14:paraId="34D0EBBF"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B41CC1">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Węzeł o Wysokiej Dostępności</w:t>
      </w:r>
      <w:r w:rsidRPr="00B41CC1">
        <w:rPr>
          <w:rFonts w:asciiTheme="minorHAnsi" w:eastAsiaTheme="minorHAnsi" w:hAnsiTheme="minorHAnsi" w:cstheme="minorBidi"/>
          <w:sz w:val="18"/>
          <w:szCs w:val="22"/>
        </w:rPr>
        <w:t>”</w:t>
      </w:r>
      <w:r>
        <w:rPr>
          <w:rFonts w:asciiTheme="minorHAnsi" w:eastAsiaTheme="minorHAnsi" w:hAnsiTheme="minorHAnsi" w:cstheme="minorBidi"/>
          <w:color w:val="000000" w:themeColor="text1"/>
          <w:sz w:val="18"/>
          <w:szCs w:val="22"/>
        </w:rPr>
        <w:t xml:space="preserve"> to Węzeł w grupie serwerów z włączoną funkcją wysokiej dostępności.</w:t>
      </w:r>
    </w:p>
    <w:p w14:paraId="4DF0D634"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B41CC1">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Węzeł Koordynacji</w:t>
      </w:r>
      <w:r w:rsidRPr="00B41CC1">
        <w:rPr>
          <w:rFonts w:asciiTheme="minorHAnsi" w:eastAsiaTheme="minorHAnsi" w:hAnsiTheme="minorHAnsi" w:cstheme="minorBidi"/>
          <w:sz w:val="18"/>
          <w:szCs w:val="22"/>
        </w:rPr>
        <w:t>”</w:t>
      </w:r>
      <w:r>
        <w:rPr>
          <w:rFonts w:asciiTheme="minorHAnsi" w:eastAsiaTheme="minorHAnsi" w:hAnsiTheme="minorHAnsi" w:cstheme="minorBidi"/>
          <w:color w:val="000000" w:themeColor="text1"/>
          <w:sz w:val="18"/>
          <w:szCs w:val="22"/>
        </w:rPr>
        <w:t xml:space="preserve"> to Węzeł, do którego przypisano rolę Koordynacja Klastra.</w:t>
      </w:r>
    </w:p>
    <w:p w14:paraId="2B565E3C" w14:textId="77777777" w:rsidR="004005AF" w:rsidRPr="00ED4527" w:rsidRDefault="004005AF" w:rsidP="004005AF">
      <w:pPr>
        <w:pStyle w:val="NormalWeb"/>
        <w:spacing w:before="0" w:beforeAutospacing="0" w:after="0" w:afterAutospacing="0"/>
        <w:rPr>
          <w:rFonts w:asciiTheme="minorHAnsi" w:eastAsiaTheme="minorHAnsi" w:hAnsiTheme="minorHAnsi" w:cstheme="minorBidi"/>
          <w:color w:val="000000" w:themeColor="text1"/>
          <w:sz w:val="18"/>
          <w:szCs w:val="22"/>
        </w:rPr>
      </w:pPr>
      <w:r w:rsidRPr="00B41CC1">
        <w:rPr>
          <w:rFonts w:asciiTheme="minorHAnsi" w:eastAsiaTheme="minorHAnsi" w:hAnsiTheme="minorHAnsi" w:cstheme="minorBidi"/>
          <w:sz w:val="18"/>
          <w:szCs w:val="22"/>
        </w:rPr>
        <w:t>„</w:t>
      </w:r>
      <w:r>
        <w:rPr>
          <w:rFonts w:asciiTheme="minorHAnsi" w:eastAsiaTheme="minorHAnsi" w:hAnsiTheme="minorHAnsi" w:cstheme="minorBidi"/>
          <w:b/>
          <w:bCs/>
          <w:color w:val="00188F"/>
          <w:sz w:val="18"/>
          <w:szCs w:val="22"/>
        </w:rPr>
        <w:t>Węzeł Roboczy</w:t>
      </w:r>
      <w:r w:rsidRPr="00B41CC1">
        <w:rPr>
          <w:rFonts w:asciiTheme="minorHAnsi" w:eastAsiaTheme="minorHAnsi" w:hAnsiTheme="minorHAnsi" w:cstheme="minorBidi"/>
          <w:sz w:val="18"/>
          <w:szCs w:val="22"/>
        </w:rPr>
        <w:t>”</w:t>
      </w:r>
      <w:r>
        <w:rPr>
          <w:rFonts w:asciiTheme="minorHAnsi" w:eastAsiaTheme="minorHAnsi" w:hAnsiTheme="minorHAnsi" w:cstheme="minorBidi"/>
          <w:color w:val="00188F"/>
          <w:sz w:val="18"/>
          <w:szCs w:val="22"/>
        </w:rPr>
        <w:t xml:space="preserve"> </w:t>
      </w:r>
      <w:r>
        <w:rPr>
          <w:rFonts w:asciiTheme="minorHAnsi" w:eastAsiaTheme="minorHAnsi" w:hAnsiTheme="minorHAnsi" w:cstheme="minorBidi"/>
          <w:color w:val="000000" w:themeColor="text1"/>
          <w:sz w:val="18"/>
          <w:szCs w:val="22"/>
        </w:rPr>
        <w:t>to Węzeł, do którego przypisano rolę Roboczy.</w:t>
      </w:r>
    </w:p>
    <w:p w14:paraId="2B69F95E" w14:textId="05FB6519" w:rsidR="004005AF" w:rsidRPr="00ED4527" w:rsidRDefault="00EE6E3C" w:rsidP="004005AF">
      <w:pPr>
        <w:pStyle w:val="NormalWeb"/>
        <w:spacing w:before="0" w:beforeAutospacing="0" w:after="0" w:afterAutospacing="0"/>
        <w:rPr>
          <w:rFonts w:asciiTheme="minorHAnsi" w:eastAsiaTheme="minorHAnsi" w:hAnsiTheme="minorHAnsi" w:cstheme="minorBidi"/>
          <w:b/>
          <w:bCs/>
          <w:color w:val="00188F"/>
          <w:sz w:val="18"/>
          <w:szCs w:val="22"/>
        </w:rPr>
      </w:pPr>
      <w:r>
        <w:rPr>
          <w:rFonts w:asciiTheme="minorHAnsi" w:eastAsiaTheme="minorHAnsi" w:hAnsiTheme="minorHAnsi" w:cstheme="minorBidi"/>
          <w:b/>
          <w:bCs/>
          <w:color w:val="00188F"/>
          <w:sz w:val="18"/>
          <w:szCs w:val="22"/>
        </w:rPr>
        <w:t xml:space="preserve">Obliczanie Czasu Sprawnego Działania i Poziomy Usługi dla Microsoft </w:t>
      </w:r>
      <w:proofErr w:type="spellStart"/>
      <w:r>
        <w:rPr>
          <w:rFonts w:asciiTheme="minorHAnsi" w:eastAsiaTheme="minorHAnsi" w:hAnsiTheme="minorHAnsi" w:cstheme="minorBidi"/>
          <w:b/>
          <w:bCs/>
          <w:color w:val="00188F"/>
          <w:sz w:val="18"/>
          <w:szCs w:val="22"/>
        </w:rPr>
        <w:t>Azure</w:t>
      </w:r>
      <w:proofErr w:type="spellEnd"/>
      <w:r>
        <w:rPr>
          <w:rFonts w:asciiTheme="minorHAnsi" w:eastAsiaTheme="minorHAnsi" w:hAnsiTheme="minorHAnsi" w:cstheme="minorBidi"/>
          <w:b/>
          <w:bCs/>
          <w:color w:val="00188F"/>
          <w:sz w:val="18"/>
          <w:szCs w:val="22"/>
        </w:rPr>
        <w:t xml:space="preserve"> Database for </w:t>
      </w:r>
      <w:proofErr w:type="spellStart"/>
      <w:r>
        <w:rPr>
          <w:rFonts w:asciiTheme="minorHAnsi" w:eastAsiaTheme="minorHAnsi" w:hAnsiTheme="minorHAnsi" w:cstheme="minorBidi"/>
          <w:b/>
          <w:bCs/>
          <w:color w:val="00188F"/>
          <w:sz w:val="18"/>
          <w:szCs w:val="22"/>
        </w:rPr>
        <w:t>PostgreSQL</w:t>
      </w:r>
      <w:proofErr w:type="spellEnd"/>
      <w:r>
        <w:rPr>
          <w:rFonts w:asciiTheme="minorHAnsi" w:eastAsiaTheme="minorHAnsi" w:hAnsiTheme="minorHAnsi" w:cstheme="minorBidi"/>
          <w:b/>
          <w:bCs/>
          <w:color w:val="00188F"/>
          <w:sz w:val="18"/>
          <w:szCs w:val="22"/>
        </w:rPr>
        <w:t xml:space="preserve"> - Single Server</w:t>
      </w:r>
    </w:p>
    <w:p w14:paraId="1B904F43" w14:textId="18621181" w:rsidR="004005AF" w:rsidRPr="009D08F6" w:rsidRDefault="004005AF" w:rsidP="004005AF">
      <w:pPr>
        <w:spacing w:after="0"/>
        <w:rPr>
          <w:sz w:val="18"/>
        </w:rPr>
      </w:pPr>
      <w:r>
        <w:rPr>
          <w:sz w:val="18"/>
        </w:rPr>
        <w:t>„</w:t>
      </w:r>
      <w:r>
        <w:rPr>
          <w:b/>
          <w:color w:val="00188F"/>
          <w:sz w:val="18"/>
        </w:rPr>
        <w:t>Microsoft Liczba Dostępnych Minut</w:t>
      </w:r>
      <w:r>
        <w:rPr>
          <w:sz w:val="18"/>
        </w:rPr>
        <w:t>”</w:t>
      </w:r>
      <w:r>
        <w:rPr>
          <w:rFonts w:eastAsiaTheme="minorEastAsia" w:cstheme="minorHAnsi"/>
          <w:sz w:val="18"/>
          <w:szCs w:val="18"/>
        </w:rPr>
        <w:t xml:space="preserve"> </w:t>
      </w:r>
      <w:r>
        <w:rPr>
          <w:sz w:val="18"/>
        </w:rPr>
        <w:t xml:space="preserve">to łączna liczba minut dla danego Serwera wdrożonych przez klienta w ramach subskrypcji Microsoft </w:t>
      </w:r>
      <w:proofErr w:type="spellStart"/>
      <w:r>
        <w:rPr>
          <w:sz w:val="18"/>
        </w:rPr>
        <w:t>Azure</w:t>
      </w:r>
      <w:proofErr w:type="spellEnd"/>
      <w:r>
        <w:rPr>
          <w:sz w:val="18"/>
        </w:rPr>
        <w:t xml:space="preserve"> we Właściwym Okresie.</w:t>
      </w:r>
    </w:p>
    <w:p w14:paraId="0A3D7517" w14:textId="77777777" w:rsidR="004005AF" w:rsidRPr="00B44CF9" w:rsidRDefault="004005AF" w:rsidP="004005AF">
      <w:pPr>
        <w:spacing w:after="0"/>
        <w:rPr>
          <w:rFonts w:eastAsiaTheme="minorEastAsia" w:cstheme="minorHAnsi"/>
          <w:sz w:val="18"/>
          <w:szCs w:val="18"/>
          <w:lang w:eastAsia="zh-TW"/>
        </w:rPr>
      </w:pPr>
      <w:r>
        <w:rPr>
          <w:sz w:val="18"/>
        </w:rPr>
        <w:t>„</w:t>
      </w:r>
      <w:r>
        <w:rPr>
          <w:b/>
          <w:color w:val="00188F"/>
          <w:sz w:val="18"/>
        </w:rPr>
        <w:t>Przestój</w:t>
      </w:r>
      <w:r>
        <w:rPr>
          <w:sz w:val="18"/>
        </w:rPr>
        <w:t>”</w:t>
      </w:r>
      <w:r>
        <w:rPr>
          <w:rFonts w:eastAsiaTheme="minorEastAsia" w:cstheme="minorHAnsi"/>
          <w:sz w:val="18"/>
          <w:szCs w:val="18"/>
        </w:rPr>
        <w:t xml:space="preserve"> </w:t>
      </w:r>
      <w:r>
        <w:rPr>
          <w:sz w:val="18"/>
        </w:rPr>
        <w:t>to łączna liczba minut w ramach Maksymalnej Liczby Dostępnych Minut, podczas których Serwer jest niedostępny. Minuta jest uznawana za minutę niedostępności, jeśli wszystkie podejmowane przez Klienta kolejne próby zmierzające do nawiązania łączności z Serwerem zwróciły Kod Błędu albo nie zwróciły odpowiedzi w ciągu minuty.</w:t>
      </w:r>
    </w:p>
    <w:p w14:paraId="72C1AC39" w14:textId="3BE67BCA" w:rsidR="004005AF" w:rsidRPr="00ED4527" w:rsidRDefault="004005AF" w:rsidP="004005AF">
      <w:pPr>
        <w:pStyle w:val="ProductList-Body"/>
        <w:rPr>
          <w:bCs/>
          <w:color w:val="000000" w:themeColor="text1"/>
        </w:rPr>
      </w:pPr>
      <w:r w:rsidRPr="00B41CC1">
        <w:t>„</w:t>
      </w:r>
      <w:r>
        <w:rPr>
          <w:b/>
          <w:color w:val="00188F"/>
        </w:rPr>
        <w:t>Procent Czasu Sprawnego Działania</w:t>
      </w:r>
      <w:r w:rsidR="00B41CC1" w:rsidRPr="00B41CC1">
        <w:t>”</w:t>
      </w:r>
      <w:r>
        <w:rPr>
          <w:bCs/>
          <w:color w:val="000000" w:themeColor="text1"/>
        </w:rPr>
        <w:t xml:space="preserve"> dla </w:t>
      </w:r>
      <w:proofErr w:type="spellStart"/>
      <w:r>
        <w:rPr>
          <w:bCs/>
          <w:color w:val="000000" w:themeColor="text1"/>
        </w:rPr>
        <w:t>Azure</w:t>
      </w:r>
      <w:proofErr w:type="spellEnd"/>
      <w:r>
        <w:rPr>
          <w:bCs/>
          <w:color w:val="000000" w:themeColor="text1"/>
        </w:rPr>
        <w:t xml:space="preserve"> Database for </w:t>
      </w:r>
      <w:proofErr w:type="spellStart"/>
      <w:r>
        <w:rPr>
          <w:bCs/>
          <w:color w:val="000000" w:themeColor="text1"/>
        </w:rPr>
        <w:t>PostgreSQL</w:t>
      </w:r>
      <w:proofErr w:type="spellEnd"/>
      <w:r>
        <w:rPr>
          <w:bCs/>
          <w:color w:val="000000" w:themeColor="text1"/>
        </w:rPr>
        <w:t xml:space="preserve"> jest obliczany jako Maksymalna Liczba Dostępnych Minut pomniejszona o</w:t>
      </w:r>
      <w:r w:rsidR="00B41CC1">
        <w:rPr>
          <w:bCs/>
          <w:color w:val="000000" w:themeColor="text1"/>
        </w:rPr>
        <w:t> </w:t>
      </w:r>
      <w:r>
        <w:rPr>
          <w:bCs/>
          <w:color w:val="000000" w:themeColor="text1"/>
        </w:rPr>
        <w:t>Przestój podzielona przez Maksymalną Liczbę Dostępnych Minut.</w:t>
      </w:r>
    </w:p>
    <w:p w14:paraId="0AF901BE" w14:textId="634817EB" w:rsidR="004005AF" w:rsidRDefault="004005AF" w:rsidP="00051AAC">
      <w:pPr>
        <w:pStyle w:val="ProductList-Body"/>
      </w:pPr>
      <w:r>
        <w:t>Procent Czasu Sprawnego Działania jest obliczany przy użyciu następującego wzoru:</w:t>
      </w:r>
    </w:p>
    <w:p w14:paraId="4957341A" w14:textId="67AF5D9A" w:rsidR="004005AF" w:rsidRPr="00191B8C" w:rsidRDefault="00000000" w:rsidP="00051AAC">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1769BF1"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Database for </w:t>
      </w:r>
      <w:proofErr w:type="spellStart"/>
      <w:r>
        <w:rPr>
          <w:b/>
          <w:color w:val="00188F"/>
        </w:rPr>
        <w:t>PostgreSQL</w:t>
      </w:r>
      <w:proofErr w:type="spellEnd"/>
      <w:r>
        <w:rPr>
          <w:b/>
          <w:color w:val="00188F"/>
        </w:rPr>
        <w:t xml:space="preserve"> – Single Server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B03C028" w14:textId="77777777" w:rsidTr="00277097">
        <w:trPr>
          <w:tblHeader/>
        </w:trPr>
        <w:tc>
          <w:tcPr>
            <w:tcW w:w="5400" w:type="dxa"/>
            <w:shd w:val="clear" w:color="auto" w:fill="0072C6"/>
          </w:tcPr>
          <w:p w14:paraId="2E4945DE" w14:textId="63E52486"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C0A1CE8"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80FBB3D" w14:textId="77777777" w:rsidTr="00277097">
        <w:tc>
          <w:tcPr>
            <w:tcW w:w="5400" w:type="dxa"/>
          </w:tcPr>
          <w:p w14:paraId="19EF8A23" w14:textId="77777777" w:rsidR="004005AF" w:rsidRPr="0076238C" w:rsidRDefault="004005AF" w:rsidP="000F31B4">
            <w:pPr>
              <w:pStyle w:val="ProductList-OfferingBody"/>
              <w:jc w:val="center"/>
            </w:pPr>
            <w:r>
              <w:t>&lt; 99,99%</w:t>
            </w:r>
          </w:p>
        </w:tc>
        <w:tc>
          <w:tcPr>
            <w:tcW w:w="5400" w:type="dxa"/>
          </w:tcPr>
          <w:p w14:paraId="15931EC2" w14:textId="77777777" w:rsidR="004005AF" w:rsidRPr="0076238C" w:rsidRDefault="004005AF" w:rsidP="000F31B4">
            <w:pPr>
              <w:pStyle w:val="ProductList-OfferingBody"/>
              <w:jc w:val="center"/>
            </w:pPr>
            <w:r>
              <w:t>10%</w:t>
            </w:r>
          </w:p>
        </w:tc>
      </w:tr>
      <w:tr w:rsidR="004005AF" w:rsidRPr="00B44CF9" w14:paraId="47BE20BB" w14:textId="77777777" w:rsidTr="00277097">
        <w:tc>
          <w:tcPr>
            <w:tcW w:w="5400" w:type="dxa"/>
          </w:tcPr>
          <w:p w14:paraId="1E8EE6EF" w14:textId="77777777" w:rsidR="004005AF" w:rsidRPr="0076238C" w:rsidRDefault="004005AF" w:rsidP="000F31B4">
            <w:pPr>
              <w:pStyle w:val="ProductList-OfferingBody"/>
              <w:jc w:val="center"/>
            </w:pPr>
            <w:r>
              <w:t>&lt; 99%</w:t>
            </w:r>
          </w:p>
        </w:tc>
        <w:tc>
          <w:tcPr>
            <w:tcW w:w="5400" w:type="dxa"/>
          </w:tcPr>
          <w:p w14:paraId="6B3E1525" w14:textId="77777777" w:rsidR="004005AF" w:rsidRPr="0076238C" w:rsidRDefault="004005AF" w:rsidP="000F31B4">
            <w:pPr>
              <w:pStyle w:val="ProductList-OfferingBody"/>
              <w:jc w:val="center"/>
            </w:pPr>
            <w:r>
              <w:t>25%</w:t>
            </w:r>
          </w:p>
        </w:tc>
      </w:tr>
      <w:tr w:rsidR="004005AF" w:rsidRPr="00B44CF9" w14:paraId="4B5E3295" w14:textId="77777777" w:rsidTr="00277097">
        <w:tc>
          <w:tcPr>
            <w:tcW w:w="5400" w:type="dxa"/>
          </w:tcPr>
          <w:p w14:paraId="63FA7C2D" w14:textId="77777777" w:rsidR="004005AF" w:rsidRPr="0076238C" w:rsidRDefault="004005AF" w:rsidP="000F31B4">
            <w:pPr>
              <w:pStyle w:val="ProductList-OfferingBody"/>
              <w:jc w:val="center"/>
            </w:pPr>
            <w:r>
              <w:t>&lt; 95%</w:t>
            </w:r>
          </w:p>
        </w:tc>
        <w:tc>
          <w:tcPr>
            <w:tcW w:w="5400" w:type="dxa"/>
          </w:tcPr>
          <w:p w14:paraId="1B7AA6D0" w14:textId="77777777" w:rsidR="004005AF" w:rsidRDefault="004005AF" w:rsidP="000F31B4">
            <w:pPr>
              <w:pStyle w:val="ProductList-OfferingBody"/>
              <w:jc w:val="center"/>
            </w:pPr>
            <w:r>
              <w:t>100%</w:t>
            </w:r>
          </w:p>
        </w:tc>
      </w:tr>
    </w:tbl>
    <w:p w14:paraId="36D6E7A3" w14:textId="77777777" w:rsidR="004005AF" w:rsidRPr="00ED4527" w:rsidRDefault="004005AF" w:rsidP="003C20C4">
      <w:pPr>
        <w:pStyle w:val="ProductList-Body"/>
        <w:spacing w:before="120"/>
        <w:rPr>
          <w:b/>
          <w:bCs/>
          <w:color w:val="00188F"/>
        </w:rPr>
      </w:pPr>
      <w:bookmarkStart w:id="220" w:name="_Toc513395512"/>
      <w:r>
        <w:rPr>
          <w:b/>
          <w:bCs/>
          <w:color w:val="00188F"/>
        </w:rPr>
        <w:t xml:space="preserve">Microsoft </w:t>
      </w:r>
      <w:proofErr w:type="spellStart"/>
      <w:r>
        <w:rPr>
          <w:b/>
          <w:bCs/>
          <w:color w:val="00188F"/>
        </w:rPr>
        <w:t>Azure</w:t>
      </w:r>
      <w:proofErr w:type="spellEnd"/>
      <w:r>
        <w:rPr>
          <w:b/>
          <w:bCs/>
          <w:color w:val="00188F"/>
        </w:rPr>
        <w:t xml:space="preserve"> Database for </w:t>
      </w:r>
      <w:proofErr w:type="spellStart"/>
      <w:r>
        <w:rPr>
          <w:b/>
          <w:bCs/>
          <w:color w:val="00188F"/>
        </w:rPr>
        <w:t>PostgreSQL</w:t>
      </w:r>
      <w:proofErr w:type="spellEnd"/>
      <w:r>
        <w:rPr>
          <w:b/>
          <w:bCs/>
          <w:color w:val="00188F"/>
        </w:rPr>
        <w:t xml:space="preserve"> – </w:t>
      </w:r>
      <w:proofErr w:type="spellStart"/>
      <w:r>
        <w:rPr>
          <w:b/>
          <w:bCs/>
          <w:color w:val="00188F"/>
        </w:rPr>
        <w:t>Flexible</w:t>
      </w:r>
      <w:proofErr w:type="spellEnd"/>
      <w:r>
        <w:rPr>
          <w:b/>
          <w:bCs/>
          <w:color w:val="00188F"/>
        </w:rPr>
        <w:t xml:space="preserve"> Server</w:t>
      </w:r>
    </w:p>
    <w:p w14:paraId="6D811BDF" w14:textId="77777777" w:rsidR="004005AF" w:rsidRPr="00ED4527" w:rsidRDefault="004005AF" w:rsidP="004005AF">
      <w:pPr>
        <w:pStyle w:val="ProductList-Body"/>
        <w:rPr>
          <w:b/>
          <w:bCs/>
          <w:color w:val="00188F"/>
        </w:rPr>
      </w:pPr>
      <w:r>
        <w:rPr>
          <w:b/>
          <w:bCs/>
          <w:color w:val="00188F"/>
        </w:rPr>
        <w:t>Dodatkowe definicje:</w:t>
      </w:r>
    </w:p>
    <w:p w14:paraId="0D173B0B" w14:textId="77777777" w:rsidR="004005AF" w:rsidRPr="0096559A" w:rsidRDefault="004005AF" w:rsidP="004005AF">
      <w:pPr>
        <w:pStyle w:val="ProductList-Body"/>
        <w:rPr>
          <w:color w:val="000000" w:themeColor="text1"/>
        </w:rPr>
      </w:pPr>
      <w:r w:rsidRPr="0096559A">
        <w:t>„</w:t>
      </w:r>
      <w:r w:rsidRPr="0096559A">
        <w:rPr>
          <w:b/>
          <w:bCs/>
          <w:color w:val="00188F"/>
        </w:rPr>
        <w:t>Serwer</w:t>
      </w:r>
      <w:r w:rsidRPr="0096559A">
        <w:t>”</w:t>
      </w:r>
      <w:r w:rsidRPr="0096559A">
        <w:rPr>
          <w:color w:val="00188F"/>
        </w:rPr>
        <w:t xml:space="preserve"> </w:t>
      </w:r>
      <w:r w:rsidRPr="0096559A">
        <w:rPr>
          <w:color w:val="000000" w:themeColor="text1"/>
        </w:rPr>
        <w:t xml:space="preserve">to dowolny serwer usługi </w:t>
      </w:r>
      <w:proofErr w:type="spellStart"/>
      <w:r w:rsidRPr="0096559A">
        <w:rPr>
          <w:color w:val="000000" w:themeColor="text1"/>
        </w:rPr>
        <w:t>Azure</w:t>
      </w:r>
      <w:proofErr w:type="spellEnd"/>
      <w:r w:rsidRPr="0096559A">
        <w:rPr>
          <w:color w:val="000000" w:themeColor="text1"/>
        </w:rPr>
        <w:t xml:space="preserve"> Database for </w:t>
      </w:r>
      <w:proofErr w:type="spellStart"/>
      <w:r w:rsidRPr="0096559A">
        <w:rPr>
          <w:color w:val="000000" w:themeColor="text1"/>
        </w:rPr>
        <w:t>PostgreSQL</w:t>
      </w:r>
      <w:proofErr w:type="spellEnd"/>
      <w:r w:rsidRPr="0096559A">
        <w:rPr>
          <w:color w:val="000000" w:themeColor="text1"/>
        </w:rPr>
        <w:t xml:space="preserve"> – </w:t>
      </w:r>
      <w:proofErr w:type="spellStart"/>
      <w:r w:rsidRPr="0096559A">
        <w:rPr>
          <w:color w:val="000000" w:themeColor="text1"/>
        </w:rPr>
        <w:t>Flexible</w:t>
      </w:r>
      <w:proofErr w:type="spellEnd"/>
      <w:r w:rsidRPr="0096559A">
        <w:rPr>
          <w:color w:val="000000" w:themeColor="text1"/>
        </w:rPr>
        <w:t xml:space="preserve"> Server.</w:t>
      </w:r>
    </w:p>
    <w:p w14:paraId="4F40C061" w14:textId="77777777" w:rsidR="004005AF" w:rsidRPr="00ED4527" w:rsidRDefault="004005AF" w:rsidP="004005AF">
      <w:pPr>
        <w:pStyle w:val="ProductList-Body"/>
        <w:rPr>
          <w:color w:val="000000" w:themeColor="text1"/>
        </w:rPr>
      </w:pPr>
      <w:r w:rsidRPr="00B41CC1">
        <w:t>„</w:t>
      </w:r>
      <w:r>
        <w:rPr>
          <w:b/>
          <w:bCs/>
          <w:color w:val="00188F"/>
        </w:rPr>
        <w:t>Wysoka Dostępność</w:t>
      </w:r>
      <w:r w:rsidRPr="00B41CC1">
        <w:t xml:space="preserve">” </w:t>
      </w:r>
      <w:r>
        <w:rPr>
          <w:color w:val="000000" w:themeColor="text1"/>
        </w:rPr>
        <w:t xml:space="preserve">w kontekście serwera </w:t>
      </w:r>
      <w:proofErr w:type="spellStart"/>
      <w:r>
        <w:rPr>
          <w:color w:val="000000" w:themeColor="text1"/>
        </w:rPr>
        <w:t>Flexible</w:t>
      </w:r>
      <w:proofErr w:type="spellEnd"/>
      <w:r>
        <w:rPr>
          <w:color w:val="000000" w:themeColor="text1"/>
        </w:rPr>
        <w:t xml:space="preserve"> to zestaw serwerów o Wysokiej Dostępności (Głównych i rezerwowych) wdrożonych w konfiguracji uwzględniającej nadmiarowość w określonych strefach lub z uwzględnieniem nadmiarowości w tej samej strefie.</w:t>
      </w:r>
    </w:p>
    <w:p w14:paraId="0221299A" w14:textId="68B71F97" w:rsidR="004005AF" w:rsidRPr="00ED4527" w:rsidRDefault="00EE6E3C" w:rsidP="004005AF">
      <w:pPr>
        <w:pStyle w:val="ProductList-Body"/>
        <w:rPr>
          <w:b/>
          <w:bCs/>
          <w:color w:val="00188F"/>
        </w:rPr>
      </w:pPr>
      <w:r>
        <w:rPr>
          <w:b/>
          <w:bCs/>
          <w:color w:val="00188F"/>
        </w:rPr>
        <w:t xml:space="preserve">Obliczanie Czasu Sprawnego Działania i Poziomy Usługi dla Microsoft </w:t>
      </w:r>
      <w:proofErr w:type="spellStart"/>
      <w:r>
        <w:rPr>
          <w:b/>
          <w:bCs/>
          <w:color w:val="00188F"/>
        </w:rPr>
        <w:t>Azure</w:t>
      </w:r>
      <w:proofErr w:type="spellEnd"/>
      <w:r>
        <w:rPr>
          <w:b/>
          <w:bCs/>
          <w:color w:val="00188F"/>
        </w:rPr>
        <w:t xml:space="preserve"> Database for </w:t>
      </w:r>
      <w:proofErr w:type="spellStart"/>
      <w:r>
        <w:rPr>
          <w:b/>
          <w:bCs/>
          <w:color w:val="00188F"/>
        </w:rPr>
        <w:t>PostgreSQL</w:t>
      </w:r>
      <w:proofErr w:type="spellEnd"/>
      <w:r>
        <w:rPr>
          <w:b/>
          <w:bCs/>
          <w:color w:val="00188F"/>
        </w:rPr>
        <w:t xml:space="preserve">– </w:t>
      </w:r>
      <w:proofErr w:type="spellStart"/>
      <w:r>
        <w:rPr>
          <w:b/>
          <w:bCs/>
          <w:color w:val="00188F"/>
        </w:rPr>
        <w:t>Flexible</w:t>
      </w:r>
      <w:proofErr w:type="spellEnd"/>
      <w:r>
        <w:rPr>
          <w:b/>
          <w:bCs/>
          <w:color w:val="00188F"/>
        </w:rPr>
        <w:t xml:space="preserve"> Server</w:t>
      </w:r>
    </w:p>
    <w:p w14:paraId="4D459CB0" w14:textId="5443C7CF" w:rsidR="004005AF" w:rsidRPr="00ED4527" w:rsidRDefault="004005AF" w:rsidP="004005AF">
      <w:pPr>
        <w:pStyle w:val="ProductList-Body"/>
        <w:rPr>
          <w:color w:val="000000" w:themeColor="text1"/>
        </w:rPr>
      </w:pPr>
      <w:r w:rsidRPr="00B41CC1">
        <w:t>„</w:t>
      </w:r>
      <w:r>
        <w:rPr>
          <w:b/>
          <w:bCs/>
          <w:color w:val="00188F"/>
        </w:rPr>
        <w:t>Maksymalna Liczba Dostępnych Minut</w:t>
      </w:r>
      <w:r w:rsidRPr="00B41CC1">
        <w:t xml:space="preserve">” </w:t>
      </w:r>
      <w:r>
        <w:rPr>
          <w:color w:val="000000" w:themeColor="text1"/>
        </w:rPr>
        <w:t xml:space="preserve">to łączna liczba minut dla danego Serwera wdrożonych przez klienta w ramach subskrypcji Microsoft </w:t>
      </w:r>
      <w:proofErr w:type="spellStart"/>
      <w:r>
        <w:rPr>
          <w:color w:val="000000" w:themeColor="text1"/>
        </w:rPr>
        <w:t>Azure</w:t>
      </w:r>
      <w:proofErr w:type="spellEnd"/>
      <w:r>
        <w:rPr>
          <w:color w:val="000000" w:themeColor="text1"/>
        </w:rPr>
        <w:t xml:space="preserve"> we Właściwym Okresie.</w:t>
      </w:r>
    </w:p>
    <w:p w14:paraId="0298D812" w14:textId="77777777" w:rsidR="004005AF" w:rsidRPr="00ED4527" w:rsidRDefault="004005AF" w:rsidP="004005AF">
      <w:pPr>
        <w:pStyle w:val="ProductList-Body"/>
        <w:rPr>
          <w:color w:val="000000" w:themeColor="text1"/>
        </w:rPr>
      </w:pPr>
      <w:r w:rsidRPr="00B41CC1">
        <w:t>„</w:t>
      </w:r>
      <w:r>
        <w:rPr>
          <w:b/>
          <w:bCs/>
          <w:color w:val="00188F"/>
        </w:rPr>
        <w:t>Przestój</w:t>
      </w:r>
      <w:r w:rsidRPr="00B41CC1">
        <w:t>”</w:t>
      </w:r>
      <w:r>
        <w:rPr>
          <w:color w:val="000000" w:themeColor="text1"/>
        </w:rPr>
        <w:t xml:space="preserve"> to łączna liczba minut w ramach Maksymalnej Liczby Dostępnych Minut, podczas których Serwer jest niedostępny. Minuta jest uznawana za minutę niedostępności, jeśli wszystkie kolejne próby podejmowane przez Klienta w trakcie tej minuty, zmierzające do ustanowienia połączenia z Serwerem, kończą się niepowodzeniem.</w:t>
      </w:r>
    </w:p>
    <w:p w14:paraId="3CA5E3A3" w14:textId="0C357407" w:rsidR="004005AF" w:rsidRPr="00ED4527" w:rsidRDefault="004005AF" w:rsidP="004005AF">
      <w:pPr>
        <w:pStyle w:val="ProductList-Body"/>
        <w:rPr>
          <w:color w:val="000000" w:themeColor="text1"/>
        </w:rPr>
      </w:pPr>
      <w:r w:rsidRPr="00B41CC1">
        <w:t>„</w:t>
      </w:r>
      <w:r>
        <w:rPr>
          <w:b/>
          <w:bCs/>
          <w:color w:val="00188F"/>
        </w:rPr>
        <w:t>Procent Czasu Sprawnego Działania</w:t>
      </w:r>
      <w:r w:rsidR="00B41CC1" w:rsidRPr="00B41CC1">
        <w:t>”</w:t>
      </w:r>
      <w:r>
        <w:rPr>
          <w:color w:val="000000" w:themeColor="text1"/>
        </w:rPr>
        <w:t xml:space="preserve"> dla </w:t>
      </w:r>
      <w:proofErr w:type="spellStart"/>
      <w:r>
        <w:rPr>
          <w:color w:val="000000" w:themeColor="text1"/>
        </w:rPr>
        <w:t>Azure</w:t>
      </w:r>
      <w:proofErr w:type="spellEnd"/>
      <w:r>
        <w:rPr>
          <w:color w:val="000000" w:themeColor="text1"/>
        </w:rPr>
        <w:t xml:space="preserve"> Database for </w:t>
      </w:r>
      <w:proofErr w:type="spellStart"/>
      <w:r>
        <w:rPr>
          <w:color w:val="000000" w:themeColor="text1"/>
        </w:rPr>
        <w:t>PostgreSQL</w:t>
      </w:r>
      <w:proofErr w:type="spellEnd"/>
      <w:r>
        <w:rPr>
          <w:color w:val="000000" w:themeColor="text1"/>
        </w:rPr>
        <w:t xml:space="preserve"> – </w:t>
      </w:r>
      <w:proofErr w:type="spellStart"/>
      <w:r>
        <w:rPr>
          <w:color w:val="000000" w:themeColor="text1"/>
        </w:rPr>
        <w:t>Flexible</w:t>
      </w:r>
      <w:proofErr w:type="spellEnd"/>
      <w:r>
        <w:rPr>
          <w:color w:val="000000" w:themeColor="text1"/>
        </w:rPr>
        <w:t xml:space="preserve"> Server jest obliczany jako Maksymalna Liczba Dostępnych Minut pomniejszona o Przestój podzielona przez Maksymalną Liczbę Dostępnych Minut.</w:t>
      </w:r>
    </w:p>
    <w:p w14:paraId="431AA76E" w14:textId="56A74B73" w:rsidR="004005AF" w:rsidRPr="00ED4527" w:rsidRDefault="00AC48A7" w:rsidP="004005AF">
      <w:pPr>
        <w:pStyle w:val="ProductList-Body"/>
        <w:tabs>
          <w:tab w:val="clear" w:pos="360"/>
          <w:tab w:val="clear" w:pos="720"/>
          <w:tab w:val="clear" w:pos="1080"/>
        </w:tabs>
        <w:rPr>
          <w:color w:val="000000" w:themeColor="text1"/>
        </w:rPr>
      </w:pPr>
      <w:r>
        <w:rPr>
          <w:color w:val="000000" w:themeColor="text1"/>
        </w:rPr>
        <w:t>Procent Czasu Sprawnego Działania przedstawia się za pomocą następującego wzoru:</w:t>
      </w:r>
    </w:p>
    <w:p w14:paraId="42F7A92F" w14:textId="5764FFD5" w:rsidR="004005AF" w:rsidRPr="00191B8C" w:rsidRDefault="00000000" w:rsidP="000225D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2224139" w14:textId="09DBA761" w:rsidR="004005AF" w:rsidRDefault="004005AF" w:rsidP="004005AF">
      <w:pPr>
        <w:pStyle w:val="ProductList-Body"/>
        <w:keepNext/>
        <w:rPr>
          <w:b/>
          <w:color w:val="00188F"/>
        </w:rPr>
      </w:pPr>
      <w:r>
        <w:rPr>
          <w:b/>
          <w:color w:val="00188F"/>
        </w:rPr>
        <w:t xml:space="preserve">Do używania przez Klienta usługi </w:t>
      </w:r>
      <w:proofErr w:type="spellStart"/>
      <w:r>
        <w:rPr>
          <w:b/>
          <w:color w:val="00188F"/>
        </w:rPr>
        <w:t>Azure</w:t>
      </w:r>
      <w:proofErr w:type="spellEnd"/>
      <w:r>
        <w:rPr>
          <w:b/>
          <w:color w:val="00188F"/>
        </w:rPr>
        <w:t xml:space="preserve"> Database for </w:t>
      </w:r>
      <w:proofErr w:type="spellStart"/>
      <w:r>
        <w:rPr>
          <w:b/>
          <w:color w:val="00188F"/>
        </w:rPr>
        <w:t>PostgreSQL</w:t>
      </w:r>
      <w:proofErr w:type="spellEnd"/>
      <w:r>
        <w:rPr>
          <w:b/>
          <w:color w:val="00188F"/>
        </w:rPr>
        <w:t xml:space="preserve"> – </w:t>
      </w:r>
      <w:proofErr w:type="spellStart"/>
      <w:r>
        <w:rPr>
          <w:b/>
          <w:color w:val="00188F"/>
        </w:rPr>
        <w:t>Flexible</w:t>
      </w:r>
      <w:proofErr w:type="spellEnd"/>
      <w:r>
        <w:rPr>
          <w:b/>
          <w:color w:val="00188F"/>
        </w:rPr>
        <w:t xml:space="preserve"> Server skonfigurowanej w trybie Wysokiej Dostępności z uwzględnieniem nadmiarowości w określonych strefach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FE125A5" w14:textId="77777777" w:rsidTr="00277097">
        <w:trPr>
          <w:tblHeader/>
        </w:trPr>
        <w:tc>
          <w:tcPr>
            <w:tcW w:w="5400" w:type="dxa"/>
            <w:shd w:val="clear" w:color="auto" w:fill="0072C6"/>
          </w:tcPr>
          <w:p w14:paraId="672CF6AE" w14:textId="6B065DD5"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3005C49"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06682E21" w14:textId="77777777" w:rsidTr="00277097">
        <w:tc>
          <w:tcPr>
            <w:tcW w:w="5400" w:type="dxa"/>
          </w:tcPr>
          <w:p w14:paraId="7B6E35EE" w14:textId="77777777" w:rsidR="004005AF" w:rsidRPr="0076238C" w:rsidRDefault="004005AF" w:rsidP="000F31B4">
            <w:pPr>
              <w:pStyle w:val="ProductList-OfferingBody"/>
              <w:jc w:val="center"/>
            </w:pPr>
            <w:r>
              <w:t>Poniżej 99,99%, ale nie mniej niż 99,00%</w:t>
            </w:r>
          </w:p>
        </w:tc>
        <w:tc>
          <w:tcPr>
            <w:tcW w:w="5400" w:type="dxa"/>
          </w:tcPr>
          <w:p w14:paraId="4E17E991" w14:textId="77777777" w:rsidR="004005AF" w:rsidRPr="0076238C" w:rsidRDefault="004005AF" w:rsidP="000F31B4">
            <w:pPr>
              <w:pStyle w:val="ProductList-OfferingBody"/>
              <w:jc w:val="center"/>
            </w:pPr>
            <w:r>
              <w:t>10%</w:t>
            </w:r>
          </w:p>
        </w:tc>
      </w:tr>
      <w:tr w:rsidR="004005AF" w:rsidRPr="00B44CF9" w14:paraId="05A1DC5D" w14:textId="77777777" w:rsidTr="00277097">
        <w:tc>
          <w:tcPr>
            <w:tcW w:w="5400" w:type="dxa"/>
          </w:tcPr>
          <w:p w14:paraId="65BE6248" w14:textId="77777777" w:rsidR="004005AF" w:rsidRPr="0076238C" w:rsidRDefault="004005AF" w:rsidP="000F31B4">
            <w:pPr>
              <w:pStyle w:val="ProductList-OfferingBody"/>
              <w:jc w:val="center"/>
            </w:pPr>
            <w:r>
              <w:t>Poniżej 99,00%, ale nie mniej niż 95,00%</w:t>
            </w:r>
          </w:p>
        </w:tc>
        <w:tc>
          <w:tcPr>
            <w:tcW w:w="5400" w:type="dxa"/>
          </w:tcPr>
          <w:p w14:paraId="53CD4A22" w14:textId="77777777" w:rsidR="004005AF" w:rsidRPr="0076238C" w:rsidRDefault="004005AF" w:rsidP="000F31B4">
            <w:pPr>
              <w:pStyle w:val="ProductList-OfferingBody"/>
              <w:jc w:val="center"/>
            </w:pPr>
            <w:r>
              <w:t>25%</w:t>
            </w:r>
          </w:p>
        </w:tc>
      </w:tr>
      <w:tr w:rsidR="004005AF" w:rsidRPr="00B44CF9" w14:paraId="77FDCEA8" w14:textId="77777777" w:rsidTr="00277097">
        <w:tc>
          <w:tcPr>
            <w:tcW w:w="5400" w:type="dxa"/>
          </w:tcPr>
          <w:p w14:paraId="2D8F7F61" w14:textId="77777777" w:rsidR="004005AF" w:rsidRPr="0076238C" w:rsidRDefault="004005AF" w:rsidP="000F31B4">
            <w:pPr>
              <w:pStyle w:val="ProductList-OfferingBody"/>
              <w:jc w:val="center"/>
            </w:pPr>
            <w:r>
              <w:t>&lt; 95,00%</w:t>
            </w:r>
          </w:p>
        </w:tc>
        <w:tc>
          <w:tcPr>
            <w:tcW w:w="5400" w:type="dxa"/>
          </w:tcPr>
          <w:p w14:paraId="75166A6D" w14:textId="77777777" w:rsidR="004005AF" w:rsidRDefault="004005AF" w:rsidP="000F31B4">
            <w:pPr>
              <w:pStyle w:val="ProductList-OfferingBody"/>
              <w:jc w:val="center"/>
            </w:pPr>
            <w:r>
              <w:t>100%</w:t>
            </w:r>
          </w:p>
        </w:tc>
      </w:tr>
    </w:tbl>
    <w:p w14:paraId="5EEDF4FF" w14:textId="77777777" w:rsidR="004005AF" w:rsidRPr="00ED4736" w:rsidRDefault="004005AF" w:rsidP="004005AF">
      <w:pPr>
        <w:pStyle w:val="ProductList-Body"/>
        <w:tabs>
          <w:tab w:val="clear" w:pos="360"/>
          <w:tab w:val="clear" w:pos="720"/>
          <w:tab w:val="clear" w:pos="1080"/>
        </w:tabs>
        <w:rPr>
          <w:sz w:val="12"/>
          <w:szCs w:val="12"/>
        </w:rPr>
      </w:pPr>
    </w:p>
    <w:p w14:paraId="69DCBF1D"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Database for </w:t>
      </w:r>
      <w:proofErr w:type="spellStart"/>
      <w:r>
        <w:rPr>
          <w:b/>
          <w:color w:val="00188F"/>
        </w:rPr>
        <w:t>PostgreSQL</w:t>
      </w:r>
      <w:proofErr w:type="spellEnd"/>
      <w:r>
        <w:rPr>
          <w:b/>
          <w:color w:val="00188F"/>
        </w:rPr>
        <w:t xml:space="preserve"> – </w:t>
      </w:r>
      <w:proofErr w:type="spellStart"/>
      <w:r>
        <w:rPr>
          <w:b/>
          <w:color w:val="00188F"/>
        </w:rPr>
        <w:t>Flexible</w:t>
      </w:r>
      <w:proofErr w:type="spellEnd"/>
      <w:r>
        <w:rPr>
          <w:b/>
          <w:color w:val="00188F"/>
        </w:rPr>
        <w:t xml:space="preserve"> Server skonfigurowanej w trybie Wysokiej Dostępności z uwzględnieniem nadmiarowości w tej samej strefie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15E8EC7" w14:textId="77777777" w:rsidTr="00277097">
        <w:trPr>
          <w:tblHeader/>
        </w:trPr>
        <w:tc>
          <w:tcPr>
            <w:tcW w:w="5400" w:type="dxa"/>
            <w:shd w:val="clear" w:color="auto" w:fill="0072C6"/>
          </w:tcPr>
          <w:p w14:paraId="549CABA0" w14:textId="6E4A9329"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9710F24"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15E85E18" w14:textId="77777777" w:rsidTr="00277097">
        <w:tc>
          <w:tcPr>
            <w:tcW w:w="5400" w:type="dxa"/>
          </w:tcPr>
          <w:p w14:paraId="439832B2" w14:textId="77777777" w:rsidR="004005AF" w:rsidRPr="0076238C" w:rsidRDefault="004005AF" w:rsidP="000F31B4">
            <w:pPr>
              <w:pStyle w:val="ProductList-OfferingBody"/>
              <w:jc w:val="center"/>
            </w:pPr>
            <w:r>
              <w:t>Poniżej 99,95%, ale nie mniej niż 99,00%</w:t>
            </w:r>
          </w:p>
        </w:tc>
        <w:tc>
          <w:tcPr>
            <w:tcW w:w="5400" w:type="dxa"/>
          </w:tcPr>
          <w:p w14:paraId="40DDBEAA" w14:textId="77777777" w:rsidR="004005AF" w:rsidRPr="0076238C" w:rsidRDefault="004005AF" w:rsidP="000F31B4">
            <w:pPr>
              <w:pStyle w:val="ProductList-OfferingBody"/>
              <w:jc w:val="center"/>
            </w:pPr>
            <w:r>
              <w:t>10%</w:t>
            </w:r>
          </w:p>
        </w:tc>
      </w:tr>
      <w:tr w:rsidR="004005AF" w:rsidRPr="00B44CF9" w14:paraId="14B44FC2" w14:textId="77777777" w:rsidTr="00277097">
        <w:tc>
          <w:tcPr>
            <w:tcW w:w="5400" w:type="dxa"/>
          </w:tcPr>
          <w:p w14:paraId="0E6E8C7F" w14:textId="77777777" w:rsidR="004005AF" w:rsidRPr="0076238C" w:rsidRDefault="004005AF" w:rsidP="000F31B4">
            <w:pPr>
              <w:pStyle w:val="ProductList-OfferingBody"/>
              <w:jc w:val="center"/>
            </w:pPr>
            <w:r>
              <w:t>&lt; 99,00%</w:t>
            </w:r>
          </w:p>
        </w:tc>
        <w:tc>
          <w:tcPr>
            <w:tcW w:w="5400" w:type="dxa"/>
          </w:tcPr>
          <w:p w14:paraId="4210AC71" w14:textId="77777777" w:rsidR="004005AF" w:rsidRPr="0076238C" w:rsidRDefault="004005AF" w:rsidP="000F31B4">
            <w:pPr>
              <w:pStyle w:val="ProductList-OfferingBody"/>
              <w:jc w:val="center"/>
            </w:pPr>
            <w:r>
              <w:t>25%</w:t>
            </w:r>
          </w:p>
        </w:tc>
      </w:tr>
    </w:tbl>
    <w:p w14:paraId="64647DBF" w14:textId="77777777" w:rsidR="004005AF" w:rsidRPr="00ED4736" w:rsidRDefault="004005AF" w:rsidP="004005AF">
      <w:pPr>
        <w:pStyle w:val="ProductList-Body"/>
        <w:tabs>
          <w:tab w:val="clear" w:pos="360"/>
          <w:tab w:val="clear" w:pos="720"/>
          <w:tab w:val="clear" w:pos="1080"/>
        </w:tabs>
        <w:rPr>
          <w:color w:val="000000" w:themeColor="text1"/>
          <w:sz w:val="12"/>
          <w:szCs w:val="12"/>
        </w:rPr>
      </w:pPr>
    </w:p>
    <w:p w14:paraId="7E38F208"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Database for </w:t>
      </w:r>
      <w:proofErr w:type="spellStart"/>
      <w:r>
        <w:rPr>
          <w:b/>
          <w:color w:val="00188F"/>
        </w:rPr>
        <w:t>PostgreSQL</w:t>
      </w:r>
      <w:proofErr w:type="spellEnd"/>
      <w:r>
        <w:rPr>
          <w:b/>
          <w:color w:val="00188F"/>
        </w:rPr>
        <w:t xml:space="preserve"> – </w:t>
      </w:r>
      <w:proofErr w:type="spellStart"/>
      <w:r>
        <w:rPr>
          <w:b/>
          <w:color w:val="00188F"/>
        </w:rPr>
        <w:t>Flexible</w:t>
      </w:r>
      <w:proofErr w:type="spellEnd"/>
      <w:r>
        <w:rPr>
          <w:b/>
          <w:color w:val="00188F"/>
        </w:rPr>
        <w:t xml:space="preserve"> Server nieskonfigurowanej w trybie Wysokiej Dostępności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3BDF164" w14:textId="77777777" w:rsidTr="00277097">
        <w:trPr>
          <w:tblHeader/>
        </w:trPr>
        <w:tc>
          <w:tcPr>
            <w:tcW w:w="5400" w:type="dxa"/>
            <w:shd w:val="clear" w:color="auto" w:fill="0072C6"/>
          </w:tcPr>
          <w:p w14:paraId="69AA2174" w14:textId="3DFC838E"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ED2456B"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700D77DE" w14:textId="77777777" w:rsidTr="00277097">
        <w:tc>
          <w:tcPr>
            <w:tcW w:w="5400" w:type="dxa"/>
          </w:tcPr>
          <w:p w14:paraId="48E242CC" w14:textId="77777777" w:rsidR="004005AF" w:rsidRPr="0076238C" w:rsidRDefault="004005AF" w:rsidP="000F31B4">
            <w:pPr>
              <w:pStyle w:val="ProductList-OfferingBody"/>
              <w:jc w:val="center"/>
            </w:pPr>
            <w:r>
              <w:t>Poniżej 99,9%, ale nie mniej niż 99,00%</w:t>
            </w:r>
          </w:p>
        </w:tc>
        <w:tc>
          <w:tcPr>
            <w:tcW w:w="5400" w:type="dxa"/>
          </w:tcPr>
          <w:p w14:paraId="2B29722A" w14:textId="77777777" w:rsidR="004005AF" w:rsidRPr="0076238C" w:rsidRDefault="004005AF" w:rsidP="000F31B4">
            <w:pPr>
              <w:pStyle w:val="ProductList-OfferingBody"/>
              <w:jc w:val="center"/>
            </w:pPr>
            <w:r>
              <w:t>10%</w:t>
            </w:r>
          </w:p>
        </w:tc>
      </w:tr>
      <w:tr w:rsidR="004005AF" w:rsidRPr="00B44CF9" w14:paraId="3D6E703B" w14:textId="77777777" w:rsidTr="00277097">
        <w:tc>
          <w:tcPr>
            <w:tcW w:w="5400" w:type="dxa"/>
          </w:tcPr>
          <w:p w14:paraId="4FBC6BD8" w14:textId="77777777" w:rsidR="004005AF" w:rsidRPr="0076238C" w:rsidRDefault="004005AF" w:rsidP="000F31B4">
            <w:pPr>
              <w:pStyle w:val="ProductList-OfferingBody"/>
              <w:jc w:val="center"/>
            </w:pPr>
            <w:r>
              <w:t>&lt; 99,00%</w:t>
            </w:r>
          </w:p>
        </w:tc>
        <w:tc>
          <w:tcPr>
            <w:tcW w:w="5400" w:type="dxa"/>
          </w:tcPr>
          <w:p w14:paraId="0A822267" w14:textId="77777777" w:rsidR="004005AF" w:rsidRPr="0076238C" w:rsidRDefault="004005AF" w:rsidP="000F31B4">
            <w:pPr>
              <w:pStyle w:val="ProductList-OfferingBody"/>
              <w:jc w:val="center"/>
            </w:pPr>
            <w:r>
              <w:t>25%</w:t>
            </w:r>
          </w:p>
        </w:tc>
      </w:tr>
    </w:tbl>
    <w:p w14:paraId="50D464B8" w14:textId="32E23FDD"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F41EBE9" w14:textId="6963C9EC" w:rsidR="00CD240F" w:rsidRPr="00CD240F" w:rsidRDefault="00CD240F" w:rsidP="00CD240F">
      <w:pPr>
        <w:pStyle w:val="ProductList-Offering2Heading"/>
        <w:keepNext/>
        <w:tabs>
          <w:tab w:val="clear" w:pos="360"/>
          <w:tab w:val="clear" w:pos="720"/>
          <w:tab w:val="clear" w:pos="1080"/>
        </w:tabs>
        <w:outlineLvl w:val="2"/>
      </w:pPr>
      <w:bookmarkStart w:id="221" w:name="_Toc239174996"/>
      <w:bookmarkStart w:id="222" w:name="_Toc52348929"/>
      <w:proofErr w:type="spellStart"/>
      <w:r>
        <w:t>Azure</w:t>
      </w:r>
      <w:proofErr w:type="spellEnd"/>
      <w:r>
        <w:t xml:space="preserve"> </w:t>
      </w:r>
      <w:proofErr w:type="spellStart"/>
      <w:r>
        <w:t>Databricks</w:t>
      </w:r>
      <w:bookmarkEnd w:id="221"/>
      <w:proofErr w:type="spellEnd"/>
    </w:p>
    <w:p w14:paraId="0F040D15" w14:textId="77777777" w:rsidR="00CD240F" w:rsidRPr="00CD240F" w:rsidRDefault="00CD240F" w:rsidP="00CD240F">
      <w:pPr>
        <w:pStyle w:val="ProductList-Body"/>
        <w:rPr>
          <w:b/>
          <w:bCs/>
          <w:color w:val="00188F"/>
        </w:rPr>
      </w:pPr>
      <w:r>
        <w:rPr>
          <w:b/>
          <w:bCs/>
          <w:color w:val="00188F"/>
        </w:rPr>
        <w:t>Dodatkowe definicje</w:t>
      </w:r>
    </w:p>
    <w:p w14:paraId="3743D160" w14:textId="77777777" w:rsidR="00051AAC" w:rsidRDefault="00CD240F" w:rsidP="00051AAC">
      <w:pPr>
        <w:pStyle w:val="ProductList-Body"/>
      </w:pPr>
      <w:r>
        <w:t>„</w:t>
      </w:r>
      <w:proofErr w:type="spellStart"/>
      <w:r>
        <w:rPr>
          <w:b/>
          <w:bCs/>
          <w:color w:val="00188F"/>
        </w:rPr>
        <w:t>Azure</w:t>
      </w:r>
      <w:proofErr w:type="spellEnd"/>
      <w:r>
        <w:rPr>
          <w:b/>
          <w:bCs/>
          <w:color w:val="00188F"/>
        </w:rPr>
        <w:t xml:space="preserve"> </w:t>
      </w:r>
      <w:proofErr w:type="spellStart"/>
      <w:r>
        <w:rPr>
          <w:b/>
          <w:bCs/>
          <w:color w:val="00188F"/>
        </w:rPr>
        <w:t>Databricks</w:t>
      </w:r>
      <w:proofErr w:type="spellEnd"/>
      <w:r>
        <w:rPr>
          <w:b/>
          <w:bCs/>
          <w:color w:val="00188F"/>
        </w:rPr>
        <w:t xml:space="preserve"> Gateway</w:t>
      </w:r>
      <w:r w:rsidR="00B41CC1" w:rsidRPr="00B41CC1">
        <w:t>”</w:t>
      </w:r>
      <w:r>
        <w:t xml:space="preserve"> to zestaw zasobów obliczeniowych, który pośredniczy w przekazywaniu żądań UI oraz API pomiędzy klientem a </w:t>
      </w:r>
      <w:proofErr w:type="spellStart"/>
      <w:r>
        <w:t>Azure</w:t>
      </w:r>
      <w:proofErr w:type="spellEnd"/>
      <w:r>
        <w:t xml:space="preserve"> </w:t>
      </w:r>
      <w:proofErr w:type="spellStart"/>
      <w:r>
        <w:t>Databricks</w:t>
      </w:r>
      <w:proofErr w:type="spellEnd"/>
      <w:r>
        <w:t>.</w:t>
      </w:r>
    </w:p>
    <w:p w14:paraId="7F25AC18" w14:textId="77777777" w:rsidR="00051AAC" w:rsidRDefault="00EE6E3C" w:rsidP="00051AAC">
      <w:pPr>
        <w:pStyle w:val="ProductList-Body"/>
      </w:pPr>
      <w:r>
        <w:rPr>
          <w:b/>
          <w:bCs/>
          <w:color w:val="00188F"/>
        </w:rPr>
        <w:t xml:space="preserve">Obliczanie Czasu Sprawnego Działania i Poziomy Usługi dla </w:t>
      </w:r>
      <w:proofErr w:type="spellStart"/>
      <w:r>
        <w:rPr>
          <w:b/>
          <w:bCs/>
          <w:color w:val="00188F"/>
        </w:rPr>
        <w:t>Azure</w:t>
      </w:r>
      <w:proofErr w:type="spellEnd"/>
      <w:r>
        <w:rPr>
          <w:b/>
          <w:bCs/>
          <w:color w:val="00188F"/>
        </w:rPr>
        <w:t xml:space="preserve"> </w:t>
      </w:r>
      <w:proofErr w:type="spellStart"/>
      <w:r>
        <w:rPr>
          <w:b/>
          <w:bCs/>
          <w:color w:val="00188F"/>
        </w:rPr>
        <w:t>Databricks</w:t>
      </w:r>
      <w:proofErr w:type="spellEnd"/>
    </w:p>
    <w:p w14:paraId="1CA09F9B" w14:textId="62AF6E41" w:rsidR="00CD240F" w:rsidRDefault="00B41CC1" w:rsidP="00051AAC">
      <w:pPr>
        <w:pStyle w:val="ProductList-Body"/>
      </w:pPr>
      <w:r>
        <w:t>„</w:t>
      </w:r>
      <w:r w:rsidR="00CD240F">
        <w:rPr>
          <w:b/>
          <w:bCs/>
          <w:color w:val="00188F"/>
        </w:rPr>
        <w:t>Maksymalna Liczba Dostępnych Minut</w:t>
      </w:r>
      <w:r w:rsidRPr="00B41CC1">
        <w:t>”</w:t>
      </w:r>
      <w:r w:rsidR="00CD240F">
        <w:t xml:space="preserve"> to łączna liczba minut dla wszystkich obszarów roboczych </w:t>
      </w:r>
      <w:proofErr w:type="spellStart"/>
      <w:r w:rsidR="00CD240F">
        <w:t>Azure</w:t>
      </w:r>
      <w:proofErr w:type="spellEnd"/>
      <w:r w:rsidR="00CD240F">
        <w:t xml:space="preserve"> </w:t>
      </w:r>
      <w:proofErr w:type="spellStart"/>
      <w:r w:rsidR="00CD240F">
        <w:t>Databricks</w:t>
      </w:r>
      <w:proofErr w:type="spellEnd"/>
      <w:r w:rsidR="00CD240F">
        <w:t xml:space="preserve"> wdrożonych przez klienta w ramach danych subskrypcji Microsoft </w:t>
      </w:r>
      <w:proofErr w:type="spellStart"/>
      <w:r w:rsidR="00CD240F">
        <w:t>Azure</w:t>
      </w:r>
      <w:proofErr w:type="spellEnd"/>
      <w:r w:rsidR="00CD240F">
        <w:t xml:space="preserve"> we Właściwym Okresie.</w:t>
      </w:r>
    </w:p>
    <w:p w14:paraId="7E3ED12B" w14:textId="77777777" w:rsidR="00CD240F" w:rsidRDefault="00CD240F" w:rsidP="00CD240F">
      <w:pPr>
        <w:pStyle w:val="ProductList-Body"/>
      </w:pPr>
      <w:r>
        <w:t>„</w:t>
      </w:r>
      <w:r>
        <w:rPr>
          <w:b/>
          <w:bCs/>
          <w:color w:val="00188F"/>
        </w:rPr>
        <w:t>Przestój</w:t>
      </w:r>
      <w:r>
        <w:t xml:space="preserve">” to łączna zakumulowana liczbę minut niedostępności dla wszystkich obszarów roboczych usługi </w:t>
      </w:r>
      <w:proofErr w:type="spellStart"/>
      <w:r>
        <w:t>Azure</w:t>
      </w:r>
      <w:proofErr w:type="spellEnd"/>
      <w:r>
        <w:t xml:space="preserve"> </w:t>
      </w:r>
      <w:proofErr w:type="spellStart"/>
      <w:r>
        <w:t>Databricks</w:t>
      </w:r>
      <w:proofErr w:type="spellEnd"/>
      <w:r>
        <w:t xml:space="preserve"> wdrożonych w ramach danej subskrypcji Microsoft </w:t>
      </w:r>
      <w:proofErr w:type="spellStart"/>
      <w:r>
        <w:t>Azure</w:t>
      </w:r>
      <w:proofErr w:type="spellEnd"/>
      <w:r>
        <w:t xml:space="preserve">. Minuta jest uznawana za minutę niedostępności dla danego obszaru roboczego </w:t>
      </w:r>
      <w:proofErr w:type="spellStart"/>
      <w:r>
        <w:t>Azure</w:t>
      </w:r>
      <w:proofErr w:type="spellEnd"/>
      <w:r>
        <w:t xml:space="preserve"> </w:t>
      </w:r>
      <w:proofErr w:type="spellStart"/>
      <w:r>
        <w:t>Databricks</w:t>
      </w:r>
      <w:proofErr w:type="spellEnd"/>
      <w:r>
        <w:t xml:space="preserve">, jeśli wszystkie ponowne próby w trakcie tej minuty, zmierzające do ustanowienia połączenia z Bramą Internetową </w:t>
      </w:r>
      <w:proofErr w:type="spellStart"/>
      <w:r>
        <w:t>Azure</w:t>
      </w:r>
      <w:proofErr w:type="spellEnd"/>
      <w:r>
        <w:t xml:space="preserve"> </w:t>
      </w:r>
      <w:proofErr w:type="spellStart"/>
      <w:r>
        <w:t>Databricks</w:t>
      </w:r>
      <w:proofErr w:type="spellEnd"/>
      <w:r>
        <w:t>, kończą się niepowodzeniem.</w:t>
      </w:r>
    </w:p>
    <w:p w14:paraId="43314FEF" w14:textId="39928BA0" w:rsidR="00CD240F" w:rsidRDefault="00B41CC1" w:rsidP="00CD240F">
      <w:pPr>
        <w:pStyle w:val="ProductList-Body"/>
      </w:pPr>
      <w:r>
        <w:t>„</w:t>
      </w:r>
      <w:r w:rsidR="00CD240F">
        <w:rPr>
          <w:b/>
          <w:bCs/>
          <w:color w:val="00188F"/>
        </w:rPr>
        <w:t>Procent Czasu Sprawnego Działania</w:t>
      </w:r>
      <w:r w:rsidRPr="00B41CC1">
        <w:t>”</w:t>
      </w:r>
      <w:r w:rsidR="00CD240F">
        <w:t xml:space="preserve"> dla Usługi </w:t>
      </w:r>
      <w:proofErr w:type="spellStart"/>
      <w:r w:rsidR="00CD240F">
        <w:t>Azure</w:t>
      </w:r>
      <w:proofErr w:type="spellEnd"/>
      <w:r w:rsidR="00CD240F">
        <w:t xml:space="preserve"> </w:t>
      </w:r>
      <w:proofErr w:type="spellStart"/>
      <w:r w:rsidR="00CD240F">
        <w:t>Databricks</w:t>
      </w:r>
      <w:proofErr w:type="spellEnd"/>
      <w:r w:rsidR="00CD240F">
        <w:t xml:space="preserve"> jest obliczany jako Maksymalna Liczba Dostępnych Minut pomniejszona o Przestój podzielona przez Maksymalną Liczbę Dostępnych Minut pomnożona razy 100. Procent Czasu Sprawnego Działania przedstawia się za pomocą następującego wzoru:</w:t>
      </w:r>
    </w:p>
    <w:p w14:paraId="61CDB55C" w14:textId="267D2DB9" w:rsidR="00CD240F" w:rsidRPr="00191B8C" w:rsidRDefault="00000000" w:rsidP="00CD240F">
      <w:pPr>
        <w:pStyle w:val="ListParagraph"/>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3E99B09" w14:textId="77777777" w:rsidR="00CD240F" w:rsidRPr="00CD240F" w:rsidRDefault="00CD240F" w:rsidP="00CD240F">
      <w:pPr>
        <w:pStyle w:val="ProductList-Body"/>
        <w:rPr>
          <w:b/>
          <w:bCs/>
          <w:color w:val="00188F"/>
        </w:rPr>
      </w:pPr>
      <w:r>
        <w:rPr>
          <w:b/>
          <w:bCs/>
          <w:color w:val="00188F"/>
        </w:rPr>
        <w:t xml:space="preserve">Do używania przez Klienta </w:t>
      </w:r>
      <w:proofErr w:type="spellStart"/>
      <w:r>
        <w:rPr>
          <w:b/>
          <w:bCs/>
          <w:color w:val="00188F"/>
        </w:rPr>
        <w:t>Azure</w:t>
      </w:r>
      <w:proofErr w:type="spellEnd"/>
      <w:r>
        <w:rPr>
          <w:b/>
          <w:bCs/>
          <w:color w:val="00188F"/>
        </w:rPr>
        <w:t xml:space="preserve"> </w:t>
      </w:r>
      <w:proofErr w:type="spellStart"/>
      <w:r>
        <w:rPr>
          <w:b/>
          <w:bCs/>
          <w:color w:val="00188F"/>
        </w:rPr>
        <w:t>Databricks</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D240F" w:rsidRPr="00B44CF9" w14:paraId="463DCBAF" w14:textId="77777777" w:rsidTr="00277097">
        <w:trPr>
          <w:tblHeader/>
        </w:trPr>
        <w:tc>
          <w:tcPr>
            <w:tcW w:w="5400" w:type="dxa"/>
            <w:shd w:val="clear" w:color="auto" w:fill="0072C6"/>
          </w:tcPr>
          <w:p w14:paraId="7FC73D9B" w14:textId="12211056" w:rsidR="00CD240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99362B0" w14:textId="77777777" w:rsidR="00CD240F" w:rsidRPr="001A0074" w:rsidRDefault="00CD240F" w:rsidP="000F31B4">
            <w:pPr>
              <w:pStyle w:val="ProductList-OfferingBody"/>
              <w:jc w:val="center"/>
              <w:rPr>
                <w:color w:val="FFFFFF" w:themeColor="background1"/>
              </w:rPr>
            </w:pPr>
            <w:r>
              <w:rPr>
                <w:color w:val="FFFFFF" w:themeColor="background1"/>
              </w:rPr>
              <w:t>Środki Serwisowe na Używanie Usług</w:t>
            </w:r>
          </w:p>
        </w:tc>
      </w:tr>
      <w:tr w:rsidR="00CD240F" w:rsidRPr="00B44CF9" w14:paraId="7FA90096" w14:textId="77777777" w:rsidTr="00277097">
        <w:tc>
          <w:tcPr>
            <w:tcW w:w="5400" w:type="dxa"/>
          </w:tcPr>
          <w:p w14:paraId="4BBBD8EE" w14:textId="36CF79EA" w:rsidR="00CD240F" w:rsidRPr="0076238C" w:rsidRDefault="00CD240F" w:rsidP="000F31B4">
            <w:pPr>
              <w:pStyle w:val="ProductList-OfferingBody"/>
              <w:jc w:val="center"/>
            </w:pPr>
            <w:r>
              <w:t>&lt; 99,95%</w:t>
            </w:r>
          </w:p>
        </w:tc>
        <w:tc>
          <w:tcPr>
            <w:tcW w:w="5400" w:type="dxa"/>
          </w:tcPr>
          <w:p w14:paraId="007E12EF" w14:textId="77777777" w:rsidR="00CD240F" w:rsidRPr="0076238C" w:rsidRDefault="00CD240F" w:rsidP="000F31B4">
            <w:pPr>
              <w:pStyle w:val="ProductList-OfferingBody"/>
              <w:jc w:val="center"/>
            </w:pPr>
            <w:r>
              <w:t>10%</w:t>
            </w:r>
          </w:p>
        </w:tc>
      </w:tr>
      <w:tr w:rsidR="00CD240F" w:rsidRPr="00B44CF9" w14:paraId="734DE1F3" w14:textId="77777777" w:rsidTr="00277097">
        <w:tc>
          <w:tcPr>
            <w:tcW w:w="5400" w:type="dxa"/>
          </w:tcPr>
          <w:p w14:paraId="11886951" w14:textId="45A71DFE" w:rsidR="00CD240F" w:rsidRPr="0076238C" w:rsidRDefault="00CD240F" w:rsidP="000F31B4">
            <w:pPr>
              <w:pStyle w:val="ProductList-OfferingBody"/>
              <w:jc w:val="center"/>
            </w:pPr>
            <w:r>
              <w:t>&lt; 99%</w:t>
            </w:r>
          </w:p>
        </w:tc>
        <w:tc>
          <w:tcPr>
            <w:tcW w:w="5400" w:type="dxa"/>
          </w:tcPr>
          <w:p w14:paraId="393CF9F4" w14:textId="77777777" w:rsidR="00CD240F" w:rsidRPr="0076238C" w:rsidRDefault="00CD240F" w:rsidP="000F31B4">
            <w:pPr>
              <w:pStyle w:val="ProductList-OfferingBody"/>
              <w:jc w:val="center"/>
            </w:pPr>
            <w:r>
              <w:t>25%</w:t>
            </w:r>
          </w:p>
        </w:tc>
      </w:tr>
    </w:tbl>
    <w:p w14:paraId="3D3604DD" w14:textId="59687584" w:rsidR="00CD240F" w:rsidRPr="00EF7CF9" w:rsidRDefault="00C71F89" w:rsidP="00CD240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DCB6EB9" w14:textId="77777777" w:rsidR="001E643E" w:rsidRPr="002149D5" w:rsidRDefault="001E643E" w:rsidP="002149D5">
      <w:pPr>
        <w:pStyle w:val="ProductList-Offering2Heading"/>
        <w:tabs>
          <w:tab w:val="clear" w:pos="360"/>
          <w:tab w:val="clear" w:pos="720"/>
          <w:tab w:val="clear" w:pos="1080"/>
        </w:tabs>
        <w:outlineLvl w:val="2"/>
      </w:pPr>
      <w:bookmarkStart w:id="223" w:name="_Toc239174997"/>
      <w:proofErr w:type="spellStart"/>
      <w:r w:rsidRPr="002149D5">
        <w:t>Azure</w:t>
      </w:r>
      <w:proofErr w:type="spellEnd"/>
      <w:r w:rsidRPr="002149D5">
        <w:t xml:space="preserve"> </w:t>
      </w:r>
      <w:proofErr w:type="spellStart"/>
      <w:r w:rsidRPr="002149D5">
        <w:t>Databricks</w:t>
      </w:r>
      <w:proofErr w:type="spellEnd"/>
      <w:r w:rsidRPr="002149D5">
        <w:t xml:space="preserve"> Lakebase</w:t>
      </w:r>
      <w:bookmarkEnd w:id="223"/>
    </w:p>
    <w:p w14:paraId="3063ABBD" w14:textId="77777777" w:rsidR="001E643E" w:rsidRPr="00906E47" w:rsidRDefault="001E643E" w:rsidP="001E643E">
      <w:pPr>
        <w:spacing w:after="0" w:line="240" w:lineRule="auto"/>
        <w:textAlignment w:val="baseline"/>
        <w:rPr>
          <w:rFonts w:ascii="Calibri" w:eastAsia="Times New Roman" w:hAnsi="Calibri" w:cs="Calibri"/>
          <w:color w:val="000000"/>
          <w:sz w:val="18"/>
          <w:szCs w:val="18"/>
        </w:rPr>
      </w:pPr>
      <w:r>
        <w:rPr>
          <w:rFonts w:ascii="Calibri" w:eastAsia="Times New Roman" w:hAnsi="Calibri" w:cs="Calibri"/>
          <w:color w:val="000000"/>
          <w:sz w:val="18"/>
          <w:szCs w:val="18"/>
        </w:rPr>
        <w:t xml:space="preserve">Umowa Dotycząca Poziomu Usług </w:t>
      </w:r>
      <w:proofErr w:type="spellStart"/>
      <w:r>
        <w:rPr>
          <w:rFonts w:ascii="Calibri" w:eastAsia="Times New Roman" w:hAnsi="Calibri" w:cs="Calibri"/>
          <w:color w:val="000000"/>
          <w:sz w:val="18"/>
          <w:szCs w:val="18"/>
        </w:rPr>
        <w:t>Azure</w:t>
      </w:r>
      <w:proofErr w:type="spellEnd"/>
      <w:r>
        <w:rPr>
          <w:rFonts w:ascii="Calibri" w:eastAsia="Times New Roman" w:hAnsi="Calibri" w:cs="Calibri"/>
          <w:color w:val="000000"/>
          <w:sz w:val="18"/>
          <w:szCs w:val="18"/>
        </w:rPr>
        <w:t xml:space="preserve"> </w:t>
      </w:r>
      <w:proofErr w:type="spellStart"/>
      <w:r>
        <w:rPr>
          <w:rFonts w:ascii="Calibri" w:eastAsia="Times New Roman" w:hAnsi="Calibri" w:cs="Calibri"/>
          <w:color w:val="000000"/>
          <w:sz w:val="18"/>
          <w:szCs w:val="18"/>
        </w:rPr>
        <w:t>Databricks</w:t>
      </w:r>
      <w:proofErr w:type="spellEnd"/>
      <w:r>
        <w:rPr>
          <w:rFonts w:ascii="Calibri" w:eastAsia="Times New Roman" w:hAnsi="Calibri" w:cs="Calibri"/>
          <w:color w:val="000000"/>
          <w:sz w:val="18"/>
          <w:szCs w:val="18"/>
        </w:rPr>
        <w:t xml:space="preserve"> Lakebase reguluje dostępność Lakebase </w:t>
      </w:r>
      <w:proofErr w:type="spellStart"/>
      <w:r>
        <w:rPr>
          <w:rFonts w:ascii="Calibri" w:eastAsia="Times New Roman" w:hAnsi="Calibri" w:cs="Calibri"/>
          <w:color w:val="000000"/>
          <w:sz w:val="18"/>
          <w:szCs w:val="18"/>
        </w:rPr>
        <w:t>Postgres</w:t>
      </w:r>
      <w:proofErr w:type="spellEnd"/>
      <w:r>
        <w:rPr>
          <w:rFonts w:ascii="Calibri" w:eastAsia="Times New Roman" w:hAnsi="Calibri" w:cs="Calibri"/>
          <w:color w:val="000000"/>
          <w:sz w:val="18"/>
          <w:szCs w:val="18"/>
        </w:rPr>
        <w:t xml:space="preserve"> (zgodnie z opisem w Dokumentacji) w </w:t>
      </w:r>
      <w:proofErr w:type="spellStart"/>
      <w:r>
        <w:rPr>
          <w:rFonts w:ascii="Calibri" w:eastAsia="Times New Roman" w:hAnsi="Calibri" w:cs="Calibri"/>
          <w:color w:val="000000"/>
          <w:sz w:val="18"/>
          <w:szCs w:val="18"/>
        </w:rPr>
        <w:t>Azure</w:t>
      </w:r>
      <w:proofErr w:type="spellEnd"/>
      <w:r>
        <w:rPr>
          <w:rFonts w:ascii="Calibri" w:eastAsia="Times New Roman" w:hAnsi="Calibri" w:cs="Calibri"/>
          <w:color w:val="000000"/>
          <w:sz w:val="18"/>
          <w:szCs w:val="18"/>
        </w:rPr>
        <w:t xml:space="preserve"> </w:t>
      </w:r>
      <w:proofErr w:type="spellStart"/>
      <w:r>
        <w:rPr>
          <w:rFonts w:ascii="Calibri" w:eastAsia="Times New Roman" w:hAnsi="Calibri" w:cs="Calibri"/>
          <w:color w:val="000000"/>
          <w:sz w:val="18"/>
          <w:szCs w:val="18"/>
        </w:rPr>
        <w:t>Databricks</w:t>
      </w:r>
      <w:proofErr w:type="spellEnd"/>
      <w:r>
        <w:rPr>
          <w:rFonts w:ascii="Calibri" w:eastAsia="Times New Roman" w:hAnsi="Calibri" w:cs="Calibri"/>
          <w:color w:val="000000"/>
          <w:sz w:val="18"/>
          <w:szCs w:val="18"/>
        </w:rPr>
        <w:t>.</w:t>
      </w:r>
    </w:p>
    <w:p w14:paraId="7AC0474D" w14:textId="77777777" w:rsidR="001E643E" w:rsidRPr="00034C4D" w:rsidRDefault="001E643E" w:rsidP="001E643E">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188F"/>
          <w:sz w:val="18"/>
          <w:szCs w:val="18"/>
        </w:rPr>
        <w:t> </w:t>
      </w:r>
      <w:r>
        <w:rPr>
          <w:rFonts w:ascii="Calibri" w:eastAsia="Times New Roman" w:hAnsi="Calibri" w:cs="Calibri"/>
          <w:b/>
          <w:bCs/>
          <w:color w:val="00188F"/>
          <w:sz w:val="18"/>
          <w:szCs w:val="18"/>
        </w:rPr>
        <w:t>Dodatkowe definicje</w:t>
      </w:r>
      <w:r>
        <w:rPr>
          <w:rFonts w:ascii="Calibri" w:eastAsia="Times New Roman" w:hAnsi="Calibri" w:cs="Calibri"/>
          <w:sz w:val="18"/>
          <w:szCs w:val="18"/>
        </w:rPr>
        <w:t>:</w:t>
      </w:r>
    </w:p>
    <w:p w14:paraId="3D7C466A" w14:textId="77777777" w:rsidR="001E643E" w:rsidRPr="00906E47" w:rsidRDefault="001E643E" w:rsidP="001E643E">
      <w:pPr>
        <w:spacing w:after="0" w:line="240" w:lineRule="auto"/>
        <w:rPr>
          <w:rFonts w:ascii="Calibri" w:eastAsia="Times New Roman" w:hAnsi="Calibri" w:cs="Calibri"/>
          <w:color w:val="000000"/>
          <w:sz w:val="18"/>
          <w:szCs w:val="18"/>
        </w:rPr>
      </w:pPr>
      <w:r>
        <w:rPr>
          <w:rFonts w:ascii="Calibri" w:eastAsia="Cambria" w:hAnsi="Calibri" w:cs="Calibri"/>
          <w:b/>
          <w:color w:val="00188F"/>
          <w:sz w:val="18"/>
        </w:rPr>
        <w:t>„Objęty Ciąg Połączeń”</w:t>
      </w:r>
      <w:r>
        <w:rPr>
          <w:rFonts w:ascii="Calibri" w:eastAsia="Times New Roman" w:hAnsi="Calibri" w:cs="Calibri"/>
          <w:color w:val="000000"/>
          <w:sz w:val="18"/>
          <w:szCs w:val="18"/>
        </w:rPr>
        <w:t xml:space="preserve"> oznacza każdy ciąg połączeń z Punktem Końcowym Lakebase, z wyjątkiem ciągów połączeń do dodatkowych instancji obliczeniowych w ramach punktu końcowego o wysokiej dostępności (zgodnie z opisem w Dokumentacji).</w:t>
      </w:r>
    </w:p>
    <w:p w14:paraId="63A62AA5" w14:textId="77777777" w:rsidR="001E643E" w:rsidRPr="00034C4D" w:rsidRDefault="001E643E" w:rsidP="001E643E">
      <w:pPr>
        <w:spacing w:after="0" w:line="240" w:lineRule="auto"/>
        <w:rPr>
          <w:rFonts w:ascii="Calibri" w:eastAsia="Aptos" w:hAnsi="Calibri" w:cs="Calibri"/>
          <w:b/>
          <w:bCs/>
          <w:sz w:val="18"/>
          <w:szCs w:val="18"/>
        </w:rPr>
      </w:pPr>
      <w:r>
        <w:rPr>
          <w:rFonts w:ascii="Calibri" w:eastAsia="Cambria" w:hAnsi="Calibri" w:cs="Calibri"/>
          <w:b/>
          <w:color w:val="00188F"/>
          <w:sz w:val="18"/>
        </w:rPr>
        <w:t>„Dokumentacja”</w:t>
      </w:r>
      <w:r>
        <w:rPr>
          <w:rFonts w:ascii="Calibri" w:eastAsia="Aptos" w:hAnsi="Calibri" w:cs="Calibri"/>
          <w:sz w:val="18"/>
          <w:szCs w:val="18"/>
        </w:rPr>
        <w:t xml:space="preserve"> oznacza aktualną dokumentację dotyczącą </w:t>
      </w:r>
      <w:proofErr w:type="spellStart"/>
      <w:r>
        <w:rPr>
          <w:rFonts w:ascii="Calibri" w:eastAsia="Aptos" w:hAnsi="Calibri" w:cs="Calibri"/>
          <w:sz w:val="18"/>
          <w:szCs w:val="18"/>
        </w:rPr>
        <w:t>Azure</w:t>
      </w:r>
      <w:proofErr w:type="spellEnd"/>
      <w:r>
        <w:rPr>
          <w:rFonts w:ascii="Calibri" w:eastAsia="Aptos" w:hAnsi="Calibri" w:cs="Calibri"/>
          <w:sz w:val="18"/>
          <w:szCs w:val="18"/>
        </w:rPr>
        <w:t xml:space="preserve"> </w:t>
      </w:r>
      <w:proofErr w:type="spellStart"/>
      <w:r>
        <w:rPr>
          <w:rFonts w:ascii="Calibri" w:eastAsia="Aptos" w:hAnsi="Calibri" w:cs="Calibri"/>
          <w:sz w:val="18"/>
          <w:szCs w:val="18"/>
        </w:rPr>
        <w:t>Databricks</w:t>
      </w:r>
      <w:proofErr w:type="spellEnd"/>
      <w:r>
        <w:rPr>
          <w:rFonts w:ascii="Calibri" w:eastAsia="Aptos" w:hAnsi="Calibri" w:cs="Calibri"/>
          <w:sz w:val="18"/>
          <w:szCs w:val="18"/>
        </w:rPr>
        <w:t xml:space="preserve"> zlokalizowaną pod adresem </w:t>
      </w:r>
      <w:hyperlink r:id="rId22">
        <w:r>
          <w:rPr>
            <w:rFonts w:ascii="Calibri" w:eastAsia="Aptos" w:hAnsi="Calibri" w:cs="Calibri"/>
            <w:color w:val="1155CC"/>
            <w:sz w:val="18"/>
            <w:szCs w:val="18"/>
            <w:u w:val="single"/>
          </w:rPr>
          <w:t>https://learn.microsoft.com/en-us/azure/databricks/</w:t>
        </w:r>
      </w:hyperlink>
      <w:r>
        <w:rPr>
          <w:rFonts w:ascii="Calibri" w:eastAsia="Aptos" w:hAnsi="Calibri" w:cs="Calibri"/>
          <w:sz w:val="18"/>
          <w:szCs w:val="18"/>
        </w:rPr>
        <w:t xml:space="preserve"> (lub w lokalizacji następnej).</w:t>
      </w:r>
    </w:p>
    <w:p w14:paraId="78BEE97C" w14:textId="77777777" w:rsidR="001E643E" w:rsidRPr="00034C4D" w:rsidRDefault="001E643E" w:rsidP="001E643E">
      <w:pPr>
        <w:spacing w:after="0" w:line="240" w:lineRule="auto"/>
        <w:rPr>
          <w:rFonts w:ascii="Calibri" w:eastAsia="Aptos" w:hAnsi="Calibri" w:cs="Calibri"/>
          <w:sz w:val="18"/>
          <w:szCs w:val="18"/>
        </w:rPr>
      </w:pPr>
      <w:r>
        <w:rPr>
          <w:rFonts w:ascii="Calibri" w:eastAsia="Cambria" w:hAnsi="Calibri" w:cs="Calibri"/>
          <w:b/>
          <w:color w:val="00188F"/>
          <w:sz w:val="18"/>
        </w:rPr>
        <w:t>„Przestój”</w:t>
      </w:r>
      <w:r>
        <w:rPr>
          <w:rFonts w:ascii="Calibri" w:eastAsia="Aptos" w:hAnsi="Calibri" w:cs="Calibri"/>
          <w:sz w:val="18"/>
          <w:szCs w:val="18"/>
        </w:rPr>
        <w:t xml:space="preserve"> oznacza, że Objęty Ciąg Połączeń Punktu Końcowego Lakebase w stanie aktywnym nie ma połączenia, z wyjątkiem </w:t>
      </w:r>
      <w:proofErr w:type="spellStart"/>
      <w:r>
        <w:rPr>
          <w:rFonts w:ascii="Calibri" w:eastAsia="Aptos" w:hAnsi="Calibri" w:cs="Calibri"/>
          <w:sz w:val="18"/>
          <w:szCs w:val="18"/>
        </w:rPr>
        <w:t>Wyłączeń</w:t>
      </w:r>
      <w:proofErr w:type="spellEnd"/>
      <w:r>
        <w:rPr>
          <w:rFonts w:ascii="Calibri" w:eastAsia="Aptos" w:hAnsi="Calibri" w:cs="Calibri"/>
          <w:sz w:val="18"/>
          <w:szCs w:val="18"/>
        </w:rPr>
        <w:t xml:space="preserve"> z Umowy Dotyczącej Poziomu Usług oraz innych ograniczeń jak określono powyżej, przez jednominutowy okres, zgodnie z tym, co określono przez Microsoft. Punkt Końcowy Lakebase jest uznawany za niemający połączenia przez jednominutowy okres, jeśli wszystkie podejmowane przez Klienta nieprzerwane próby ustanowienia połączenia z Punktem Końcowym Lakebase poprzez Objęty Ciąg Połączeń w ciągu tej minuty kończą się niepowodzeniem.</w:t>
      </w:r>
    </w:p>
    <w:p w14:paraId="4F102951" w14:textId="77777777" w:rsidR="001E643E" w:rsidRPr="00034C4D" w:rsidRDefault="001E643E" w:rsidP="001E643E">
      <w:pPr>
        <w:spacing w:after="0" w:line="240" w:lineRule="auto"/>
        <w:rPr>
          <w:rFonts w:ascii="Calibri" w:eastAsia="Aptos" w:hAnsi="Calibri" w:cs="Calibri"/>
          <w:b/>
          <w:bCs/>
          <w:sz w:val="18"/>
          <w:szCs w:val="18"/>
        </w:rPr>
      </w:pPr>
      <w:r>
        <w:rPr>
          <w:rFonts w:ascii="Calibri" w:eastAsia="Cambria" w:hAnsi="Calibri" w:cs="Calibri"/>
          <w:b/>
          <w:color w:val="00188F"/>
          <w:sz w:val="18"/>
        </w:rPr>
        <w:t>„Punkt Końcowy Lakebase”</w:t>
      </w:r>
      <w:r>
        <w:rPr>
          <w:rFonts w:ascii="Calibri" w:eastAsia="Aptos" w:hAnsi="Calibri" w:cs="Calibri"/>
          <w:sz w:val="18"/>
          <w:szCs w:val="18"/>
        </w:rPr>
        <w:t xml:space="preserve"> oznacza punkt końcowy Lakebase zgodnie z opisem w Dokumentacji.</w:t>
      </w:r>
    </w:p>
    <w:p w14:paraId="3A0DD83A" w14:textId="77777777" w:rsidR="001E643E" w:rsidRPr="00034C4D" w:rsidRDefault="001E643E" w:rsidP="001E643E">
      <w:pPr>
        <w:spacing w:after="0" w:line="240" w:lineRule="auto"/>
        <w:rPr>
          <w:rFonts w:ascii="Calibri" w:eastAsia="Aptos" w:hAnsi="Calibri" w:cs="Calibri"/>
          <w:sz w:val="18"/>
          <w:szCs w:val="18"/>
        </w:rPr>
      </w:pPr>
      <w:r>
        <w:rPr>
          <w:rFonts w:ascii="Calibri" w:eastAsia="Cambria" w:hAnsi="Calibri" w:cs="Calibri"/>
          <w:b/>
          <w:color w:val="00188F"/>
          <w:sz w:val="18"/>
        </w:rPr>
        <w:t>„Maksymalna Liczba Dostępnych Minut”</w:t>
      </w:r>
      <w:r>
        <w:rPr>
          <w:rFonts w:ascii="Calibri" w:eastAsia="Aptos" w:hAnsi="Calibri" w:cs="Calibri"/>
          <w:sz w:val="18"/>
          <w:szCs w:val="18"/>
        </w:rPr>
        <w:t xml:space="preserve"> to łączna liczba minut w trakcie miesiąca kalendarzowego.</w:t>
      </w:r>
    </w:p>
    <w:p w14:paraId="402CEDB4" w14:textId="77777777" w:rsidR="001E643E" w:rsidRPr="00034C4D" w:rsidRDefault="001E643E" w:rsidP="001E643E">
      <w:pPr>
        <w:spacing w:after="0" w:line="240" w:lineRule="auto"/>
        <w:rPr>
          <w:rFonts w:ascii="Calibri" w:eastAsia="Aptos" w:hAnsi="Calibri" w:cs="Calibri"/>
          <w:sz w:val="18"/>
          <w:szCs w:val="18"/>
        </w:rPr>
      </w:pPr>
      <w:r>
        <w:rPr>
          <w:rFonts w:ascii="Calibri" w:eastAsia="Cambria" w:hAnsi="Calibri" w:cs="Calibri"/>
          <w:b/>
          <w:color w:val="00188F"/>
          <w:sz w:val="18"/>
        </w:rPr>
        <w:t>„Procent Czasu Sprawnego Działania w Miesiącu”</w:t>
      </w:r>
      <w:r>
        <w:rPr>
          <w:rFonts w:ascii="Calibri" w:eastAsia="Aptos" w:hAnsi="Calibri" w:cs="Calibri"/>
          <w:sz w:val="18"/>
          <w:szCs w:val="18"/>
        </w:rPr>
        <w:t xml:space="preserve"> dla Punktu Końcowego Lakebase to Maksymalna Liczba Dostępnych Minut pomniejszona o Przestój, podzielona przez Maksymalną Liczbę Dostępnych Minut i pomnożona przez 100.</w:t>
      </w:r>
    </w:p>
    <w:p w14:paraId="16A7FAEB" w14:textId="77777777" w:rsidR="001E643E" w:rsidRPr="00906E47" w:rsidRDefault="00000000" w:rsidP="002149D5">
      <w:pPr>
        <w:spacing w:before="120" w:after="120" w:line="240" w:lineRule="auto"/>
        <w:jc w:val="center"/>
        <w:rPr>
          <w:rFonts w:ascii="Aptos" w:eastAsia="Aptos" w:hAnsi="Aptos" w:cs="Aptos"/>
          <w:b/>
          <w:bCs/>
          <w:sz w:val="24"/>
          <w:szCs w:val="24"/>
          <w:lang w:val="en"/>
        </w:rPr>
      </w:pPr>
      <m:oMathPara>
        <m:oMath>
          <m:f>
            <m:fPr>
              <m:ctrlPr>
                <w:rPr>
                  <w:rFonts w:ascii="Cambria Math" w:eastAsia="Cambria Math" w:hAnsi="Cambria Math" w:cs="Cambria Math"/>
                  <w:i/>
                  <w:iCs/>
                  <w:sz w:val="18"/>
                  <w:szCs w:val="18"/>
                  <w:lang w:val="en"/>
                </w:rPr>
              </m:ctrlPr>
            </m:fPr>
            <m:num>
              <m:r>
                <w:rPr>
                  <w:rFonts w:ascii="Cambria Math" w:eastAsia="Cambria Math" w:hAnsi="Cambria Math" w:cs="Cambria Math"/>
                  <w:sz w:val="18"/>
                  <w:szCs w:val="18"/>
                  <w:lang w:val="en"/>
                </w:rPr>
                <m:t>Maksymalna Liczba Minut Dostępności - Przestój</m:t>
              </m:r>
            </m:num>
            <m:den>
              <m:r>
                <w:rPr>
                  <w:rFonts w:ascii="Cambria Math" w:eastAsia="Cambria Math" w:hAnsi="Cambria Math" w:cs="Cambria Math"/>
                  <w:sz w:val="18"/>
                  <w:szCs w:val="18"/>
                  <w:lang w:val="en"/>
                </w:rPr>
                <m:t>Maksymalna Liczba Dostępnych Minut</m:t>
              </m:r>
            </m:den>
          </m:f>
          <m:r>
            <w:rPr>
              <w:rFonts w:ascii="Cambria Math" w:eastAsia="Cambria Math" w:hAnsi="Cambria Math" w:cs="Cambria Math"/>
              <w:sz w:val="18"/>
              <w:szCs w:val="18"/>
              <w:lang w:val="en"/>
            </w:rPr>
            <m:t xml:space="preserve"> x 100</m:t>
          </m:r>
        </m:oMath>
      </m:oMathPara>
    </w:p>
    <w:p w14:paraId="4551CBC2" w14:textId="77777777" w:rsidR="001E643E" w:rsidRPr="00034C4D" w:rsidRDefault="001E643E" w:rsidP="001E643E">
      <w:pPr>
        <w:spacing w:after="0" w:line="240" w:lineRule="auto"/>
        <w:rPr>
          <w:rFonts w:ascii="Calibri" w:eastAsia="Aptos" w:hAnsi="Calibri" w:cs="Calibri"/>
          <w:sz w:val="18"/>
          <w:szCs w:val="18"/>
        </w:rPr>
      </w:pPr>
      <w:r>
        <w:rPr>
          <w:rFonts w:ascii="Calibri" w:eastAsia="Cambria" w:hAnsi="Calibri" w:cs="Calibri"/>
          <w:b/>
          <w:color w:val="00188F"/>
          <w:sz w:val="18"/>
        </w:rPr>
        <w:t>„Wyłączenia z Umowy Dotyczącej Poziomu Usług”</w:t>
      </w:r>
      <w:r>
        <w:rPr>
          <w:rFonts w:ascii="Calibri" w:eastAsia="Aptos" w:hAnsi="Calibri" w:cs="Calibri"/>
          <w:sz w:val="18"/>
          <w:szCs w:val="18"/>
        </w:rPr>
        <w:t xml:space="preserve"> oznacza, że Punkt Końcowy Lakebase nie ma połączenia w ciągu jednominutowego okresu z następujących przyczyn lub pod następującymi warunkami:</w:t>
      </w:r>
    </w:p>
    <w:p w14:paraId="6E02A8C4" w14:textId="77777777" w:rsidR="001E643E" w:rsidRPr="00034C4D" w:rsidRDefault="001E643E" w:rsidP="001E643E">
      <w:pPr>
        <w:numPr>
          <w:ilvl w:val="0"/>
          <w:numId w:val="43"/>
        </w:numPr>
        <w:spacing w:after="0" w:line="240" w:lineRule="auto"/>
        <w:rPr>
          <w:rFonts w:ascii="Calibri" w:eastAsia="Aptos" w:hAnsi="Calibri" w:cs="Calibri"/>
          <w:sz w:val="18"/>
          <w:szCs w:val="18"/>
        </w:rPr>
      </w:pPr>
      <w:r>
        <w:rPr>
          <w:rFonts w:ascii="Calibri" w:eastAsia="Aptos" w:hAnsi="Calibri" w:cs="Calibri"/>
          <w:sz w:val="18"/>
          <w:szCs w:val="18"/>
        </w:rPr>
        <w:t xml:space="preserve">z powodu nieprzestrzegania przez Klienta warunków Umowy lub ewentualnych zaleceń, podanych przez Microsoft lub </w:t>
      </w:r>
      <w:proofErr w:type="spellStart"/>
      <w:r>
        <w:rPr>
          <w:rFonts w:ascii="Calibri" w:eastAsia="Aptos" w:hAnsi="Calibri" w:cs="Calibri"/>
          <w:sz w:val="18"/>
          <w:szCs w:val="18"/>
        </w:rPr>
        <w:t>Databricks</w:t>
      </w:r>
      <w:proofErr w:type="spellEnd"/>
      <w:r>
        <w:rPr>
          <w:rFonts w:ascii="Calibri" w:eastAsia="Aptos" w:hAnsi="Calibri" w:cs="Calibri"/>
          <w:sz w:val="18"/>
          <w:szCs w:val="18"/>
        </w:rPr>
        <w:t xml:space="preserve"> w ramach świadczenia usług pomocy technicznej;</w:t>
      </w:r>
    </w:p>
    <w:p w14:paraId="7711587E" w14:textId="77777777" w:rsidR="001E643E" w:rsidRPr="00034C4D" w:rsidRDefault="001E643E" w:rsidP="001E643E">
      <w:pPr>
        <w:numPr>
          <w:ilvl w:val="0"/>
          <w:numId w:val="43"/>
        </w:numPr>
        <w:spacing w:after="0" w:line="240" w:lineRule="auto"/>
        <w:rPr>
          <w:rFonts w:ascii="Calibri" w:eastAsia="Aptos" w:hAnsi="Calibri" w:cs="Calibri"/>
          <w:sz w:val="18"/>
          <w:szCs w:val="18"/>
        </w:rPr>
      </w:pPr>
      <w:r>
        <w:rPr>
          <w:rFonts w:ascii="Calibri" w:eastAsia="Aptos" w:hAnsi="Calibri" w:cs="Calibri"/>
          <w:sz w:val="18"/>
          <w:szCs w:val="18"/>
        </w:rPr>
        <w:t>z powodu działań lub zaniedbań Klienta lub Autoryzowanego Użytkownika, w tym postępowania niezgodnie z najlepszymi praktykami zgodnie z opisem w Dokumentacji (np. przeciążania bazy danych) i niereagowania na problemy ze stanem technicznym zasobów; lub</w:t>
      </w:r>
    </w:p>
    <w:p w14:paraId="6F7CCC30" w14:textId="77777777" w:rsidR="001E643E" w:rsidRPr="00034C4D" w:rsidRDefault="001E643E" w:rsidP="001E643E">
      <w:pPr>
        <w:numPr>
          <w:ilvl w:val="0"/>
          <w:numId w:val="43"/>
        </w:numPr>
        <w:spacing w:after="0" w:line="240" w:lineRule="auto"/>
        <w:rPr>
          <w:rFonts w:ascii="Calibri" w:eastAsia="Aptos" w:hAnsi="Calibri" w:cs="Calibri"/>
          <w:sz w:val="18"/>
          <w:szCs w:val="18"/>
        </w:rPr>
      </w:pPr>
      <w:r>
        <w:rPr>
          <w:rFonts w:ascii="Calibri" w:eastAsia="Aptos" w:hAnsi="Calibri" w:cs="Calibri"/>
          <w:sz w:val="18"/>
          <w:szCs w:val="18"/>
        </w:rPr>
        <w:t>z powodu korzystania z Punktu Końcowego Lakebase w połączeniu z funkcją lub usługą oznaczoną jako „beta”, „eksperymentalna”, „wersja zapoznawcza” lub podobnym określeniem. </w:t>
      </w:r>
    </w:p>
    <w:p w14:paraId="21B2355D" w14:textId="77777777" w:rsidR="001E643E" w:rsidRPr="00906E47" w:rsidRDefault="001E643E" w:rsidP="001E643E">
      <w:pPr>
        <w:spacing w:after="0" w:line="240" w:lineRule="auto"/>
        <w:rPr>
          <w:rFonts w:ascii="Calibri" w:eastAsia="Aptos" w:hAnsi="Calibri" w:cs="Calibri"/>
          <w:sz w:val="18"/>
          <w:szCs w:val="18"/>
          <w:lang w:val="en"/>
        </w:rPr>
      </w:pPr>
      <w:r>
        <w:rPr>
          <w:rFonts w:ascii="Calibri" w:eastAsia="Cambria" w:hAnsi="Calibri" w:cs="Calibri"/>
          <w:b/>
          <w:color w:val="00188F"/>
          <w:sz w:val="18"/>
        </w:rPr>
        <w:t>„Informacje Weryfikacyjne”</w:t>
      </w:r>
      <w:r>
        <w:rPr>
          <w:rFonts w:ascii="Calibri" w:eastAsia="Aptos" w:hAnsi="Calibri" w:cs="Calibri"/>
          <w:sz w:val="18"/>
          <w:szCs w:val="18"/>
        </w:rPr>
        <w:t xml:space="preserve"> oznacza</w:t>
      </w:r>
    </w:p>
    <w:p w14:paraId="4CB6083A" w14:textId="77777777" w:rsidR="001E643E" w:rsidRPr="00034C4D" w:rsidRDefault="001E643E" w:rsidP="001E643E">
      <w:pPr>
        <w:numPr>
          <w:ilvl w:val="0"/>
          <w:numId w:val="44"/>
        </w:numPr>
        <w:spacing w:after="0" w:line="240" w:lineRule="auto"/>
        <w:rPr>
          <w:rFonts w:ascii="Calibri" w:eastAsia="Aptos" w:hAnsi="Calibri" w:cs="Calibri"/>
          <w:sz w:val="18"/>
          <w:szCs w:val="18"/>
        </w:rPr>
      </w:pPr>
      <w:r>
        <w:rPr>
          <w:rFonts w:ascii="Calibri" w:eastAsia="Aptos" w:hAnsi="Calibri" w:cs="Calibri"/>
          <w:sz w:val="18"/>
          <w:szCs w:val="18"/>
        </w:rPr>
        <w:t>szczegółowy opis zdarzeń, których skutkiem był Przestój, w tym ID Obszaru Roboczego, ID Punktu Końcowego Lakebase, dzienniki żądania, które dokumentują błędy i potwierdzają deklarowany przez Klienta Przestój (przy czym wszelkie informacje poufne i wrażliwe znajdujące się w dziennikach są usunięte lub zastąpione przez gwiazdki); oraz</w:t>
      </w:r>
    </w:p>
    <w:p w14:paraId="7E6671EF" w14:textId="77777777" w:rsidR="001E643E" w:rsidRPr="00034C4D" w:rsidRDefault="001E643E" w:rsidP="001E643E">
      <w:pPr>
        <w:numPr>
          <w:ilvl w:val="0"/>
          <w:numId w:val="44"/>
        </w:numPr>
        <w:spacing w:after="120" w:line="240" w:lineRule="auto"/>
        <w:rPr>
          <w:rFonts w:ascii="Calibri" w:eastAsia="Aptos" w:hAnsi="Calibri" w:cs="Calibri"/>
          <w:sz w:val="18"/>
          <w:szCs w:val="18"/>
        </w:rPr>
      </w:pPr>
      <w:r>
        <w:rPr>
          <w:rFonts w:ascii="Calibri" w:eastAsia="Aptos" w:hAnsi="Calibri" w:cs="Calibri"/>
          <w:sz w:val="18"/>
          <w:szCs w:val="18"/>
        </w:rPr>
        <w:t>opis podejmowanych przez Klienta prób rozwiązania problemu z Przestojem w momencie, w którym nastąpił.</w:t>
      </w:r>
    </w:p>
    <w:p w14:paraId="3B2DC800" w14:textId="77777777" w:rsidR="001E643E" w:rsidRPr="00906E47" w:rsidRDefault="001E643E" w:rsidP="001E643E">
      <w:pPr>
        <w:spacing w:after="0" w:line="240" w:lineRule="auto"/>
        <w:rPr>
          <w:rFonts w:ascii="Calibri" w:eastAsia="Cambria" w:hAnsi="Calibri" w:cs="Calibri"/>
          <w:b/>
          <w:color w:val="00188F"/>
          <w:sz w:val="18"/>
        </w:rPr>
      </w:pPr>
      <w:r>
        <w:rPr>
          <w:rFonts w:ascii="Calibri" w:eastAsia="Cambria" w:hAnsi="Calibri" w:cs="Calibri"/>
          <w:b/>
          <w:color w:val="00188F"/>
          <w:sz w:val="18"/>
        </w:rPr>
        <w:t>Reklamacje</w:t>
      </w:r>
    </w:p>
    <w:p w14:paraId="665E6A4F" w14:textId="77777777" w:rsidR="001E643E" w:rsidRPr="00034C4D" w:rsidRDefault="001E643E" w:rsidP="001E643E">
      <w:pPr>
        <w:spacing w:after="120" w:line="240" w:lineRule="auto"/>
        <w:rPr>
          <w:rFonts w:ascii="Calibri" w:eastAsia="Aptos" w:hAnsi="Calibri" w:cs="Calibri"/>
          <w:sz w:val="18"/>
          <w:szCs w:val="18"/>
        </w:rPr>
      </w:pPr>
      <w:r>
        <w:rPr>
          <w:rFonts w:ascii="Calibri" w:eastAsia="Aptos" w:hAnsi="Calibri" w:cs="Calibri"/>
          <w:sz w:val="18"/>
          <w:szCs w:val="18"/>
        </w:rPr>
        <w:t>Nieprzekazanie przez Klienta Informacji Weryfikacyjnych wraz ze zgłoszeniem roszczenia, oprócz spełnienia opisanych powyżej wymogów dotyczących zgłaszania roszczeń, skutkuje odrzuceniem roszczenia.</w:t>
      </w:r>
    </w:p>
    <w:p w14:paraId="4F214F63" w14:textId="77777777" w:rsidR="001E643E" w:rsidRPr="00906E47" w:rsidRDefault="001E643E" w:rsidP="001E643E">
      <w:pPr>
        <w:spacing w:after="0" w:line="240" w:lineRule="auto"/>
        <w:rPr>
          <w:rFonts w:ascii="Calibri" w:eastAsia="Cambria" w:hAnsi="Calibri" w:cs="Calibri"/>
          <w:b/>
          <w:color w:val="00188F"/>
          <w:sz w:val="18"/>
        </w:rPr>
      </w:pPr>
      <w:r>
        <w:rPr>
          <w:rFonts w:ascii="Calibri" w:eastAsia="Cambria" w:hAnsi="Calibri" w:cs="Calibri"/>
          <w:b/>
          <w:color w:val="00188F"/>
          <w:sz w:val="18"/>
        </w:rPr>
        <w:t>Dostępność Usług i Środki na Używanie Usług</w:t>
      </w:r>
    </w:p>
    <w:p w14:paraId="4BEF5804" w14:textId="77777777" w:rsidR="001E643E" w:rsidRPr="00906E47" w:rsidRDefault="001E643E" w:rsidP="001E643E">
      <w:pPr>
        <w:spacing w:after="120" w:line="240" w:lineRule="auto"/>
        <w:rPr>
          <w:rFonts w:ascii="Calibri" w:eastAsia="Aptos" w:hAnsi="Calibri" w:cs="Calibri"/>
          <w:sz w:val="18"/>
          <w:szCs w:val="18"/>
          <w:lang w:val="en"/>
        </w:rPr>
      </w:pPr>
      <w:r>
        <w:rPr>
          <w:rFonts w:ascii="Calibri" w:eastAsia="Aptos" w:hAnsi="Calibri" w:cs="Calibri"/>
          <w:sz w:val="18"/>
          <w:szCs w:val="18"/>
        </w:rPr>
        <w:t>Niezależnie od wszelkich odmiennych postanowień zawartych poza niniejszą sekcją, Środki na Używanie Usług dotyczące Punktów Końcowych Lakebase będą obliczane zgodnie z niniejszą sekcją. W przypadku gdy Procent Czasu Sprawnego Działania w Miesiącu któregoś z Punktów Końcowych Lakebase mieści się w stosownych zakresach podanych w poniższej tabeli (</w:t>
      </w:r>
      <w:r w:rsidRPr="000B7231">
        <w:rPr>
          <w:rFonts w:ascii="Calibri" w:eastAsia="Aptos" w:hAnsi="Calibri" w:cs="Calibri"/>
          <w:sz w:val="18"/>
          <w:szCs w:val="18"/>
        </w:rPr>
        <w:t>„</w:t>
      </w:r>
      <w:r>
        <w:rPr>
          <w:rFonts w:ascii="Calibri" w:eastAsia="Aptos" w:hAnsi="Calibri" w:cs="Calibri"/>
          <w:b/>
          <w:bCs/>
          <w:sz w:val="18"/>
          <w:szCs w:val="18"/>
        </w:rPr>
        <w:t>Zdarzenie Umowy Dotyczącej Poziomu Usług</w:t>
      </w:r>
      <w:r>
        <w:rPr>
          <w:rFonts w:ascii="Calibri" w:eastAsia="Aptos" w:hAnsi="Calibri" w:cs="Calibri"/>
          <w:sz w:val="18"/>
          <w:szCs w:val="18"/>
        </w:rPr>
        <w:t>”), Klient będzie się kwalifikował do otrzymania Środków na Używanie Usług. Środki na Używanie Usług są obliczane jako odsetek Opłat za obliczenia dla Punktu Końcowego Lakebase (z wyłączeniem podatków i wszelkich odnośnych Opłat za Usługi Doradcze i Usługi Pomocy Technicznej), w którym wystąpiło Zdarzenie Umowy Dotyczącej Poziomu Usług w miesiącu, w którym takie zdarzenie wystąpiło. W tabeli poniżej przedstawiono mający zastosowanie odsetek.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97"/>
        <w:gridCol w:w="2697"/>
        <w:gridCol w:w="2698"/>
        <w:gridCol w:w="2698"/>
      </w:tblGrid>
      <w:tr w:rsidR="001E643E" w:rsidRPr="00906E47" w14:paraId="13E7FC6E" w14:textId="77777777" w:rsidTr="00321664">
        <w:trPr>
          <w:tblHeader/>
        </w:trPr>
        <w:tc>
          <w:tcPr>
            <w:tcW w:w="1250" w:type="pct"/>
            <w:vMerge w:val="restart"/>
            <w:shd w:val="clear" w:color="auto" w:fill="0072C6"/>
          </w:tcPr>
          <w:p w14:paraId="38105D22"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Procent Czasu Sprawnego Działania</w:t>
            </w:r>
          </w:p>
        </w:tc>
        <w:tc>
          <w:tcPr>
            <w:tcW w:w="3750" w:type="pct"/>
            <w:gridSpan w:val="3"/>
            <w:shd w:val="clear" w:color="auto" w:fill="0072C6"/>
          </w:tcPr>
          <w:p w14:paraId="66D1A65C"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r>
              <w:rPr>
                <w:rFonts w:ascii="Calibri" w:eastAsia="Calibri" w:hAnsi="Calibri" w:cs="Calibri"/>
                <w:color w:val="FFFFFF"/>
                <w:sz w:val="16"/>
                <w:szCs w:val="16"/>
              </w:rPr>
              <w:t>Środki na Używanie Usługi</w:t>
            </w:r>
          </w:p>
        </w:tc>
      </w:tr>
      <w:tr w:rsidR="001E643E" w:rsidRPr="00906E47" w14:paraId="42527518" w14:textId="77777777" w:rsidTr="00321664">
        <w:trPr>
          <w:trHeight w:val="485"/>
          <w:tblHeader/>
        </w:trPr>
        <w:tc>
          <w:tcPr>
            <w:tcW w:w="1250" w:type="pct"/>
            <w:vMerge/>
            <w:shd w:val="clear" w:color="auto" w:fill="0072C6"/>
          </w:tcPr>
          <w:p w14:paraId="45CBB5BE"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lang w:val="en"/>
              </w:rPr>
            </w:pPr>
          </w:p>
        </w:tc>
        <w:tc>
          <w:tcPr>
            <w:tcW w:w="1250" w:type="pct"/>
            <w:shd w:val="clear" w:color="auto" w:fill="0072C6"/>
          </w:tcPr>
          <w:p w14:paraId="33081330" w14:textId="77777777" w:rsidR="001E643E" w:rsidRPr="00034C4D"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Punkty Końcowe Lakebase z pojedynczym obliczeniem</w:t>
            </w:r>
          </w:p>
        </w:tc>
        <w:tc>
          <w:tcPr>
            <w:tcW w:w="1250" w:type="pct"/>
            <w:shd w:val="clear" w:color="auto" w:fill="0072C6"/>
          </w:tcPr>
          <w:p w14:paraId="57D4F81F" w14:textId="77777777" w:rsidR="001E643E" w:rsidRPr="00034C4D"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Punkty Końcowe Lakebase skonfigurowane w trybie Wysokiej Dostępności uwzględniającym nadmiarowość w określonych strefach.</w:t>
            </w:r>
          </w:p>
        </w:tc>
        <w:tc>
          <w:tcPr>
            <w:tcW w:w="1250" w:type="pct"/>
            <w:shd w:val="clear" w:color="auto" w:fill="0072C6"/>
          </w:tcPr>
          <w:p w14:paraId="203F9561" w14:textId="77777777" w:rsidR="001E643E" w:rsidRPr="00034C4D"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Punkty Końcowe Lakebase skonfigurowane w trybie Wysokiej Dostępności w tych samych strefach</w:t>
            </w:r>
          </w:p>
        </w:tc>
      </w:tr>
      <w:tr w:rsidR="001E643E" w:rsidRPr="00906E47" w14:paraId="14B91020" w14:textId="77777777" w:rsidTr="00321664">
        <w:tc>
          <w:tcPr>
            <w:tcW w:w="1250" w:type="pct"/>
          </w:tcPr>
          <w:p w14:paraId="7062DECD"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&lt;99,99% </w:t>
            </w:r>
          </w:p>
        </w:tc>
        <w:tc>
          <w:tcPr>
            <w:tcW w:w="1250" w:type="pct"/>
          </w:tcPr>
          <w:p w14:paraId="1C0A4A72"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nie dotyczy </w:t>
            </w:r>
          </w:p>
        </w:tc>
        <w:tc>
          <w:tcPr>
            <w:tcW w:w="1250" w:type="pct"/>
          </w:tcPr>
          <w:p w14:paraId="51D6C783"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 </w:t>
            </w:r>
          </w:p>
        </w:tc>
        <w:tc>
          <w:tcPr>
            <w:tcW w:w="1250" w:type="pct"/>
          </w:tcPr>
          <w:p w14:paraId="37B0CD19"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nie dotyczy </w:t>
            </w:r>
          </w:p>
        </w:tc>
      </w:tr>
      <w:tr w:rsidR="001E643E" w:rsidRPr="00906E47" w14:paraId="46AC96BC" w14:textId="77777777" w:rsidTr="00321664">
        <w:tc>
          <w:tcPr>
            <w:tcW w:w="1250" w:type="pct"/>
          </w:tcPr>
          <w:p w14:paraId="1AAC5F83"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&lt;99,9% </w:t>
            </w:r>
          </w:p>
        </w:tc>
        <w:tc>
          <w:tcPr>
            <w:tcW w:w="1250" w:type="pct"/>
          </w:tcPr>
          <w:p w14:paraId="61D8EDCB"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5A277058"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c>
          <w:tcPr>
            <w:tcW w:w="1250" w:type="pct"/>
          </w:tcPr>
          <w:p w14:paraId="360DB384"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10% </w:t>
            </w:r>
          </w:p>
        </w:tc>
      </w:tr>
      <w:tr w:rsidR="001E643E" w:rsidRPr="00906E47" w14:paraId="33DE507D" w14:textId="77777777" w:rsidTr="00321664">
        <w:tc>
          <w:tcPr>
            <w:tcW w:w="1250" w:type="pct"/>
          </w:tcPr>
          <w:p w14:paraId="661F8495"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&lt;99,0% </w:t>
            </w:r>
          </w:p>
        </w:tc>
        <w:tc>
          <w:tcPr>
            <w:tcW w:w="1250" w:type="pct"/>
          </w:tcPr>
          <w:p w14:paraId="622E439C"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23E49EB3"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c>
          <w:tcPr>
            <w:tcW w:w="1250" w:type="pct"/>
          </w:tcPr>
          <w:p w14:paraId="14A90981"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25% </w:t>
            </w:r>
          </w:p>
        </w:tc>
      </w:tr>
      <w:tr w:rsidR="001E643E" w:rsidRPr="00906E47" w14:paraId="1A24D683" w14:textId="77777777" w:rsidTr="00321664">
        <w:tc>
          <w:tcPr>
            <w:tcW w:w="1250" w:type="pct"/>
          </w:tcPr>
          <w:p w14:paraId="72C28ED8"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&lt;95,0% </w:t>
            </w:r>
          </w:p>
        </w:tc>
        <w:tc>
          <w:tcPr>
            <w:tcW w:w="1250" w:type="pct"/>
          </w:tcPr>
          <w:p w14:paraId="2CEEE097"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632ADEE3"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c>
          <w:tcPr>
            <w:tcW w:w="1250" w:type="pct"/>
          </w:tcPr>
          <w:p w14:paraId="7EB5A917" w14:textId="77777777" w:rsidR="001E643E" w:rsidRPr="00906E47" w:rsidRDefault="001E643E" w:rsidP="00321664">
            <w:pPr>
              <w:tabs>
                <w:tab w:val="left" w:pos="360"/>
                <w:tab w:val="left" w:pos="720"/>
                <w:tab w:val="left" w:pos="1080"/>
              </w:tabs>
              <w:spacing w:before="20" w:after="20" w:line="240" w:lineRule="auto"/>
              <w:ind w:left="-14" w:right="-101"/>
              <w:jc w:val="center"/>
              <w:rPr>
                <w:rFonts w:ascii="Calibri" w:eastAsia="Calibri" w:hAnsi="Calibri" w:cs="Calibri"/>
                <w:sz w:val="16"/>
                <w:szCs w:val="16"/>
                <w:lang w:val="en"/>
              </w:rPr>
            </w:pPr>
            <w:r>
              <w:rPr>
                <w:rFonts w:ascii="Calibri" w:eastAsia="Aptos" w:hAnsi="Calibri" w:cs="Calibri"/>
                <w:sz w:val="16"/>
                <w:szCs w:val="16"/>
              </w:rPr>
              <w:t xml:space="preserve">50% </w:t>
            </w:r>
          </w:p>
        </w:tc>
      </w:tr>
    </w:tbl>
    <w:p w14:paraId="737B8F6C" w14:textId="77777777" w:rsidR="002149D5" w:rsidRPr="00EF7CF9" w:rsidRDefault="002149D5" w:rsidP="002149D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AD966BC" w14:textId="6B424AFE" w:rsidR="007B7A97" w:rsidRDefault="007B7A97" w:rsidP="005E7AC5">
      <w:pPr>
        <w:pStyle w:val="ProductList-Offering2Heading"/>
        <w:tabs>
          <w:tab w:val="clear" w:pos="360"/>
          <w:tab w:val="clear" w:pos="720"/>
          <w:tab w:val="clear" w:pos="1080"/>
        </w:tabs>
        <w:outlineLvl w:val="2"/>
      </w:pPr>
      <w:bookmarkStart w:id="224" w:name="_Toc239174998"/>
      <w:r>
        <w:t xml:space="preserve">Menedżer Danych Microsoft </w:t>
      </w:r>
      <w:proofErr w:type="spellStart"/>
      <w:r>
        <w:t>Azure</w:t>
      </w:r>
      <w:proofErr w:type="spellEnd"/>
      <w:r>
        <w:t xml:space="preserve"> for Energy</w:t>
      </w:r>
      <w:bookmarkEnd w:id="224"/>
    </w:p>
    <w:p w14:paraId="41471812" w14:textId="77777777" w:rsidR="007B7A97" w:rsidRPr="005E7AC5" w:rsidRDefault="007B7A97" w:rsidP="005E7AC5">
      <w:pPr>
        <w:pStyle w:val="ProductList-Body"/>
        <w:rPr>
          <w:b/>
          <w:color w:val="00188F"/>
        </w:rPr>
      </w:pPr>
      <w:r>
        <w:rPr>
          <w:b/>
          <w:color w:val="00188F"/>
        </w:rPr>
        <w:t>Dodatkowe definicje:</w:t>
      </w:r>
    </w:p>
    <w:p w14:paraId="5F733D8F" w14:textId="0F647B6F" w:rsidR="007B7A97" w:rsidRDefault="00B41CC1" w:rsidP="007B7A97">
      <w:pPr>
        <w:spacing w:after="0"/>
      </w:pPr>
      <w:r w:rsidRPr="00B41CC1">
        <w:rPr>
          <w:sz w:val="18"/>
        </w:rPr>
        <w:t>„</w:t>
      </w:r>
      <w:r w:rsidR="007B7A97">
        <w:rPr>
          <w:b/>
          <w:color w:val="00188F"/>
          <w:sz w:val="18"/>
        </w:rPr>
        <w:t>Klient</w:t>
      </w:r>
      <w:r w:rsidRPr="00B41CC1">
        <w:rPr>
          <w:sz w:val="18"/>
        </w:rPr>
        <w:t xml:space="preserve">” </w:t>
      </w:r>
      <w:r w:rsidR="007B7A97">
        <w:rPr>
          <w:sz w:val="18"/>
        </w:rPr>
        <w:t xml:space="preserve">to dostępna dla użytkownika końcowego część zasobu </w:t>
      </w:r>
      <w:proofErr w:type="spellStart"/>
      <w:r w:rsidR="007B7A97">
        <w:rPr>
          <w:sz w:val="18"/>
        </w:rPr>
        <w:t>Azure</w:t>
      </w:r>
      <w:proofErr w:type="spellEnd"/>
      <w:r w:rsidR="007B7A97">
        <w:rPr>
          <w:sz w:val="18"/>
        </w:rPr>
        <w:t xml:space="preserve"> Data Manager for Energy.</w:t>
      </w:r>
      <w:r w:rsidR="007B7A97">
        <w:t xml:space="preserve"> </w:t>
      </w:r>
    </w:p>
    <w:p w14:paraId="172835FD" w14:textId="3E6E583F" w:rsidR="007B7A97" w:rsidRDefault="00B41CC1" w:rsidP="005E7AC5">
      <w:pPr>
        <w:pStyle w:val="ProductList-Body"/>
      </w:pPr>
      <w:r>
        <w:t>„</w:t>
      </w:r>
      <w:r w:rsidR="007B7A97">
        <w:rPr>
          <w:b/>
          <w:color w:val="00188F"/>
        </w:rPr>
        <w:t>Łączna Liczba Żądań API</w:t>
      </w:r>
      <w:r w:rsidRPr="00B41CC1">
        <w:t>”</w:t>
      </w:r>
      <w:r>
        <w:t xml:space="preserve"> </w:t>
      </w:r>
      <w:r w:rsidR="007B7A97">
        <w:t xml:space="preserve">oznacza łączną liczbę uwierzytelnionych żądań interfejsu API wysłanych przez klienta do dowolnego punktu końcowego interfejsu API zasobu klienta </w:t>
      </w:r>
      <w:proofErr w:type="spellStart"/>
      <w:r w:rsidR="007B7A97">
        <w:t>Azure</w:t>
      </w:r>
      <w:proofErr w:type="spellEnd"/>
      <w:r w:rsidR="007B7A97">
        <w:t xml:space="preserve"> Data Manager for Energy we Właściwym Okresie dla danej subskrypcji platformy Microsoft </w:t>
      </w:r>
      <w:proofErr w:type="spellStart"/>
      <w:r w:rsidR="007B7A97">
        <w:t>Azure</w:t>
      </w:r>
      <w:proofErr w:type="spellEnd"/>
      <w:r w:rsidR="007B7A97">
        <w:t xml:space="preserve">. </w:t>
      </w:r>
    </w:p>
    <w:p w14:paraId="7CABD70A" w14:textId="66B01608" w:rsidR="007B7A97" w:rsidRDefault="00B41CC1" w:rsidP="005E7AC5">
      <w:pPr>
        <w:pStyle w:val="ProductList-Body"/>
      </w:pPr>
      <w:r>
        <w:t>„</w:t>
      </w:r>
      <w:r w:rsidR="007B7A97">
        <w:rPr>
          <w:b/>
          <w:color w:val="00188F"/>
        </w:rPr>
        <w:t>Nieudane żądania API</w:t>
      </w:r>
      <w:r w:rsidRPr="00B41CC1">
        <w:t>”</w:t>
      </w:r>
      <w:r>
        <w:t xml:space="preserve"> </w:t>
      </w:r>
      <w:r w:rsidR="007B7A97">
        <w:t xml:space="preserve">to zbiór wszystkich żądań API w ramach łącznej liczby żądań API, które skutkują Kodem Błędu. </w:t>
      </w:r>
    </w:p>
    <w:p w14:paraId="67659A4F" w14:textId="77777777" w:rsidR="007B7A97" w:rsidRPr="005E7AC5" w:rsidRDefault="007B7A97" w:rsidP="005E7AC5">
      <w:pPr>
        <w:pStyle w:val="ProductList-Body"/>
      </w:pPr>
    </w:p>
    <w:p w14:paraId="3FDDB652" w14:textId="340EF086" w:rsidR="007B7A97" w:rsidRDefault="00AC48A7" w:rsidP="005E7AC5">
      <w:pPr>
        <w:pStyle w:val="ProductList-Body"/>
      </w:pPr>
      <w:r>
        <w:t>Procent Czasu Sprawnego Działania Procent Czasu Sprawnego Działania jest obliczany przy użyciu następującego wzoru:</w:t>
      </w:r>
    </w:p>
    <w:p w14:paraId="37A837AA" w14:textId="77777777" w:rsidR="007B7A97" w:rsidRDefault="007B7A97" w:rsidP="005E7AC5">
      <w:pPr>
        <w:pStyle w:val="ProductList-Body"/>
      </w:pPr>
    </w:p>
    <w:p w14:paraId="4B6C405C" w14:textId="4028A6EB" w:rsidR="007B7A97" w:rsidRPr="005E7AC5" w:rsidRDefault="00000000" w:rsidP="00051AAC">
      <w:pPr>
        <w:pStyle w:val="ListParagraph"/>
        <w:spacing w:after="0" w:line="240" w:lineRule="auto"/>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Żądań API — Nieudane Żądania API</m:t>
              </m:r>
            </m:num>
            <m:den>
              <m:r>
                <m:rPr>
                  <m:nor/>
                </m:rPr>
                <w:rPr>
                  <w:rFonts w:ascii="Cambria Math" w:hAnsi="Cambria Math" w:cs="Tahoma"/>
                  <w:i/>
                  <w:sz w:val="18"/>
                  <w:szCs w:val="18"/>
                </w:rPr>
                <m:t>Łączna Liczba Żądań API</m:t>
              </m:r>
            </m:den>
          </m:f>
          <m:r>
            <w:rPr>
              <w:rFonts w:ascii="Cambria Math" w:hAnsi="Cambria Math" w:cs="Tahoma"/>
              <w:sz w:val="18"/>
              <w:szCs w:val="18"/>
            </w:rPr>
            <m:t xml:space="preserve"> X 100</m:t>
          </m:r>
        </m:oMath>
      </m:oMathPara>
    </w:p>
    <w:p w14:paraId="12EDEDD4" w14:textId="77777777" w:rsidR="007B7A97" w:rsidRPr="008A2AEE" w:rsidRDefault="007B7A97" w:rsidP="007B7A97">
      <w:pPr>
        <w:spacing w:after="0"/>
        <w:rPr>
          <w:b/>
          <w:bCs/>
          <w:color w:val="2E74B5" w:themeColor="accent1" w:themeShade="BF"/>
          <w:sz w:val="18"/>
          <w:szCs w:val="18"/>
        </w:rPr>
      </w:pPr>
      <w:r>
        <w:rPr>
          <w:b/>
          <w:bCs/>
          <w:color w:val="2E74B5" w:themeColor="accent1" w:themeShade="BF"/>
          <w:sz w:val="18"/>
          <w:szCs w:val="18"/>
        </w:rPr>
        <w:t xml:space="preserve">Środki Serwisowe na Używanie Usług </w:t>
      </w:r>
    </w:p>
    <w:tbl>
      <w:tblPr>
        <w:tblStyle w:val="TableGrid"/>
        <w:tblW w:w="5000" w:type="pct"/>
        <w:tblLook w:val="04A0" w:firstRow="1" w:lastRow="0" w:firstColumn="1" w:lastColumn="0" w:noHBand="0" w:noVBand="1"/>
      </w:tblPr>
      <w:tblGrid>
        <w:gridCol w:w="5237"/>
        <w:gridCol w:w="5553"/>
      </w:tblGrid>
      <w:tr w:rsidR="005E7AC5" w:rsidRPr="005E7AC5" w14:paraId="2D248A1A" w14:textId="77777777" w:rsidTr="005E7AC5">
        <w:tc>
          <w:tcPr>
            <w:tcW w:w="2427" w:type="pct"/>
            <w:tcBorders>
              <w:top w:val="single" w:sz="4" w:space="0" w:color="auto"/>
              <w:left w:val="single" w:sz="4" w:space="0" w:color="auto"/>
              <w:bottom w:val="single" w:sz="4" w:space="0" w:color="auto"/>
              <w:right w:val="single" w:sz="4" w:space="0" w:color="auto"/>
            </w:tcBorders>
            <w:shd w:val="clear" w:color="auto" w:fill="0070C0"/>
            <w:hideMark/>
          </w:tcPr>
          <w:p w14:paraId="4CC9A0C7" w14:textId="3C2E1B39" w:rsidR="007B7A97" w:rsidRDefault="00AC48A7" w:rsidP="005E7AC5">
            <w:pPr>
              <w:pStyle w:val="ProductList-OfferingBody"/>
              <w:jc w:val="center"/>
              <w:rPr>
                <w:color w:val="FFFFFF" w:themeColor="background1"/>
              </w:rPr>
            </w:pPr>
            <w:r>
              <w:rPr>
                <w:color w:val="FFFFFF" w:themeColor="background1"/>
              </w:rPr>
              <w:t>Procent Czasu Sprawnego Działania</w:t>
            </w:r>
          </w:p>
        </w:tc>
        <w:tc>
          <w:tcPr>
            <w:tcW w:w="2573" w:type="pct"/>
            <w:tcBorders>
              <w:top w:val="single" w:sz="4" w:space="0" w:color="auto"/>
              <w:left w:val="single" w:sz="4" w:space="0" w:color="auto"/>
              <w:bottom w:val="single" w:sz="4" w:space="0" w:color="auto"/>
              <w:right w:val="single" w:sz="4" w:space="0" w:color="auto"/>
            </w:tcBorders>
            <w:shd w:val="clear" w:color="auto" w:fill="0070C0"/>
            <w:hideMark/>
          </w:tcPr>
          <w:p w14:paraId="6E29C60F" w14:textId="77777777" w:rsidR="007B7A97" w:rsidRDefault="007B7A97" w:rsidP="005E7AC5">
            <w:pPr>
              <w:pStyle w:val="ProductList-OfferingBody"/>
              <w:jc w:val="center"/>
              <w:rPr>
                <w:color w:val="FFFFFF" w:themeColor="background1"/>
              </w:rPr>
            </w:pPr>
            <w:r>
              <w:rPr>
                <w:color w:val="FFFFFF" w:themeColor="background1"/>
              </w:rPr>
              <w:t>Środki Serwisowe na Używanie Usług</w:t>
            </w:r>
          </w:p>
        </w:tc>
      </w:tr>
      <w:tr w:rsidR="007B7A97" w:rsidRPr="00564C66" w14:paraId="7C37E974" w14:textId="77777777" w:rsidTr="005E7AC5">
        <w:trPr>
          <w:trHeight w:val="39"/>
        </w:trPr>
        <w:tc>
          <w:tcPr>
            <w:tcW w:w="2427" w:type="pct"/>
            <w:tcBorders>
              <w:top w:val="single" w:sz="4" w:space="0" w:color="auto"/>
              <w:left w:val="single" w:sz="4" w:space="0" w:color="auto"/>
              <w:bottom w:val="single" w:sz="4" w:space="0" w:color="auto"/>
              <w:right w:val="single" w:sz="4" w:space="0" w:color="auto"/>
            </w:tcBorders>
            <w:hideMark/>
          </w:tcPr>
          <w:p w14:paraId="43716C80" w14:textId="77777777" w:rsidR="007B7A97" w:rsidRDefault="007B7A97" w:rsidP="005E7AC5">
            <w:pPr>
              <w:pStyle w:val="ProductList-OfferingBody"/>
              <w:jc w:val="center"/>
            </w:pPr>
            <w:r>
              <w:t>&lt;99,9%</w:t>
            </w:r>
          </w:p>
        </w:tc>
        <w:tc>
          <w:tcPr>
            <w:tcW w:w="2573" w:type="pct"/>
            <w:tcBorders>
              <w:top w:val="single" w:sz="4" w:space="0" w:color="auto"/>
              <w:left w:val="single" w:sz="4" w:space="0" w:color="auto"/>
              <w:bottom w:val="single" w:sz="4" w:space="0" w:color="auto"/>
              <w:right w:val="single" w:sz="4" w:space="0" w:color="auto"/>
            </w:tcBorders>
            <w:hideMark/>
          </w:tcPr>
          <w:p w14:paraId="715C47B5" w14:textId="77777777" w:rsidR="007B7A97" w:rsidRDefault="007B7A97" w:rsidP="005E7AC5">
            <w:pPr>
              <w:pStyle w:val="ProductList-OfferingBody"/>
              <w:jc w:val="center"/>
            </w:pPr>
            <w:r>
              <w:t>10%</w:t>
            </w:r>
          </w:p>
        </w:tc>
      </w:tr>
      <w:tr w:rsidR="007B7A97" w:rsidRPr="00564C66" w14:paraId="43164017" w14:textId="77777777" w:rsidTr="005E7AC5">
        <w:tc>
          <w:tcPr>
            <w:tcW w:w="2427" w:type="pct"/>
            <w:tcBorders>
              <w:top w:val="single" w:sz="4" w:space="0" w:color="auto"/>
              <w:left w:val="single" w:sz="4" w:space="0" w:color="auto"/>
              <w:bottom w:val="single" w:sz="4" w:space="0" w:color="auto"/>
              <w:right w:val="single" w:sz="4" w:space="0" w:color="auto"/>
            </w:tcBorders>
            <w:hideMark/>
          </w:tcPr>
          <w:p w14:paraId="08040D57" w14:textId="77777777" w:rsidR="007B7A97" w:rsidRPr="005E7AC5" w:rsidRDefault="007B7A97" w:rsidP="005E7AC5">
            <w:pPr>
              <w:pStyle w:val="ProductList-OfferingBody"/>
              <w:jc w:val="center"/>
            </w:pPr>
            <w:r>
              <w:t>&lt;99%</w:t>
            </w:r>
          </w:p>
        </w:tc>
        <w:tc>
          <w:tcPr>
            <w:tcW w:w="2573" w:type="pct"/>
            <w:tcBorders>
              <w:top w:val="single" w:sz="4" w:space="0" w:color="auto"/>
              <w:left w:val="single" w:sz="4" w:space="0" w:color="auto"/>
              <w:bottom w:val="single" w:sz="4" w:space="0" w:color="auto"/>
              <w:right w:val="single" w:sz="4" w:space="0" w:color="auto"/>
            </w:tcBorders>
            <w:hideMark/>
          </w:tcPr>
          <w:p w14:paraId="1E80825F" w14:textId="77777777" w:rsidR="007B7A97" w:rsidRPr="005E7AC5" w:rsidRDefault="007B7A97" w:rsidP="005E7AC5">
            <w:pPr>
              <w:pStyle w:val="ProductList-OfferingBody"/>
              <w:jc w:val="center"/>
            </w:pPr>
            <w:r>
              <w:t>25%</w:t>
            </w:r>
          </w:p>
        </w:tc>
      </w:tr>
    </w:tbl>
    <w:p w14:paraId="37225344" w14:textId="77777777" w:rsidR="007B7A97" w:rsidRPr="005E7AC5" w:rsidRDefault="007B7A97" w:rsidP="00943C39">
      <w:pPr>
        <w:pStyle w:val="ProductList-Body"/>
        <w:spacing w:before="120"/>
      </w:pPr>
      <w:r>
        <w:rPr>
          <w:b/>
          <w:color w:val="00188F"/>
        </w:rPr>
        <w:t>Wyjątki Dotyczące Poziomu Usługi</w:t>
      </w:r>
      <w:r>
        <w:t xml:space="preserve">. Poziomy Usługi i Środki na Używanie Usług mają zastosowanie do korzystania przez klienta ze Standardowego Poziomu Usługi </w:t>
      </w:r>
      <w:proofErr w:type="spellStart"/>
      <w:r>
        <w:t>Azure</w:t>
      </w:r>
      <w:proofErr w:type="spellEnd"/>
      <w:r>
        <w:t xml:space="preserve"> Data Manager for Energy. Poziom programisty usługi Microsoft </w:t>
      </w:r>
      <w:proofErr w:type="spellStart"/>
      <w:r>
        <w:t>Azure</w:t>
      </w:r>
      <w:proofErr w:type="spellEnd"/>
      <w:r>
        <w:t xml:space="preserve"> Data Manager for Energy nie podlega niniejszej umowie SLA.</w:t>
      </w:r>
    </w:p>
    <w:p w14:paraId="2DDE5E4E" w14:textId="1EEE4CC3" w:rsidR="00233FBB" w:rsidRPr="00EF7CF9" w:rsidRDefault="00C71F89" w:rsidP="00233FB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F28C626" w14:textId="0EB85250" w:rsidR="004005AF" w:rsidRDefault="004005AF" w:rsidP="00444DA8">
      <w:pPr>
        <w:pStyle w:val="ProductList-Offering2Heading"/>
        <w:keepNext/>
        <w:tabs>
          <w:tab w:val="clear" w:pos="360"/>
          <w:tab w:val="clear" w:pos="720"/>
          <w:tab w:val="clear" w:pos="1080"/>
        </w:tabs>
        <w:outlineLvl w:val="2"/>
      </w:pPr>
      <w:bookmarkStart w:id="225" w:name="_Toc239174999"/>
      <w:proofErr w:type="spellStart"/>
      <w:r>
        <w:t>Azure</w:t>
      </w:r>
      <w:proofErr w:type="spellEnd"/>
      <w:r>
        <w:t xml:space="preserve"> </w:t>
      </w:r>
      <w:proofErr w:type="spellStart"/>
      <w:r>
        <w:t>DDoS</w:t>
      </w:r>
      <w:proofErr w:type="spellEnd"/>
      <w:r>
        <w:t xml:space="preserve"> </w:t>
      </w:r>
      <w:proofErr w:type="spellStart"/>
      <w:r>
        <w:t>Protection</w:t>
      </w:r>
      <w:bookmarkEnd w:id="220"/>
      <w:bookmarkEnd w:id="222"/>
      <w:bookmarkEnd w:id="225"/>
      <w:proofErr w:type="spellEnd"/>
    </w:p>
    <w:p w14:paraId="5A46A1CE" w14:textId="77777777" w:rsidR="004005AF" w:rsidRPr="00B41CC1" w:rsidRDefault="004005AF" w:rsidP="004005AF">
      <w:pPr>
        <w:pStyle w:val="ProductList-Body"/>
        <w:rPr>
          <w:szCs w:val="18"/>
        </w:rPr>
      </w:pPr>
      <w:r w:rsidRPr="00B41CC1">
        <w:rPr>
          <w:b/>
          <w:color w:val="00188F"/>
          <w:szCs w:val="18"/>
        </w:rPr>
        <w:t>Dodatkowe definicje:</w:t>
      </w:r>
    </w:p>
    <w:p w14:paraId="62BA3B5E" w14:textId="4FD72BAE" w:rsidR="004005AF" w:rsidRPr="00B41CC1" w:rsidRDefault="004005AF" w:rsidP="004005AF">
      <w:pPr>
        <w:spacing w:after="0" w:line="240" w:lineRule="auto"/>
        <w:rPr>
          <w:sz w:val="18"/>
          <w:szCs w:val="18"/>
        </w:rPr>
      </w:pPr>
      <w:r w:rsidRPr="00B41CC1">
        <w:rPr>
          <w:sz w:val="18"/>
          <w:szCs w:val="18"/>
        </w:rPr>
        <w:t>„</w:t>
      </w:r>
      <w:r w:rsidRPr="00B41CC1">
        <w:rPr>
          <w:b/>
          <w:color w:val="00188F"/>
          <w:sz w:val="18"/>
          <w:szCs w:val="18"/>
        </w:rPr>
        <w:t>Maksymalna Liczba Dostępnych Minut</w:t>
      </w:r>
      <w:r w:rsidRPr="00B41CC1">
        <w:rPr>
          <w:sz w:val="18"/>
          <w:szCs w:val="18"/>
        </w:rPr>
        <w:t xml:space="preserve">” to łączna liczba minut, w których Usług </w:t>
      </w:r>
      <w:proofErr w:type="spellStart"/>
      <w:r w:rsidRPr="00B41CC1">
        <w:rPr>
          <w:sz w:val="18"/>
          <w:szCs w:val="18"/>
        </w:rPr>
        <w:t>DDoS</w:t>
      </w:r>
      <w:proofErr w:type="spellEnd"/>
      <w:r w:rsidRPr="00B41CC1">
        <w:rPr>
          <w:sz w:val="18"/>
          <w:szCs w:val="18"/>
        </w:rPr>
        <w:t xml:space="preserve"> </w:t>
      </w:r>
      <w:proofErr w:type="spellStart"/>
      <w:r w:rsidRPr="00B41CC1">
        <w:rPr>
          <w:sz w:val="18"/>
          <w:szCs w:val="18"/>
        </w:rPr>
        <w:t>Protection</w:t>
      </w:r>
      <w:proofErr w:type="spellEnd"/>
      <w:r w:rsidRPr="00B41CC1">
        <w:rPr>
          <w:sz w:val="18"/>
          <w:szCs w:val="18"/>
        </w:rPr>
        <w:t xml:space="preserve"> Service jest włączona w ramach danej subskrypcji Microsoft </w:t>
      </w:r>
      <w:proofErr w:type="spellStart"/>
      <w:r w:rsidRPr="00B41CC1">
        <w:rPr>
          <w:sz w:val="18"/>
          <w:szCs w:val="18"/>
        </w:rPr>
        <w:t>Azure</w:t>
      </w:r>
      <w:proofErr w:type="spellEnd"/>
      <w:r w:rsidRPr="00B41CC1">
        <w:rPr>
          <w:sz w:val="18"/>
          <w:szCs w:val="18"/>
        </w:rPr>
        <w:t xml:space="preserve"> w trakcie Właściwego Okresu. </w:t>
      </w:r>
    </w:p>
    <w:p w14:paraId="1D8475B1" w14:textId="77777777" w:rsidR="004005AF" w:rsidRPr="00B41CC1" w:rsidRDefault="004005AF" w:rsidP="004005AF">
      <w:pPr>
        <w:spacing w:after="0" w:line="240" w:lineRule="auto"/>
        <w:rPr>
          <w:color w:val="000000" w:themeColor="text1"/>
          <w:sz w:val="18"/>
          <w:szCs w:val="18"/>
        </w:rPr>
      </w:pPr>
      <w:r w:rsidRPr="00B41CC1">
        <w:rPr>
          <w:sz w:val="18"/>
        </w:rPr>
        <w:t>„</w:t>
      </w:r>
      <w:r w:rsidRPr="00B41CC1">
        <w:rPr>
          <w:b/>
          <w:color w:val="00188F"/>
          <w:sz w:val="18"/>
          <w:szCs w:val="18"/>
        </w:rPr>
        <w:t>Przestój</w:t>
      </w:r>
      <w:r w:rsidRPr="00B41CC1">
        <w:rPr>
          <w:sz w:val="18"/>
          <w:szCs w:val="18"/>
        </w:rPr>
        <w:t xml:space="preserve">” to łączna liczba minut z Maksymalnej Liczby Dostępnych Minut, w ciągu których chronione zasoby </w:t>
      </w:r>
      <w:proofErr w:type="spellStart"/>
      <w:r w:rsidRPr="00B41CC1">
        <w:rPr>
          <w:sz w:val="18"/>
          <w:szCs w:val="18"/>
        </w:rPr>
        <w:t>Azure</w:t>
      </w:r>
      <w:proofErr w:type="spellEnd"/>
      <w:r w:rsidRPr="00B41CC1">
        <w:rPr>
          <w:sz w:val="18"/>
          <w:szCs w:val="18"/>
        </w:rPr>
        <w:t xml:space="preserve"> były niedostępne. Minuta jest uznawana za minutę niedostępności, gdy usługa </w:t>
      </w:r>
      <w:proofErr w:type="spellStart"/>
      <w:r w:rsidRPr="00B41CC1">
        <w:rPr>
          <w:sz w:val="18"/>
          <w:szCs w:val="18"/>
        </w:rPr>
        <w:t>DDoS</w:t>
      </w:r>
      <w:proofErr w:type="spellEnd"/>
      <w:r w:rsidRPr="00B41CC1">
        <w:rPr>
          <w:sz w:val="18"/>
          <w:szCs w:val="18"/>
        </w:rPr>
        <w:t xml:space="preserve"> </w:t>
      </w:r>
      <w:proofErr w:type="spellStart"/>
      <w:r w:rsidRPr="00B41CC1">
        <w:rPr>
          <w:sz w:val="18"/>
          <w:szCs w:val="18"/>
        </w:rPr>
        <w:t>Protection</w:t>
      </w:r>
      <w:proofErr w:type="spellEnd"/>
      <w:r w:rsidRPr="00B41CC1">
        <w:rPr>
          <w:sz w:val="18"/>
          <w:szCs w:val="18"/>
        </w:rPr>
        <w:t xml:space="preserve"> nie wyeliminowała skutków ataku, co bezpośrednio sprawiło, że chronione zasoby </w:t>
      </w:r>
      <w:proofErr w:type="spellStart"/>
      <w:r w:rsidRPr="00B41CC1">
        <w:rPr>
          <w:sz w:val="18"/>
          <w:szCs w:val="18"/>
        </w:rPr>
        <w:t>Azure</w:t>
      </w:r>
      <w:proofErr w:type="spellEnd"/>
      <w:r w:rsidRPr="00B41CC1">
        <w:rPr>
          <w:sz w:val="18"/>
          <w:szCs w:val="18"/>
        </w:rPr>
        <w:t xml:space="preserve"> nie spełniały wymogów określonych </w:t>
      </w:r>
      <w:r w:rsidRPr="00B41CC1">
        <w:rPr>
          <w:color w:val="000000" w:themeColor="text1"/>
          <w:sz w:val="18"/>
          <w:szCs w:val="18"/>
        </w:rPr>
        <w:t>w stosownej umowie SLA.</w:t>
      </w:r>
    </w:p>
    <w:p w14:paraId="7DA3DA65" w14:textId="2E152FDC" w:rsidR="004005AF" w:rsidRPr="00B41CC1" w:rsidRDefault="004005AF" w:rsidP="004005AF">
      <w:pPr>
        <w:pStyle w:val="ProductList-Body"/>
        <w:rPr>
          <w:bCs/>
          <w:color w:val="000000" w:themeColor="text1"/>
          <w:szCs w:val="18"/>
        </w:rPr>
      </w:pPr>
      <w:r w:rsidRPr="00B41CC1">
        <w:t>„</w:t>
      </w:r>
      <w:r w:rsidRPr="00B41CC1">
        <w:rPr>
          <w:b/>
          <w:color w:val="00188F"/>
          <w:szCs w:val="18"/>
        </w:rPr>
        <w:t>Procent Czasu Sprawnego Działania</w:t>
      </w:r>
      <w:r w:rsidR="00B41CC1" w:rsidRPr="00B41CC1">
        <w:rPr>
          <w:szCs w:val="18"/>
        </w:rPr>
        <w:t>”</w:t>
      </w:r>
      <w:r w:rsidRPr="00B41CC1">
        <w:rPr>
          <w:bCs/>
          <w:color w:val="000000" w:themeColor="text1"/>
          <w:szCs w:val="18"/>
        </w:rPr>
        <w:t xml:space="preserve"> jest obliczany jako Maksymalna Liczba Dostępnych Minut pomniejszona o Przestój podzielona przez Maksymalną Liczbę Dostępnych Minut pomnożona razy 100.</w:t>
      </w:r>
    </w:p>
    <w:p w14:paraId="11FE3F64" w14:textId="5D6CF346" w:rsidR="004005AF" w:rsidRPr="00B41CC1" w:rsidRDefault="004005AF" w:rsidP="004005AF">
      <w:pPr>
        <w:pStyle w:val="ProductList-Body"/>
        <w:rPr>
          <w:szCs w:val="18"/>
        </w:rPr>
      </w:pPr>
      <w:r w:rsidRPr="00B41CC1">
        <w:rPr>
          <w:szCs w:val="18"/>
        </w:rPr>
        <w:t>Procent Czasu Sprawnego Działania jest obliczany przy użyciu następującego wzoru:</w:t>
      </w:r>
    </w:p>
    <w:p w14:paraId="6A1C8F0D" w14:textId="72985BB0" w:rsidR="004005AF" w:rsidRPr="005D67E8" w:rsidRDefault="00000000" w:rsidP="00943C39">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4A8E1E0"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w:t>
      </w:r>
      <w:proofErr w:type="spellStart"/>
      <w:r>
        <w:rPr>
          <w:b/>
          <w:color w:val="00188F"/>
        </w:rPr>
        <w:t>DDoS</w:t>
      </w:r>
      <w:proofErr w:type="spellEnd"/>
      <w:r>
        <w:rPr>
          <w:b/>
          <w:color w:val="00188F"/>
        </w:rPr>
        <w:t xml:space="preserve"> </w:t>
      </w:r>
      <w:proofErr w:type="spellStart"/>
      <w:r>
        <w:rPr>
          <w:b/>
          <w:color w:val="00188F"/>
        </w:rPr>
        <w:t>Protection</w:t>
      </w:r>
      <w:proofErr w:type="spellEnd"/>
      <w:r>
        <w:rPr>
          <w:b/>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2D58F648" w14:textId="77777777" w:rsidTr="00277097">
        <w:trPr>
          <w:tblHeader/>
        </w:trPr>
        <w:tc>
          <w:tcPr>
            <w:tcW w:w="5400" w:type="dxa"/>
            <w:shd w:val="clear" w:color="auto" w:fill="0072C6"/>
          </w:tcPr>
          <w:p w14:paraId="3DEE4DC1" w14:textId="37BDB80B"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A29B6DB"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716F57D4" w14:textId="77777777" w:rsidTr="00277097">
        <w:tc>
          <w:tcPr>
            <w:tcW w:w="5400" w:type="dxa"/>
          </w:tcPr>
          <w:p w14:paraId="48ECF269" w14:textId="77777777" w:rsidR="004005AF" w:rsidRPr="0076238C" w:rsidRDefault="004005AF" w:rsidP="000F31B4">
            <w:pPr>
              <w:pStyle w:val="ProductList-OfferingBody"/>
              <w:jc w:val="center"/>
            </w:pPr>
            <w:r>
              <w:t>&lt; 99,99%</w:t>
            </w:r>
          </w:p>
        </w:tc>
        <w:tc>
          <w:tcPr>
            <w:tcW w:w="5400" w:type="dxa"/>
          </w:tcPr>
          <w:p w14:paraId="451C8035" w14:textId="77777777" w:rsidR="004005AF" w:rsidRPr="0076238C" w:rsidRDefault="004005AF" w:rsidP="000F31B4">
            <w:pPr>
              <w:pStyle w:val="ProductList-OfferingBody"/>
              <w:jc w:val="center"/>
            </w:pPr>
            <w:r>
              <w:t>10%</w:t>
            </w:r>
          </w:p>
        </w:tc>
      </w:tr>
      <w:tr w:rsidR="004005AF" w:rsidRPr="00B44CF9" w14:paraId="3579B58A" w14:textId="77777777" w:rsidTr="00277097">
        <w:tc>
          <w:tcPr>
            <w:tcW w:w="5400" w:type="dxa"/>
          </w:tcPr>
          <w:p w14:paraId="57895367" w14:textId="77777777" w:rsidR="004005AF" w:rsidRPr="0076238C" w:rsidRDefault="004005AF" w:rsidP="000F31B4">
            <w:pPr>
              <w:pStyle w:val="ProductList-OfferingBody"/>
              <w:jc w:val="center"/>
            </w:pPr>
            <w:r>
              <w:t>&lt; 99,95%</w:t>
            </w:r>
          </w:p>
        </w:tc>
        <w:tc>
          <w:tcPr>
            <w:tcW w:w="5400" w:type="dxa"/>
          </w:tcPr>
          <w:p w14:paraId="4A518C21" w14:textId="77777777" w:rsidR="004005AF" w:rsidRPr="0076238C" w:rsidRDefault="004005AF" w:rsidP="000F31B4">
            <w:pPr>
              <w:pStyle w:val="ProductList-OfferingBody"/>
              <w:jc w:val="center"/>
            </w:pPr>
            <w:r>
              <w:t>25%</w:t>
            </w:r>
          </w:p>
        </w:tc>
      </w:tr>
    </w:tbl>
    <w:bookmarkStart w:id="226" w:name="_Toc526859657"/>
    <w:bookmarkEnd w:id="200"/>
    <w:p w14:paraId="19364A06" w14:textId="676D6EE9"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5CDE261" w14:textId="77777777" w:rsidR="00DE24F0" w:rsidRPr="00EF7CF9" w:rsidRDefault="00DE24F0" w:rsidP="00DE24F0">
      <w:pPr>
        <w:pStyle w:val="ProductList-Offering2Heading"/>
        <w:keepNext/>
        <w:tabs>
          <w:tab w:val="clear" w:pos="360"/>
          <w:tab w:val="clear" w:pos="720"/>
          <w:tab w:val="clear" w:pos="1080"/>
        </w:tabs>
        <w:outlineLvl w:val="2"/>
      </w:pPr>
      <w:bookmarkStart w:id="227" w:name="_Toc52348939"/>
      <w:bookmarkStart w:id="228" w:name="_Toc239175000"/>
      <w:bookmarkStart w:id="229" w:name="_Toc52348930"/>
      <w:proofErr w:type="spellStart"/>
      <w:r>
        <w:t>Azure</w:t>
      </w:r>
      <w:proofErr w:type="spellEnd"/>
      <w:r>
        <w:t xml:space="preserve"> </w:t>
      </w:r>
      <w:bookmarkEnd w:id="227"/>
      <w:proofErr w:type="spellStart"/>
      <w:r>
        <w:t>Defender</w:t>
      </w:r>
      <w:bookmarkEnd w:id="228"/>
      <w:proofErr w:type="spellEnd"/>
    </w:p>
    <w:p w14:paraId="56727881" w14:textId="77777777" w:rsidR="00DE24F0" w:rsidRPr="00EF7CF9" w:rsidRDefault="00DE24F0" w:rsidP="00DE24F0">
      <w:pPr>
        <w:pStyle w:val="ProductList-Body"/>
      </w:pPr>
      <w:r>
        <w:rPr>
          <w:b/>
          <w:color w:val="00188F"/>
        </w:rPr>
        <w:t>Dodatkowe definicje</w:t>
      </w:r>
      <w:r w:rsidRPr="007B038A">
        <w:rPr>
          <w:b/>
          <w:color w:val="00188F"/>
        </w:rPr>
        <w:t>:</w:t>
      </w:r>
    </w:p>
    <w:p w14:paraId="0085E1D5" w14:textId="77777777" w:rsidR="00DE24F0" w:rsidRPr="00EF7CF9" w:rsidRDefault="00DE24F0" w:rsidP="008035B7">
      <w:pPr>
        <w:pStyle w:val="ProductList-Body"/>
      </w:pPr>
      <w:r>
        <w:t>„</w:t>
      </w:r>
      <w:r>
        <w:rPr>
          <w:b/>
          <w:color w:val="00188F"/>
        </w:rPr>
        <w:t>Węzeł Chroniony</w:t>
      </w:r>
      <w:r>
        <w:t xml:space="preserve">” to skonfigurowany dla usługi </w:t>
      </w:r>
      <w:proofErr w:type="spellStart"/>
      <w:r>
        <w:t>Azure</w:t>
      </w:r>
      <w:proofErr w:type="spellEnd"/>
      <w:r>
        <w:t xml:space="preserve"> </w:t>
      </w:r>
      <w:proofErr w:type="spellStart"/>
      <w:r>
        <w:t>Defender</w:t>
      </w:r>
      <w:proofErr w:type="spellEnd"/>
      <w:r>
        <w:t xml:space="preserve"> zasób Microsoft </w:t>
      </w:r>
      <w:proofErr w:type="spellStart"/>
      <w:r>
        <w:t>Azure</w:t>
      </w:r>
      <w:proofErr w:type="spellEnd"/>
      <w:r>
        <w:t xml:space="preserve"> uznawany w celach rozliczeniowych za węzeł.</w:t>
      </w:r>
    </w:p>
    <w:p w14:paraId="2B354A40" w14:textId="77777777" w:rsidR="00DE24F0" w:rsidRPr="00EF7CF9" w:rsidRDefault="00DE24F0" w:rsidP="008035B7">
      <w:pPr>
        <w:pStyle w:val="ProductList-Body"/>
      </w:pPr>
      <w:r>
        <w:t>„</w:t>
      </w:r>
      <w:r>
        <w:rPr>
          <w:b/>
          <w:color w:val="00188F"/>
        </w:rPr>
        <w:t>Monitorowanie zabezpieczeń</w:t>
      </w:r>
      <w:r>
        <w:t xml:space="preserve">” to proces oceny Węzła Chronionego, w wyniku którego można uzyskać m.in. informacje na temat statusu zabezpieczeń, zalecenia i alerty zabezpieczeń, które będą wyświetlane w usłudze </w:t>
      </w:r>
      <w:proofErr w:type="spellStart"/>
      <w:r>
        <w:t>Azure</w:t>
      </w:r>
      <w:proofErr w:type="spellEnd"/>
      <w:r>
        <w:t xml:space="preserve"> </w:t>
      </w:r>
      <w:proofErr w:type="spellStart"/>
      <w:r>
        <w:t>Defender</w:t>
      </w:r>
      <w:proofErr w:type="spellEnd"/>
      <w:r>
        <w:t>.</w:t>
      </w:r>
    </w:p>
    <w:p w14:paraId="366E30A0" w14:textId="5A3E1DE5" w:rsidR="00DE24F0" w:rsidRPr="00EF7CF9" w:rsidRDefault="00DE24F0" w:rsidP="008035B7">
      <w:pPr>
        <w:pStyle w:val="ProductList-Body"/>
      </w:pPr>
      <w:r>
        <w:t>„</w:t>
      </w:r>
      <w:r>
        <w:rPr>
          <w:b/>
          <w:color w:val="00188F"/>
        </w:rPr>
        <w:t xml:space="preserve">Maksymalna Liczba Dostępnych </w:t>
      </w:r>
      <w:proofErr w:type="spellStart"/>
      <w:r>
        <w:rPr>
          <w:b/>
          <w:color w:val="00188F"/>
        </w:rPr>
        <w:t>Minut</w:t>
      </w:r>
      <w:r>
        <w:t>”to</w:t>
      </w:r>
      <w:proofErr w:type="spellEnd"/>
      <w:r>
        <w:t xml:space="preserve"> łączna liczba minut we Właściwym Okresie, przez którą dany Węzeł Chroniony został wdrożony i</w:t>
      </w:r>
      <w:r w:rsidR="00C84B0F">
        <w:t> </w:t>
      </w:r>
      <w:r>
        <w:t>skonfigurowany do Monitorowania Zabezpieczeń.</w:t>
      </w:r>
    </w:p>
    <w:p w14:paraId="3C4C3205" w14:textId="34A80C70" w:rsidR="00DE24F0" w:rsidRPr="00B44CF9" w:rsidRDefault="00DE24F0" w:rsidP="008035B7">
      <w:pPr>
        <w:spacing w:after="0"/>
        <w:rPr>
          <w:sz w:val="18"/>
          <w:szCs w:val="18"/>
        </w:rPr>
      </w:pPr>
      <w:r>
        <w:rPr>
          <w:sz w:val="18"/>
          <w:szCs w:val="18"/>
        </w:rPr>
        <w:t>„</w:t>
      </w:r>
      <w:r>
        <w:rPr>
          <w:b/>
          <w:color w:val="00188F"/>
          <w:sz w:val="18"/>
        </w:rPr>
        <w:t>Przestój</w:t>
      </w:r>
      <w:r>
        <w:rPr>
          <w:sz w:val="18"/>
          <w:szCs w:val="18"/>
        </w:rPr>
        <w:t xml:space="preserve">” </w:t>
      </w:r>
      <w:r>
        <w:rPr>
          <w:sz w:val="18"/>
        </w:rPr>
        <w:t>to łączna zakumulowana liczba minut we Właściwym Okresie, w których informacje z Monitorowania Zabezpieczeń danego Węzła Chronionego są niedostępne. Minuta jest uznawana za minutę niedostępności dla danego Węzła Chronionego, jeśli wszystkie kolejne próby uzyskania informacji z procesu Monitorowania Zabezpieczeń w ciągu tej minuty zwracają Kod Błędu albo nie zwracają Kodu Sukcesu przed upływem dwóch minut</w:t>
      </w:r>
      <w:r>
        <w:rPr>
          <w:sz w:val="18"/>
          <w:szCs w:val="18"/>
        </w:rPr>
        <w:t>.</w:t>
      </w:r>
    </w:p>
    <w:p w14:paraId="5227BB56" w14:textId="3811AEF7" w:rsidR="00DE24F0" w:rsidRPr="00ED4527" w:rsidRDefault="00DE24F0" w:rsidP="008035B7">
      <w:pPr>
        <w:pStyle w:val="ProductList-Body"/>
        <w:rPr>
          <w:color w:val="000000" w:themeColor="text1"/>
        </w:rPr>
      </w:pPr>
      <w:r w:rsidRPr="00B41CC1">
        <w:t>„</w:t>
      </w:r>
      <w:r>
        <w:rPr>
          <w:b/>
          <w:color w:val="00188F"/>
        </w:rPr>
        <w:t>Procent Czasu Sprawnego Działania</w:t>
      </w:r>
      <w:r w:rsidRPr="00B41CC1">
        <w:t>”</w:t>
      </w:r>
      <w:r>
        <w:t xml:space="preserve"> </w:t>
      </w:r>
      <w:r>
        <w:rPr>
          <w:color w:val="000000" w:themeColor="text1"/>
        </w:rPr>
        <w:t xml:space="preserve">dla usługi </w:t>
      </w:r>
      <w:proofErr w:type="spellStart"/>
      <w:r>
        <w:rPr>
          <w:color w:val="000000" w:themeColor="text1"/>
        </w:rPr>
        <w:t>Azure</w:t>
      </w:r>
      <w:proofErr w:type="spellEnd"/>
      <w:r>
        <w:rPr>
          <w:color w:val="000000" w:themeColor="text1"/>
        </w:rPr>
        <w:t xml:space="preserve"> </w:t>
      </w:r>
      <w:proofErr w:type="spellStart"/>
      <w:r>
        <w:rPr>
          <w:color w:val="000000" w:themeColor="text1"/>
        </w:rPr>
        <w:t>Defender</w:t>
      </w:r>
      <w:proofErr w:type="spellEnd"/>
      <w:r>
        <w:rPr>
          <w:color w:val="000000" w:themeColor="text1"/>
        </w:rPr>
        <w:t xml:space="preserve"> danego Węzła Chronionego w danym Właściwym Okresie jest obliczany jako Maksymalna Liczba Dostępnych Minut pomniejszona o Przestój i podzielona przez Maksymalną Liczbę Dostępnych Minut.</w:t>
      </w:r>
    </w:p>
    <w:p w14:paraId="594AC40F" w14:textId="19720EB4" w:rsidR="00DE24F0" w:rsidRDefault="00DE24F0" w:rsidP="00DE24F0">
      <w:pPr>
        <w:pStyle w:val="ProductList-Body"/>
      </w:pPr>
      <w:r>
        <w:t>Procent Czasu Sprawnego Działania jest obliczany przy użyciu następującego wzoru:</w:t>
      </w:r>
    </w:p>
    <w:p w14:paraId="37308760" w14:textId="5A02525E" w:rsidR="00DE24F0" w:rsidRPr="00EF7CF9" w:rsidRDefault="00000000" w:rsidP="00943C39">
      <w:pPr>
        <w:pStyle w:val="ListParagraph"/>
        <w:spacing w:before="120" w:after="120" w:line="240" w:lineRule="auto"/>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BC640E5" w14:textId="77777777" w:rsidR="00DE24F0" w:rsidRPr="003C461E" w:rsidRDefault="00DE24F0" w:rsidP="00DE24F0">
      <w:pPr>
        <w:pStyle w:val="ProductList-Body"/>
        <w:rPr>
          <w:b/>
          <w:color w:val="00188F"/>
        </w:rPr>
      </w:pPr>
      <w:r>
        <w:rPr>
          <w:b/>
          <w:color w:val="00188F"/>
        </w:rPr>
        <w:t>Do używania przez Klienta każdego Węzła Chronionego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E24F0" w:rsidRPr="00B44CF9" w14:paraId="0CC817BA" w14:textId="77777777" w:rsidTr="00277097">
        <w:trPr>
          <w:tblHeader/>
        </w:trPr>
        <w:tc>
          <w:tcPr>
            <w:tcW w:w="5400" w:type="dxa"/>
            <w:shd w:val="clear" w:color="auto" w:fill="0072C6"/>
          </w:tcPr>
          <w:p w14:paraId="5FB474EB" w14:textId="47AAC21E" w:rsidR="00DE24F0" w:rsidRPr="00EF7CF9" w:rsidRDefault="00AC48A7" w:rsidP="00781010">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8F65282" w14:textId="77777777" w:rsidR="00DE24F0" w:rsidRPr="00EF7CF9" w:rsidRDefault="00DE24F0" w:rsidP="00781010">
            <w:pPr>
              <w:pStyle w:val="ProductList-OfferingBody"/>
              <w:jc w:val="center"/>
              <w:rPr>
                <w:color w:val="FFFFFF" w:themeColor="background1"/>
              </w:rPr>
            </w:pPr>
            <w:r>
              <w:rPr>
                <w:color w:val="FFFFFF" w:themeColor="background1"/>
              </w:rPr>
              <w:t>Środki Serwisowe na Używanie Usług</w:t>
            </w:r>
          </w:p>
        </w:tc>
      </w:tr>
      <w:tr w:rsidR="00DE24F0" w:rsidRPr="00B44CF9" w14:paraId="12276B24" w14:textId="77777777" w:rsidTr="00277097">
        <w:tc>
          <w:tcPr>
            <w:tcW w:w="5400" w:type="dxa"/>
          </w:tcPr>
          <w:p w14:paraId="7342ED85" w14:textId="77777777" w:rsidR="00DE24F0" w:rsidRPr="00EF7CF9" w:rsidRDefault="00DE24F0" w:rsidP="000F31B4">
            <w:pPr>
              <w:pStyle w:val="ProductList-OfferingBody"/>
              <w:jc w:val="center"/>
            </w:pPr>
            <w:r>
              <w:t>&lt; 99,9%</w:t>
            </w:r>
          </w:p>
        </w:tc>
        <w:tc>
          <w:tcPr>
            <w:tcW w:w="5400" w:type="dxa"/>
          </w:tcPr>
          <w:p w14:paraId="699EF4EF" w14:textId="77777777" w:rsidR="00DE24F0" w:rsidRPr="00EF7CF9" w:rsidRDefault="00DE24F0" w:rsidP="000F31B4">
            <w:pPr>
              <w:pStyle w:val="ProductList-OfferingBody"/>
              <w:jc w:val="center"/>
            </w:pPr>
            <w:r>
              <w:t>10%</w:t>
            </w:r>
          </w:p>
        </w:tc>
      </w:tr>
      <w:tr w:rsidR="00DE24F0" w:rsidRPr="00B44CF9" w14:paraId="19CBA1F9" w14:textId="77777777" w:rsidTr="00277097">
        <w:tc>
          <w:tcPr>
            <w:tcW w:w="5400" w:type="dxa"/>
          </w:tcPr>
          <w:p w14:paraId="0D45F04A" w14:textId="77777777" w:rsidR="00DE24F0" w:rsidRPr="00EF7CF9" w:rsidRDefault="00DE24F0" w:rsidP="000F31B4">
            <w:pPr>
              <w:pStyle w:val="ProductList-OfferingBody"/>
              <w:jc w:val="center"/>
            </w:pPr>
            <w:r>
              <w:t>&lt; 99%</w:t>
            </w:r>
          </w:p>
        </w:tc>
        <w:tc>
          <w:tcPr>
            <w:tcW w:w="5400" w:type="dxa"/>
          </w:tcPr>
          <w:p w14:paraId="4F2000CD" w14:textId="77777777" w:rsidR="00DE24F0" w:rsidRPr="00EF7CF9" w:rsidRDefault="00DE24F0" w:rsidP="000F31B4">
            <w:pPr>
              <w:pStyle w:val="ProductList-OfferingBody"/>
              <w:jc w:val="center"/>
            </w:pPr>
            <w:r>
              <w:t>25%</w:t>
            </w:r>
          </w:p>
        </w:tc>
      </w:tr>
    </w:tbl>
    <w:p w14:paraId="22DBF0D6" w14:textId="5DA79D61" w:rsidR="00DE24F0" w:rsidRPr="00EF7CF9" w:rsidRDefault="00C71F89" w:rsidP="00DE24F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41EE902" w14:textId="77777777" w:rsidR="00781010" w:rsidRPr="00781010" w:rsidRDefault="00781010" w:rsidP="00781010">
      <w:pPr>
        <w:pStyle w:val="ProductList-Offering2Heading"/>
        <w:keepNext/>
        <w:tabs>
          <w:tab w:val="clear" w:pos="360"/>
          <w:tab w:val="clear" w:pos="720"/>
          <w:tab w:val="clear" w:pos="1080"/>
        </w:tabs>
        <w:outlineLvl w:val="2"/>
      </w:pPr>
      <w:bookmarkStart w:id="230" w:name="_Toc239175001"/>
      <w:proofErr w:type="spellStart"/>
      <w:r>
        <w:t>Defender</w:t>
      </w:r>
      <w:proofErr w:type="spellEnd"/>
      <w:r>
        <w:t xml:space="preserve"> </w:t>
      </w:r>
      <w:proofErr w:type="spellStart"/>
      <w:r>
        <w:t>External</w:t>
      </w:r>
      <w:proofErr w:type="spellEnd"/>
      <w:r>
        <w:t xml:space="preserve"> Attack Surface Management</w:t>
      </w:r>
      <w:bookmarkEnd w:id="230"/>
    </w:p>
    <w:p w14:paraId="20DDC606" w14:textId="77777777" w:rsidR="00781010" w:rsidRPr="00781010" w:rsidRDefault="00781010" w:rsidP="00781010">
      <w:pPr>
        <w:pStyle w:val="ProductList-Body"/>
        <w:rPr>
          <w:b/>
          <w:bCs/>
          <w:color w:val="00188F"/>
        </w:rPr>
      </w:pPr>
      <w:r>
        <w:rPr>
          <w:b/>
          <w:bCs/>
          <w:color w:val="00188F"/>
        </w:rPr>
        <w:t>Dodatkowe definicje</w:t>
      </w:r>
    </w:p>
    <w:p w14:paraId="770294EA" w14:textId="7CE5D19C" w:rsidR="00781010" w:rsidRDefault="00781010" w:rsidP="00781010">
      <w:pPr>
        <w:pStyle w:val="ProductList-Body"/>
      </w:pPr>
      <w:r>
        <w:t>„</w:t>
      </w:r>
      <w:r>
        <w:rPr>
          <w:b/>
          <w:bCs/>
          <w:color w:val="00188F"/>
        </w:rPr>
        <w:t>Maksymalna Liczba Dostępnych Minut</w:t>
      </w:r>
      <w:r>
        <w:t xml:space="preserve">” to łączna liczba minut, przez które dany Zasób </w:t>
      </w:r>
      <w:proofErr w:type="spellStart"/>
      <w:r>
        <w:t>Defender</w:t>
      </w:r>
      <w:proofErr w:type="spellEnd"/>
      <w:r>
        <w:t xml:space="preserve"> EASM został wdrożony przez klienta w ramach subskrypcji Microsoft </w:t>
      </w:r>
      <w:proofErr w:type="spellStart"/>
      <w:r>
        <w:t>Azure</w:t>
      </w:r>
      <w:proofErr w:type="spellEnd"/>
      <w:r>
        <w:t xml:space="preserve"> we Właściwym Okresie.</w:t>
      </w:r>
    </w:p>
    <w:p w14:paraId="61FF4E80" w14:textId="77777777" w:rsidR="00781010" w:rsidRDefault="00781010" w:rsidP="00781010">
      <w:pPr>
        <w:pStyle w:val="ProductList-Body"/>
      </w:pPr>
      <w:r>
        <w:t>„</w:t>
      </w:r>
      <w:r>
        <w:rPr>
          <w:b/>
          <w:bCs/>
          <w:color w:val="00188F"/>
        </w:rPr>
        <w:t>Przestój</w:t>
      </w:r>
      <w:r>
        <w:t xml:space="preserve">” to łączna liczba minut w ramach Maksymalnej Liczby Dostępnych Minut, podczas których dane w zasobie usługi </w:t>
      </w:r>
      <w:proofErr w:type="spellStart"/>
      <w:r>
        <w:t>Defender</w:t>
      </w:r>
      <w:proofErr w:type="spellEnd"/>
      <w:r>
        <w:t xml:space="preserve"> EASM są niedostępne. Minuta jest uznawana za minutę niedostępności dla danego zasobu usługi </w:t>
      </w:r>
      <w:proofErr w:type="spellStart"/>
      <w:r>
        <w:t>Defender</w:t>
      </w:r>
      <w:proofErr w:type="spellEnd"/>
      <w:r>
        <w:t xml:space="preserve"> EASM, jeśli w tym czasie nie ma operacji HTTP zakończonych Kodem Sukcesu.</w:t>
      </w:r>
    </w:p>
    <w:p w14:paraId="5A74F90E" w14:textId="37097D2E" w:rsidR="00781010" w:rsidRDefault="00B41CC1" w:rsidP="00C84B0F">
      <w:pPr>
        <w:pStyle w:val="ProductList-Body"/>
      </w:pPr>
      <w:r>
        <w:t>„</w:t>
      </w:r>
      <w:r w:rsidR="00781010">
        <w:rPr>
          <w:b/>
          <w:bCs/>
          <w:color w:val="00188F"/>
        </w:rPr>
        <w:t>Procent Dostępności Zapytań</w:t>
      </w:r>
      <w:r w:rsidRPr="00B41CC1">
        <w:rPr>
          <w:szCs w:val="18"/>
        </w:rPr>
        <w:t>”</w:t>
      </w:r>
      <w:r w:rsidR="00781010">
        <w:t xml:space="preserve"> dla danego zasobu </w:t>
      </w:r>
      <w:proofErr w:type="spellStart"/>
      <w:r w:rsidR="00781010">
        <w:t>Defender</w:t>
      </w:r>
      <w:proofErr w:type="spellEnd"/>
      <w:r w:rsidR="00781010">
        <w:t xml:space="preserve"> EASM jest obliczany jako Maksymalna Liczba Dostępnych Minut pomniejszona o</w:t>
      </w:r>
      <w:r w:rsidR="00C84B0F">
        <w:t> </w:t>
      </w:r>
      <w:r w:rsidR="00781010">
        <w:t>Przestój podzielona przez Maksymalną Liczbę Dostępnych Minut pomnożoną przez 100.</w:t>
      </w:r>
    </w:p>
    <w:p w14:paraId="538C7A5C" w14:textId="08BF57FD" w:rsidR="00781010" w:rsidRDefault="00781010" w:rsidP="00781010">
      <w:pPr>
        <w:pStyle w:val="ProductList-Body"/>
      </w:pPr>
      <w:r>
        <w:t>Procent Dostępności Zapytań jest obliczany przy użyciu następującego wzoru:</w:t>
      </w:r>
    </w:p>
    <w:p w14:paraId="30A59169" w14:textId="261EBB7D" w:rsidR="00781010" w:rsidRPr="00EF7CF9" w:rsidRDefault="00000000" w:rsidP="00796A6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A0ED6A0" w14:textId="77777777" w:rsidR="00781010" w:rsidRDefault="00781010" w:rsidP="00781010">
      <w:pPr>
        <w:pStyle w:val="ProductList-Body"/>
      </w:pPr>
      <w:r>
        <w:t xml:space="preserve">Do używania przez Klienta usługi </w:t>
      </w:r>
      <w:proofErr w:type="spellStart"/>
      <w:r>
        <w:t>Defender</w:t>
      </w:r>
      <w:proofErr w:type="spellEnd"/>
      <w:r>
        <w:t xml:space="preserve"> </w:t>
      </w:r>
      <w:proofErr w:type="spellStart"/>
      <w:r>
        <w:t>External</w:t>
      </w:r>
      <w:proofErr w:type="spellEnd"/>
      <w:r>
        <w:t xml:space="preserve"> Attack Surface Management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81010" w:rsidRPr="00B44CF9" w14:paraId="3139CA86" w14:textId="77777777" w:rsidTr="00277097">
        <w:trPr>
          <w:tblHeader/>
        </w:trPr>
        <w:tc>
          <w:tcPr>
            <w:tcW w:w="5400" w:type="dxa"/>
            <w:shd w:val="clear" w:color="auto" w:fill="0072C6"/>
          </w:tcPr>
          <w:p w14:paraId="06FC5161" w14:textId="2F9F2E1F" w:rsidR="00781010" w:rsidRPr="00EF7CF9" w:rsidRDefault="00781010" w:rsidP="000F31B4">
            <w:pPr>
              <w:pStyle w:val="ProductList-OfferingBody"/>
              <w:jc w:val="center"/>
              <w:rPr>
                <w:color w:val="FFFFFF" w:themeColor="background1"/>
              </w:rPr>
            </w:pPr>
            <w:r>
              <w:rPr>
                <w:color w:val="FFFFFF" w:themeColor="background1"/>
              </w:rPr>
              <w:t>Procent Dostępności Zapytań</w:t>
            </w:r>
          </w:p>
        </w:tc>
        <w:tc>
          <w:tcPr>
            <w:tcW w:w="5400" w:type="dxa"/>
            <w:shd w:val="clear" w:color="auto" w:fill="0072C6"/>
          </w:tcPr>
          <w:p w14:paraId="18CAA572" w14:textId="77777777" w:rsidR="00781010" w:rsidRPr="00EF7CF9" w:rsidRDefault="00781010" w:rsidP="000F31B4">
            <w:pPr>
              <w:pStyle w:val="ProductList-OfferingBody"/>
              <w:jc w:val="center"/>
              <w:rPr>
                <w:color w:val="FFFFFF" w:themeColor="background1"/>
              </w:rPr>
            </w:pPr>
            <w:r>
              <w:rPr>
                <w:color w:val="FFFFFF" w:themeColor="background1"/>
              </w:rPr>
              <w:t>Środki Serwisowe na Używanie Usług</w:t>
            </w:r>
          </w:p>
        </w:tc>
      </w:tr>
      <w:tr w:rsidR="00781010" w:rsidRPr="00B44CF9" w14:paraId="28A18A12" w14:textId="77777777" w:rsidTr="00277097">
        <w:tc>
          <w:tcPr>
            <w:tcW w:w="5400" w:type="dxa"/>
          </w:tcPr>
          <w:p w14:paraId="111B54CB" w14:textId="77777777" w:rsidR="00781010" w:rsidRPr="00EF7CF9" w:rsidRDefault="00781010" w:rsidP="000F31B4">
            <w:pPr>
              <w:pStyle w:val="ProductList-OfferingBody"/>
              <w:jc w:val="center"/>
            </w:pPr>
            <w:r>
              <w:t>&lt; 99,9%</w:t>
            </w:r>
          </w:p>
        </w:tc>
        <w:tc>
          <w:tcPr>
            <w:tcW w:w="5400" w:type="dxa"/>
          </w:tcPr>
          <w:p w14:paraId="6090A89D" w14:textId="77777777" w:rsidR="00781010" w:rsidRPr="00EF7CF9" w:rsidRDefault="00781010" w:rsidP="000F31B4">
            <w:pPr>
              <w:pStyle w:val="ProductList-OfferingBody"/>
              <w:jc w:val="center"/>
            </w:pPr>
            <w:r>
              <w:t>10%</w:t>
            </w:r>
          </w:p>
        </w:tc>
      </w:tr>
      <w:tr w:rsidR="00781010" w:rsidRPr="00B44CF9" w14:paraId="60F211CD" w14:textId="77777777" w:rsidTr="00277097">
        <w:tc>
          <w:tcPr>
            <w:tcW w:w="5400" w:type="dxa"/>
          </w:tcPr>
          <w:p w14:paraId="583A91C1" w14:textId="77777777" w:rsidR="00781010" w:rsidRPr="00EF7CF9" w:rsidRDefault="00781010" w:rsidP="000F31B4">
            <w:pPr>
              <w:pStyle w:val="ProductList-OfferingBody"/>
              <w:jc w:val="center"/>
            </w:pPr>
            <w:r>
              <w:t>&lt; 99%</w:t>
            </w:r>
          </w:p>
        </w:tc>
        <w:tc>
          <w:tcPr>
            <w:tcW w:w="5400" w:type="dxa"/>
          </w:tcPr>
          <w:p w14:paraId="59F68250" w14:textId="77777777" w:rsidR="00781010" w:rsidRPr="00EF7CF9" w:rsidRDefault="00781010" w:rsidP="000F31B4">
            <w:pPr>
              <w:pStyle w:val="ProductList-OfferingBody"/>
              <w:jc w:val="center"/>
            </w:pPr>
            <w:r>
              <w:t>25%</w:t>
            </w:r>
          </w:p>
        </w:tc>
      </w:tr>
    </w:tbl>
    <w:p w14:paraId="32A15540" w14:textId="6484114E" w:rsidR="00781010" w:rsidRPr="00EF7CF9" w:rsidRDefault="00C71F89" w:rsidP="0078101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3EC33DC" w14:textId="77777777" w:rsidR="00C66B25" w:rsidRPr="00EA5FB1" w:rsidRDefault="00C66B25" w:rsidP="00C66B25">
      <w:pPr>
        <w:pStyle w:val="ProductList-Offering2Heading"/>
        <w:keepNext/>
        <w:tabs>
          <w:tab w:val="clear" w:pos="360"/>
          <w:tab w:val="clear" w:pos="720"/>
          <w:tab w:val="clear" w:pos="1080"/>
        </w:tabs>
        <w:outlineLvl w:val="2"/>
        <w:rPr>
          <w:lang w:val="fr-FR"/>
        </w:rPr>
      </w:pPr>
      <w:bookmarkStart w:id="231" w:name="_Toc524384537"/>
      <w:bookmarkStart w:id="232" w:name="_Toc52348999"/>
      <w:bookmarkStart w:id="233" w:name="_Toc239175002"/>
      <w:proofErr w:type="spellStart"/>
      <w:r>
        <w:t>Azure</w:t>
      </w:r>
      <w:proofErr w:type="spellEnd"/>
      <w:r>
        <w:t xml:space="preserve"> </w:t>
      </w:r>
      <w:proofErr w:type="spellStart"/>
      <w:r>
        <w:t>Dev</w:t>
      </w:r>
      <w:proofErr w:type="spellEnd"/>
      <w:r>
        <w:t xml:space="preserve"> </w:t>
      </w:r>
      <w:proofErr w:type="spellStart"/>
      <w:r>
        <w:t>Ops</w:t>
      </w:r>
      <w:bookmarkEnd w:id="231"/>
      <w:bookmarkEnd w:id="232"/>
      <w:bookmarkEnd w:id="233"/>
      <w:proofErr w:type="spellEnd"/>
    </w:p>
    <w:p w14:paraId="578E5FA7" w14:textId="77777777" w:rsidR="00C66B25" w:rsidRPr="00EF7CF9" w:rsidRDefault="00C66B25" w:rsidP="00C66B25">
      <w:pPr>
        <w:pStyle w:val="ProductList-Body"/>
        <w:rPr>
          <w:b/>
          <w:color w:val="00188F"/>
        </w:rPr>
      </w:pPr>
      <w:r>
        <w:rPr>
          <w:b/>
          <w:color w:val="00188F"/>
        </w:rPr>
        <w:t>Dodatkowe definicje</w:t>
      </w:r>
      <w:r w:rsidRPr="007B038A">
        <w:rPr>
          <w:b/>
          <w:color w:val="00188F"/>
        </w:rPr>
        <w:t>:</w:t>
      </w:r>
    </w:p>
    <w:p w14:paraId="0BF8769E" w14:textId="77777777" w:rsidR="00C66B25" w:rsidRPr="00EF7CF9" w:rsidRDefault="00C66B25" w:rsidP="00B80E5C">
      <w:pPr>
        <w:pStyle w:val="ProductList-Body"/>
      </w:pPr>
      <w:r>
        <w:t>„</w:t>
      </w:r>
      <w:proofErr w:type="spellStart"/>
      <w:r>
        <w:rPr>
          <w:b/>
          <w:color w:val="00188F"/>
        </w:rPr>
        <w:t>Azure</w:t>
      </w:r>
      <w:proofErr w:type="spellEnd"/>
      <w:r>
        <w:rPr>
          <w:b/>
          <w:color w:val="00188F"/>
        </w:rPr>
        <w:t xml:space="preserve"> </w:t>
      </w:r>
      <w:proofErr w:type="spellStart"/>
      <w:r>
        <w:rPr>
          <w:b/>
          <w:color w:val="00188F"/>
        </w:rPr>
        <w:t>Pipelines</w:t>
      </w:r>
      <w:proofErr w:type="spellEnd"/>
      <w:r>
        <w:t xml:space="preserve">” to funkcja, która umożliwia klientom budowanie i wdrażanie swoich aplikacji w ramach usług </w:t>
      </w:r>
      <w:proofErr w:type="spellStart"/>
      <w:r>
        <w:t>Azure</w:t>
      </w:r>
      <w:proofErr w:type="spellEnd"/>
      <w:r>
        <w:t xml:space="preserve"> </w:t>
      </w:r>
      <w:proofErr w:type="spellStart"/>
      <w:r>
        <w:t>DevOps</w:t>
      </w:r>
      <w:proofErr w:type="spellEnd"/>
      <w:r>
        <w:t xml:space="preserve"> Services.</w:t>
      </w:r>
    </w:p>
    <w:p w14:paraId="55EB42EB" w14:textId="77777777" w:rsidR="00C66B25" w:rsidRDefault="00C66B25" w:rsidP="00B80E5C">
      <w:pPr>
        <w:pStyle w:val="ProductList-Body"/>
      </w:pPr>
      <w:r>
        <w:t>„</w:t>
      </w:r>
      <w:r>
        <w:rPr>
          <w:b/>
          <w:color w:val="00188F"/>
        </w:rPr>
        <w:t>Rozszerzenia na Użytkownika</w:t>
      </w:r>
      <w:r>
        <w:t xml:space="preserve">” to zbiór opublikowanych przez Microsoft rozszerzeń do Usług </w:t>
      </w:r>
      <w:proofErr w:type="spellStart"/>
      <w:r>
        <w:t>Azure</w:t>
      </w:r>
      <w:proofErr w:type="spellEnd"/>
      <w:r>
        <w:t xml:space="preserve"> </w:t>
      </w:r>
      <w:proofErr w:type="spellStart"/>
      <w:r>
        <w:t>DevOps</w:t>
      </w:r>
      <w:proofErr w:type="spellEnd"/>
      <w:r>
        <w:t xml:space="preserve"> Services sprzedawanych w opcji na użytkownika za pośrednictwem witryny </w:t>
      </w:r>
      <w:proofErr w:type="spellStart"/>
      <w:r>
        <w:t>Azure</w:t>
      </w:r>
      <w:proofErr w:type="spellEnd"/>
      <w:r>
        <w:t xml:space="preserve"> </w:t>
      </w:r>
      <w:proofErr w:type="spellStart"/>
      <w:r>
        <w:t>DevOps</w:t>
      </w:r>
      <w:proofErr w:type="spellEnd"/>
      <w:r>
        <w:t xml:space="preserve"> Marketplace.</w:t>
      </w:r>
    </w:p>
    <w:p w14:paraId="07E0E7C5" w14:textId="77777777" w:rsidR="003E73EE" w:rsidRPr="00923340" w:rsidRDefault="003E73EE" w:rsidP="003E73EE">
      <w:pPr>
        <w:pStyle w:val="ProductList-Body"/>
        <w:rPr>
          <w:rFonts w:ascii="Calibri" w:hAnsi="Calibri" w:cs="Calibri"/>
        </w:rPr>
      </w:pPr>
      <w:r w:rsidRPr="00F06596">
        <w:rPr>
          <w:rFonts w:ascii="Calibri" w:hAnsi="Calibri" w:cs="Calibri"/>
          <w:b/>
          <w:color w:val="00188F"/>
        </w:rPr>
        <w:t>„</w:t>
      </w:r>
      <w:r>
        <w:rPr>
          <w:rFonts w:ascii="Calibri" w:hAnsi="Calibri" w:cs="Calibri"/>
          <w:b/>
          <w:color w:val="00188F"/>
        </w:rPr>
        <w:t xml:space="preserve">Użytkownicy Usług </w:t>
      </w:r>
      <w:proofErr w:type="spellStart"/>
      <w:r>
        <w:rPr>
          <w:rFonts w:ascii="Calibri" w:hAnsi="Calibri" w:cs="Calibri"/>
          <w:b/>
          <w:color w:val="00188F"/>
        </w:rPr>
        <w:t>Azure</w:t>
      </w:r>
      <w:proofErr w:type="spellEnd"/>
      <w:r>
        <w:rPr>
          <w:rFonts w:ascii="Calibri" w:hAnsi="Calibri" w:cs="Calibri"/>
          <w:b/>
          <w:color w:val="00188F"/>
        </w:rPr>
        <w:t xml:space="preserve"> </w:t>
      </w:r>
      <w:proofErr w:type="spellStart"/>
      <w:r>
        <w:rPr>
          <w:rFonts w:ascii="Calibri" w:hAnsi="Calibri" w:cs="Calibri"/>
          <w:b/>
          <w:color w:val="00188F"/>
        </w:rPr>
        <w:t>DevOps</w:t>
      </w:r>
      <w:proofErr w:type="spellEnd"/>
      <w:r>
        <w:rPr>
          <w:rFonts w:ascii="Calibri" w:hAnsi="Calibri" w:cs="Calibri"/>
          <w:b/>
          <w:color w:val="00188F"/>
        </w:rPr>
        <w:t xml:space="preserve"> Services</w:t>
      </w:r>
      <w:r w:rsidRPr="00F06596">
        <w:rPr>
          <w:rFonts w:ascii="Calibri" w:hAnsi="Calibri" w:cs="Calibri"/>
          <w:b/>
          <w:color w:val="00188F"/>
        </w:rPr>
        <w:t>”</w:t>
      </w:r>
      <w:r>
        <w:rPr>
          <w:rFonts w:ascii="Calibri" w:hAnsi="Calibri" w:cs="Calibri"/>
        </w:rPr>
        <w:t xml:space="preserve"> to termin dotyczący zbioru funkcji i możliwości dostępnych dla użytkownika w ramach konta Usługi </w:t>
      </w:r>
      <w:proofErr w:type="spellStart"/>
      <w:r>
        <w:rPr>
          <w:rFonts w:ascii="Calibri" w:hAnsi="Calibri" w:cs="Calibri"/>
        </w:rPr>
        <w:t>Azure</w:t>
      </w:r>
      <w:proofErr w:type="spellEnd"/>
      <w:r>
        <w:rPr>
          <w:rFonts w:ascii="Calibri" w:hAnsi="Calibri" w:cs="Calibri"/>
        </w:rPr>
        <w:t xml:space="preserve"> </w:t>
      </w:r>
      <w:proofErr w:type="spellStart"/>
      <w:r>
        <w:rPr>
          <w:rFonts w:ascii="Calibri" w:hAnsi="Calibri" w:cs="Calibri"/>
        </w:rPr>
        <w:t>DevOps</w:t>
      </w:r>
      <w:proofErr w:type="spellEnd"/>
      <w:r>
        <w:rPr>
          <w:rFonts w:ascii="Calibri" w:hAnsi="Calibri" w:cs="Calibri"/>
        </w:rPr>
        <w:t xml:space="preserve"> w subskrypcji Klienta. Dostępne funkcje i możliwości są opisane w witrynie </w:t>
      </w:r>
      <w:proofErr w:type="spellStart"/>
      <w:r>
        <w:rPr>
          <w:rStyle w:val="Hyperlink"/>
          <w:rFonts w:ascii="Calibri" w:hAnsi="Calibri" w:cs="Calibri"/>
        </w:rPr>
        <w:t>Azure</w:t>
      </w:r>
      <w:proofErr w:type="spellEnd"/>
      <w:r>
        <w:rPr>
          <w:rStyle w:val="Hyperlink"/>
          <w:rFonts w:ascii="Calibri" w:hAnsi="Calibri" w:cs="Calibri"/>
        </w:rPr>
        <w:t xml:space="preserve"> </w:t>
      </w:r>
      <w:proofErr w:type="spellStart"/>
      <w:r>
        <w:rPr>
          <w:rStyle w:val="Hyperlink"/>
          <w:rFonts w:ascii="Calibri" w:hAnsi="Calibri" w:cs="Calibri"/>
        </w:rPr>
        <w:t>DevOps</w:t>
      </w:r>
      <w:proofErr w:type="spellEnd"/>
      <w:r>
        <w:rPr>
          <w:rFonts w:ascii="Calibri" w:hAnsi="Calibri" w:cs="Calibri"/>
        </w:rPr>
        <w:t>.</w:t>
      </w:r>
    </w:p>
    <w:p w14:paraId="04EEA0D9" w14:textId="08B9315C" w:rsidR="00C66B25" w:rsidRPr="00ED4527" w:rsidRDefault="00EE6E3C" w:rsidP="00B80E5C">
      <w:pPr>
        <w:pStyle w:val="ProductList-Body"/>
        <w:spacing w:before="60"/>
        <w:rPr>
          <w:b/>
          <w:bCs/>
          <w:color w:val="00188F"/>
        </w:rPr>
      </w:pPr>
      <w:r>
        <w:rPr>
          <w:b/>
          <w:bCs/>
          <w:color w:val="00188F"/>
        </w:rPr>
        <w:t xml:space="preserve">Obliczanie Czasu Sprawnego Działania i Poziomy Usługi dla Użytkowników Usług </w:t>
      </w:r>
      <w:proofErr w:type="spellStart"/>
      <w:r>
        <w:rPr>
          <w:b/>
          <w:bCs/>
          <w:color w:val="00188F"/>
        </w:rPr>
        <w:t>Azure</w:t>
      </w:r>
      <w:proofErr w:type="spellEnd"/>
      <w:r>
        <w:rPr>
          <w:b/>
          <w:bCs/>
          <w:color w:val="00188F"/>
        </w:rPr>
        <w:t xml:space="preserve"> </w:t>
      </w:r>
      <w:proofErr w:type="spellStart"/>
      <w:r>
        <w:rPr>
          <w:b/>
          <w:bCs/>
          <w:color w:val="00188F"/>
        </w:rPr>
        <w:t>DevOps</w:t>
      </w:r>
      <w:proofErr w:type="spellEnd"/>
      <w:r>
        <w:rPr>
          <w:b/>
          <w:bCs/>
          <w:color w:val="00188F"/>
        </w:rPr>
        <w:t xml:space="preserve"> Services oraz Rozszerzeń na Użytkownika</w:t>
      </w:r>
    </w:p>
    <w:p w14:paraId="519D60EC" w14:textId="0218C1C2" w:rsidR="00C66B25" w:rsidRDefault="00C66B25" w:rsidP="00C66B25">
      <w:pPr>
        <w:pStyle w:val="ProductList-Body"/>
      </w:pPr>
      <w:r>
        <w:t>„</w:t>
      </w:r>
      <w:r>
        <w:rPr>
          <w:b/>
          <w:color w:val="00188F"/>
        </w:rPr>
        <w:t>Minuty Wdrożenia</w:t>
      </w:r>
      <w:r>
        <w:t>” to łączna liczba minut, na którą określony Użytkownik lub Rozszerzenie na Użytkownika zostały zakupione w trakcie Właściwego Okresu.</w:t>
      </w:r>
    </w:p>
    <w:p w14:paraId="1D9C3180" w14:textId="0ACDEAF9" w:rsidR="00C66B25" w:rsidRPr="00EF7CF9" w:rsidRDefault="00C66B25" w:rsidP="00C66B25">
      <w:pPr>
        <w:pStyle w:val="ProductList-Body"/>
      </w:pPr>
      <w:r>
        <w:t>„</w:t>
      </w:r>
      <w:r>
        <w:rPr>
          <w:b/>
          <w:color w:val="00188F"/>
        </w:rPr>
        <w:t>Maksymalna Liczba Dostępnych Minut</w:t>
      </w:r>
      <w:r>
        <w:t xml:space="preserve">” to wszystkie Minuty Wdrożenia wszystkich Użytkowników oraz Rozszerzeń na Użytkownika w ramach danej subskrypcji Microsoft </w:t>
      </w:r>
      <w:proofErr w:type="spellStart"/>
      <w:r>
        <w:t>Azure</w:t>
      </w:r>
      <w:proofErr w:type="spellEnd"/>
      <w:r>
        <w:t xml:space="preserve"> we Właściwym Okresie.</w:t>
      </w:r>
    </w:p>
    <w:p w14:paraId="0C23C755" w14:textId="77777777" w:rsidR="00C66B25" w:rsidRPr="00EF7CF9" w:rsidRDefault="00C66B25" w:rsidP="00C66B25">
      <w:pPr>
        <w:pStyle w:val="ProductList-Body"/>
      </w:pPr>
      <w:r>
        <w:t>„</w:t>
      </w:r>
      <w:r>
        <w:rPr>
          <w:b/>
          <w:color w:val="00188F"/>
        </w:rPr>
        <w:t>Przestój</w:t>
      </w:r>
      <w:r>
        <w:t xml:space="preserve">” to łączna liczba Minut Wdrożenia dla wszystkich Użytkowników i Rozszerzeń na Użytkownika w ramach danej subskrypcji Microsoft </w:t>
      </w:r>
      <w:proofErr w:type="spellStart"/>
      <w:r>
        <w:t>Azure</w:t>
      </w:r>
      <w:proofErr w:type="spellEnd"/>
      <w:r>
        <w:t xml:space="preserve">, podczas których ta Usługa jest niedostępna. Minuta jest uznawana za minutę niedostępności dla danego Użytkownika lub Rozszerzenia na Użytkownika, jeśli wszystkie następujące po sobie żądania HTTP wykonania operacji, inne niż operacje dotyczące Usługi </w:t>
      </w:r>
      <w:proofErr w:type="spellStart"/>
      <w:r>
        <w:t>Azure</w:t>
      </w:r>
      <w:proofErr w:type="spellEnd"/>
      <w:r>
        <w:t xml:space="preserve"> </w:t>
      </w:r>
      <w:proofErr w:type="spellStart"/>
      <w:r>
        <w:t>Pipelines</w:t>
      </w:r>
      <w:proofErr w:type="spellEnd"/>
      <w:r>
        <w:t>, w ciągu tej minuty albo zwracają Kod Błędu, albo nie zwracają żadnej odpowiedzi.</w:t>
      </w:r>
    </w:p>
    <w:p w14:paraId="53A2B476" w14:textId="01843BC0" w:rsidR="00C66B25" w:rsidRDefault="00AC48A7" w:rsidP="00C66B25">
      <w:pPr>
        <w:pStyle w:val="ProductList-Body"/>
      </w:pPr>
      <w:r>
        <w:rPr>
          <w:b/>
          <w:color w:val="00188F"/>
        </w:rPr>
        <w:t>Procent Czasu Sprawnego Działania</w:t>
      </w:r>
      <w:r w:rsidRPr="007B038A">
        <w:rPr>
          <w:b/>
          <w:color w:val="00188F"/>
        </w:rPr>
        <w:t>:</w:t>
      </w:r>
      <w:r>
        <w:t xml:space="preserve"> Dla Użytkowników Usług </w:t>
      </w:r>
      <w:proofErr w:type="spellStart"/>
      <w:r>
        <w:t>Azure</w:t>
      </w:r>
      <w:proofErr w:type="spellEnd"/>
      <w:r>
        <w:t xml:space="preserve"> </w:t>
      </w:r>
      <w:proofErr w:type="spellStart"/>
      <w:r>
        <w:t>DevOps</w:t>
      </w:r>
      <w:proofErr w:type="spellEnd"/>
      <w:r>
        <w:t xml:space="preserve"> Services oraz Rozszerzeń na Użytkownika to Maksymalna Liczba Dostępnych Minut pomniejszona o Przestój podzielona przez Maksymalną Liczbę Dostępnych Minut we Właściwym Okresie dla danej subskrypcji Microsoft </w:t>
      </w:r>
      <w:proofErr w:type="spellStart"/>
      <w:r>
        <w:t>Azure</w:t>
      </w:r>
      <w:proofErr w:type="spellEnd"/>
      <w:r>
        <w:t xml:space="preserve">. </w:t>
      </w:r>
    </w:p>
    <w:p w14:paraId="23F1EFA1" w14:textId="48F4EC62" w:rsidR="00C66B25" w:rsidRPr="00EF7CF9" w:rsidRDefault="00AC48A7" w:rsidP="00C66B25">
      <w:pPr>
        <w:pStyle w:val="ProductList-Body"/>
      </w:pPr>
      <w:r>
        <w:t>Procent Czasu Sprawnego Działania przedstawia się za pomocą następującego wzoru:</w:t>
      </w:r>
    </w:p>
    <w:p w14:paraId="1B4E29BA" w14:textId="040B6E00" w:rsidR="00C66B25" w:rsidRPr="00EF7CF9" w:rsidRDefault="00000000" w:rsidP="004E7D8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0A37B0C" w14:textId="77777777" w:rsidR="00C66B25" w:rsidRDefault="00C66B25" w:rsidP="00C66B25">
      <w:pPr>
        <w:pStyle w:val="ProductList-Body"/>
        <w:rPr>
          <w:rFonts w:eastAsiaTheme="minorEastAsia"/>
          <w:szCs w:val="18"/>
          <w:lang w:eastAsia="zh-TW"/>
        </w:rPr>
      </w:pPr>
      <w:r>
        <w:rPr>
          <w:rFonts w:eastAsiaTheme="minorEastAsia"/>
          <w:szCs w:val="18"/>
        </w:rPr>
        <w:t xml:space="preserve">W przypadku niedostępności Usług </w:t>
      </w:r>
      <w:proofErr w:type="spellStart"/>
      <w:r>
        <w:rPr>
          <w:rFonts w:eastAsiaTheme="minorEastAsia"/>
          <w:szCs w:val="18"/>
        </w:rPr>
        <w:t>Azure</w:t>
      </w:r>
      <w:proofErr w:type="spellEnd"/>
      <w:r>
        <w:rPr>
          <w:rFonts w:eastAsiaTheme="minorEastAsia"/>
          <w:szCs w:val="18"/>
        </w:rPr>
        <w:t xml:space="preserve"> </w:t>
      </w:r>
      <w:proofErr w:type="spellStart"/>
      <w:r>
        <w:rPr>
          <w:rFonts w:eastAsiaTheme="minorEastAsia"/>
          <w:szCs w:val="18"/>
        </w:rPr>
        <w:t>DevOps</w:t>
      </w:r>
      <w:proofErr w:type="spellEnd"/>
      <w:r>
        <w:rPr>
          <w:rFonts w:eastAsiaTheme="minorEastAsia"/>
          <w:szCs w:val="18"/>
        </w:rPr>
        <w:t xml:space="preserve"> Services do Użytkowników Usług </w:t>
      </w:r>
      <w:proofErr w:type="spellStart"/>
      <w:r>
        <w:rPr>
          <w:rFonts w:eastAsiaTheme="minorEastAsia"/>
          <w:szCs w:val="18"/>
        </w:rPr>
        <w:t>Azure</w:t>
      </w:r>
      <w:proofErr w:type="spellEnd"/>
      <w:r>
        <w:rPr>
          <w:rFonts w:eastAsiaTheme="minorEastAsia"/>
          <w:szCs w:val="18"/>
        </w:rPr>
        <w:t xml:space="preserve"> </w:t>
      </w:r>
      <w:proofErr w:type="spellStart"/>
      <w:r>
        <w:rPr>
          <w:rFonts w:eastAsiaTheme="minorEastAsia"/>
          <w:szCs w:val="18"/>
        </w:rPr>
        <w:t>DevOps</w:t>
      </w:r>
      <w:proofErr w:type="spellEnd"/>
      <w:r>
        <w:rPr>
          <w:rFonts w:eastAsiaTheme="minorEastAsia"/>
          <w:szCs w:val="18"/>
        </w:rPr>
        <w:t xml:space="preserve"> Services oraz Rozszerzeń na Użytkownika mają zastosowanie stosowne Środki Serwisowe na Używanie Usług. Do używania przez Klienta Usługi </w:t>
      </w:r>
      <w:proofErr w:type="spellStart"/>
      <w:r>
        <w:rPr>
          <w:rFonts w:eastAsiaTheme="minorEastAsia"/>
          <w:szCs w:val="18"/>
        </w:rPr>
        <w:t>Azure</w:t>
      </w:r>
      <w:proofErr w:type="spellEnd"/>
      <w:r>
        <w:rPr>
          <w:rFonts w:eastAsiaTheme="minorEastAsia"/>
          <w:szCs w:val="18"/>
        </w:rPr>
        <w:t xml:space="preserve"> </w:t>
      </w:r>
      <w:proofErr w:type="spellStart"/>
      <w:r>
        <w:rPr>
          <w:rFonts w:eastAsiaTheme="minorEastAsia"/>
          <w:szCs w:val="18"/>
        </w:rPr>
        <w:t>Pipelines</w:t>
      </w:r>
      <w:proofErr w:type="spellEnd"/>
      <w:r>
        <w:rPr>
          <w:rFonts w:eastAsiaTheme="minorEastAsia"/>
          <w:szCs w:val="18"/>
        </w:rPr>
        <w:t xml:space="preserve"> mają zastosowanie następujące Poziomy Usługi i Środki Serwisowe na Używanie Usług. </w:t>
      </w:r>
    </w:p>
    <w:p w14:paraId="2DC335EC" w14:textId="77777777" w:rsidR="00C66B25" w:rsidRPr="00EF7CF9" w:rsidRDefault="00C66B25" w:rsidP="00C66B25">
      <w:pPr>
        <w:pStyle w:val="ProductList-Body"/>
      </w:pPr>
      <w:r>
        <w:rPr>
          <w:b/>
          <w:color w:val="00188F"/>
        </w:rPr>
        <w:t>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14FD5C60" w14:textId="77777777" w:rsidTr="00277097">
        <w:trPr>
          <w:tblHeader/>
        </w:trPr>
        <w:tc>
          <w:tcPr>
            <w:tcW w:w="5400" w:type="dxa"/>
            <w:tcBorders>
              <w:bottom w:val="single" w:sz="4" w:space="0" w:color="auto"/>
            </w:tcBorders>
            <w:shd w:val="clear" w:color="auto" w:fill="0072C6"/>
          </w:tcPr>
          <w:p w14:paraId="34F87BF2" w14:textId="771D5390" w:rsidR="00C66B25"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tcBorders>
              <w:bottom w:val="single" w:sz="4" w:space="0" w:color="auto"/>
            </w:tcBorders>
            <w:shd w:val="clear" w:color="auto" w:fill="0072C6"/>
          </w:tcPr>
          <w:p w14:paraId="3BB7CB41" w14:textId="77777777" w:rsidR="00C66B25" w:rsidRPr="00EF7CF9" w:rsidRDefault="00C66B25" w:rsidP="000F31B4">
            <w:pPr>
              <w:pStyle w:val="ProductList-OfferingBody"/>
              <w:jc w:val="center"/>
              <w:rPr>
                <w:color w:val="FFFFFF" w:themeColor="background1"/>
              </w:rPr>
            </w:pPr>
            <w:r>
              <w:rPr>
                <w:color w:val="FFFFFF" w:themeColor="background1"/>
              </w:rPr>
              <w:t>Środki Serwisowe na Używanie Usług</w:t>
            </w:r>
          </w:p>
        </w:tc>
      </w:tr>
      <w:tr w:rsidR="00C66B25" w:rsidRPr="00B44CF9" w14:paraId="60D34BE2" w14:textId="77777777" w:rsidTr="00277097">
        <w:tc>
          <w:tcPr>
            <w:tcW w:w="5400" w:type="dxa"/>
            <w:tcBorders>
              <w:top w:val="single" w:sz="4" w:space="0" w:color="auto"/>
              <w:left w:val="single" w:sz="4" w:space="0" w:color="auto"/>
              <w:bottom w:val="single" w:sz="4" w:space="0" w:color="auto"/>
              <w:right w:val="single" w:sz="4" w:space="0" w:color="auto"/>
            </w:tcBorders>
          </w:tcPr>
          <w:p w14:paraId="56CD8798" w14:textId="77777777" w:rsidR="00C66B25" w:rsidRPr="00EF7CF9" w:rsidRDefault="00C66B25" w:rsidP="000F31B4">
            <w:pPr>
              <w:pStyle w:val="ProductList-OfferingBody"/>
              <w:jc w:val="center"/>
            </w:pPr>
            <w:r>
              <w:t>&lt; 99,9%</w:t>
            </w:r>
          </w:p>
        </w:tc>
        <w:tc>
          <w:tcPr>
            <w:tcW w:w="5400" w:type="dxa"/>
            <w:tcBorders>
              <w:top w:val="single" w:sz="4" w:space="0" w:color="auto"/>
              <w:left w:val="single" w:sz="4" w:space="0" w:color="auto"/>
              <w:bottom w:val="single" w:sz="4" w:space="0" w:color="auto"/>
              <w:right w:val="single" w:sz="4" w:space="0" w:color="auto"/>
            </w:tcBorders>
          </w:tcPr>
          <w:p w14:paraId="25D7BF51" w14:textId="77777777" w:rsidR="00C66B25" w:rsidRPr="00EF7CF9" w:rsidRDefault="00C66B25" w:rsidP="000F31B4">
            <w:pPr>
              <w:pStyle w:val="ProductList-OfferingBody"/>
              <w:jc w:val="center"/>
            </w:pPr>
            <w:r>
              <w:t>10%</w:t>
            </w:r>
          </w:p>
        </w:tc>
      </w:tr>
      <w:tr w:rsidR="00C66B25" w:rsidRPr="00B44CF9" w14:paraId="647A05C6" w14:textId="77777777" w:rsidTr="00277097">
        <w:tc>
          <w:tcPr>
            <w:tcW w:w="5400" w:type="dxa"/>
            <w:tcBorders>
              <w:top w:val="single" w:sz="4" w:space="0" w:color="auto"/>
              <w:left w:val="single" w:sz="4" w:space="0" w:color="auto"/>
              <w:bottom w:val="single" w:sz="4" w:space="0" w:color="auto"/>
              <w:right w:val="single" w:sz="4" w:space="0" w:color="auto"/>
            </w:tcBorders>
          </w:tcPr>
          <w:p w14:paraId="2513058E" w14:textId="77777777" w:rsidR="00C66B25" w:rsidRPr="00EF7CF9" w:rsidRDefault="00C66B25" w:rsidP="000F31B4">
            <w:pPr>
              <w:pStyle w:val="ProductList-OfferingBody"/>
              <w:jc w:val="center"/>
            </w:pPr>
            <w:r>
              <w:t>&lt; 99%</w:t>
            </w:r>
          </w:p>
        </w:tc>
        <w:tc>
          <w:tcPr>
            <w:tcW w:w="5400" w:type="dxa"/>
            <w:tcBorders>
              <w:top w:val="single" w:sz="4" w:space="0" w:color="auto"/>
              <w:left w:val="single" w:sz="4" w:space="0" w:color="auto"/>
              <w:bottom w:val="single" w:sz="4" w:space="0" w:color="auto"/>
              <w:right w:val="single" w:sz="4" w:space="0" w:color="auto"/>
            </w:tcBorders>
          </w:tcPr>
          <w:p w14:paraId="65C8D401" w14:textId="77777777" w:rsidR="00C66B25" w:rsidRPr="00EF7CF9" w:rsidRDefault="00C66B25" w:rsidP="000F31B4">
            <w:pPr>
              <w:pStyle w:val="ProductList-OfferingBody"/>
              <w:keepNext/>
              <w:jc w:val="center"/>
            </w:pPr>
            <w:r>
              <w:t>25%</w:t>
            </w:r>
          </w:p>
        </w:tc>
      </w:tr>
    </w:tbl>
    <w:p w14:paraId="383C6DD9" w14:textId="3B1BB4D9" w:rsidR="00C66B25" w:rsidRPr="00ED4527" w:rsidRDefault="00EE6E3C" w:rsidP="000225DD">
      <w:pPr>
        <w:pStyle w:val="ProductList-Body"/>
        <w:tabs>
          <w:tab w:val="clear" w:pos="360"/>
          <w:tab w:val="clear" w:pos="720"/>
          <w:tab w:val="clear" w:pos="1080"/>
        </w:tabs>
        <w:spacing w:before="120"/>
        <w:rPr>
          <w:b/>
          <w:bCs/>
          <w:color w:val="00188F"/>
        </w:rPr>
      </w:pPr>
      <w:bookmarkStart w:id="234" w:name="_Toc457821589"/>
      <w:bookmarkStart w:id="235" w:name="_Toc526859726"/>
      <w:bookmarkStart w:id="236" w:name="_Toc524384538"/>
      <w:bookmarkStart w:id="237" w:name="VisualStudioTeamServices_LoadTestService"/>
      <w:r>
        <w:rPr>
          <w:b/>
          <w:bCs/>
          <w:color w:val="00188F"/>
        </w:rPr>
        <w:t xml:space="preserve">Obliczanie Czasu Sprawnego Działania i Poziomy Usługi dla </w:t>
      </w:r>
      <w:proofErr w:type="spellStart"/>
      <w:r>
        <w:rPr>
          <w:b/>
          <w:bCs/>
          <w:color w:val="00188F"/>
        </w:rPr>
        <w:t>Azure</w:t>
      </w:r>
      <w:proofErr w:type="spellEnd"/>
      <w:r>
        <w:rPr>
          <w:b/>
          <w:bCs/>
          <w:color w:val="00188F"/>
        </w:rPr>
        <w:t xml:space="preserve"> </w:t>
      </w:r>
      <w:proofErr w:type="spellStart"/>
      <w:r>
        <w:rPr>
          <w:b/>
          <w:bCs/>
          <w:color w:val="00188F"/>
        </w:rPr>
        <w:t>Pipelines</w:t>
      </w:r>
      <w:proofErr w:type="spellEnd"/>
    </w:p>
    <w:p w14:paraId="014EED69" w14:textId="1AA9F4E4" w:rsidR="00C66B25" w:rsidRPr="00ED4527" w:rsidRDefault="00B41CC1" w:rsidP="00C66B25">
      <w:pPr>
        <w:pStyle w:val="ProductList-Body"/>
        <w:rPr>
          <w:color w:val="000000" w:themeColor="text1"/>
        </w:rPr>
      </w:pPr>
      <w:r>
        <w:t>„</w:t>
      </w:r>
      <w:r w:rsidR="00C66B25">
        <w:rPr>
          <w:b/>
          <w:bCs/>
          <w:color w:val="00188F"/>
        </w:rPr>
        <w:t>Maksymalna Liczba Dostępnych Minut</w:t>
      </w:r>
      <w:r>
        <w:rPr>
          <w:color w:val="000000" w:themeColor="text1"/>
        </w:rPr>
        <w:t>”</w:t>
      </w:r>
      <w:r w:rsidR="00C66B25">
        <w:rPr>
          <w:color w:val="000000" w:themeColor="text1"/>
        </w:rPr>
        <w:t xml:space="preserve"> to łączna liczba minut, przez które płatna Usługa </w:t>
      </w:r>
      <w:proofErr w:type="spellStart"/>
      <w:r w:rsidR="00C66B25">
        <w:rPr>
          <w:color w:val="000000" w:themeColor="text1"/>
        </w:rPr>
        <w:t>Azure</w:t>
      </w:r>
      <w:proofErr w:type="spellEnd"/>
      <w:r w:rsidR="00C66B25">
        <w:rPr>
          <w:color w:val="000000" w:themeColor="text1"/>
        </w:rPr>
        <w:t xml:space="preserve"> </w:t>
      </w:r>
      <w:proofErr w:type="spellStart"/>
      <w:r w:rsidR="00C66B25">
        <w:rPr>
          <w:color w:val="000000" w:themeColor="text1"/>
        </w:rPr>
        <w:t>Pipelines</w:t>
      </w:r>
      <w:proofErr w:type="spellEnd"/>
      <w:r w:rsidR="00C66B25">
        <w:rPr>
          <w:color w:val="000000" w:themeColor="text1"/>
        </w:rPr>
        <w:t xml:space="preserve"> była włączona w ramach danej subskrypcji Microsoft </w:t>
      </w:r>
      <w:proofErr w:type="spellStart"/>
      <w:r w:rsidR="00C66B25">
        <w:rPr>
          <w:color w:val="000000" w:themeColor="text1"/>
        </w:rPr>
        <w:t>Azure</w:t>
      </w:r>
      <w:proofErr w:type="spellEnd"/>
      <w:r w:rsidR="00C66B25">
        <w:rPr>
          <w:color w:val="000000" w:themeColor="text1"/>
        </w:rPr>
        <w:t xml:space="preserve"> we Właściwym Okresie.</w:t>
      </w:r>
    </w:p>
    <w:p w14:paraId="4BF684E0" w14:textId="7F00D31E" w:rsidR="00C66B25" w:rsidRPr="00ED4527" w:rsidRDefault="00C66B25" w:rsidP="00C66B25">
      <w:pPr>
        <w:pStyle w:val="ProductList-Body"/>
        <w:rPr>
          <w:color w:val="000000" w:themeColor="text1"/>
        </w:rPr>
      </w:pPr>
      <w:r>
        <w:rPr>
          <w:color w:val="000000" w:themeColor="text1"/>
        </w:rPr>
        <w:t>„</w:t>
      </w:r>
      <w:r>
        <w:rPr>
          <w:b/>
          <w:bCs/>
          <w:color w:val="00188F"/>
        </w:rPr>
        <w:t>Przestój</w:t>
      </w:r>
      <w:r>
        <w:rPr>
          <w:color w:val="000000" w:themeColor="text1"/>
        </w:rPr>
        <w:t xml:space="preserve">” to łączna zakumulowana liczba minut dla danej subskrypcji Microsoft </w:t>
      </w:r>
      <w:proofErr w:type="spellStart"/>
      <w:r>
        <w:rPr>
          <w:color w:val="000000" w:themeColor="text1"/>
        </w:rPr>
        <w:t>Azure</w:t>
      </w:r>
      <w:proofErr w:type="spellEnd"/>
      <w:r>
        <w:rPr>
          <w:color w:val="000000" w:themeColor="text1"/>
        </w:rPr>
        <w:t xml:space="preserve">, podczas których usługa </w:t>
      </w:r>
      <w:proofErr w:type="spellStart"/>
      <w:r>
        <w:rPr>
          <w:color w:val="000000" w:themeColor="text1"/>
        </w:rPr>
        <w:t>Azure</w:t>
      </w:r>
      <w:proofErr w:type="spellEnd"/>
      <w:r>
        <w:rPr>
          <w:color w:val="000000" w:themeColor="text1"/>
        </w:rPr>
        <w:t xml:space="preserve"> </w:t>
      </w:r>
      <w:proofErr w:type="spellStart"/>
      <w:r>
        <w:rPr>
          <w:color w:val="000000" w:themeColor="text1"/>
        </w:rPr>
        <w:t>Pipelines</w:t>
      </w:r>
      <w:proofErr w:type="spellEnd"/>
      <w:r>
        <w:rPr>
          <w:color w:val="000000" w:themeColor="text1"/>
        </w:rPr>
        <w:t xml:space="preserve"> jest niedostępna. Minuta jest uznawana za minutę niedostępności, jeśli wszystkie ciągłe żądania HTTP przesłane do Usługi </w:t>
      </w:r>
      <w:proofErr w:type="spellStart"/>
      <w:r>
        <w:rPr>
          <w:color w:val="000000" w:themeColor="text1"/>
        </w:rPr>
        <w:t>Azure</w:t>
      </w:r>
      <w:proofErr w:type="spellEnd"/>
      <w:r>
        <w:rPr>
          <w:color w:val="000000" w:themeColor="text1"/>
        </w:rPr>
        <w:t xml:space="preserve"> </w:t>
      </w:r>
      <w:proofErr w:type="spellStart"/>
      <w:r>
        <w:rPr>
          <w:color w:val="000000" w:themeColor="text1"/>
        </w:rPr>
        <w:t>Pipelines</w:t>
      </w:r>
      <w:proofErr w:type="spellEnd"/>
      <w:r>
        <w:rPr>
          <w:color w:val="000000" w:themeColor="text1"/>
        </w:rPr>
        <w:t xml:space="preserve"> w celu wykonania operacji</w:t>
      </w:r>
      <w:r w:rsidR="00527DCD">
        <w:rPr>
          <w:color w:val="000000" w:themeColor="text1"/>
        </w:rPr>
        <w:t> </w:t>
      </w:r>
      <w:r>
        <w:rPr>
          <w:color w:val="000000" w:themeColor="text1"/>
        </w:rPr>
        <w:t>zainicjowanych przez Klienta w ciągu tej minuty zwracają Kod Błędu lub nie zwracają żadnej odpowiedzi.</w:t>
      </w:r>
    </w:p>
    <w:p w14:paraId="4B5453E7" w14:textId="400D6150" w:rsidR="00C66B25" w:rsidRDefault="00B41CC1" w:rsidP="00C66B25">
      <w:pPr>
        <w:pStyle w:val="ProductList-Body"/>
        <w:tabs>
          <w:tab w:val="clear" w:pos="360"/>
          <w:tab w:val="clear" w:pos="720"/>
          <w:tab w:val="clear" w:pos="1080"/>
        </w:tabs>
        <w:rPr>
          <w:color w:val="000000" w:themeColor="text1"/>
        </w:rPr>
      </w:pPr>
      <w:r>
        <w:rPr>
          <w:color w:val="000000" w:themeColor="text1"/>
        </w:rPr>
        <w:t>„</w:t>
      </w:r>
      <w:r w:rsidR="00C66B25">
        <w:rPr>
          <w:b/>
          <w:bCs/>
          <w:color w:val="00188F"/>
        </w:rPr>
        <w:t>Procent Czasu Sprawnego Działania</w:t>
      </w:r>
      <w:r>
        <w:rPr>
          <w:color w:val="000000" w:themeColor="text1"/>
        </w:rPr>
        <w:t>”</w:t>
      </w:r>
      <w:r w:rsidR="00C66B25">
        <w:rPr>
          <w:color w:val="000000" w:themeColor="text1"/>
        </w:rPr>
        <w:t xml:space="preserve"> dla Usługi </w:t>
      </w:r>
      <w:proofErr w:type="spellStart"/>
      <w:r w:rsidR="00C66B25">
        <w:rPr>
          <w:color w:val="000000" w:themeColor="text1"/>
        </w:rPr>
        <w:t>Azure</w:t>
      </w:r>
      <w:proofErr w:type="spellEnd"/>
      <w:r w:rsidR="00C66B25">
        <w:rPr>
          <w:color w:val="000000" w:themeColor="text1"/>
        </w:rPr>
        <w:t xml:space="preserve"> </w:t>
      </w:r>
      <w:proofErr w:type="spellStart"/>
      <w:r w:rsidR="00C66B25">
        <w:rPr>
          <w:color w:val="000000" w:themeColor="text1"/>
        </w:rPr>
        <w:t>Pipelines</w:t>
      </w:r>
      <w:proofErr w:type="spellEnd"/>
      <w:r w:rsidR="00C66B25">
        <w:rPr>
          <w:color w:val="000000" w:themeColor="text1"/>
        </w:rPr>
        <w:t xml:space="preserve"> to Maksymalna Liczba Dostępnych Minut pomniejszona o Przestój podzielona przez Maksymalną Liczbę Dostępnych Minut we Właściwym Okresie dla danej subskrypcji Microsoft </w:t>
      </w:r>
      <w:proofErr w:type="spellStart"/>
      <w:r w:rsidR="00C66B25">
        <w:rPr>
          <w:color w:val="000000" w:themeColor="text1"/>
        </w:rPr>
        <w:t>Azure</w:t>
      </w:r>
      <w:proofErr w:type="spellEnd"/>
      <w:r w:rsidR="00C66B25">
        <w:rPr>
          <w:color w:val="000000" w:themeColor="text1"/>
        </w:rPr>
        <w:t>.</w:t>
      </w:r>
    </w:p>
    <w:p w14:paraId="7D2391A4" w14:textId="55984207" w:rsidR="00C66B25" w:rsidRDefault="00AC48A7" w:rsidP="00C66B25">
      <w:pPr>
        <w:pStyle w:val="ProductList-Body"/>
        <w:tabs>
          <w:tab w:val="clear" w:pos="360"/>
          <w:tab w:val="clear" w:pos="720"/>
          <w:tab w:val="clear" w:pos="1080"/>
        </w:tabs>
        <w:rPr>
          <w:color w:val="000000" w:themeColor="text1"/>
        </w:rPr>
      </w:pPr>
      <w:r>
        <w:rPr>
          <w:color w:val="000000" w:themeColor="text1"/>
        </w:rPr>
        <w:t>Procent Czasu Sprawnego Działania przedstawia się za pomocą następującego wzoru:</w:t>
      </w:r>
    </w:p>
    <w:p w14:paraId="3D9D0A67" w14:textId="4587A355" w:rsidR="00C66B25" w:rsidRPr="00EF7CF9" w:rsidRDefault="00000000" w:rsidP="004E7D8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CA4F1C6" w14:textId="77777777" w:rsidR="00C66B25" w:rsidRPr="00EF7CF9" w:rsidRDefault="00C66B25" w:rsidP="00C66B25">
      <w:pPr>
        <w:pStyle w:val="ProductList-Body"/>
      </w:pPr>
      <w:r>
        <w:rPr>
          <w:b/>
          <w:color w:val="00188F"/>
        </w:rPr>
        <w:t xml:space="preserve">Do używania przez Klienta Usługi </w:t>
      </w:r>
      <w:proofErr w:type="spellStart"/>
      <w:r>
        <w:rPr>
          <w:b/>
          <w:color w:val="00188F"/>
        </w:rPr>
        <w:t>Azure</w:t>
      </w:r>
      <w:proofErr w:type="spellEnd"/>
      <w:r>
        <w:rPr>
          <w:b/>
          <w:color w:val="00188F"/>
        </w:rPr>
        <w:t xml:space="preserve"> </w:t>
      </w:r>
      <w:proofErr w:type="spellStart"/>
      <w:r>
        <w:rPr>
          <w:b/>
          <w:color w:val="00188F"/>
        </w:rPr>
        <w:t>Pipelines</w:t>
      </w:r>
      <w:proofErr w:type="spellEnd"/>
      <w:r>
        <w:rPr>
          <w:b/>
          <w:color w:val="00188F"/>
        </w:rPr>
        <w:t xml:space="preserve"> mają zastosowanie następujące Poziomy Usługi i Środki Serwisowe na Używanie Usług</w:t>
      </w:r>
      <w:r w:rsidRPr="007B038A">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66B25" w:rsidRPr="00B44CF9" w14:paraId="4B86A588" w14:textId="77777777" w:rsidTr="00277097">
        <w:trPr>
          <w:tblHeader/>
        </w:trPr>
        <w:tc>
          <w:tcPr>
            <w:tcW w:w="5400" w:type="dxa"/>
            <w:shd w:val="clear" w:color="auto" w:fill="0072C6"/>
          </w:tcPr>
          <w:p w14:paraId="6EDC2965" w14:textId="4D29EA46" w:rsidR="00C66B25"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F2CFA2F" w14:textId="77777777" w:rsidR="00C66B25" w:rsidRPr="00EF7CF9" w:rsidRDefault="00C66B25" w:rsidP="000F31B4">
            <w:pPr>
              <w:pStyle w:val="ProductList-OfferingBody"/>
              <w:jc w:val="center"/>
              <w:rPr>
                <w:color w:val="FFFFFF" w:themeColor="background1"/>
              </w:rPr>
            </w:pPr>
            <w:r>
              <w:rPr>
                <w:color w:val="FFFFFF" w:themeColor="background1"/>
              </w:rPr>
              <w:t>Środki Serwisowe na Używanie Usług</w:t>
            </w:r>
          </w:p>
        </w:tc>
      </w:tr>
      <w:tr w:rsidR="00C66B25" w:rsidRPr="00B44CF9" w14:paraId="4C6AEF21" w14:textId="77777777" w:rsidTr="00277097">
        <w:tc>
          <w:tcPr>
            <w:tcW w:w="5400" w:type="dxa"/>
          </w:tcPr>
          <w:p w14:paraId="07891EB0" w14:textId="77777777" w:rsidR="00C66B25" w:rsidRPr="00EF7CF9" w:rsidRDefault="00C66B25" w:rsidP="000F31B4">
            <w:pPr>
              <w:pStyle w:val="ProductList-OfferingBody"/>
              <w:jc w:val="center"/>
            </w:pPr>
            <w:r>
              <w:t>&lt; 99,9%</w:t>
            </w:r>
          </w:p>
        </w:tc>
        <w:tc>
          <w:tcPr>
            <w:tcW w:w="5400" w:type="dxa"/>
          </w:tcPr>
          <w:p w14:paraId="326AF5F8" w14:textId="77777777" w:rsidR="00C66B25" w:rsidRPr="00EF7CF9" w:rsidRDefault="00C66B25" w:rsidP="000F31B4">
            <w:pPr>
              <w:pStyle w:val="ProductList-OfferingBody"/>
              <w:jc w:val="center"/>
            </w:pPr>
            <w:r>
              <w:t>10%</w:t>
            </w:r>
          </w:p>
        </w:tc>
      </w:tr>
      <w:tr w:rsidR="00C66B25" w:rsidRPr="00B44CF9" w14:paraId="755CE143" w14:textId="77777777" w:rsidTr="00277097">
        <w:tc>
          <w:tcPr>
            <w:tcW w:w="5400" w:type="dxa"/>
          </w:tcPr>
          <w:p w14:paraId="3D649C21" w14:textId="77777777" w:rsidR="00C66B25" w:rsidRPr="00EF7CF9" w:rsidRDefault="00C66B25" w:rsidP="000F31B4">
            <w:pPr>
              <w:pStyle w:val="ProductList-OfferingBody"/>
              <w:jc w:val="center"/>
            </w:pPr>
            <w:r>
              <w:t>&lt; 99%</w:t>
            </w:r>
          </w:p>
        </w:tc>
        <w:tc>
          <w:tcPr>
            <w:tcW w:w="5400" w:type="dxa"/>
          </w:tcPr>
          <w:p w14:paraId="57C68158" w14:textId="77777777" w:rsidR="00C66B25" w:rsidRPr="00EF7CF9" w:rsidRDefault="00C66B25" w:rsidP="000F31B4">
            <w:pPr>
              <w:pStyle w:val="ProductList-OfferingBody"/>
              <w:jc w:val="center"/>
            </w:pPr>
            <w:r>
              <w:t>25%</w:t>
            </w:r>
          </w:p>
        </w:tc>
      </w:tr>
    </w:tbl>
    <w:p w14:paraId="073AAE72" w14:textId="41FC5FF6" w:rsidR="00C66B25" w:rsidRPr="00EF7CF9" w:rsidRDefault="00C71F89" w:rsidP="00C66B2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8C1E041" w14:textId="1FD25458" w:rsidR="00DD29AD" w:rsidRPr="00EA5FB1" w:rsidRDefault="000E3C0B" w:rsidP="00DD29AD">
      <w:pPr>
        <w:pStyle w:val="ProductList-Offering2Heading"/>
        <w:keepNext/>
        <w:tabs>
          <w:tab w:val="clear" w:pos="360"/>
          <w:tab w:val="clear" w:pos="720"/>
          <w:tab w:val="clear" w:pos="1080"/>
        </w:tabs>
        <w:outlineLvl w:val="2"/>
        <w:rPr>
          <w:lang w:val="fr-FR"/>
        </w:rPr>
      </w:pPr>
      <w:bookmarkStart w:id="238" w:name="_Toc239175003"/>
      <w:bookmarkEnd w:id="234"/>
      <w:bookmarkEnd w:id="235"/>
      <w:bookmarkEnd w:id="236"/>
      <w:bookmarkEnd w:id="237"/>
      <w:r>
        <w:t xml:space="preserve">Microsoft </w:t>
      </w:r>
      <w:proofErr w:type="spellStart"/>
      <w:r>
        <w:t>Dev</w:t>
      </w:r>
      <w:proofErr w:type="spellEnd"/>
      <w:r>
        <w:t xml:space="preserve"> Box</w:t>
      </w:r>
      <w:bookmarkEnd w:id="238"/>
    </w:p>
    <w:p w14:paraId="70C5163F" w14:textId="77777777" w:rsidR="00DD29AD" w:rsidRDefault="00DD29AD" w:rsidP="00DD29AD">
      <w:pPr>
        <w:pStyle w:val="ProductList-Body"/>
      </w:pPr>
      <w:r>
        <w:rPr>
          <w:b/>
          <w:color w:val="00188F"/>
        </w:rPr>
        <w:t>Dodatkowe definicje</w:t>
      </w:r>
      <w:r w:rsidRPr="0034704E">
        <w:rPr>
          <w:b/>
          <w:color w:val="00188F"/>
        </w:rPr>
        <w:t>:</w:t>
      </w:r>
    </w:p>
    <w:p w14:paraId="26431222" w14:textId="77777777" w:rsidR="009D7DA3" w:rsidRDefault="009D7DA3" w:rsidP="009D7DA3">
      <w:pPr>
        <w:pStyle w:val="ProductList-Body"/>
      </w:pPr>
      <w:r w:rsidRPr="00B41CC1">
        <w:t>„</w:t>
      </w:r>
      <w:proofErr w:type="spellStart"/>
      <w:r>
        <w:rPr>
          <w:b/>
          <w:bCs/>
          <w:color w:val="00188F"/>
        </w:rPr>
        <w:t>Dev</w:t>
      </w:r>
      <w:proofErr w:type="spellEnd"/>
      <w:r>
        <w:rPr>
          <w:b/>
          <w:bCs/>
          <w:color w:val="00188F"/>
        </w:rPr>
        <w:t xml:space="preserve"> Box</w:t>
      </w:r>
      <w:r w:rsidRPr="00B41CC1">
        <w:t>”</w:t>
      </w:r>
      <w:r w:rsidRPr="00272B37">
        <w:t xml:space="preserve"> oznacza </w:t>
      </w:r>
      <w:r>
        <w:t xml:space="preserve">określone wystąpienie Microsoft </w:t>
      </w:r>
      <w:proofErr w:type="spellStart"/>
      <w:r>
        <w:t>Dev</w:t>
      </w:r>
      <w:proofErr w:type="spellEnd"/>
      <w:r>
        <w:t xml:space="preserve"> Box.</w:t>
      </w:r>
    </w:p>
    <w:p w14:paraId="5E7314A0" w14:textId="4B6A8847" w:rsidR="00AB71EC" w:rsidRDefault="00AB71EC" w:rsidP="00AB71EC">
      <w:pPr>
        <w:pStyle w:val="ProductList-Body"/>
      </w:pPr>
      <w:r w:rsidRPr="00B41CC1">
        <w:t>„</w:t>
      </w:r>
      <w:r>
        <w:rPr>
          <w:b/>
          <w:bCs/>
          <w:color w:val="00188F"/>
        </w:rPr>
        <w:t>Minuty we Właściwym Okresie</w:t>
      </w:r>
      <w:r w:rsidRPr="00B41CC1">
        <w:t xml:space="preserve">” </w:t>
      </w:r>
      <w:r w:rsidRPr="00272B37">
        <w:t xml:space="preserve">oznaczają </w:t>
      </w:r>
      <w:r>
        <w:t>łączną liczbę minut w danym Właściwym Okresie.</w:t>
      </w:r>
    </w:p>
    <w:p w14:paraId="7DB28583" w14:textId="77777777" w:rsidR="005923D3" w:rsidRDefault="005923D3" w:rsidP="005923D3">
      <w:pPr>
        <w:pStyle w:val="ProductList-Body"/>
      </w:pPr>
      <w:r w:rsidRPr="00B41CC1">
        <w:t>„</w:t>
      </w:r>
      <w:r>
        <w:rPr>
          <w:b/>
          <w:bCs/>
          <w:color w:val="00188F"/>
        </w:rPr>
        <w:t>Przestój</w:t>
      </w:r>
      <w:r w:rsidRPr="00B41CC1">
        <w:t>”</w:t>
      </w:r>
      <w:r>
        <w:t xml:space="preserve"> jest mierzony w minutach w okresie, w którym wszystkie próby połączenia danego użytkownika z określonym </w:t>
      </w:r>
      <w:proofErr w:type="spellStart"/>
      <w:r>
        <w:t>Dev</w:t>
      </w:r>
      <w:proofErr w:type="spellEnd"/>
      <w:r>
        <w:t xml:space="preserve"> </w:t>
      </w:r>
      <w:proofErr w:type="spellStart"/>
      <w:r>
        <w:t>Boxem</w:t>
      </w:r>
      <w:proofErr w:type="spellEnd"/>
      <w:r>
        <w:t xml:space="preserve"> zakończyły się niepowodzeniem, z wyłączeniem następujących rodzajów awarii:</w:t>
      </w:r>
    </w:p>
    <w:p w14:paraId="44B8E501" w14:textId="77777777" w:rsidR="005923D3" w:rsidRDefault="005923D3" w:rsidP="00DB4449">
      <w:pPr>
        <w:pStyle w:val="ProductList-Body"/>
        <w:numPr>
          <w:ilvl w:val="0"/>
          <w:numId w:val="24"/>
        </w:numPr>
      </w:pPr>
      <w:r>
        <w:t xml:space="preserve">Awarii wynikających ze stanem </w:t>
      </w:r>
      <w:proofErr w:type="spellStart"/>
      <w:r>
        <w:t>Dev</w:t>
      </w:r>
      <w:proofErr w:type="spellEnd"/>
      <w:r>
        <w:t xml:space="preserve"> </w:t>
      </w:r>
      <w:proofErr w:type="spellStart"/>
      <w:r>
        <w:t>Boxa</w:t>
      </w:r>
      <w:proofErr w:type="spellEnd"/>
      <w:r>
        <w:t xml:space="preserve">, który uniemożliwia jego używanie i nie dotyczy związanej z </w:t>
      </w:r>
      <w:proofErr w:type="spellStart"/>
      <w:r>
        <w:t>Dev</w:t>
      </w:r>
      <w:proofErr w:type="spellEnd"/>
      <w:r>
        <w:t xml:space="preserve"> </w:t>
      </w:r>
      <w:proofErr w:type="spellStart"/>
      <w:r>
        <w:t>Boxem</w:t>
      </w:r>
      <w:proofErr w:type="spellEnd"/>
      <w:r>
        <w:t xml:space="preserve"> infrastruktury platformy </w:t>
      </w:r>
      <w:proofErr w:type="spellStart"/>
      <w:r>
        <w:t>Azure</w:t>
      </w:r>
      <w:proofErr w:type="spellEnd"/>
      <w:r>
        <w:t xml:space="preserve"> (np. zniszczony lub uszkodzony system operacyjny, konfiguracja systemu operacyjnego lub niewłaściwa konfiguracja); oraz</w:t>
      </w:r>
    </w:p>
    <w:p w14:paraId="04363F4B" w14:textId="77777777" w:rsidR="005923D3" w:rsidRDefault="005923D3" w:rsidP="00DB4449">
      <w:pPr>
        <w:pStyle w:val="ProductList-Body"/>
        <w:numPr>
          <w:ilvl w:val="0"/>
          <w:numId w:val="24"/>
        </w:numPr>
      </w:pPr>
      <w:r>
        <w:t xml:space="preserve">Awarii wynikających działania z aplikacji lub innego oprogramowania zainstalowanego na urządzeniu </w:t>
      </w:r>
      <w:proofErr w:type="spellStart"/>
      <w:r>
        <w:t>Dev</w:t>
      </w:r>
      <w:proofErr w:type="spellEnd"/>
      <w:r>
        <w:t xml:space="preserve"> Box.</w:t>
      </w:r>
    </w:p>
    <w:p w14:paraId="30377E18" w14:textId="473F2762" w:rsidR="005273EB" w:rsidRDefault="005273EB" w:rsidP="005273EB">
      <w:pPr>
        <w:pStyle w:val="ProductList-Body"/>
      </w:pPr>
      <w:r w:rsidRPr="00B41CC1">
        <w:t>„</w:t>
      </w:r>
      <w:r>
        <w:rPr>
          <w:b/>
          <w:bCs/>
          <w:color w:val="00188F"/>
        </w:rPr>
        <w:t xml:space="preserve">Procent Czasu Sprawnego Działania na </w:t>
      </w:r>
      <w:proofErr w:type="spellStart"/>
      <w:r>
        <w:rPr>
          <w:b/>
          <w:bCs/>
          <w:color w:val="00188F"/>
        </w:rPr>
        <w:t>Dev</w:t>
      </w:r>
      <w:proofErr w:type="spellEnd"/>
      <w:r>
        <w:rPr>
          <w:b/>
          <w:bCs/>
          <w:color w:val="00188F"/>
        </w:rPr>
        <w:t xml:space="preserve"> Box</w:t>
      </w:r>
      <w:r>
        <w:t xml:space="preserve">” oblicza się poprzez odjęcie od 100% odsetka Minut we Właściwym Okresie, w którym </w:t>
      </w:r>
      <w:proofErr w:type="spellStart"/>
      <w:r>
        <w:t>Dev</w:t>
      </w:r>
      <w:proofErr w:type="spellEnd"/>
      <w:r>
        <w:t xml:space="preserve"> Box doświadczało Przestoju.</w:t>
      </w:r>
    </w:p>
    <w:p w14:paraId="57443AFA" w14:textId="5CD6A634" w:rsidR="005149F7" w:rsidRDefault="005149F7" w:rsidP="005149F7">
      <w:pPr>
        <w:pStyle w:val="ProductList-Body"/>
      </w:pPr>
      <w:r>
        <w:t xml:space="preserve">Procent Czasu Sprawnego Działania na </w:t>
      </w:r>
      <w:proofErr w:type="spellStart"/>
      <w:r>
        <w:t>Dev</w:t>
      </w:r>
      <w:proofErr w:type="spellEnd"/>
      <w:r>
        <w:t xml:space="preserve"> Box jest obliczany przy użyciu następującego wzoru:</w:t>
      </w:r>
    </w:p>
    <w:p w14:paraId="7B069CB1" w14:textId="00A97493" w:rsidR="00C91F92" w:rsidRPr="002B7C82" w:rsidRDefault="00272B37" w:rsidP="004E7D83">
      <w:pPr>
        <w:spacing w:before="120" w:after="120" w:line="240" w:lineRule="auto"/>
        <w:jc w:val="both"/>
        <w:rPr>
          <w:sz w:val="18"/>
          <w:szCs w:val="18"/>
        </w:rPr>
      </w:pPr>
      <m:oMathPara>
        <m:oMath>
          <m:r>
            <m:rPr>
              <m:nor/>
            </m:rPr>
            <w:rPr>
              <w:rFonts w:ascii="Cambria Math" w:hAnsi="Cambria Math"/>
              <w:i/>
              <w:sz w:val="18"/>
              <w:szCs w:val="18"/>
            </w:rPr>
            <m:t>Per-</m:t>
          </m:r>
          <w:proofErr w:type="spellStart"/>
          <m:r>
            <m:rPr>
              <m:nor/>
            </m:rPr>
            <w:rPr>
              <w:rFonts w:ascii="Cambria Math" w:hAnsi="Cambria Math"/>
              <w:i/>
              <w:sz w:val="18"/>
              <w:szCs w:val="18"/>
            </w:rPr>
            <m:t>Dev</m:t>
          </m:r>
          <w:proofErr w:type="spellEnd"/>
          <m:r>
            <m:rPr>
              <m:nor/>
            </m:rPr>
            <w:rPr>
              <w:rFonts w:ascii="Cambria Math" w:hAnsi="Cambria Math"/>
              <w:i/>
              <w:sz w:val="18"/>
              <w:szCs w:val="18"/>
            </w:rPr>
            <m:t xml:space="preserve"> Box % Czasu Sprawnego Działania = </m:t>
          </m:r>
          <m:f>
            <m:fPr>
              <m:ctrlPr>
                <w:rPr>
                  <w:rFonts w:ascii="Cambria Math" w:hAnsi="Cambria Math"/>
                  <w:i/>
                  <w:sz w:val="18"/>
                  <w:szCs w:val="18"/>
                </w:rPr>
              </m:ctrlPr>
            </m:fPr>
            <m:num>
              <m:d>
                <m:dPr>
                  <m:ctrlPr>
                    <w:rPr>
                      <w:rFonts w:ascii="Cambria Math" w:hAnsi="Cambria Math"/>
                      <w:i/>
                      <w:sz w:val="18"/>
                      <w:szCs w:val="18"/>
                    </w:rPr>
                  </m:ctrlPr>
                </m:dPr>
                <m:e>
                  <m:r>
                    <m:rPr>
                      <m:nor/>
                    </m:rPr>
                    <w:rPr>
                      <w:rFonts w:ascii="Cambria Math" w:hAnsi="Cambria Math"/>
                      <w:i/>
                      <w:sz w:val="18"/>
                      <w:szCs w:val="18"/>
                    </w:rPr>
                    <m:t>Minuty we Właściwym Okresie - Przestój</m:t>
                  </m:r>
                </m:e>
              </m:d>
            </m:num>
            <m:den>
              <m:r>
                <m:rPr>
                  <m:nor/>
                </m:rPr>
                <w:rPr>
                  <w:rFonts w:ascii="Cambria Math" w:hAnsi="Cambria Math"/>
                  <w:i/>
                  <w:sz w:val="18"/>
                  <w:szCs w:val="18"/>
                </w:rPr>
                <m:t>Minuty we Właściwym Okresie</m:t>
              </m:r>
            </m:den>
          </m:f>
          <m:r>
            <w:rPr>
              <w:rFonts w:ascii="Cambria Math" w:hAnsi="Cambria Math"/>
              <w:sz w:val="18"/>
              <w:szCs w:val="18"/>
            </w:rPr>
            <m:t> x 100</m:t>
          </m:r>
        </m:oMath>
      </m:oMathPara>
    </w:p>
    <w:p w14:paraId="1EC2860B" w14:textId="1C0DB396" w:rsidR="00EE4264" w:rsidRDefault="00EE4264" w:rsidP="00EE4264">
      <w:pPr>
        <w:pStyle w:val="ProductList-Body"/>
        <w:tabs>
          <w:tab w:val="clear" w:pos="360"/>
        </w:tabs>
      </w:pPr>
      <w:r>
        <w:rPr>
          <w:b/>
          <w:bCs/>
          <w:color w:val="00188F"/>
        </w:rPr>
        <w:t xml:space="preserve">Środki Serwisowe na Używanie Usług na </w:t>
      </w:r>
      <w:proofErr w:type="spellStart"/>
      <w:r>
        <w:rPr>
          <w:b/>
          <w:bCs/>
          <w:color w:val="00188F"/>
        </w:rPr>
        <w:t>Dev</w:t>
      </w:r>
      <w:proofErr w:type="spellEnd"/>
      <w:r>
        <w:rPr>
          <w:b/>
          <w:bCs/>
          <w:color w:val="00188F"/>
        </w:rPr>
        <w:t xml:space="preserve"> Box</w:t>
      </w:r>
      <w:r w:rsidRPr="0034704E">
        <w:rPr>
          <w:b/>
          <w:color w:val="00188F"/>
        </w:rPr>
        <w:t>:</w:t>
      </w:r>
      <w:r>
        <w:t xml:space="preserve"> Do używania przez Klienta Microsoft </w:t>
      </w:r>
      <w:proofErr w:type="spellStart"/>
      <w:r>
        <w:t>Dev</w:t>
      </w:r>
      <w:proofErr w:type="spellEnd"/>
      <w:r>
        <w:t xml:space="preserve"> Box mają zastosowanie następujące Poziomy </w:t>
      </w:r>
      <w:r w:rsidR="00C84B0F">
        <w:br/>
      </w:r>
      <w:r>
        <w:t>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F7A47" w14:paraId="7A1D67AE" w14:textId="77777777" w:rsidTr="00396BDB">
        <w:trPr>
          <w:trHeight w:val="270"/>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956CCDA" w14:textId="26319CE5" w:rsidR="00CF7A47" w:rsidRDefault="00CF7A47" w:rsidP="00396BDB">
            <w:pPr>
              <w:pStyle w:val="ProductList-OfferingBody"/>
              <w:jc w:val="center"/>
              <w:rPr>
                <w:color w:val="FFFFFF" w:themeColor="background1"/>
              </w:rPr>
            </w:pPr>
            <w:r>
              <w:rPr>
                <w:color w:val="FFFFFF" w:themeColor="background1"/>
              </w:rPr>
              <w:t xml:space="preserve">Procent Czasu Sprawnego Działania na </w:t>
            </w:r>
            <w:proofErr w:type="spellStart"/>
            <w:r>
              <w:rPr>
                <w:color w:val="FFFFFF" w:themeColor="background1"/>
              </w:rPr>
              <w:t>Dev</w:t>
            </w:r>
            <w:proofErr w:type="spellEnd"/>
            <w:r>
              <w:rPr>
                <w:color w:val="FFFFFF" w:themeColor="background1"/>
              </w:rPr>
              <w:t xml:space="preserve"> Box</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1FDA130" w14:textId="77777777" w:rsidR="00CF7A47" w:rsidRDefault="00CF7A47" w:rsidP="00396BDB">
            <w:pPr>
              <w:pStyle w:val="ProductList-OfferingBody"/>
              <w:jc w:val="center"/>
              <w:rPr>
                <w:color w:val="FFFFFF" w:themeColor="background1"/>
              </w:rPr>
            </w:pPr>
            <w:r>
              <w:rPr>
                <w:color w:val="FFFFFF" w:themeColor="background1"/>
              </w:rPr>
              <w:t xml:space="preserve">Środki Serwisowe na Używanie Usług na </w:t>
            </w:r>
            <w:proofErr w:type="spellStart"/>
            <w:r>
              <w:rPr>
                <w:color w:val="FFFFFF" w:themeColor="background1"/>
              </w:rPr>
              <w:t>Dev</w:t>
            </w:r>
            <w:proofErr w:type="spellEnd"/>
            <w:r>
              <w:rPr>
                <w:color w:val="FFFFFF" w:themeColor="background1"/>
              </w:rPr>
              <w:t xml:space="preserve"> Box</w:t>
            </w:r>
          </w:p>
        </w:tc>
      </w:tr>
      <w:tr w:rsidR="00CF7A47" w14:paraId="5A838D14" w14:textId="77777777" w:rsidTr="00396BDB">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1F75B9" w14:textId="77777777" w:rsidR="00CF7A47" w:rsidRDefault="00CF7A47" w:rsidP="00396BDB">
            <w:pPr>
              <w:pStyle w:val="ProductList-OfferingBody"/>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F42030" w14:textId="77777777" w:rsidR="00CF7A47" w:rsidRDefault="00CF7A47" w:rsidP="00396BDB">
            <w:pPr>
              <w:pStyle w:val="ProductList-OfferingBody"/>
              <w:jc w:val="center"/>
            </w:pPr>
            <w:r>
              <w:t>10%</w:t>
            </w:r>
          </w:p>
        </w:tc>
      </w:tr>
      <w:tr w:rsidR="00CF7A47" w14:paraId="46F1CA46" w14:textId="77777777" w:rsidTr="00396BDB">
        <w:trPr>
          <w:trHeight w:val="263"/>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C82896" w14:textId="77777777" w:rsidR="00CF7A47" w:rsidRDefault="00CF7A47" w:rsidP="00396BDB">
            <w:pPr>
              <w:pStyle w:val="ProductList-OfferingBody"/>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C9C0AF" w14:textId="77777777" w:rsidR="00CF7A47" w:rsidRDefault="00CF7A47" w:rsidP="00396BDB">
            <w:pPr>
              <w:pStyle w:val="ProductList-OfferingBody"/>
              <w:keepNext/>
              <w:jc w:val="center"/>
            </w:pPr>
            <w:r>
              <w:t>25%</w:t>
            </w:r>
          </w:p>
        </w:tc>
      </w:tr>
      <w:tr w:rsidR="00CF7A47" w14:paraId="4C10F3EF" w14:textId="77777777" w:rsidTr="00396BDB">
        <w:trPr>
          <w:trHeight w:val="27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E9AAF5" w14:textId="77777777" w:rsidR="00CF7A47" w:rsidRDefault="00CF7A47" w:rsidP="00396BDB">
            <w:pPr>
              <w:pStyle w:val="ProductList-OfferingBody"/>
              <w:jc w:val="center"/>
            </w:pPr>
            <w:r>
              <w:t>&lt; 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505670" w14:textId="77777777" w:rsidR="00CF7A47" w:rsidRDefault="00CF7A47" w:rsidP="00396BDB">
            <w:pPr>
              <w:pStyle w:val="ProductList-OfferingBody"/>
              <w:keepNext/>
              <w:jc w:val="center"/>
            </w:pPr>
            <w:r>
              <w:t>100%</w:t>
            </w:r>
          </w:p>
        </w:tc>
      </w:tr>
    </w:tbl>
    <w:p w14:paraId="7CCD7C5E" w14:textId="327E32A4" w:rsidR="005273EB" w:rsidRPr="00CF7A47" w:rsidRDefault="00C71F89" w:rsidP="00CF7A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DF4D031" w14:textId="7169B4F8" w:rsidR="005C061C" w:rsidRPr="005C061C" w:rsidRDefault="005C061C" w:rsidP="005C061C">
      <w:pPr>
        <w:pStyle w:val="ProductList-Offering2Heading"/>
        <w:keepNext/>
        <w:tabs>
          <w:tab w:val="clear" w:pos="360"/>
          <w:tab w:val="clear" w:pos="720"/>
          <w:tab w:val="clear" w:pos="1080"/>
        </w:tabs>
        <w:outlineLvl w:val="2"/>
        <w:rPr>
          <w:lang w:val="fr-FR"/>
        </w:rPr>
      </w:pPr>
      <w:bookmarkStart w:id="239" w:name="_Toc239175004"/>
      <w:proofErr w:type="spellStart"/>
      <w:r>
        <w:t>Azure</w:t>
      </w:r>
      <w:proofErr w:type="spellEnd"/>
      <w:r>
        <w:t xml:space="preserve"> Digital </w:t>
      </w:r>
      <w:proofErr w:type="spellStart"/>
      <w:r>
        <w:t>Twins</w:t>
      </w:r>
      <w:bookmarkEnd w:id="239"/>
      <w:proofErr w:type="spellEnd"/>
    </w:p>
    <w:p w14:paraId="13E3D280" w14:textId="77777777" w:rsidR="005C061C" w:rsidRPr="005C061C" w:rsidRDefault="005C061C" w:rsidP="005C061C">
      <w:pPr>
        <w:pStyle w:val="ProductList-Body"/>
        <w:rPr>
          <w:b/>
          <w:bCs/>
          <w:color w:val="00188F"/>
        </w:rPr>
      </w:pPr>
      <w:r>
        <w:rPr>
          <w:b/>
          <w:bCs/>
          <w:color w:val="00188F"/>
        </w:rPr>
        <w:t>Dodatkowe definicje</w:t>
      </w:r>
    </w:p>
    <w:p w14:paraId="260F4527" w14:textId="77777777" w:rsidR="005C061C" w:rsidRDefault="005C061C" w:rsidP="005C061C">
      <w:pPr>
        <w:pStyle w:val="ProductList-Body"/>
      </w:pPr>
      <w:r>
        <w:t>„</w:t>
      </w:r>
      <w:r>
        <w:rPr>
          <w:b/>
          <w:bCs/>
          <w:color w:val="00188F"/>
        </w:rPr>
        <w:t>Wiadomość</w:t>
      </w:r>
      <w:r>
        <w:t xml:space="preserve">” to dowolne informacje o zdarzeniu, które przy użyciu wdrożonego wystąpienia usługi </w:t>
      </w:r>
      <w:proofErr w:type="spellStart"/>
      <w:r>
        <w:t>Azure</w:t>
      </w:r>
      <w:proofErr w:type="spellEnd"/>
      <w:r>
        <w:t xml:space="preserve"> Digital </w:t>
      </w:r>
      <w:proofErr w:type="spellStart"/>
      <w:r>
        <w:t>Twins</w:t>
      </w:r>
      <w:proofErr w:type="spellEnd"/>
      <w:r>
        <w:t xml:space="preserve"> zostały wysłane do usługi końcowej, takiej jak Event Hub, Event </w:t>
      </w:r>
      <w:proofErr w:type="spellStart"/>
      <w:r>
        <w:t>Grid</w:t>
      </w:r>
      <w:proofErr w:type="spellEnd"/>
      <w:r>
        <w:t xml:space="preserve"> i Service Bus.</w:t>
      </w:r>
    </w:p>
    <w:p w14:paraId="5926A16D" w14:textId="6244CC1B" w:rsidR="005C061C" w:rsidRDefault="005C061C" w:rsidP="00C84B0F">
      <w:pPr>
        <w:pStyle w:val="ProductList-Body"/>
      </w:pPr>
      <w:r>
        <w:t>„</w:t>
      </w:r>
      <w:r>
        <w:rPr>
          <w:b/>
          <w:bCs/>
          <w:color w:val="00188F"/>
        </w:rPr>
        <w:t>Operacje API</w:t>
      </w:r>
      <w:r>
        <w:t>” to odczytywanie, zapisywanie, aktualizowanie, usuwanie oraz inne czynności wykonywane na modelach i replikach cyfrowych, w</w:t>
      </w:r>
      <w:r w:rsidR="00C84B0F">
        <w:t> </w:t>
      </w:r>
      <w:r>
        <w:t>tym zapytania.</w:t>
      </w:r>
    </w:p>
    <w:p w14:paraId="6CC377C8" w14:textId="585CC3EC" w:rsidR="005C061C" w:rsidRPr="005C061C" w:rsidRDefault="00EE6E3C" w:rsidP="00A57C32">
      <w:pPr>
        <w:pStyle w:val="ProductList-Body"/>
        <w:rPr>
          <w:b/>
          <w:bCs/>
          <w:color w:val="00188F"/>
        </w:rPr>
      </w:pPr>
      <w:r>
        <w:rPr>
          <w:b/>
          <w:bCs/>
          <w:color w:val="00188F"/>
        </w:rPr>
        <w:t>Obliczanie Czasu Sprawnego Działania i Poziomy Usługi</w:t>
      </w:r>
    </w:p>
    <w:p w14:paraId="21D71404" w14:textId="79D5208E" w:rsidR="005C061C" w:rsidRDefault="005C061C" w:rsidP="005C061C">
      <w:pPr>
        <w:pStyle w:val="ProductList-Body"/>
      </w:pPr>
      <w:r>
        <w:t>„</w:t>
      </w:r>
      <w:r>
        <w:rPr>
          <w:b/>
          <w:bCs/>
          <w:color w:val="00188F"/>
        </w:rPr>
        <w:t>Minuty Wdrożenia</w:t>
      </w:r>
      <w:r>
        <w:t xml:space="preserve">” to łączna liczba minut, przez które dane wystąpienie </w:t>
      </w:r>
      <w:proofErr w:type="spellStart"/>
      <w:r>
        <w:t>Azure</w:t>
      </w:r>
      <w:proofErr w:type="spellEnd"/>
      <w:r>
        <w:t xml:space="preserve"> Digital </w:t>
      </w:r>
      <w:proofErr w:type="spellStart"/>
      <w:r>
        <w:t>Twins</w:t>
      </w:r>
      <w:proofErr w:type="spellEnd"/>
      <w:r>
        <w:t xml:space="preserve"> zostało wdrożone na platformie </w:t>
      </w:r>
      <w:proofErr w:type="spellStart"/>
      <w:r>
        <w:t>Azure</w:t>
      </w:r>
      <w:proofErr w:type="spellEnd"/>
      <w:r>
        <w:t xml:space="preserve"> we Właściwym Okresie.</w:t>
      </w:r>
    </w:p>
    <w:p w14:paraId="3359A4D2" w14:textId="004ED00A" w:rsidR="005C061C" w:rsidRDefault="005C061C" w:rsidP="005C061C">
      <w:pPr>
        <w:pStyle w:val="ProductList-Body"/>
      </w:pPr>
      <w:r>
        <w:t>„</w:t>
      </w:r>
      <w:r>
        <w:rPr>
          <w:b/>
          <w:bCs/>
          <w:color w:val="00188F"/>
        </w:rPr>
        <w:t>Maksymalna Liczba Dostępnych Minut</w:t>
      </w:r>
      <w:r>
        <w:t xml:space="preserve">” to suma wszystkich Minut Wdrożenia we wszystkich wystąpieniach </w:t>
      </w:r>
      <w:proofErr w:type="spellStart"/>
      <w:r>
        <w:t>Azure</w:t>
      </w:r>
      <w:proofErr w:type="spellEnd"/>
      <w:r>
        <w:t xml:space="preserve"> Digital </w:t>
      </w:r>
      <w:proofErr w:type="spellStart"/>
      <w:r>
        <w:t>Twins</w:t>
      </w:r>
      <w:proofErr w:type="spellEnd"/>
      <w:r>
        <w:t xml:space="preserve"> w ramach danej subskrypcji </w:t>
      </w:r>
      <w:proofErr w:type="spellStart"/>
      <w:r>
        <w:t>Azure</w:t>
      </w:r>
      <w:proofErr w:type="spellEnd"/>
      <w:r>
        <w:t xml:space="preserve"> we Właściwym Okresie.</w:t>
      </w:r>
    </w:p>
    <w:p w14:paraId="65F63DE3" w14:textId="1CB2A344" w:rsidR="005C061C" w:rsidRDefault="005C061C" w:rsidP="00C84B0F">
      <w:pPr>
        <w:pStyle w:val="ProductList-Body"/>
      </w:pPr>
      <w:r>
        <w:t>„</w:t>
      </w:r>
      <w:r>
        <w:rPr>
          <w:b/>
          <w:bCs/>
          <w:color w:val="00188F"/>
        </w:rPr>
        <w:t>Przestój</w:t>
      </w:r>
      <w:r>
        <w:t xml:space="preserve">” to łączna zakumulowana liczba Minut Wdrożenia dla wszystkich wystąpień usługi </w:t>
      </w:r>
      <w:proofErr w:type="spellStart"/>
      <w:r>
        <w:t>Azure</w:t>
      </w:r>
      <w:proofErr w:type="spellEnd"/>
      <w:r>
        <w:t xml:space="preserve"> Digital </w:t>
      </w:r>
      <w:proofErr w:type="spellStart"/>
      <w:r>
        <w:t>Twins</w:t>
      </w:r>
      <w:proofErr w:type="spellEnd"/>
      <w:r>
        <w:t xml:space="preserve"> wdrożonych w ramach danej subskrypcji </w:t>
      </w:r>
      <w:proofErr w:type="spellStart"/>
      <w:r>
        <w:t>Azure</w:t>
      </w:r>
      <w:proofErr w:type="spellEnd"/>
      <w:r>
        <w:t xml:space="preserve">, podczas których dane wystąpienie usługi </w:t>
      </w:r>
      <w:proofErr w:type="spellStart"/>
      <w:r>
        <w:t>Azure</w:t>
      </w:r>
      <w:proofErr w:type="spellEnd"/>
      <w:r>
        <w:t xml:space="preserve"> Digital </w:t>
      </w:r>
      <w:proofErr w:type="spellStart"/>
      <w:r>
        <w:t>Twins</w:t>
      </w:r>
      <w:proofErr w:type="spellEnd"/>
      <w:r>
        <w:t xml:space="preserve"> jest niedostępne. Minuta jest uznawana za minutę niedostępności dla danego wystąpienia usługi </w:t>
      </w:r>
      <w:proofErr w:type="spellStart"/>
      <w:r>
        <w:t>Azure</w:t>
      </w:r>
      <w:proofErr w:type="spellEnd"/>
      <w:r>
        <w:t xml:space="preserve"> Digital </w:t>
      </w:r>
      <w:proofErr w:type="spellStart"/>
      <w:r>
        <w:t>Twins</w:t>
      </w:r>
      <w:proofErr w:type="spellEnd"/>
      <w:r>
        <w:t>, jeśli wszystkie następujące po sobie próby wysłania Wiadomości lub wykonania Operacji API w</w:t>
      </w:r>
      <w:r w:rsidR="00C84B0F">
        <w:t> </w:t>
      </w:r>
      <w:r>
        <w:t xml:space="preserve">wystąpieniu usługi </w:t>
      </w:r>
      <w:proofErr w:type="spellStart"/>
      <w:r>
        <w:t>Azure</w:t>
      </w:r>
      <w:proofErr w:type="spellEnd"/>
      <w:r>
        <w:t xml:space="preserve"> Digital </w:t>
      </w:r>
      <w:proofErr w:type="spellStart"/>
      <w:r>
        <w:t>Twins</w:t>
      </w:r>
      <w:proofErr w:type="spellEnd"/>
      <w:r>
        <w:t xml:space="preserve"> w ciągu tej minuty albo zwracają Kod Błędu, albo nie zwracają Kodu Sukcesu przed upływem pięciu minut.</w:t>
      </w:r>
    </w:p>
    <w:p w14:paraId="509F5CE6" w14:textId="29734CE1" w:rsidR="005C061C" w:rsidRDefault="00AC48A7" w:rsidP="005C061C">
      <w:pPr>
        <w:pStyle w:val="ProductList-Body"/>
      </w:pPr>
      <w:r>
        <w:rPr>
          <w:b/>
          <w:bCs/>
          <w:color w:val="00188F"/>
        </w:rPr>
        <w:t>Procent Czasu Sprawnego Działania</w:t>
      </w:r>
      <w:r>
        <w:t xml:space="preserve"> Procent Czasu Sprawnego Działania jest obliczany przy użyciu następującego wzoru:</w:t>
      </w:r>
    </w:p>
    <w:p w14:paraId="71C25E21" w14:textId="7FE9D1B0" w:rsidR="005C061C" w:rsidRPr="00EF7CF9" w:rsidRDefault="00000000" w:rsidP="00A57C3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63A3969" w14:textId="77777777" w:rsidR="005C061C" w:rsidRPr="005C061C" w:rsidRDefault="005C061C" w:rsidP="005C061C">
      <w:pPr>
        <w:pStyle w:val="ProductList-Body"/>
        <w:rPr>
          <w:b/>
          <w:bCs/>
          <w:color w:val="00188F"/>
        </w:rPr>
      </w:pPr>
      <w:r>
        <w:rPr>
          <w:b/>
          <w:bCs/>
          <w:color w:val="00188F"/>
        </w:rPr>
        <w:t xml:space="preserve">Do używania przez Klienta </w:t>
      </w:r>
      <w:proofErr w:type="spellStart"/>
      <w:r>
        <w:rPr>
          <w:b/>
          <w:bCs/>
          <w:color w:val="00188F"/>
        </w:rPr>
        <w:t>Azure</w:t>
      </w:r>
      <w:proofErr w:type="spellEnd"/>
      <w:r>
        <w:rPr>
          <w:b/>
          <w:bCs/>
          <w:color w:val="00188F"/>
        </w:rPr>
        <w:t xml:space="preserve"> Digital </w:t>
      </w:r>
      <w:proofErr w:type="spellStart"/>
      <w:r>
        <w:rPr>
          <w:b/>
          <w:bCs/>
          <w:color w:val="00188F"/>
        </w:rPr>
        <w:t>Twins</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061C" w:rsidRPr="00B44CF9" w14:paraId="7FC8C299" w14:textId="77777777" w:rsidTr="00277097">
        <w:trPr>
          <w:tblHeader/>
        </w:trPr>
        <w:tc>
          <w:tcPr>
            <w:tcW w:w="5400" w:type="dxa"/>
            <w:shd w:val="clear" w:color="auto" w:fill="0072C6"/>
          </w:tcPr>
          <w:p w14:paraId="0357ED67" w14:textId="47592470" w:rsidR="005C061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F3B44BC" w14:textId="77777777" w:rsidR="005C061C" w:rsidRPr="00EF7CF9" w:rsidRDefault="005C061C" w:rsidP="000F31B4">
            <w:pPr>
              <w:pStyle w:val="ProductList-OfferingBody"/>
              <w:jc w:val="center"/>
              <w:rPr>
                <w:color w:val="FFFFFF" w:themeColor="background1"/>
              </w:rPr>
            </w:pPr>
            <w:r>
              <w:rPr>
                <w:color w:val="FFFFFF" w:themeColor="background1"/>
              </w:rPr>
              <w:t>Środki Serwisowe na Używanie Usług</w:t>
            </w:r>
          </w:p>
        </w:tc>
      </w:tr>
      <w:tr w:rsidR="005C061C" w:rsidRPr="00B44CF9" w14:paraId="2A0F7D12" w14:textId="77777777" w:rsidTr="00277097">
        <w:tc>
          <w:tcPr>
            <w:tcW w:w="5400" w:type="dxa"/>
          </w:tcPr>
          <w:p w14:paraId="53DE73C6" w14:textId="77777777" w:rsidR="005C061C" w:rsidRPr="00EF7CF9" w:rsidRDefault="005C061C" w:rsidP="000F31B4">
            <w:pPr>
              <w:pStyle w:val="ProductList-OfferingBody"/>
              <w:jc w:val="center"/>
            </w:pPr>
            <w:r>
              <w:t>&lt; 99,9%</w:t>
            </w:r>
          </w:p>
        </w:tc>
        <w:tc>
          <w:tcPr>
            <w:tcW w:w="5400" w:type="dxa"/>
          </w:tcPr>
          <w:p w14:paraId="180C4714" w14:textId="77777777" w:rsidR="005C061C" w:rsidRPr="00EF7CF9" w:rsidRDefault="005C061C" w:rsidP="000F31B4">
            <w:pPr>
              <w:pStyle w:val="ProductList-OfferingBody"/>
              <w:jc w:val="center"/>
            </w:pPr>
            <w:r>
              <w:t>10%</w:t>
            </w:r>
          </w:p>
        </w:tc>
      </w:tr>
      <w:tr w:rsidR="005C061C" w:rsidRPr="00B44CF9" w14:paraId="30A24E7D" w14:textId="77777777" w:rsidTr="00277097">
        <w:tc>
          <w:tcPr>
            <w:tcW w:w="5400" w:type="dxa"/>
          </w:tcPr>
          <w:p w14:paraId="2F3DD4DC" w14:textId="77777777" w:rsidR="005C061C" w:rsidRPr="00EF7CF9" w:rsidRDefault="005C061C" w:rsidP="000F31B4">
            <w:pPr>
              <w:pStyle w:val="ProductList-OfferingBody"/>
              <w:jc w:val="center"/>
            </w:pPr>
            <w:r>
              <w:t>&lt; 99%</w:t>
            </w:r>
          </w:p>
        </w:tc>
        <w:tc>
          <w:tcPr>
            <w:tcW w:w="5400" w:type="dxa"/>
          </w:tcPr>
          <w:p w14:paraId="721BD409" w14:textId="77777777" w:rsidR="005C061C" w:rsidRPr="00EF7CF9" w:rsidRDefault="005C061C" w:rsidP="000F31B4">
            <w:pPr>
              <w:pStyle w:val="ProductList-OfferingBody"/>
              <w:jc w:val="center"/>
            </w:pPr>
            <w:r>
              <w:t>25%</w:t>
            </w:r>
          </w:p>
        </w:tc>
      </w:tr>
    </w:tbl>
    <w:p w14:paraId="57996B9D" w14:textId="261EAF23" w:rsidR="005C061C" w:rsidRPr="00EF7CF9" w:rsidRDefault="00C71F89" w:rsidP="005C06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2C28851" w14:textId="42544763" w:rsidR="004005AF" w:rsidRPr="00EF7CF9" w:rsidRDefault="004005AF" w:rsidP="00272E37">
      <w:pPr>
        <w:pStyle w:val="ProductList-Offering2Heading"/>
        <w:keepNext/>
        <w:tabs>
          <w:tab w:val="clear" w:pos="360"/>
          <w:tab w:val="clear" w:pos="720"/>
          <w:tab w:val="clear" w:pos="1080"/>
        </w:tabs>
        <w:outlineLvl w:val="2"/>
      </w:pPr>
      <w:bookmarkStart w:id="240" w:name="_Toc239175005"/>
      <w:proofErr w:type="spellStart"/>
      <w:r>
        <w:t>Azure</w:t>
      </w:r>
      <w:proofErr w:type="spellEnd"/>
      <w:r>
        <w:t xml:space="preserve"> DNS</w:t>
      </w:r>
      <w:bookmarkEnd w:id="226"/>
      <w:bookmarkEnd w:id="229"/>
      <w:bookmarkEnd w:id="240"/>
    </w:p>
    <w:p w14:paraId="0BF477DA" w14:textId="77777777" w:rsidR="004005AF" w:rsidRPr="00EF7CF9" w:rsidRDefault="004005AF" w:rsidP="004005AF">
      <w:pPr>
        <w:pStyle w:val="ProductList-Body"/>
      </w:pPr>
      <w:r>
        <w:rPr>
          <w:b/>
          <w:color w:val="00188F"/>
        </w:rPr>
        <w:t>Dodatkowe definicje</w:t>
      </w:r>
      <w:r w:rsidRPr="0034704E">
        <w:rPr>
          <w:b/>
          <w:color w:val="00188F"/>
        </w:rPr>
        <w:t>:</w:t>
      </w:r>
    </w:p>
    <w:p w14:paraId="3CA6934D" w14:textId="77777777" w:rsidR="004005AF" w:rsidRPr="009200BE" w:rsidRDefault="004005AF" w:rsidP="004005AF">
      <w:pPr>
        <w:pStyle w:val="ProductList-Body"/>
      </w:pPr>
      <w:r>
        <w:t>„</w:t>
      </w:r>
      <w:r>
        <w:rPr>
          <w:b/>
          <w:color w:val="00188F"/>
        </w:rPr>
        <w:t>Strefa DNS</w:t>
      </w:r>
      <w:r>
        <w:t>”</w:t>
      </w:r>
      <w:r>
        <w:rPr>
          <w:b/>
          <w:color w:val="00188F"/>
        </w:rPr>
        <w:t xml:space="preserve"> </w:t>
      </w:r>
      <w:r>
        <w:t xml:space="preserve">to wdrożenie Usługi DNS </w:t>
      </w:r>
      <w:proofErr w:type="spellStart"/>
      <w:r>
        <w:t>Azure</w:t>
      </w:r>
      <w:proofErr w:type="spellEnd"/>
      <w:r>
        <w:t xml:space="preserve"> zawierającej strefę DNS i zestawy rekordów.</w:t>
      </w:r>
    </w:p>
    <w:p w14:paraId="5D6DD826" w14:textId="4D70147C" w:rsidR="004005AF" w:rsidRPr="009200BE" w:rsidRDefault="004005AF" w:rsidP="004005AF">
      <w:pPr>
        <w:pStyle w:val="ProductList-Body"/>
      </w:pPr>
      <w:r>
        <w:t>„</w:t>
      </w:r>
      <w:r>
        <w:rPr>
          <w:b/>
          <w:color w:val="00188F"/>
        </w:rPr>
        <w:t>Minuty Wdrożenia</w:t>
      </w:r>
      <w:r>
        <w:t>”</w:t>
      </w:r>
      <w:r>
        <w:rPr>
          <w:b/>
          <w:color w:val="00188F"/>
        </w:rPr>
        <w:t xml:space="preserve"> </w:t>
      </w:r>
      <w:r>
        <w:t xml:space="preserve">to łączna liczba minut, przez które dana Strefa DNS została wdrożona na platformie Microsoft </w:t>
      </w:r>
      <w:proofErr w:type="spellStart"/>
      <w:r>
        <w:t>Azure</w:t>
      </w:r>
      <w:proofErr w:type="spellEnd"/>
      <w:r>
        <w:t xml:space="preserve"> we Właściwym Okresie.</w:t>
      </w:r>
    </w:p>
    <w:p w14:paraId="5A0A0837" w14:textId="095D236B" w:rsidR="004005AF" w:rsidRPr="009200BE" w:rsidRDefault="004005AF" w:rsidP="004005AF">
      <w:pPr>
        <w:pStyle w:val="ProductList-Body"/>
      </w:pPr>
      <w:r>
        <w:t>„</w:t>
      </w:r>
      <w:r>
        <w:rPr>
          <w:b/>
          <w:color w:val="00188F"/>
        </w:rPr>
        <w:t>Maksymalna Liczba Dostępnych Minut</w:t>
      </w:r>
      <w:r>
        <w:t xml:space="preserve">” to suma wszystkich Minut Wdrożenia we wszystkich Strefach DNS wdrożone przez użytkownika w ramach danej subskrypcji Microsoft </w:t>
      </w:r>
      <w:proofErr w:type="spellStart"/>
      <w:r>
        <w:t>Azure</w:t>
      </w:r>
      <w:proofErr w:type="spellEnd"/>
      <w:r>
        <w:t xml:space="preserve"> we Właściwym Okresie.</w:t>
      </w:r>
    </w:p>
    <w:p w14:paraId="4DE9FAB9" w14:textId="77777777" w:rsidR="004005AF" w:rsidRPr="009200BE" w:rsidRDefault="004005AF" w:rsidP="004005AF">
      <w:pPr>
        <w:pStyle w:val="ProductList-Body"/>
      </w:pPr>
      <w:r>
        <w:t>„</w:t>
      </w:r>
      <w:r>
        <w:rPr>
          <w:b/>
          <w:color w:val="00188F"/>
        </w:rPr>
        <w:t>Prawidłowe Żądanie DNS</w:t>
      </w:r>
      <w:r>
        <w:t>”</w:t>
      </w:r>
      <w:r>
        <w:rPr>
          <w:b/>
          <w:color w:val="00188F"/>
        </w:rPr>
        <w:t xml:space="preserve"> </w:t>
      </w:r>
      <w:r>
        <w:t xml:space="preserve">to żądanie DNS przesłane do serwera nazw Usługi DNS </w:t>
      </w:r>
      <w:proofErr w:type="spellStart"/>
      <w:r>
        <w:t>Azure</w:t>
      </w:r>
      <w:proofErr w:type="spellEnd"/>
      <w:r>
        <w:t xml:space="preserve"> powiązanego ze Strefą DNS i dotyczące dopasowanego zestawu rekordów w ramach Strefy DNS.</w:t>
      </w:r>
    </w:p>
    <w:p w14:paraId="244475C2" w14:textId="56C29169" w:rsidR="004005AF" w:rsidRDefault="004005AF" w:rsidP="004005AF">
      <w:pPr>
        <w:pStyle w:val="ProductList-Body"/>
      </w:pPr>
      <w:r>
        <w:t>„</w:t>
      </w:r>
      <w:r>
        <w:rPr>
          <w:b/>
          <w:color w:val="00188F"/>
        </w:rPr>
        <w:t>Przestój</w:t>
      </w:r>
      <w:r>
        <w:t>” to łączna zakumulowana Maksymalna Liczba Dostępnych Minut, podczas których Strefa DNS jest niedostępna. Minuta jest uznawana za</w:t>
      </w:r>
      <w:r w:rsidR="002D5CE9">
        <w:t> </w:t>
      </w:r>
      <w:r>
        <w:t>minutę niedostępności dla danej Strefy DNS, jeśli w ciągu dwóch sekund nie zostanie przesłana odpowiedź na Prawidłowe Żądanie DNS, pod warunkiem, że Prawidłowe Żądanie DNS przesłano do wszystkich serwerów nazw powiązanych ze Strefą DNS i w ciągu co najmniej 60 sekund ciągle</w:t>
      </w:r>
      <w:r w:rsidR="002D5CE9">
        <w:t> </w:t>
      </w:r>
      <w:r>
        <w:t>podejmowano ponowne próby.</w:t>
      </w:r>
    </w:p>
    <w:p w14:paraId="7D6BFCE9" w14:textId="763FF46E" w:rsidR="004005AF" w:rsidRPr="00EF7CF9" w:rsidRDefault="00AC48A7" w:rsidP="004005AF">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4E6E3CDB" w14:textId="481E462C" w:rsidR="004005AF" w:rsidRPr="00EF7CF9" w:rsidRDefault="00000000" w:rsidP="004E7D83">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621791E" w14:textId="77777777" w:rsidR="004005AF" w:rsidRPr="00EF7CF9" w:rsidRDefault="004005AF" w:rsidP="00272E37">
      <w:pPr>
        <w:pStyle w:val="ProductList-Body"/>
        <w:keepNext/>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70C5534" w14:textId="77777777" w:rsidTr="00277097">
        <w:trPr>
          <w:tblHeader/>
        </w:trPr>
        <w:tc>
          <w:tcPr>
            <w:tcW w:w="5400" w:type="dxa"/>
            <w:shd w:val="clear" w:color="auto" w:fill="0072C6"/>
          </w:tcPr>
          <w:p w14:paraId="7D3072C0" w14:textId="0E9128DC" w:rsidR="004005AF"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6AF1D85" w14:textId="77777777" w:rsidR="004005AF" w:rsidRPr="005A3C16"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EE2FC55" w14:textId="77777777" w:rsidTr="00277097">
        <w:tc>
          <w:tcPr>
            <w:tcW w:w="5400" w:type="dxa"/>
          </w:tcPr>
          <w:p w14:paraId="3F2D7638" w14:textId="77777777" w:rsidR="004005AF" w:rsidRPr="005A3C16" w:rsidRDefault="004005AF" w:rsidP="000F31B4">
            <w:pPr>
              <w:pStyle w:val="ProductList-OfferingBody"/>
              <w:jc w:val="center"/>
            </w:pPr>
            <w:r>
              <w:t>&lt;100</w:t>
            </w:r>
          </w:p>
        </w:tc>
        <w:tc>
          <w:tcPr>
            <w:tcW w:w="5400" w:type="dxa"/>
          </w:tcPr>
          <w:p w14:paraId="4E1D2360" w14:textId="77777777" w:rsidR="004005AF" w:rsidRPr="005A3C16" w:rsidRDefault="004005AF" w:rsidP="000F31B4">
            <w:pPr>
              <w:pStyle w:val="ProductList-OfferingBody"/>
              <w:jc w:val="center"/>
            </w:pPr>
            <w:r>
              <w:t>10%</w:t>
            </w:r>
          </w:p>
        </w:tc>
      </w:tr>
      <w:tr w:rsidR="004005AF" w:rsidRPr="00B44CF9" w14:paraId="1E1FFD7F" w14:textId="77777777" w:rsidTr="00277097">
        <w:tc>
          <w:tcPr>
            <w:tcW w:w="5400" w:type="dxa"/>
          </w:tcPr>
          <w:p w14:paraId="74F71647" w14:textId="77777777" w:rsidR="004005AF" w:rsidRPr="005A3C16" w:rsidRDefault="004005AF" w:rsidP="000F31B4">
            <w:pPr>
              <w:pStyle w:val="ProductList-OfferingBody"/>
              <w:jc w:val="center"/>
            </w:pPr>
            <w:r>
              <w:t>&lt; 99,99%</w:t>
            </w:r>
          </w:p>
        </w:tc>
        <w:tc>
          <w:tcPr>
            <w:tcW w:w="5400" w:type="dxa"/>
          </w:tcPr>
          <w:p w14:paraId="461E93FC" w14:textId="77777777" w:rsidR="004005AF" w:rsidRPr="005A3C16" w:rsidRDefault="004005AF" w:rsidP="000F31B4">
            <w:pPr>
              <w:pStyle w:val="ProductList-OfferingBody"/>
              <w:jc w:val="center"/>
            </w:pPr>
            <w:r>
              <w:t>25%</w:t>
            </w:r>
          </w:p>
        </w:tc>
      </w:tr>
      <w:tr w:rsidR="004005AF" w:rsidRPr="00B44CF9" w14:paraId="0266D6E2" w14:textId="77777777" w:rsidTr="00277097">
        <w:tc>
          <w:tcPr>
            <w:tcW w:w="5400" w:type="dxa"/>
          </w:tcPr>
          <w:p w14:paraId="4C4CA789" w14:textId="77777777" w:rsidR="004005AF" w:rsidRPr="005A3C16" w:rsidRDefault="004005AF" w:rsidP="000F31B4">
            <w:pPr>
              <w:pStyle w:val="ProductList-OfferingBody"/>
              <w:jc w:val="center"/>
            </w:pPr>
            <w:r>
              <w:t>&lt; 99,5%</w:t>
            </w:r>
          </w:p>
        </w:tc>
        <w:tc>
          <w:tcPr>
            <w:tcW w:w="5400" w:type="dxa"/>
          </w:tcPr>
          <w:p w14:paraId="33C407AA" w14:textId="77777777" w:rsidR="004005AF" w:rsidRPr="005A3C16" w:rsidRDefault="004005AF" w:rsidP="000F31B4">
            <w:pPr>
              <w:pStyle w:val="ProductList-OfferingBody"/>
              <w:jc w:val="center"/>
            </w:pPr>
            <w:r>
              <w:t>100%</w:t>
            </w:r>
          </w:p>
        </w:tc>
      </w:tr>
    </w:tbl>
    <w:bookmarkStart w:id="241" w:name="_Toc526859658"/>
    <w:p w14:paraId="3E4E5293" w14:textId="3E0CCF09"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1CE3C52C" w14:textId="40D1378A" w:rsidR="00CA687B" w:rsidRPr="00EF7CF9" w:rsidRDefault="00CA687B" w:rsidP="00CA687B">
      <w:pPr>
        <w:pStyle w:val="ProductList-Offering2Heading"/>
        <w:keepNext/>
        <w:tabs>
          <w:tab w:val="clear" w:pos="360"/>
          <w:tab w:val="clear" w:pos="720"/>
          <w:tab w:val="clear" w:pos="1080"/>
        </w:tabs>
        <w:outlineLvl w:val="2"/>
      </w:pPr>
      <w:bookmarkStart w:id="242" w:name="_Toc239175006"/>
      <w:bookmarkStart w:id="243" w:name="_Toc505679756"/>
      <w:bookmarkStart w:id="244" w:name="_Toc52348953"/>
      <w:bookmarkStart w:id="245" w:name="_Toc52348931"/>
      <w:proofErr w:type="spellStart"/>
      <w:r>
        <w:t>Azure</w:t>
      </w:r>
      <w:proofErr w:type="spellEnd"/>
      <w:r>
        <w:t xml:space="preserve"> DNS</w:t>
      </w:r>
      <w:r w:rsidR="006D65C0">
        <w:t xml:space="preserve"> </w:t>
      </w:r>
      <w:proofErr w:type="spellStart"/>
      <w:r w:rsidR="006D65C0">
        <w:t>Private</w:t>
      </w:r>
      <w:proofErr w:type="spellEnd"/>
      <w:r w:rsidR="006D65C0">
        <w:t xml:space="preserve"> </w:t>
      </w:r>
      <w:proofErr w:type="spellStart"/>
      <w:r w:rsidR="006D65C0">
        <w:t>Resolver</w:t>
      </w:r>
      <w:bookmarkEnd w:id="242"/>
      <w:proofErr w:type="spellEnd"/>
    </w:p>
    <w:p w14:paraId="690FD7F6" w14:textId="77777777" w:rsidR="00CA687B" w:rsidRDefault="00CA687B" w:rsidP="00CA687B">
      <w:pPr>
        <w:pStyle w:val="ProductList-Body"/>
        <w:rPr>
          <w:b/>
          <w:color w:val="00188F"/>
        </w:rPr>
      </w:pPr>
      <w:r>
        <w:rPr>
          <w:b/>
          <w:color w:val="00188F"/>
        </w:rPr>
        <w:t>Dodatkowe definicje</w:t>
      </w:r>
      <w:r w:rsidRPr="0034704E">
        <w:rPr>
          <w:b/>
          <w:color w:val="00188F"/>
        </w:rPr>
        <w:t>:</w:t>
      </w:r>
    </w:p>
    <w:p w14:paraId="71B78766" w14:textId="77777777" w:rsidR="006D65C0" w:rsidRPr="006D65C0" w:rsidRDefault="006D65C0" w:rsidP="006D65C0">
      <w:pPr>
        <w:pStyle w:val="ProductList-Body"/>
        <w:rPr>
          <w:rFonts w:cstheme="minorHAnsi"/>
        </w:rPr>
      </w:pPr>
      <w:r w:rsidRPr="006D65C0">
        <w:rPr>
          <w:rFonts w:cstheme="minorHAnsi"/>
        </w:rPr>
        <w:t>„</w:t>
      </w:r>
      <w:r w:rsidRPr="006D65C0">
        <w:rPr>
          <w:rFonts w:cstheme="minorHAnsi"/>
          <w:b/>
          <w:color w:val="00188F"/>
        </w:rPr>
        <w:t xml:space="preserve">Punkt końcowy </w:t>
      </w:r>
      <w:proofErr w:type="spellStart"/>
      <w:r w:rsidRPr="006D65C0">
        <w:rPr>
          <w:rFonts w:cstheme="minorHAnsi"/>
          <w:b/>
          <w:color w:val="00188F"/>
        </w:rPr>
        <w:t>Azure</w:t>
      </w:r>
      <w:proofErr w:type="spellEnd"/>
      <w:r w:rsidRPr="006D65C0">
        <w:rPr>
          <w:rFonts w:cstheme="minorHAnsi"/>
          <w:b/>
          <w:color w:val="00188F"/>
        </w:rPr>
        <w:t xml:space="preserve"> DNS </w:t>
      </w:r>
      <w:proofErr w:type="spellStart"/>
      <w:r w:rsidRPr="006D65C0">
        <w:rPr>
          <w:rFonts w:cstheme="minorHAnsi"/>
          <w:b/>
          <w:color w:val="00188F"/>
        </w:rPr>
        <w:t>Private</w:t>
      </w:r>
      <w:proofErr w:type="spellEnd"/>
      <w:r w:rsidRPr="006D65C0">
        <w:rPr>
          <w:rFonts w:cstheme="minorHAnsi"/>
          <w:b/>
          <w:color w:val="00188F"/>
        </w:rPr>
        <w:t xml:space="preserve"> </w:t>
      </w:r>
      <w:proofErr w:type="spellStart"/>
      <w:r w:rsidRPr="006D65C0">
        <w:rPr>
          <w:rFonts w:cstheme="minorHAnsi"/>
          <w:b/>
          <w:color w:val="00188F"/>
        </w:rPr>
        <w:t>Resolver</w:t>
      </w:r>
      <w:proofErr w:type="spellEnd"/>
      <w:r w:rsidRPr="006D65C0">
        <w:rPr>
          <w:rFonts w:cstheme="minorHAnsi"/>
        </w:rPr>
        <w:t xml:space="preserve">” odnosi się do wdrożenia punktu końcowego usługi </w:t>
      </w:r>
      <w:proofErr w:type="spellStart"/>
      <w:r w:rsidRPr="006D65C0">
        <w:rPr>
          <w:rFonts w:cstheme="minorHAnsi"/>
        </w:rPr>
        <w:t>Azure</w:t>
      </w:r>
      <w:proofErr w:type="spellEnd"/>
      <w:r w:rsidRPr="006D65C0">
        <w:rPr>
          <w:rFonts w:cstheme="minorHAnsi"/>
        </w:rPr>
        <w:t xml:space="preserve"> DNS </w:t>
      </w:r>
      <w:proofErr w:type="spellStart"/>
      <w:r w:rsidRPr="006D65C0">
        <w:rPr>
          <w:rFonts w:cstheme="minorHAnsi"/>
        </w:rPr>
        <w:t>Private</w:t>
      </w:r>
      <w:proofErr w:type="spellEnd"/>
      <w:r w:rsidRPr="006D65C0">
        <w:rPr>
          <w:rFonts w:cstheme="minorHAnsi"/>
        </w:rPr>
        <w:t xml:space="preserve"> </w:t>
      </w:r>
      <w:proofErr w:type="spellStart"/>
      <w:r w:rsidRPr="006D65C0">
        <w:rPr>
          <w:rFonts w:cstheme="minorHAnsi"/>
        </w:rPr>
        <w:t>Resolver</w:t>
      </w:r>
      <w:proofErr w:type="spellEnd"/>
      <w:r w:rsidRPr="006D65C0">
        <w:rPr>
          <w:rFonts w:cstheme="minorHAnsi"/>
        </w:rPr>
        <w:t>, który zapewnia rozpoznawanie nazw dla odebranych zapytań usługi DNS.</w:t>
      </w:r>
    </w:p>
    <w:p w14:paraId="28D23D2E" w14:textId="77777777" w:rsidR="006D65C0" w:rsidRPr="006D65C0" w:rsidRDefault="006D65C0" w:rsidP="006D65C0">
      <w:pPr>
        <w:pStyle w:val="ProductList-Body"/>
        <w:rPr>
          <w:rFonts w:cstheme="minorHAnsi"/>
        </w:rPr>
      </w:pPr>
      <w:r w:rsidRPr="006D65C0">
        <w:rPr>
          <w:rFonts w:cstheme="minorHAnsi"/>
        </w:rPr>
        <w:t>„</w:t>
      </w:r>
      <w:r w:rsidRPr="006D65C0">
        <w:rPr>
          <w:rFonts w:cstheme="minorHAnsi"/>
          <w:b/>
          <w:color w:val="00188F"/>
        </w:rPr>
        <w:t>Minuty wdrożenia</w:t>
      </w:r>
      <w:r w:rsidRPr="006D65C0">
        <w:rPr>
          <w:rFonts w:cstheme="minorHAnsi"/>
        </w:rPr>
        <w:t xml:space="preserve">” to łączna liczba minut, przez które dany punkt końcowy został wdrożony na platformie Microsoft </w:t>
      </w:r>
      <w:proofErr w:type="spellStart"/>
      <w:r w:rsidRPr="006D65C0">
        <w:rPr>
          <w:rFonts w:cstheme="minorHAnsi"/>
        </w:rPr>
        <w:t>Azure</w:t>
      </w:r>
      <w:proofErr w:type="spellEnd"/>
      <w:r w:rsidRPr="006D65C0">
        <w:rPr>
          <w:rFonts w:cstheme="minorHAnsi"/>
        </w:rPr>
        <w:t xml:space="preserve"> we Właściwym Okresie.</w:t>
      </w:r>
    </w:p>
    <w:p w14:paraId="2481E18F" w14:textId="77777777" w:rsidR="006D65C0" w:rsidRPr="006D65C0" w:rsidRDefault="006D65C0" w:rsidP="006D65C0">
      <w:pPr>
        <w:pStyle w:val="ProductList-Body"/>
        <w:rPr>
          <w:rFonts w:cstheme="minorHAnsi"/>
        </w:rPr>
      </w:pPr>
      <w:r w:rsidRPr="006D65C0">
        <w:rPr>
          <w:rFonts w:cstheme="minorHAnsi"/>
        </w:rPr>
        <w:t>„</w:t>
      </w:r>
      <w:r w:rsidRPr="006D65C0">
        <w:rPr>
          <w:rFonts w:cstheme="minorHAnsi"/>
          <w:b/>
          <w:color w:val="00188F"/>
        </w:rPr>
        <w:t>Maksymalna Liczba Dostępnych Minut</w:t>
      </w:r>
      <w:r w:rsidRPr="006D65C0">
        <w:rPr>
          <w:rFonts w:cstheme="minorHAnsi"/>
        </w:rPr>
        <w:t xml:space="preserve">” to suma wszystkich Minut Wdrożenia dla wszystkich punktów końcowych wdrożonych w ramach danej subskrypcji Microsoft </w:t>
      </w:r>
      <w:proofErr w:type="spellStart"/>
      <w:r w:rsidRPr="006D65C0">
        <w:rPr>
          <w:rFonts w:cstheme="minorHAnsi"/>
        </w:rPr>
        <w:t>Azure</w:t>
      </w:r>
      <w:proofErr w:type="spellEnd"/>
      <w:r w:rsidRPr="006D65C0">
        <w:rPr>
          <w:rFonts w:cstheme="minorHAnsi"/>
        </w:rPr>
        <w:t xml:space="preserve"> we Właściwym Okresie.</w:t>
      </w:r>
    </w:p>
    <w:p w14:paraId="25B6E83E" w14:textId="77777777" w:rsidR="006D65C0" w:rsidRPr="006D65C0" w:rsidRDefault="006D65C0" w:rsidP="006D65C0">
      <w:pPr>
        <w:pStyle w:val="ProductList-Body"/>
        <w:rPr>
          <w:rFonts w:cstheme="minorHAnsi"/>
        </w:rPr>
      </w:pPr>
      <w:r w:rsidRPr="006D65C0">
        <w:rPr>
          <w:rFonts w:cstheme="minorHAnsi"/>
        </w:rPr>
        <w:t>„</w:t>
      </w:r>
      <w:r w:rsidRPr="006D65C0">
        <w:rPr>
          <w:rFonts w:cstheme="minorHAnsi"/>
          <w:b/>
          <w:color w:val="00188F"/>
        </w:rPr>
        <w:t>Prawidłowe Żądanie DNS</w:t>
      </w:r>
      <w:r w:rsidRPr="006D65C0">
        <w:rPr>
          <w:rFonts w:cstheme="minorHAnsi"/>
        </w:rPr>
        <w:t xml:space="preserve">” to żądanie DNS przesłane do serwera nazw Usługi DNS </w:t>
      </w:r>
      <w:proofErr w:type="spellStart"/>
      <w:r w:rsidRPr="006D65C0">
        <w:rPr>
          <w:rFonts w:cstheme="minorHAnsi"/>
        </w:rPr>
        <w:t>Azure</w:t>
      </w:r>
      <w:proofErr w:type="spellEnd"/>
      <w:r w:rsidRPr="006D65C0">
        <w:rPr>
          <w:rFonts w:cstheme="minorHAnsi"/>
        </w:rPr>
        <w:t xml:space="preserve"> powiązanego ze Strefą DNS i dotyczące dopasowanego zestawu rekordów w ramach Strefy DNS.</w:t>
      </w:r>
    </w:p>
    <w:p w14:paraId="74F85C53" w14:textId="77777777" w:rsidR="006D65C0" w:rsidRPr="006D65C0" w:rsidRDefault="006D65C0" w:rsidP="006D65C0">
      <w:pPr>
        <w:pStyle w:val="ProductList-Body"/>
        <w:rPr>
          <w:rFonts w:cstheme="minorHAnsi"/>
        </w:rPr>
      </w:pPr>
      <w:r w:rsidRPr="006D65C0">
        <w:rPr>
          <w:rFonts w:cstheme="minorHAnsi"/>
        </w:rPr>
        <w:t>„</w:t>
      </w:r>
      <w:r w:rsidRPr="006D65C0">
        <w:rPr>
          <w:rFonts w:cstheme="minorHAnsi"/>
          <w:b/>
          <w:color w:val="00188F"/>
        </w:rPr>
        <w:t>Przestój</w:t>
      </w:r>
      <w:r w:rsidRPr="006D65C0">
        <w:rPr>
          <w:rFonts w:cstheme="minorHAnsi"/>
        </w:rPr>
        <w:t xml:space="preserve">” to łączna zakumulowana Maksymalna Liczba Dostępnych Minut, podczas których punkt końcowy </w:t>
      </w:r>
      <w:proofErr w:type="spellStart"/>
      <w:r w:rsidRPr="006D65C0">
        <w:rPr>
          <w:rFonts w:cstheme="minorHAnsi"/>
        </w:rPr>
        <w:t>Azure</w:t>
      </w:r>
      <w:proofErr w:type="spellEnd"/>
      <w:r w:rsidRPr="006D65C0">
        <w:rPr>
          <w:rFonts w:cstheme="minorHAnsi"/>
        </w:rPr>
        <w:t xml:space="preserve"> DNS </w:t>
      </w:r>
      <w:proofErr w:type="spellStart"/>
      <w:r w:rsidRPr="006D65C0">
        <w:rPr>
          <w:rFonts w:cstheme="minorHAnsi"/>
        </w:rPr>
        <w:t>Private</w:t>
      </w:r>
      <w:proofErr w:type="spellEnd"/>
      <w:r w:rsidRPr="006D65C0">
        <w:rPr>
          <w:rFonts w:cstheme="minorHAnsi"/>
        </w:rPr>
        <w:t xml:space="preserve"> </w:t>
      </w:r>
      <w:proofErr w:type="spellStart"/>
      <w:r w:rsidRPr="006D65C0">
        <w:rPr>
          <w:rFonts w:cstheme="minorHAnsi"/>
        </w:rPr>
        <w:t>Resolver</w:t>
      </w:r>
      <w:proofErr w:type="spellEnd"/>
      <w:r w:rsidRPr="006D65C0">
        <w:rPr>
          <w:rFonts w:cstheme="minorHAnsi"/>
        </w:rPr>
        <w:t xml:space="preserve"> jest niedostępny. Minutę uważa się za minutę niedostępności dla danego punktu końcowego, jeżeli w ciągu dwóch sekund nie zostanie odebrana odpowiedź DNS na prawidłowe żądanie DNS, pod warunkiem, że prawidłowe żądanie DNS zostanie wysłane do wszystkich serwerów nazw powiązanych z punktem końcowym i będą podejmowane ciągłe próby przez co najmniej 60 kolejnych sekund.</w:t>
      </w:r>
    </w:p>
    <w:p w14:paraId="1068C64B" w14:textId="77777777" w:rsidR="006D65C0" w:rsidRPr="006D65C0" w:rsidRDefault="006D65C0" w:rsidP="006D65C0">
      <w:pPr>
        <w:pStyle w:val="ProductList-Body"/>
        <w:rPr>
          <w:rFonts w:cstheme="minorHAnsi"/>
        </w:rPr>
      </w:pPr>
      <w:r w:rsidRPr="006D65C0">
        <w:rPr>
          <w:rFonts w:cstheme="minorHAnsi"/>
          <w:b/>
          <w:color w:val="00188F"/>
        </w:rPr>
        <w:t>Procent Czasu Sprawnego Działania:</w:t>
      </w:r>
      <w:r w:rsidRPr="006D65C0">
        <w:rPr>
          <w:rFonts w:cstheme="minorHAnsi"/>
        </w:rPr>
        <w:t xml:space="preserve"> Procent Czasu Sprawnego Działania jest obliczany przy użyciu następującego wzoru:</w:t>
      </w:r>
    </w:p>
    <w:p w14:paraId="7A6D0887" w14:textId="77777777" w:rsidR="006D65C0" w:rsidRPr="00EF7CF9" w:rsidRDefault="00000000" w:rsidP="004E7D83">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color w:val="000000" w:themeColor="text1"/>
                  <w:sz w:val="18"/>
                  <w:szCs w:val="18"/>
                </w:rPr>
              </m:ctrlPr>
            </m:fPr>
            <m:num>
              <m:r>
                <m:rPr>
                  <m:nor/>
                </m:rPr>
                <w:rPr>
                  <w:rFonts w:ascii="Cambria Math" w:hAnsi="Cambria Math" w:cs="Tahoma"/>
                  <w:i/>
                  <w:iCs/>
                  <w:color w:val="000000" w:themeColor="text1"/>
                  <w:sz w:val="18"/>
                  <w:szCs w:val="18"/>
                </w:rPr>
                <m:t>Maksymalna Liczba Minut Dostępności - Przestój</m:t>
              </m:r>
            </m:num>
            <m:den>
              <m:r>
                <m:rPr>
                  <m:nor/>
                </m:rPr>
                <w:rPr>
                  <w:rFonts w:ascii="Cambria Math" w:hAnsi="Cambria Math" w:cs="Tahoma"/>
                  <w:i/>
                  <w:iCs/>
                  <w:color w:val="000000" w:themeColor="text1"/>
                  <w:sz w:val="18"/>
                  <w:szCs w:val="18"/>
                </w:rPr>
                <m:t>Maksymalna Liczba Minut Dostępności</m:t>
              </m:r>
            </m:den>
          </m:f>
          <m:r>
            <w:rPr>
              <w:rFonts w:ascii="Cambria Math" w:hAnsi="Cambria Math" w:cs="Tahoma"/>
              <w:color w:val="000000" w:themeColor="text1"/>
              <w:sz w:val="18"/>
              <w:szCs w:val="18"/>
            </w:rPr>
            <m:t xml:space="preserve"> x 100</m:t>
          </m:r>
        </m:oMath>
      </m:oMathPara>
    </w:p>
    <w:p w14:paraId="43ED0F04" w14:textId="77777777" w:rsidR="006D65C0" w:rsidRPr="00EF7CF9" w:rsidRDefault="006D65C0" w:rsidP="006D65C0">
      <w:pPr>
        <w:pStyle w:val="ProductList-Body"/>
        <w:keepNext/>
      </w:pPr>
      <w:r>
        <w:rPr>
          <w:b/>
          <w:color w:val="00188F"/>
        </w:rPr>
        <w:t>Środki Serwisowe na Używanie Usług</w:t>
      </w:r>
      <w:r w:rsidRPr="009D6030">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D65C0" w:rsidRPr="00B44CF9" w14:paraId="620EF6F9" w14:textId="77777777" w:rsidTr="00EA2F1A">
        <w:trPr>
          <w:tblHeader/>
        </w:trPr>
        <w:tc>
          <w:tcPr>
            <w:tcW w:w="5400" w:type="dxa"/>
            <w:shd w:val="clear" w:color="auto" w:fill="0072C6"/>
          </w:tcPr>
          <w:p w14:paraId="7865DC8C" w14:textId="77777777" w:rsidR="006D65C0" w:rsidRPr="006D65C0" w:rsidRDefault="006D65C0" w:rsidP="00EA2F1A">
            <w:pPr>
              <w:pStyle w:val="ProductList-OfferingBody"/>
              <w:jc w:val="center"/>
              <w:rPr>
                <w:rFonts w:cstheme="minorHAnsi"/>
                <w:color w:val="FFFFFF" w:themeColor="background1"/>
              </w:rPr>
            </w:pPr>
            <w:r w:rsidRPr="006D65C0">
              <w:rPr>
                <w:rFonts w:cstheme="minorHAnsi"/>
                <w:color w:val="FFFFFF" w:themeColor="background1"/>
              </w:rPr>
              <w:t>Procent Czasu Sprawnego Działania</w:t>
            </w:r>
          </w:p>
        </w:tc>
        <w:tc>
          <w:tcPr>
            <w:tcW w:w="5400" w:type="dxa"/>
            <w:shd w:val="clear" w:color="auto" w:fill="0072C6"/>
          </w:tcPr>
          <w:p w14:paraId="76CAEDBA" w14:textId="77777777" w:rsidR="006D65C0" w:rsidRPr="006D65C0" w:rsidRDefault="006D65C0" w:rsidP="00EA2F1A">
            <w:pPr>
              <w:pStyle w:val="ProductList-OfferingBody"/>
              <w:jc w:val="center"/>
              <w:rPr>
                <w:rFonts w:cstheme="minorHAnsi"/>
                <w:color w:val="FFFFFF" w:themeColor="background1"/>
              </w:rPr>
            </w:pPr>
            <w:r w:rsidRPr="006D65C0">
              <w:rPr>
                <w:rFonts w:cstheme="minorHAnsi"/>
                <w:color w:val="FFFFFF" w:themeColor="background1"/>
              </w:rPr>
              <w:t>Środki Serwisowe na Używanie Usług</w:t>
            </w:r>
          </w:p>
        </w:tc>
      </w:tr>
      <w:tr w:rsidR="006D65C0" w:rsidRPr="00B44CF9" w14:paraId="6523ACA4" w14:textId="77777777" w:rsidTr="00EA2F1A">
        <w:tc>
          <w:tcPr>
            <w:tcW w:w="5400" w:type="dxa"/>
          </w:tcPr>
          <w:p w14:paraId="732598C7" w14:textId="77777777" w:rsidR="006D65C0" w:rsidRPr="006D65C0" w:rsidRDefault="006D65C0" w:rsidP="00EA2F1A">
            <w:pPr>
              <w:pStyle w:val="ProductList-OfferingBody"/>
              <w:jc w:val="center"/>
              <w:rPr>
                <w:rFonts w:cstheme="minorHAnsi"/>
              </w:rPr>
            </w:pPr>
            <w:r w:rsidRPr="006D65C0">
              <w:rPr>
                <w:rFonts w:cstheme="minorHAnsi"/>
              </w:rPr>
              <w:t>&lt; 99,99%</w:t>
            </w:r>
          </w:p>
        </w:tc>
        <w:tc>
          <w:tcPr>
            <w:tcW w:w="5400" w:type="dxa"/>
          </w:tcPr>
          <w:p w14:paraId="046300D5" w14:textId="77777777" w:rsidR="006D65C0" w:rsidRPr="006D65C0" w:rsidRDefault="006D65C0" w:rsidP="00EA2F1A">
            <w:pPr>
              <w:pStyle w:val="ProductList-OfferingBody"/>
              <w:jc w:val="center"/>
              <w:rPr>
                <w:rFonts w:cstheme="minorHAnsi"/>
              </w:rPr>
            </w:pPr>
            <w:r w:rsidRPr="006D65C0">
              <w:rPr>
                <w:rFonts w:cstheme="minorHAnsi"/>
              </w:rPr>
              <w:t>10%</w:t>
            </w:r>
          </w:p>
        </w:tc>
      </w:tr>
      <w:tr w:rsidR="006D65C0" w:rsidRPr="00B44CF9" w14:paraId="35551330" w14:textId="77777777" w:rsidTr="00EA2F1A">
        <w:tc>
          <w:tcPr>
            <w:tcW w:w="5400" w:type="dxa"/>
          </w:tcPr>
          <w:p w14:paraId="24A2F170" w14:textId="77777777" w:rsidR="006D65C0" w:rsidRPr="006D65C0" w:rsidRDefault="006D65C0" w:rsidP="00EA2F1A">
            <w:pPr>
              <w:pStyle w:val="ProductList-OfferingBody"/>
              <w:jc w:val="center"/>
              <w:rPr>
                <w:rFonts w:cstheme="minorHAnsi"/>
              </w:rPr>
            </w:pPr>
            <w:r w:rsidRPr="006D65C0">
              <w:rPr>
                <w:rFonts w:cstheme="minorHAnsi"/>
              </w:rPr>
              <w:t>&lt; 99,9%</w:t>
            </w:r>
          </w:p>
        </w:tc>
        <w:tc>
          <w:tcPr>
            <w:tcW w:w="5400" w:type="dxa"/>
          </w:tcPr>
          <w:p w14:paraId="1A1511B5" w14:textId="77777777" w:rsidR="006D65C0" w:rsidRPr="006D65C0" w:rsidRDefault="006D65C0" w:rsidP="00EA2F1A">
            <w:pPr>
              <w:pStyle w:val="ProductList-OfferingBody"/>
              <w:jc w:val="center"/>
              <w:rPr>
                <w:rFonts w:cstheme="minorHAnsi"/>
              </w:rPr>
            </w:pPr>
            <w:r w:rsidRPr="006D65C0">
              <w:rPr>
                <w:rFonts w:cstheme="minorHAnsi"/>
              </w:rPr>
              <w:t>25%</w:t>
            </w:r>
          </w:p>
        </w:tc>
      </w:tr>
      <w:tr w:rsidR="006D65C0" w:rsidRPr="00B44CF9" w14:paraId="0010980E" w14:textId="77777777" w:rsidTr="00EA2F1A">
        <w:tc>
          <w:tcPr>
            <w:tcW w:w="5400" w:type="dxa"/>
          </w:tcPr>
          <w:p w14:paraId="1BCDE863" w14:textId="77777777" w:rsidR="006D65C0" w:rsidRPr="006D65C0" w:rsidRDefault="006D65C0" w:rsidP="00EA2F1A">
            <w:pPr>
              <w:pStyle w:val="ProductList-OfferingBody"/>
              <w:jc w:val="center"/>
              <w:rPr>
                <w:rFonts w:cstheme="minorHAnsi"/>
              </w:rPr>
            </w:pPr>
            <w:r w:rsidRPr="006D65C0">
              <w:rPr>
                <w:rFonts w:cstheme="minorHAnsi"/>
              </w:rPr>
              <w:t>&lt; 99,5%</w:t>
            </w:r>
          </w:p>
        </w:tc>
        <w:tc>
          <w:tcPr>
            <w:tcW w:w="5400" w:type="dxa"/>
          </w:tcPr>
          <w:p w14:paraId="4558F089" w14:textId="77777777" w:rsidR="006D65C0" w:rsidRPr="006D65C0" w:rsidRDefault="006D65C0" w:rsidP="00EA2F1A">
            <w:pPr>
              <w:pStyle w:val="ProductList-OfferingBody"/>
              <w:jc w:val="center"/>
              <w:rPr>
                <w:rFonts w:cstheme="minorHAnsi"/>
              </w:rPr>
            </w:pPr>
            <w:r w:rsidRPr="006D65C0">
              <w:rPr>
                <w:rFonts w:cstheme="minorHAnsi"/>
              </w:rPr>
              <w:t>100%</w:t>
            </w:r>
          </w:p>
        </w:tc>
      </w:tr>
    </w:tbl>
    <w:p w14:paraId="1EE82A78" w14:textId="77777777" w:rsidR="006D65C0" w:rsidRPr="00EF7CF9" w:rsidRDefault="006D65C0" w:rsidP="006D65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966ADC6" w14:textId="77777777" w:rsidR="007D3D64" w:rsidRPr="007D3D64" w:rsidRDefault="007D3D64" w:rsidP="007D3D64">
      <w:pPr>
        <w:pStyle w:val="ProductList-Offering2Heading"/>
        <w:keepNext/>
        <w:tabs>
          <w:tab w:val="clear" w:pos="360"/>
          <w:tab w:val="clear" w:pos="720"/>
          <w:tab w:val="clear" w:pos="1080"/>
        </w:tabs>
        <w:outlineLvl w:val="2"/>
      </w:pPr>
      <w:bookmarkStart w:id="246" w:name="_Toc210228314"/>
      <w:bookmarkStart w:id="247" w:name="_Toc239175007"/>
      <w:proofErr w:type="spellStart"/>
      <w:r w:rsidRPr="007D3D64">
        <w:t>Azure</w:t>
      </w:r>
      <w:proofErr w:type="spellEnd"/>
      <w:r w:rsidRPr="007D3D64">
        <w:t xml:space="preserve"> </w:t>
      </w:r>
      <w:proofErr w:type="spellStart"/>
      <w:r w:rsidRPr="007D3D64">
        <w:t>DocumentDB</w:t>
      </w:r>
      <w:proofErr w:type="spellEnd"/>
      <w:r w:rsidRPr="007D3D64">
        <w:t xml:space="preserve"> (zgodność z </w:t>
      </w:r>
      <w:proofErr w:type="spellStart"/>
      <w:r w:rsidRPr="007D3D64">
        <w:t>MongoDB</w:t>
      </w:r>
      <w:proofErr w:type="spellEnd"/>
      <w:r w:rsidRPr="007D3D64">
        <w:t>)</w:t>
      </w:r>
      <w:bookmarkEnd w:id="246"/>
      <w:bookmarkEnd w:id="247"/>
    </w:p>
    <w:p w14:paraId="43252DEA" w14:textId="77777777" w:rsidR="007D3D64" w:rsidRPr="00A15C3C" w:rsidRDefault="007D3D64" w:rsidP="007D3D6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Dodatkowe definicje:</w:t>
      </w:r>
    </w:p>
    <w:p w14:paraId="045F5190"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b/>
          <w:bCs/>
          <w:color w:val="00188F"/>
          <w:sz w:val="18"/>
          <w:szCs w:val="18"/>
        </w:rPr>
        <w:t>„Serwer”</w:t>
      </w:r>
      <w:r>
        <w:rPr>
          <w:rFonts w:ascii="Calibri" w:eastAsia="Calibri" w:hAnsi="Calibri" w:cs="Calibri"/>
          <w:color w:val="00188F"/>
          <w:sz w:val="18"/>
          <w:szCs w:val="18"/>
        </w:rPr>
        <w:t xml:space="preserve"> </w:t>
      </w:r>
      <w:r>
        <w:rPr>
          <w:rFonts w:ascii="Calibri" w:eastAsia="Calibri" w:hAnsi="Calibri" w:cs="Calibri"/>
          <w:sz w:val="18"/>
          <w:szCs w:val="18"/>
        </w:rPr>
        <w:t xml:space="preserve">to dowolny serwer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DocumentDB</w:t>
      </w:r>
      <w:proofErr w:type="spellEnd"/>
      <w:r>
        <w:rPr>
          <w:rFonts w:ascii="Calibri" w:eastAsia="Calibri" w:hAnsi="Calibri" w:cs="Calibri"/>
          <w:sz w:val="18"/>
          <w:szCs w:val="18"/>
        </w:rPr>
        <w:t>.</w:t>
      </w:r>
    </w:p>
    <w:p w14:paraId="57C8B5D6"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b/>
          <w:bCs/>
          <w:color w:val="00188F"/>
          <w:sz w:val="18"/>
          <w:szCs w:val="18"/>
        </w:rPr>
        <w:t>„Klaster Wysokiej Dostępności”</w:t>
      </w:r>
      <w:r>
        <w:rPr>
          <w:rFonts w:ascii="Calibri" w:eastAsia="Calibri" w:hAnsi="Calibri" w:cs="Calibri"/>
          <w:color w:val="00188F"/>
          <w:sz w:val="18"/>
          <w:szCs w:val="18"/>
        </w:rPr>
        <w:t xml:space="preserve"> </w:t>
      </w:r>
      <w:r>
        <w:rPr>
          <w:rFonts w:ascii="Calibri" w:eastAsia="Calibri" w:hAnsi="Calibri" w:cs="Calibri"/>
          <w:sz w:val="18"/>
          <w:szCs w:val="18"/>
        </w:rPr>
        <w:t>to zestaw Węzłów Wysokiej Dostępności.</w:t>
      </w:r>
    </w:p>
    <w:p w14:paraId="49F4B93E"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b/>
          <w:bCs/>
          <w:color w:val="00188F"/>
          <w:sz w:val="18"/>
          <w:szCs w:val="18"/>
        </w:rPr>
        <w:t>„Węzeł Wysokiej Dostępności”</w:t>
      </w:r>
      <w:r>
        <w:rPr>
          <w:rFonts w:ascii="Calibri" w:eastAsia="Calibri" w:hAnsi="Calibri" w:cs="Calibri"/>
          <w:color w:val="00188F"/>
          <w:sz w:val="18"/>
          <w:szCs w:val="18"/>
        </w:rPr>
        <w:t xml:space="preserve"> </w:t>
      </w:r>
      <w:r>
        <w:rPr>
          <w:rFonts w:ascii="Calibri" w:eastAsia="Calibri" w:hAnsi="Calibri" w:cs="Calibri"/>
          <w:sz w:val="18"/>
          <w:szCs w:val="18"/>
        </w:rPr>
        <w:t>oznacza Węzeł w klastrze z włączoną wysoką dostępnością.</w:t>
      </w:r>
    </w:p>
    <w:p w14:paraId="4C736BF2" w14:textId="77777777" w:rsidR="007D3D64" w:rsidRPr="00A15C3C" w:rsidRDefault="007D3D64" w:rsidP="007D3D6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 xml:space="preserve">Obliczanie Czasu Sprawnego Działania i Poziomów Usługi dla Microsoft </w:t>
      </w:r>
      <w:proofErr w:type="spellStart"/>
      <w:r>
        <w:rPr>
          <w:rFonts w:ascii="Calibri" w:eastAsia="Calibri" w:hAnsi="Calibri" w:cs="Calibri"/>
          <w:b/>
          <w:bCs/>
          <w:color w:val="00188F"/>
          <w:sz w:val="18"/>
          <w:szCs w:val="18"/>
        </w:rPr>
        <w:t>Azure</w:t>
      </w:r>
      <w:proofErr w:type="spellEnd"/>
      <w:r>
        <w:rPr>
          <w:rFonts w:ascii="Calibri" w:eastAsia="Calibri" w:hAnsi="Calibri" w:cs="Calibri"/>
          <w:b/>
          <w:bCs/>
          <w:color w:val="00188F"/>
          <w:sz w:val="18"/>
          <w:szCs w:val="18"/>
        </w:rPr>
        <w:t xml:space="preserve"> </w:t>
      </w:r>
      <w:proofErr w:type="spellStart"/>
      <w:r>
        <w:rPr>
          <w:rFonts w:ascii="Calibri" w:eastAsia="Calibri" w:hAnsi="Calibri" w:cs="Calibri"/>
          <w:b/>
          <w:bCs/>
          <w:color w:val="00188F"/>
          <w:sz w:val="18"/>
          <w:szCs w:val="18"/>
        </w:rPr>
        <w:t>DocumentDB</w:t>
      </w:r>
      <w:proofErr w:type="spellEnd"/>
      <w:r>
        <w:rPr>
          <w:rFonts w:ascii="Calibri" w:eastAsia="Calibri" w:hAnsi="Calibri" w:cs="Calibri"/>
          <w:b/>
          <w:bCs/>
          <w:color w:val="00188F"/>
          <w:sz w:val="18"/>
          <w:szCs w:val="18"/>
        </w:rPr>
        <w:t xml:space="preserve"> - Węzeł Wysokiej Dostępności</w:t>
      </w:r>
    </w:p>
    <w:p w14:paraId="0300F663"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b/>
          <w:bCs/>
          <w:color w:val="00188F"/>
          <w:sz w:val="18"/>
          <w:szCs w:val="18"/>
        </w:rPr>
        <w:t>„Maksymalna Liczba Dostępnych Minut”</w:t>
      </w:r>
      <w:r>
        <w:rPr>
          <w:rFonts w:ascii="Calibri" w:eastAsia="Calibri" w:hAnsi="Calibri" w:cs="Calibri"/>
          <w:color w:val="00188F"/>
          <w:sz w:val="18"/>
          <w:szCs w:val="18"/>
        </w:rPr>
        <w:t xml:space="preserve"> </w:t>
      </w:r>
      <w:r>
        <w:rPr>
          <w:rFonts w:ascii="Calibri" w:eastAsia="Calibri" w:hAnsi="Calibri" w:cs="Calibri"/>
          <w:sz w:val="18"/>
          <w:szCs w:val="18"/>
        </w:rPr>
        <w:t xml:space="preserve">liczba minut dla danego Węzła Wysokiej Dostępności wdrożonych przez klienta w ramach subskrypcji Microsoft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we Właściwym Okresie.</w:t>
      </w:r>
    </w:p>
    <w:p w14:paraId="56F8F4C7"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b/>
          <w:bCs/>
          <w:color w:val="00188F"/>
          <w:sz w:val="18"/>
          <w:szCs w:val="18"/>
        </w:rPr>
        <w:t>„Przestój”</w:t>
      </w:r>
      <w:r>
        <w:rPr>
          <w:rFonts w:ascii="Calibri" w:eastAsia="Calibri" w:hAnsi="Calibri" w:cs="Calibri"/>
          <w:color w:val="00188F"/>
          <w:sz w:val="18"/>
          <w:szCs w:val="18"/>
        </w:rPr>
        <w:t xml:space="preserve"> </w:t>
      </w:r>
      <w:r>
        <w:rPr>
          <w:rFonts w:ascii="Calibri" w:eastAsia="Calibri" w:hAnsi="Calibri" w:cs="Calibri"/>
          <w:sz w:val="18"/>
          <w:szCs w:val="18"/>
        </w:rPr>
        <w:t>to całkowita liczba minut w ramach Maksymalnej Liczby Dostępnych Minut, w trakcie których Węzeł jest niedostępny. Minutę jest uznawana za minutę niedostępności, jeżeli wszystkie ciągłe próby nawiązania połączenia z Węzłem podejmowane przez Klienta zwróciły kod błędu lub nie udzieliły odpowiedzi w ciągu tej minuty.</w:t>
      </w:r>
    </w:p>
    <w:p w14:paraId="27D354B5"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b/>
          <w:bCs/>
          <w:color w:val="00188F"/>
          <w:sz w:val="18"/>
          <w:szCs w:val="18"/>
        </w:rPr>
        <w:t>„Procent Czasu Sprawnego Działania"</w:t>
      </w:r>
      <w:r>
        <w:rPr>
          <w:rFonts w:ascii="Calibri" w:eastAsia="Calibri" w:hAnsi="Calibri" w:cs="Calibri"/>
          <w:color w:val="00188F"/>
          <w:sz w:val="18"/>
          <w:szCs w:val="18"/>
        </w:rPr>
        <w:t xml:space="preserve"> </w:t>
      </w:r>
      <w:r>
        <w:rPr>
          <w:rFonts w:ascii="Calibri" w:eastAsia="Calibri" w:hAnsi="Calibri" w:cs="Calibri"/>
          <w:sz w:val="18"/>
          <w:szCs w:val="18"/>
        </w:rPr>
        <w:t xml:space="preserve">dla Węzła Wysokiej Dostępności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DocumentDB</w:t>
      </w:r>
      <w:proofErr w:type="spellEnd"/>
      <w:r>
        <w:rPr>
          <w:rFonts w:ascii="Calibri" w:eastAsia="Calibri" w:hAnsi="Calibri" w:cs="Calibri"/>
          <w:sz w:val="18"/>
          <w:szCs w:val="18"/>
        </w:rPr>
        <w:t xml:space="preserve"> jest obliczany jako Maksymalna Liczba Dostępnych Minut pomniejszona o Przestój podzielona przez Maksymalną Liczbę Dostępnych Minut.</w:t>
      </w:r>
    </w:p>
    <w:p w14:paraId="71656923" w14:textId="77777777" w:rsidR="007D3D64" w:rsidRPr="00A15C3C" w:rsidRDefault="007D3D64" w:rsidP="007D3D64">
      <w:pPr>
        <w:spacing w:after="0" w:line="240" w:lineRule="auto"/>
        <w:rPr>
          <w:rFonts w:ascii="Calibri" w:eastAsia="Calibri" w:hAnsi="Calibri" w:cs="Calibri"/>
          <w:sz w:val="18"/>
          <w:szCs w:val="18"/>
        </w:rPr>
      </w:pPr>
      <w:r>
        <w:rPr>
          <w:rFonts w:ascii="Calibri" w:eastAsia="Calibri" w:hAnsi="Calibri" w:cs="Calibri"/>
          <w:sz w:val="18"/>
          <w:szCs w:val="18"/>
        </w:rPr>
        <w:t>Procent Czasu Sprawnego Działania jest obliczany przy użyciu następującego wzoru:</w:t>
      </w:r>
    </w:p>
    <w:p w14:paraId="5A7F4532" w14:textId="77777777" w:rsidR="007D3D64" w:rsidRPr="00A15C3C" w:rsidRDefault="00000000" w:rsidP="007D3D64">
      <w:pPr>
        <w:tabs>
          <w:tab w:val="left" w:pos="360"/>
          <w:tab w:val="left" w:pos="720"/>
          <w:tab w:val="left" w:pos="1080"/>
        </w:tabs>
        <w:spacing w:before="120" w:after="120" w:line="240" w:lineRule="auto"/>
        <w:rPr>
          <w:rFonts w:ascii="Calibri" w:eastAsia="PMingLiU" w:hAnsi="Calibri" w:cs="Calibri"/>
          <w:sz w:val="18"/>
          <w:szCs w:val="18"/>
        </w:rPr>
      </w:pPr>
      <m:oMathPara>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Maksymalna Liczba Minut Dostępności - Przestój</m:t>
              </m:r>
            </m:num>
            <m:den>
              <m:r>
                <m:rPr>
                  <m:nor/>
                </m:rPr>
                <w:rPr>
                  <w:rFonts w:ascii="Cambria Math" w:eastAsia="Calibri" w:hAnsi="Cambria Math" w:cs="Calibri"/>
                  <w:i/>
                  <w:sz w:val="18"/>
                  <w:szCs w:val="18"/>
                </w:rPr>
                <m:t>Maksymalna Liczba Dostępnych Minut</m:t>
              </m:r>
            </m:den>
          </m:f>
          <m:r>
            <w:rPr>
              <w:rFonts w:ascii="Cambria Math" w:eastAsia="Calibri" w:hAnsi="Cambria Math" w:cs="Calibri"/>
              <w:sz w:val="18"/>
              <w:szCs w:val="18"/>
            </w:rPr>
            <m:t xml:space="preserve"> x 100</m:t>
          </m:r>
        </m:oMath>
      </m:oMathPara>
    </w:p>
    <w:p w14:paraId="5F8E7524" w14:textId="77777777" w:rsidR="007D3D64" w:rsidRPr="00A15C3C" w:rsidRDefault="007D3D64" w:rsidP="007D3D64">
      <w:pPr>
        <w:spacing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 xml:space="preserve">Poniższe Poziomy Usługi i Środki Serwisowe na Używanie Usług mają zastosowanie do korzystania przez Klienta z Węzła Wysokiej Dostępności Microsoft </w:t>
      </w:r>
      <w:proofErr w:type="spellStart"/>
      <w:r>
        <w:rPr>
          <w:rFonts w:ascii="Calibri" w:eastAsia="Calibri" w:hAnsi="Calibri" w:cs="Arial"/>
          <w:b/>
          <w:bCs/>
          <w:color w:val="00188F"/>
          <w:sz w:val="18"/>
          <w:szCs w:val="18"/>
        </w:rPr>
        <w:t>Azure</w:t>
      </w:r>
      <w:proofErr w:type="spellEnd"/>
      <w:r>
        <w:rPr>
          <w:rFonts w:ascii="Calibri" w:eastAsia="Calibri" w:hAnsi="Calibri" w:cs="Arial"/>
          <w:b/>
          <w:bCs/>
          <w:color w:val="00188F"/>
          <w:sz w:val="18"/>
          <w:szCs w:val="18"/>
        </w:rPr>
        <w:t xml:space="preserve"> </w:t>
      </w:r>
      <w:proofErr w:type="spellStart"/>
      <w:r>
        <w:rPr>
          <w:rFonts w:ascii="Calibri" w:eastAsia="Calibri" w:hAnsi="Calibri" w:cs="Arial"/>
          <w:b/>
          <w:bCs/>
          <w:color w:val="00188F"/>
          <w:sz w:val="18"/>
          <w:szCs w:val="18"/>
        </w:rPr>
        <w:t>DocumentDB</w:t>
      </w:r>
      <w:proofErr w:type="spellEnd"/>
      <w:r>
        <w:rPr>
          <w:rFonts w:ascii="Calibri" w:eastAsia="Calibri" w:hAnsi="Calibri" w:cs="Arial"/>
          <w:b/>
          <w:bCs/>
          <w:color w:val="00188F"/>
          <w:sz w:val="18"/>
          <w:szCs w:val="18"/>
        </w:rPr>
        <w:t xml:space="preserve"> skonfigurowanego tak, aby obejmował dwa lub więcej regionów świadczenia platformy </w:t>
      </w:r>
      <w:proofErr w:type="spellStart"/>
      <w:r>
        <w:rPr>
          <w:rFonts w:ascii="Calibri" w:eastAsia="Calibri" w:hAnsi="Calibri" w:cs="Arial"/>
          <w:b/>
          <w:bCs/>
          <w:color w:val="00188F"/>
          <w:sz w:val="18"/>
          <w:szCs w:val="18"/>
        </w:rPr>
        <w:t>Azure</w:t>
      </w:r>
      <w:proofErr w:type="spellEnd"/>
      <w:r>
        <w:rPr>
          <w:rFonts w:ascii="Calibri" w:eastAsia="Calibri" w:hAnsi="Calibri" w:cs="Arial"/>
          <w:b/>
          <w:bCs/>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D3D64" w:rsidRPr="00A15C3C" w14:paraId="241BD18B" w14:textId="77777777" w:rsidTr="00954FA1">
        <w:trPr>
          <w:trHeight w:val="245"/>
          <w:tblHeader/>
        </w:trPr>
        <w:tc>
          <w:tcPr>
            <w:tcW w:w="5400" w:type="dxa"/>
            <w:shd w:val="clear" w:color="auto" w:fill="0072C6"/>
          </w:tcPr>
          <w:p w14:paraId="7730C815"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2578BDF3"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7D3D64" w:rsidRPr="00A15C3C" w14:paraId="75FF0291" w14:textId="77777777" w:rsidTr="00954FA1">
        <w:trPr>
          <w:trHeight w:val="245"/>
        </w:trPr>
        <w:tc>
          <w:tcPr>
            <w:tcW w:w="5400" w:type="dxa"/>
          </w:tcPr>
          <w:p w14:paraId="5A429929"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&lt;99,995%</w:t>
            </w:r>
          </w:p>
        </w:tc>
        <w:tc>
          <w:tcPr>
            <w:tcW w:w="5400" w:type="dxa"/>
          </w:tcPr>
          <w:p w14:paraId="47FAA7AA" w14:textId="77777777" w:rsidR="007D3D64" w:rsidRPr="00A15C3C" w:rsidRDefault="007D3D64"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D3D64" w:rsidRPr="00A15C3C" w14:paraId="0DFA3736" w14:textId="77777777" w:rsidTr="00954FA1">
        <w:trPr>
          <w:trHeight w:val="245"/>
        </w:trPr>
        <w:tc>
          <w:tcPr>
            <w:tcW w:w="5400" w:type="dxa"/>
          </w:tcPr>
          <w:p w14:paraId="53125E66"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02BC5449"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5324B90F" w14:textId="77777777" w:rsidR="007D3D64" w:rsidRPr="00A15C3C" w:rsidRDefault="007D3D64" w:rsidP="007D3D64">
      <w:pPr>
        <w:spacing w:before="120" w:after="0" w:line="240" w:lineRule="auto"/>
        <w:rPr>
          <w:rFonts w:ascii="Calibri" w:eastAsia="Calibri" w:hAnsi="Calibri" w:cs="Arial"/>
          <w:b/>
          <w:bCs/>
          <w:color w:val="00188F"/>
          <w:sz w:val="18"/>
          <w:szCs w:val="18"/>
        </w:rPr>
      </w:pPr>
      <w:r>
        <w:rPr>
          <w:rFonts w:ascii="Calibri" w:eastAsia="Calibri" w:hAnsi="Calibri" w:cs="Arial"/>
          <w:b/>
          <w:bCs/>
          <w:color w:val="00188F"/>
          <w:sz w:val="18"/>
          <w:szCs w:val="18"/>
        </w:rPr>
        <w:t xml:space="preserve">Następujące Poziomy Usługi i Środki Serwisowe na Używanie Usług mogą być wykorzystywane przez Klienta z Węzła Wysokiej Dostępności Microsoft </w:t>
      </w:r>
      <w:proofErr w:type="spellStart"/>
      <w:r>
        <w:rPr>
          <w:rFonts w:ascii="Calibri" w:eastAsia="Calibri" w:hAnsi="Calibri" w:cs="Arial"/>
          <w:b/>
          <w:bCs/>
          <w:color w:val="00188F"/>
          <w:sz w:val="18"/>
          <w:szCs w:val="18"/>
        </w:rPr>
        <w:t>Azure</w:t>
      </w:r>
      <w:proofErr w:type="spellEnd"/>
      <w:r>
        <w:rPr>
          <w:rFonts w:ascii="Calibri" w:eastAsia="Calibri" w:hAnsi="Calibri" w:cs="Arial"/>
          <w:b/>
          <w:bCs/>
          <w:color w:val="00188F"/>
          <w:sz w:val="18"/>
          <w:szCs w:val="18"/>
        </w:rPr>
        <w:t xml:space="preserve"> </w:t>
      </w:r>
      <w:proofErr w:type="spellStart"/>
      <w:r>
        <w:rPr>
          <w:rFonts w:ascii="Calibri" w:eastAsia="Calibri" w:hAnsi="Calibri" w:cs="Arial"/>
          <w:b/>
          <w:bCs/>
          <w:color w:val="00188F"/>
          <w:sz w:val="18"/>
          <w:szCs w:val="18"/>
        </w:rPr>
        <w:t>DocumentDB</w:t>
      </w:r>
      <w:proofErr w:type="spellEnd"/>
      <w:r>
        <w:rPr>
          <w:rFonts w:ascii="Calibri" w:eastAsia="Calibri" w:hAnsi="Calibri" w:cs="Arial"/>
          <w:b/>
          <w:bCs/>
          <w:color w:val="00188F"/>
          <w:sz w:val="18"/>
          <w:szCs w:val="18"/>
        </w:rPr>
        <w:t xml:space="preserve"> obejmującego pojedynczy region świadczenia platformy </w:t>
      </w:r>
      <w:proofErr w:type="spellStart"/>
      <w:r>
        <w:rPr>
          <w:rFonts w:ascii="Calibri" w:eastAsia="Calibri" w:hAnsi="Calibri" w:cs="Arial"/>
          <w:b/>
          <w:bCs/>
          <w:color w:val="00188F"/>
          <w:sz w:val="18"/>
          <w:szCs w:val="18"/>
        </w:rPr>
        <w:t>Azure</w:t>
      </w:r>
      <w:proofErr w:type="spellEnd"/>
      <w:r>
        <w:rPr>
          <w:rFonts w:ascii="Calibri" w:eastAsia="Calibri" w:hAnsi="Calibri" w:cs="Arial"/>
          <w:b/>
          <w:bCs/>
          <w:color w:val="00188F"/>
          <w:sz w:val="18"/>
          <w:szCs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D3D64" w:rsidRPr="00A15C3C" w14:paraId="17025339" w14:textId="77777777" w:rsidTr="00954FA1">
        <w:trPr>
          <w:trHeight w:val="245"/>
          <w:tblHeader/>
        </w:trPr>
        <w:tc>
          <w:tcPr>
            <w:tcW w:w="5400" w:type="dxa"/>
            <w:shd w:val="clear" w:color="auto" w:fill="0072C6"/>
          </w:tcPr>
          <w:p w14:paraId="42DC45E5"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17724D0B"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7D3D64" w:rsidRPr="00A15C3C" w14:paraId="605D81FD" w14:textId="77777777" w:rsidTr="00954FA1">
        <w:trPr>
          <w:trHeight w:val="245"/>
        </w:trPr>
        <w:tc>
          <w:tcPr>
            <w:tcW w:w="5400" w:type="dxa"/>
          </w:tcPr>
          <w:p w14:paraId="4F3F7C56"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&lt;99,99%</w:t>
            </w:r>
          </w:p>
        </w:tc>
        <w:tc>
          <w:tcPr>
            <w:tcW w:w="5400" w:type="dxa"/>
          </w:tcPr>
          <w:p w14:paraId="5191C5C9" w14:textId="77777777" w:rsidR="007D3D64" w:rsidRPr="00A15C3C" w:rsidRDefault="007D3D64" w:rsidP="00954FA1">
            <w:pPr>
              <w:tabs>
                <w:tab w:val="left" w:pos="360"/>
                <w:tab w:val="left" w:pos="720"/>
                <w:tab w:val="left" w:pos="905"/>
                <w:tab w:val="left" w:pos="1080"/>
                <w:tab w:val="center" w:pos="2635"/>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7D3D64" w:rsidRPr="00A15C3C" w14:paraId="61BBE79B" w14:textId="77777777" w:rsidTr="00954FA1">
        <w:trPr>
          <w:trHeight w:val="245"/>
        </w:trPr>
        <w:tc>
          <w:tcPr>
            <w:tcW w:w="5400" w:type="dxa"/>
          </w:tcPr>
          <w:p w14:paraId="7E50BC2B"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7A4FC816" w14:textId="77777777" w:rsidR="007D3D64" w:rsidRPr="00A15C3C" w:rsidRDefault="007D3D64" w:rsidP="00954FA1">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07A8C5E0" w14:textId="77777777" w:rsidR="007D3D64" w:rsidRPr="00EF7CF9" w:rsidRDefault="007D3D64" w:rsidP="007D3D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5480657" w14:textId="5E7BF22A" w:rsidR="009B5D3F" w:rsidRDefault="00006AD2" w:rsidP="00CE29C1">
      <w:pPr>
        <w:pStyle w:val="ProductList-Offering2Heading"/>
        <w:keepNext/>
        <w:tabs>
          <w:tab w:val="clear" w:pos="360"/>
          <w:tab w:val="clear" w:pos="720"/>
          <w:tab w:val="clear" w:pos="1080"/>
        </w:tabs>
        <w:outlineLvl w:val="2"/>
      </w:pPr>
      <w:bookmarkStart w:id="248" w:name="_Toc239175008"/>
      <w:r>
        <w:t xml:space="preserve">Umowa SLA na </w:t>
      </w:r>
      <w:proofErr w:type="spellStart"/>
      <w:r>
        <w:t>Elastic</w:t>
      </w:r>
      <w:proofErr w:type="spellEnd"/>
      <w:r>
        <w:t xml:space="preserve"> San</w:t>
      </w:r>
      <w:bookmarkEnd w:id="248"/>
    </w:p>
    <w:p w14:paraId="51480B3F" w14:textId="77777777" w:rsidR="00126AEF" w:rsidRPr="003E7C35" w:rsidRDefault="00126AEF" w:rsidP="00126AEF">
      <w:pPr>
        <w:pStyle w:val="ProductList-Body"/>
        <w:rPr>
          <w:rFonts w:ascii="Calibri" w:hAnsi="Calibri" w:cs="Calibri"/>
        </w:rPr>
      </w:pPr>
      <w:r>
        <w:rPr>
          <w:rFonts w:ascii="Calibri" w:hAnsi="Calibri" w:cs="Calibri"/>
          <w:b/>
          <w:color w:val="00188F"/>
        </w:rPr>
        <w:t>Dodatkowe definicje</w:t>
      </w:r>
      <w:r w:rsidRPr="001D70B7">
        <w:rPr>
          <w:rFonts w:ascii="Calibri" w:hAnsi="Calibri" w:cs="Calibri"/>
          <w:b/>
          <w:bCs/>
        </w:rPr>
        <w:t>:</w:t>
      </w:r>
    </w:p>
    <w:p w14:paraId="53E443E1" w14:textId="77777777" w:rsidR="00126AEF" w:rsidRPr="00C50345" w:rsidRDefault="00126AEF" w:rsidP="00126AEF">
      <w:pPr>
        <w:pStyle w:val="ProductList-Body"/>
        <w:rPr>
          <w:rFonts w:ascii="Calibri" w:eastAsia="Segoe UI" w:hAnsi="Calibri" w:cs="Calibri"/>
          <w:color w:val="1A1A1A"/>
        </w:rPr>
      </w:pPr>
      <w:r w:rsidRPr="001D70B7">
        <w:rPr>
          <w:rFonts w:ascii="Calibri" w:hAnsi="Calibri" w:cs="Calibri"/>
          <w:bCs/>
        </w:rPr>
        <w:t>„</w:t>
      </w:r>
      <w:r>
        <w:rPr>
          <w:rFonts w:ascii="Calibri" w:hAnsi="Calibri" w:cs="Calibri"/>
          <w:b/>
          <w:color w:val="00188F"/>
        </w:rPr>
        <w:t>Łączna Liczba Transakcji Magazynowych</w:t>
      </w:r>
      <w:r w:rsidRPr="00FA3D2E">
        <w:rPr>
          <w:rFonts w:ascii="Calibri" w:hAnsi="Calibri" w:cs="Calibri"/>
          <w:bCs/>
        </w:rPr>
        <w:t>”</w:t>
      </w:r>
      <w:r>
        <w:rPr>
          <w:rFonts w:ascii="Calibri" w:hAnsi="Calibri" w:cs="Calibri"/>
        </w:rPr>
        <w:t xml:space="preserve"> </w:t>
      </w:r>
      <w:r w:rsidRPr="00C50345">
        <w:rPr>
          <w:rFonts w:ascii="Calibri" w:eastAsia="Segoe UI" w:hAnsi="Calibri" w:cs="Calibri"/>
          <w:color w:val="1A1A1A"/>
        </w:rPr>
        <w:t xml:space="preserve">to zbiór wszystkich transakcji magazynowych podjętych w odstępie jednej godziny na pojedynczym woluminie </w:t>
      </w:r>
      <w:proofErr w:type="spellStart"/>
      <w:r w:rsidRPr="00C50345">
        <w:rPr>
          <w:rFonts w:ascii="Calibri" w:eastAsia="Segoe UI" w:hAnsi="Calibri" w:cs="Calibri"/>
          <w:color w:val="1A1A1A"/>
        </w:rPr>
        <w:t>Elastic</w:t>
      </w:r>
      <w:proofErr w:type="spellEnd"/>
      <w:r w:rsidRPr="00C50345">
        <w:rPr>
          <w:rFonts w:ascii="Calibri" w:eastAsia="Segoe UI" w:hAnsi="Calibri" w:cs="Calibri"/>
          <w:color w:val="1A1A1A"/>
        </w:rPr>
        <w:t xml:space="preserve"> SAN, gdzie całkowita liczba transakcji jest większa niż 10 000. Jedynym typem transakcji pamięci masowej obsługiwanym przez </w:t>
      </w:r>
      <w:proofErr w:type="spellStart"/>
      <w:r w:rsidRPr="00C50345">
        <w:rPr>
          <w:rFonts w:ascii="Calibri" w:eastAsia="Segoe UI" w:hAnsi="Calibri" w:cs="Calibri"/>
          <w:color w:val="1A1A1A"/>
        </w:rPr>
        <w:t>Elastic</w:t>
      </w:r>
      <w:proofErr w:type="spellEnd"/>
      <w:r w:rsidRPr="00C50345">
        <w:rPr>
          <w:rFonts w:ascii="Calibri" w:eastAsia="Segoe UI" w:hAnsi="Calibri" w:cs="Calibri"/>
          <w:color w:val="1A1A1A"/>
        </w:rPr>
        <w:t xml:space="preserve"> SAN są operacje </w:t>
      </w:r>
      <w:proofErr w:type="spellStart"/>
      <w:r w:rsidRPr="00C50345">
        <w:rPr>
          <w:rFonts w:ascii="Calibri" w:eastAsia="Segoe UI" w:hAnsi="Calibri" w:cs="Calibri"/>
          <w:color w:val="1A1A1A"/>
        </w:rPr>
        <w:t>iSCSI</w:t>
      </w:r>
      <w:proofErr w:type="spellEnd"/>
      <w:r w:rsidRPr="00C50345">
        <w:rPr>
          <w:rFonts w:ascii="Calibri" w:eastAsia="Segoe UI" w:hAnsi="Calibri" w:cs="Calibri"/>
          <w:color w:val="1A1A1A"/>
        </w:rPr>
        <w:t xml:space="preserve">. </w:t>
      </w:r>
    </w:p>
    <w:p w14:paraId="770D0054" w14:textId="77777777" w:rsidR="00126AEF" w:rsidRPr="00C50345" w:rsidRDefault="00126AEF" w:rsidP="00126AEF">
      <w:pPr>
        <w:pStyle w:val="ProductList-Body"/>
        <w:rPr>
          <w:rFonts w:ascii="Calibri" w:eastAsia="Segoe UI" w:hAnsi="Calibri" w:cs="Calibri"/>
          <w:color w:val="1A1A1A"/>
        </w:rPr>
      </w:pPr>
      <w:r w:rsidRPr="001D70B7">
        <w:rPr>
          <w:rFonts w:ascii="Calibri" w:hAnsi="Calibri" w:cs="Calibri"/>
          <w:bCs/>
        </w:rPr>
        <w:t>„</w:t>
      </w:r>
      <w:r>
        <w:rPr>
          <w:rFonts w:ascii="Calibri" w:hAnsi="Calibri" w:cs="Calibri"/>
          <w:b/>
          <w:color w:val="00188F"/>
        </w:rPr>
        <w:t>Łączna Liczba Nieudanych Transakcji Magazynowych</w:t>
      </w:r>
      <w:r w:rsidRPr="00FA3D2E">
        <w:rPr>
          <w:rFonts w:ascii="Calibri" w:hAnsi="Calibri" w:cs="Calibri"/>
          <w:bCs/>
        </w:rPr>
        <w:t>”</w:t>
      </w:r>
      <w:r>
        <w:rPr>
          <w:rFonts w:eastAsia="Segoe UI"/>
          <w:color w:val="1A1A1A"/>
        </w:rPr>
        <w:t xml:space="preserve"> </w:t>
      </w:r>
      <w:r w:rsidRPr="00C50345">
        <w:rPr>
          <w:rFonts w:ascii="Calibri" w:eastAsia="Segoe UI" w:hAnsi="Calibri" w:cs="Calibri"/>
          <w:color w:val="1A1A1A"/>
        </w:rPr>
        <w:t xml:space="preserve">to zbiór wszystkich transakcji odczytu i zapisu w ramach Łącznej liczby transakcji magazynowych, które nie zostały zakończone pomyślną odpowiedzią z powodu awarii po stronie usługi, z wyłączeniem błędów po stronie klienta oraz błędów ograniczających przepustowość serwera. </w:t>
      </w:r>
    </w:p>
    <w:p w14:paraId="48D27E71" w14:textId="77777777" w:rsidR="00126AEF" w:rsidRPr="003162C4" w:rsidRDefault="00126AEF" w:rsidP="00126AEF">
      <w:pPr>
        <w:pStyle w:val="ProductList-Body"/>
        <w:rPr>
          <w:rFonts w:ascii="Calibri" w:eastAsia="Segoe UI" w:hAnsi="Calibri" w:cs="Calibri"/>
          <w:color w:val="1A1A1A"/>
        </w:rPr>
      </w:pPr>
      <w:r w:rsidRPr="003162C4">
        <w:rPr>
          <w:rFonts w:ascii="Calibri" w:hAnsi="Calibri" w:cs="Calibri"/>
          <w:bCs/>
        </w:rPr>
        <w:t>„</w:t>
      </w:r>
      <w:r w:rsidRPr="003162C4">
        <w:rPr>
          <w:rFonts w:ascii="Calibri" w:hAnsi="Calibri" w:cs="Calibri"/>
          <w:b/>
          <w:color w:val="00188F"/>
        </w:rPr>
        <w:t>Procent Czasu Sprawnego Działania w Miesiącu</w:t>
      </w:r>
      <w:r w:rsidRPr="003162C4">
        <w:rPr>
          <w:rFonts w:ascii="Calibri" w:hAnsi="Calibri" w:cs="Calibri"/>
          <w:bCs/>
        </w:rPr>
        <w:t>”</w:t>
      </w:r>
      <w:r w:rsidRPr="003162C4">
        <w:rPr>
          <w:rStyle w:val="Strong"/>
          <w:rFonts w:ascii="Calibri" w:hAnsi="Calibri" w:cs="Calibri"/>
          <w:shd w:val="clear" w:color="auto" w:fill="FFFFFF"/>
        </w:rPr>
        <w:t>:</w:t>
      </w:r>
      <w:r w:rsidRPr="003162C4">
        <w:rPr>
          <w:rFonts w:ascii="Calibri" w:hAnsi="Calibri" w:cs="Calibri"/>
          <w:shd w:val="clear" w:color="auto" w:fill="FFFFFF"/>
        </w:rPr>
        <w:t xml:space="preserve"> Procent Czasu Sprawnego Działania w Miesiącu usługi </w:t>
      </w:r>
      <w:proofErr w:type="spellStart"/>
      <w:r w:rsidRPr="003162C4">
        <w:rPr>
          <w:rFonts w:ascii="Calibri" w:hAnsi="Calibri" w:cs="Calibri"/>
          <w:shd w:val="clear" w:color="auto" w:fill="FFFFFF"/>
        </w:rPr>
        <w:t>Azure</w:t>
      </w:r>
      <w:proofErr w:type="spellEnd"/>
      <w:r w:rsidRPr="003162C4">
        <w:rPr>
          <w:rFonts w:ascii="Calibri" w:hAnsi="Calibri" w:cs="Calibri"/>
          <w:shd w:val="clear" w:color="auto" w:fill="FFFFFF"/>
        </w:rPr>
        <w:t xml:space="preserve"> </w:t>
      </w:r>
      <w:proofErr w:type="spellStart"/>
      <w:r w:rsidRPr="003162C4">
        <w:rPr>
          <w:rFonts w:ascii="Calibri" w:hAnsi="Calibri" w:cs="Calibri"/>
          <w:shd w:val="clear" w:color="auto" w:fill="FFFFFF"/>
        </w:rPr>
        <w:t>Elastic</w:t>
      </w:r>
      <w:proofErr w:type="spellEnd"/>
      <w:r w:rsidRPr="003162C4">
        <w:rPr>
          <w:rFonts w:ascii="Calibri" w:hAnsi="Calibri" w:cs="Calibri"/>
          <w:shd w:val="clear" w:color="auto" w:fill="FFFFFF"/>
        </w:rPr>
        <w:t xml:space="preserve"> SAN na pojedynczym woluminie jest obliczany jako średnia wszystkich procentów dostępności interwałów jednogodzinnych, która jest obliczana przy użyciu następującego wzoru:</w:t>
      </w:r>
      <w:r w:rsidRPr="003162C4">
        <w:rPr>
          <w:rFonts w:ascii="Calibri" w:eastAsia="Segoe UI" w:hAnsi="Calibri" w:cs="Calibri"/>
          <w:color w:val="1A1A1A"/>
        </w:rPr>
        <w:t xml:space="preserve"> </w:t>
      </w:r>
    </w:p>
    <w:p w14:paraId="769F96A3" w14:textId="77777777" w:rsidR="00126AEF" w:rsidRDefault="00000000" w:rsidP="007B0376">
      <w:pPr>
        <w:pStyle w:val="ProductList-Body"/>
        <w:spacing w:before="120" w:after="120"/>
        <w:rPr>
          <w:rFonts w:eastAsia="Segoe UI"/>
          <w:color w:val="1A1A1A"/>
        </w:rPr>
      </w:pPr>
      <m:oMathPara>
        <m:oMath>
          <m:f>
            <m:fPr>
              <m:ctrlPr>
                <w:rPr>
                  <w:rFonts w:ascii="Cambria Math" w:hAnsi="Cambria Math"/>
                </w:rPr>
              </m:ctrlPr>
            </m:fPr>
            <m:num>
              <m:r>
                <m:rPr>
                  <m:nor/>
                </m:rPr>
                <w:rPr>
                  <w:rFonts w:ascii="Cambria Math" w:hAnsi="Cambria Math"/>
                  <w:i/>
                  <w:iCs/>
                </w:rPr>
                <m:t>Łączna liczba transakcji magazynowych — Nieudane transakcje magazynowe</m:t>
              </m:r>
            </m:num>
            <m:den>
              <m:r>
                <m:rPr>
                  <m:nor/>
                </m:rPr>
                <w:rPr>
                  <w:rFonts w:ascii="Cambria Math" w:hAnsi="Cambria Math"/>
                  <w:i/>
                  <w:iCs/>
                </w:rPr>
                <m:t>Łączna liczba transakcji magazynowych</m:t>
              </m:r>
            </m:den>
          </m:f>
          <m:r>
            <w:rPr>
              <w:rFonts w:ascii="Cambria Math" w:hAnsi="Cambria Math"/>
            </w:rPr>
            <m:t>×100</m:t>
          </m:r>
        </m:oMath>
      </m:oMathPara>
    </w:p>
    <w:p w14:paraId="2A026968" w14:textId="77777777" w:rsidR="007B0376" w:rsidRDefault="007B0376" w:rsidP="00B80E5C">
      <w:pPr>
        <w:pStyle w:val="ProductList-Body"/>
        <w:rPr>
          <w:b/>
          <w:color w:val="00188F"/>
        </w:rPr>
      </w:pPr>
    </w:p>
    <w:p w14:paraId="61A11FA3" w14:textId="5ADEA23A" w:rsidR="00126AEF" w:rsidRPr="000F5508" w:rsidRDefault="00126AEF" w:rsidP="00B80E5C">
      <w:pPr>
        <w:pStyle w:val="ProductList-Body"/>
      </w:pPr>
      <w:r>
        <w:rPr>
          <w:b/>
          <w:color w:val="00188F"/>
        </w:rPr>
        <w:t>Środki na Używanie Usług:</w:t>
      </w:r>
      <w:r>
        <w:t xml:space="preserve"> </w:t>
      </w:r>
      <w:proofErr w:type="spellStart"/>
      <w:r>
        <w:t>Elastic</w:t>
      </w:r>
      <w:proofErr w:type="spellEnd"/>
      <w:r>
        <w:t xml:space="preserve"> SAN w LRS, ZRS (żądania odczytu i zapisu), gdzie łączna liczba woluminów </w:t>
      </w:r>
      <w:proofErr w:type="spellStart"/>
      <w:r>
        <w:t>Elastic</w:t>
      </w:r>
      <w:proofErr w:type="spellEnd"/>
      <w:r>
        <w:t xml:space="preserve"> SAN &gt; 10 i &gt; 10% woluminów w ramach tego wdrożenia </w:t>
      </w:r>
      <w:proofErr w:type="spellStart"/>
      <w:r>
        <w:t>Elastic</w:t>
      </w:r>
      <w:proofErr w:type="spellEnd"/>
      <w:r>
        <w:t xml:space="preserve"> SAN nie spełnia warunków umowy SLA:</w:t>
      </w:r>
    </w:p>
    <w:tbl>
      <w:tblPr>
        <w:tblStyle w:val="TableGrid"/>
        <w:tblW w:w="0" w:type="auto"/>
        <w:tblLook w:val="04A0" w:firstRow="1" w:lastRow="0" w:firstColumn="1" w:lastColumn="0" w:noHBand="0" w:noVBand="1"/>
      </w:tblPr>
      <w:tblGrid>
        <w:gridCol w:w="5197"/>
        <w:gridCol w:w="5593"/>
      </w:tblGrid>
      <w:tr w:rsidR="00126AEF" w14:paraId="224387D9" w14:textId="77777777" w:rsidTr="00215B1F">
        <w:trPr>
          <w:trHeight w:val="170"/>
        </w:trPr>
        <w:tc>
          <w:tcPr>
            <w:tcW w:w="5197" w:type="dxa"/>
            <w:shd w:val="clear" w:color="auto" w:fill="0072C6"/>
            <w:vAlign w:val="center"/>
          </w:tcPr>
          <w:p w14:paraId="7D47A6E6" w14:textId="77777777" w:rsidR="00126AEF" w:rsidRPr="00B80E5C" w:rsidRDefault="00126AEF" w:rsidP="00B80E5C">
            <w:pPr>
              <w:pStyle w:val="ProductList-OfferingBody"/>
              <w:jc w:val="center"/>
              <w:rPr>
                <w:rFonts w:cstheme="minorHAnsi"/>
                <w:color w:val="FFFFFF" w:themeColor="background1"/>
              </w:rPr>
            </w:pPr>
            <w:bookmarkStart w:id="249" w:name="_Toc178180855"/>
            <w:r w:rsidRPr="00B80E5C">
              <w:rPr>
                <w:rFonts w:cstheme="minorHAnsi"/>
                <w:color w:val="FFFFFF" w:themeColor="background1"/>
              </w:rPr>
              <w:t>Procent Czasu Sprawnego Działania w Miesiącu (na wolumin)</w:t>
            </w:r>
            <w:bookmarkEnd w:id="249"/>
          </w:p>
        </w:tc>
        <w:tc>
          <w:tcPr>
            <w:tcW w:w="5593" w:type="dxa"/>
            <w:shd w:val="clear" w:color="auto" w:fill="0072C6"/>
            <w:vAlign w:val="center"/>
          </w:tcPr>
          <w:p w14:paraId="40DABAF8" w14:textId="77777777" w:rsidR="00126AEF" w:rsidRPr="00B80E5C" w:rsidRDefault="00126AEF" w:rsidP="00B80E5C">
            <w:pPr>
              <w:pStyle w:val="ProductList-OfferingBody"/>
              <w:jc w:val="center"/>
              <w:rPr>
                <w:rFonts w:cstheme="minorHAnsi"/>
                <w:color w:val="FFFFFF" w:themeColor="background1"/>
              </w:rPr>
            </w:pPr>
            <w:bookmarkStart w:id="250" w:name="_Toc178180856"/>
            <w:r w:rsidRPr="00B80E5C">
              <w:rPr>
                <w:rFonts w:cstheme="minorHAnsi"/>
                <w:color w:val="FFFFFF" w:themeColor="background1"/>
              </w:rPr>
              <w:t xml:space="preserve">Środki na Używanie Usług (na podstawie miesięcznego wykorzystania </w:t>
            </w:r>
            <w:proofErr w:type="spellStart"/>
            <w:r w:rsidRPr="00B80E5C">
              <w:rPr>
                <w:rFonts w:cstheme="minorHAnsi"/>
                <w:color w:val="FFFFFF" w:themeColor="background1"/>
              </w:rPr>
              <w:t>Elastic</w:t>
            </w:r>
            <w:proofErr w:type="spellEnd"/>
            <w:r w:rsidRPr="00B80E5C">
              <w:rPr>
                <w:rFonts w:cstheme="minorHAnsi"/>
                <w:color w:val="FFFFFF" w:themeColor="background1"/>
              </w:rPr>
              <w:t xml:space="preserve"> SAN)</w:t>
            </w:r>
            <w:bookmarkEnd w:id="250"/>
          </w:p>
        </w:tc>
      </w:tr>
      <w:tr w:rsidR="00126AEF" w14:paraId="2A93FB26" w14:textId="77777777" w:rsidTr="00215B1F">
        <w:trPr>
          <w:trHeight w:val="70"/>
        </w:trPr>
        <w:tc>
          <w:tcPr>
            <w:tcW w:w="5197" w:type="dxa"/>
            <w:vAlign w:val="center"/>
          </w:tcPr>
          <w:p w14:paraId="13BF5BD0" w14:textId="77777777" w:rsidR="00126AEF" w:rsidRPr="00B80E5C" w:rsidRDefault="00126AEF" w:rsidP="00B80E5C">
            <w:pPr>
              <w:pStyle w:val="ProductList-OfferingBody"/>
              <w:jc w:val="center"/>
              <w:rPr>
                <w:rFonts w:cstheme="minorHAnsi"/>
              </w:rPr>
            </w:pPr>
            <w:bookmarkStart w:id="251" w:name="_Toc178180857"/>
            <w:r w:rsidRPr="00B80E5C">
              <w:rPr>
                <w:rFonts w:cstheme="minorHAnsi"/>
              </w:rPr>
              <w:t>&lt;99,99%</w:t>
            </w:r>
            <w:bookmarkEnd w:id="251"/>
          </w:p>
        </w:tc>
        <w:tc>
          <w:tcPr>
            <w:tcW w:w="5593" w:type="dxa"/>
            <w:vAlign w:val="center"/>
          </w:tcPr>
          <w:p w14:paraId="2F31F515" w14:textId="77777777" w:rsidR="00126AEF" w:rsidRPr="00B80E5C" w:rsidRDefault="00126AEF" w:rsidP="00B80E5C">
            <w:pPr>
              <w:pStyle w:val="ProductList-OfferingBody"/>
              <w:jc w:val="center"/>
              <w:rPr>
                <w:rFonts w:cstheme="minorHAnsi"/>
              </w:rPr>
            </w:pPr>
            <w:bookmarkStart w:id="252" w:name="_Toc178180858"/>
            <w:r w:rsidRPr="00B80E5C">
              <w:rPr>
                <w:rFonts w:cstheme="minorHAnsi"/>
              </w:rPr>
              <w:t>5%</w:t>
            </w:r>
            <w:bookmarkEnd w:id="252"/>
          </w:p>
        </w:tc>
      </w:tr>
      <w:tr w:rsidR="00126AEF" w14:paraId="642CBF8C" w14:textId="77777777" w:rsidTr="00215B1F">
        <w:tc>
          <w:tcPr>
            <w:tcW w:w="5197" w:type="dxa"/>
            <w:vAlign w:val="center"/>
          </w:tcPr>
          <w:p w14:paraId="0A16B674" w14:textId="77777777" w:rsidR="00126AEF" w:rsidRPr="00B80E5C" w:rsidRDefault="00126AEF" w:rsidP="00B80E5C">
            <w:pPr>
              <w:pStyle w:val="ProductList-OfferingBody"/>
              <w:jc w:val="center"/>
              <w:rPr>
                <w:rFonts w:cstheme="minorHAnsi"/>
              </w:rPr>
            </w:pPr>
            <w:bookmarkStart w:id="253" w:name="_Toc178180859"/>
            <w:r w:rsidRPr="00B80E5C">
              <w:rPr>
                <w:rFonts w:cstheme="minorHAnsi"/>
              </w:rPr>
              <w:t>&lt;99%</w:t>
            </w:r>
            <w:bookmarkEnd w:id="253"/>
          </w:p>
        </w:tc>
        <w:tc>
          <w:tcPr>
            <w:tcW w:w="5593" w:type="dxa"/>
            <w:vAlign w:val="center"/>
          </w:tcPr>
          <w:p w14:paraId="246224DC" w14:textId="77777777" w:rsidR="00126AEF" w:rsidRPr="00B80E5C" w:rsidRDefault="00126AEF" w:rsidP="00B80E5C">
            <w:pPr>
              <w:pStyle w:val="ProductList-OfferingBody"/>
              <w:jc w:val="center"/>
              <w:rPr>
                <w:rFonts w:cstheme="minorHAnsi"/>
              </w:rPr>
            </w:pPr>
            <w:bookmarkStart w:id="254" w:name="_Toc178180860"/>
            <w:r w:rsidRPr="00B80E5C">
              <w:rPr>
                <w:rFonts w:cstheme="minorHAnsi"/>
              </w:rPr>
              <w:t>10%</w:t>
            </w:r>
            <w:bookmarkEnd w:id="254"/>
          </w:p>
        </w:tc>
      </w:tr>
    </w:tbl>
    <w:p w14:paraId="23BD3D78" w14:textId="77777777" w:rsidR="00126AEF" w:rsidRDefault="00126AEF" w:rsidP="00126AEF">
      <w:pPr>
        <w:spacing w:after="0" w:line="240" w:lineRule="auto"/>
        <w:rPr>
          <w:rFonts w:ascii="Calibri" w:hAnsi="Calibri" w:cs="Calibri"/>
          <w:b/>
          <w:color w:val="00188F"/>
          <w:sz w:val="18"/>
        </w:rPr>
      </w:pPr>
    </w:p>
    <w:p w14:paraId="2DEBF5BE" w14:textId="77777777" w:rsidR="00126AEF" w:rsidRDefault="00126AEF" w:rsidP="00B80E5C">
      <w:pPr>
        <w:pStyle w:val="ProductList-Body"/>
      </w:pPr>
      <w:r>
        <w:rPr>
          <w:b/>
          <w:color w:val="00188F"/>
        </w:rPr>
        <w:t>Środki na Używanie Usług:</w:t>
      </w:r>
      <w:r>
        <w:t xml:space="preserve"> </w:t>
      </w:r>
      <w:proofErr w:type="spellStart"/>
      <w:r>
        <w:t>Elastic</w:t>
      </w:r>
      <w:proofErr w:type="spellEnd"/>
      <w:r>
        <w:t xml:space="preserve"> SAN w LRS, ZRS (żądania odczytu i zapisu), gdzie łączna liczba woluminów </w:t>
      </w:r>
      <w:proofErr w:type="spellStart"/>
      <w:r>
        <w:t>Elastic</w:t>
      </w:r>
      <w:proofErr w:type="spellEnd"/>
      <w:r>
        <w:t xml:space="preserve"> SAN &gt; 10 i &gt; 30% woluminów w ramach tego wdrożenia </w:t>
      </w:r>
      <w:proofErr w:type="spellStart"/>
      <w:r>
        <w:t>Elastic</w:t>
      </w:r>
      <w:proofErr w:type="spellEnd"/>
      <w:r>
        <w:t xml:space="preserve"> SAN nie spełnia warunków umowy SLA:</w:t>
      </w:r>
    </w:p>
    <w:tbl>
      <w:tblPr>
        <w:tblStyle w:val="TableGrid"/>
        <w:tblW w:w="0" w:type="auto"/>
        <w:tblLook w:val="04A0" w:firstRow="1" w:lastRow="0" w:firstColumn="1" w:lastColumn="0" w:noHBand="0" w:noVBand="1"/>
      </w:tblPr>
      <w:tblGrid>
        <w:gridCol w:w="5197"/>
        <w:gridCol w:w="5593"/>
      </w:tblGrid>
      <w:tr w:rsidR="00126AEF" w:rsidRPr="00F072ED" w14:paraId="05789440" w14:textId="77777777" w:rsidTr="00215B1F">
        <w:trPr>
          <w:trHeight w:val="170"/>
        </w:trPr>
        <w:tc>
          <w:tcPr>
            <w:tcW w:w="5197" w:type="dxa"/>
            <w:shd w:val="clear" w:color="auto" w:fill="0072C6"/>
            <w:vAlign w:val="center"/>
          </w:tcPr>
          <w:p w14:paraId="503F48FF" w14:textId="77777777" w:rsidR="00126AEF" w:rsidRPr="00B80E5C" w:rsidRDefault="00126AEF" w:rsidP="00B80E5C">
            <w:pPr>
              <w:pStyle w:val="ProductList-OfferingBody"/>
              <w:jc w:val="center"/>
              <w:rPr>
                <w:rFonts w:cstheme="minorHAnsi"/>
                <w:color w:val="FFFFFF" w:themeColor="background1"/>
              </w:rPr>
            </w:pPr>
            <w:bookmarkStart w:id="255" w:name="_Toc178180861"/>
            <w:r w:rsidRPr="00B80E5C">
              <w:rPr>
                <w:rFonts w:cstheme="minorHAnsi"/>
                <w:color w:val="FFFFFF" w:themeColor="background1"/>
              </w:rPr>
              <w:t>Procent Czasu Sprawnego Działania w Miesiącu (na wolumin)</w:t>
            </w:r>
            <w:bookmarkEnd w:id="255"/>
          </w:p>
        </w:tc>
        <w:tc>
          <w:tcPr>
            <w:tcW w:w="5593" w:type="dxa"/>
            <w:shd w:val="clear" w:color="auto" w:fill="0072C6"/>
            <w:vAlign w:val="center"/>
          </w:tcPr>
          <w:p w14:paraId="26E049B6" w14:textId="77777777" w:rsidR="00126AEF" w:rsidRPr="00B80E5C" w:rsidRDefault="00126AEF" w:rsidP="00B80E5C">
            <w:pPr>
              <w:pStyle w:val="ProductList-OfferingBody"/>
              <w:jc w:val="center"/>
              <w:rPr>
                <w:rFonts w:cstheme="minorHAnsi"/>
                <w:color w:val="FFFFFF" w:themeColor="background1"/>
              </w:rPr>
            </w:pPr>
            <w:bookmarkStart w:id="256" w:name="_Toc178180862"/>
            <w:r w:rsidRPr="00B80E5C">
              <w:rPr>
                <w:rFonts w:cstheme="minorHAnsi"/>
                <w:color w:val="FFFFFF" w:themeColor="background1"/>
              </w:rPr>
              <w:t>Środki na Używanie Usług</w:t>
            </w:r>
            <w:bookmarkEnd w:id="256"/>
          </w:p>
        </w:tc>
      </w:tr>
      <w:tr w:rsidR="00126AEF" w:rsidRPr="008A6F08" w14:paraId="44DCFF51" w14:textId="77777777" w:rsidTr="00215B1F">
        <w:tc>
          <w:tcPr>
            <w:tcW w:w="5197" w:type="dxa"/>
            <w:vAlign w:val="center"/>
          </w:tcPr>
          <w:p w14:paraId="7DDC1983" w14:textId="77777777" w:rsidR="00126AEF" w:rsidRPr="00B80E5C" w:rsidRDefault="00126AEF" w:rsidP="00B80E5C">
            <w:pPr>
              <w:pStyle w:val="ProductList-OfferingBody"/>
              <w:jc w:val="center"/>
              <w:rPr>
                <w:rFonts w:cstheme="minorHAnsi"/>
              </w:rPr>
            </w:pPr>
            <w:bookmarkStart w:id="257" w:name="_Toc178180863"/>
            <w:r w:rsidRPr="00B80E5C">
              <w:rPr>
                <w:rFonts w:cstheme="minorHAnsi"/>
              </w:rPr>
              <w:t>&lt;99,99%</w:t>
            </w:r>
            <w:bookmarkEnd w:id="257"/>
          </w:p>
        </w:tc>
        <w:tc>
          <w:tcPr>
            <w:tcW w:w="5593" w:type="dxa"/>
            <w:vAlign w:val="center"/>
          </w:tcPr>
          <w:p w14:paraId="7FCBB49E" w14:textId="77777777" w:rsidR="00126AEF" w:rsidRPr="00B80E5C" w:rsidRDefault="00126AEF" w:rsidP="00B80E5C">
            <w:pPr>
              <w:pStyle w:val="ProductList-OfferingBody"/>
              <w:jc w:val="center"/>
              <w:rPr>
                <w:rFonts w:cstheme="minorHAnsi"/>
              </w:rPr>
            </w:pPr>
            <w:bookmarkStart w:id="258" w:name="_Toc178180864"/>
            <w:r w:rsidRPr="00B80E5C">
              <w:rPr>
                <w:rFonts w:cstheme="minorHAnsi"/>
              </w:rPr>
              <w:t>10%</w:t>
            </w:r>
            <w:bookmarkEnd w:id="258"/>
          </w:p>
        </w:tc>
      </w:tr>
      <w:tr w:rsidR="00126AEF" w:rsidRPr="008A6F08" w14:paraId="67B6DC2C" w14:textId="77777777" w:rsidTr="00215B1F">
        <w:tc>
          <w:tcPr>
            <w:tcW w:w="5197" w:type="dxa"/>
            <w:vAlign w:val="center"/>
          </w:tcPr>
          <w:p w14:paraId="6D3BB23F" w14:textId="77777777" w:rsidR="00126AEF" w:rsidRPr="00B80E5C" w:rsidRDefault="00126AEF" w:rsidP="00B80E5C">
            <w:pPr>
              <w:pStyle w:val="ProductList-OfferingBody"/>
              <w:jc w:val="center"/>
              <w:rPr>
                <w:rFonts w:cstheme="minorHAnsi"/>
              </w:rPr>
            </w:pPr>
            <w:bookmarkStart w:id="259" w:name="_Toc178180865"/>
            <w:r w:rsidRPr="00B80E5C">
              <w:rPr>
                <w:rFonts w:cstheme="minorHAnsi"/>
              </w:rPr>
              <w:t>&lt;99%</w:t>
            </w:r>
            <w:bookmarkEnd w:id="259"/>
          </w:p>
        </w:tc>
        <w:tc>
          <w:tcPr>
            <w:tcW w:w="5593" w:type="dxa"/>
            <w:vAlign w:val="center"/>
          </w:tcPr>
          <w:p w14:paraId="26320357" w14:textId="77777777" w:rsidR="00126AEF" w:rsidRPr="00B80E5C" w:rsidRDefault="00126AEF" w:rsidP="00B80E5C">
            <w:pPr>
              <w:pStyle w:val="ProductList-OfferingBody"/>
              <w:jc w:val="center"/>
              <w:rPr>
                <w:rFonts w:cstheme="minorHAnsi"/>
              </w:rPr>
            </w:pPr>
            <w:bookmarkStart w:id="260" w:name="_Toc178180866"/>
            <w:r w:rsidRPr="00B80E5C">
              <w:rPr>
                <w:rFonts w:cstheme="minorHAnsi"/>
              </w:rPr>
              <w:t>30%</w:t>
            </w:r>
            <w:bookmarkEnd w:id="260"/>
          </w:p>
        </w:tc>
      </w:tr>
    </w:tbl>
    <w:p w14:paraId="6D296D55" w14:textId="77777777" w:rsidR="00126AEF" w:rsidRPr="000F5508" w:rsidRDefault="00126AEF" w:rsidP="00126AEF">
      <w:pPr>
        <w:spacing w:after="0" w:line="240" w:lineRule="auto"/>
        <w:rPr>
          <w:rFonts w:ascii="Calibri" w:eastAsia="Segoe UI" w:hAnsi="Calibri" w:cs="Calibri"/>
          <w:color w:val="1A1A1A"/>
          <w:sz w:val="18"/>
          <w:szCs w:val="18"/>
        </w:rPr>
      </w:pPr>
    </w:p>
    <w:p w14:paraId="69543E8D" w14:textId="77777777" w:rsidR="00126AEF" w:rsidRDefault="00126AEF" w:rsidP="00B80E5C">
      <w:pPr>
        <w:pStyle w:val="ProductList-Body"/>
      </w:pPr>
      <w:r>
        <w:rPr>
          <w:b/>
          <w:color w:val="00188F"/>
        </w:rPr>
        <w:t>Środki na Używanie Usług:</w:t>
      </w:r>
      <w:r>
        <w:t xml:space="preserve"> </w:t>
      </w:r>
      <w:proofErr w:type="spellStart"/>
      <w:r>
        <w:t>Elastic</w:t>
      </w:r>
      <w:proofErr w:type="spellEnd"/>
      <w:r>
        <w:t xml:space="preserve"> SAN w LRS, ZRS (żądania odczytu i zapisu), gdzie łączna liczba woluminów </w:t>
      </w:r>
      <w:proofErr w:type="spellStart"/>
      <w:r>
        <w:t>Elastic</w:t>
      </w:r>
      <w:proofErr w:type="spellEnd"/>
      <w:r>
        <w:t xml:space="preserve"> SAN &lt;=10 oraz wszystkie woluminy w ramach tego wdrożenia </w:t>
      </w:r>
      <w:proofErr w:type="spellStart"/>
      <w:r>
        <w:t>Elastic</w:t>
      </w:r>
      <w:proofErr w:type="spellEnd"/>
      <w:r>
        <w:t xml:space="preserve"> SAN nie spełniają warunków umowy SLA:</w:t>
      </w:r>
    </w:p>
    <w:tbl>
      <w:tblPr>
        <w:tblStyle w:val="TableGrid"/>
        <w:tblW w:w="0" w:type="auto"/>
        <w:tblLook w:val="04A0" w:firstRow="1" w:lastRow="0" w:firstColumn="1" w:lastColumn="0" w:noHBand="0" w:noVBand="1"/>
      </w:tblPr>
      <w:tblGrid>
        <w:gridCol w:w="5206"/>
        <w:gridCol w:w="5584"/>
      </w:tblGrid>
      <w:tr w:rsidR="00126AEF" w:rsidRPr="00F072ED" w14:paraId="1A0E5C3C" w14:textId="77777777" w:rsidTr="00215B1F">
        <w:trPr>
          <w:trHeight w:val="170"/>
        </w:trPr>
        <w:tc>
          <w:tcPr>
            <w:tcW w:w="5206" w:type="dxa"/>
            <w:shd w:val="clear" w:color="auto" w:fill="0072C6"/>
            <w:vAlign w:val="center"/>
          </w:tcPr>
          <w:p w14:paraId="5FF09DFB" w14:textId="77777777" w:rsidR="00126AEF" w:rsidRPr="00B80E5C" w:rsidRDefault="00126AEF" w:rsidP="00B80E5C">
            <w:pPr>
              <w:pStyle w:val="ProductList-OfferingBody"/>
              <w:jc w:val="center"/>
              <w:rPr>
                <w:rFonts w:cstheme="minorHAnsi"/>
                <w:color w:val="FFFFFF" w:themeColor="background1"/>
              </w:rPr>
            </w:pPr>
            <w:bookmarkStart w:id="261" w:name="_Toc178180867"/>
            <w:r w:rsidRPr="00B80E5C">
              <w:rPr>
                <w:rFonts w:cstheme="minorHAnsi"/>
                <w:color w:val="FFFFFF" w:themeColor="background1"/>
              </w:rPr>
              <w:t>Procent Czasu Sprawnego Działania w Miesiącu (na wolumin)</w:t>
            </w:r>
            <w:bookmarkEnd w:id="261"/>
          </w:p>
        </w:tc>
        <w:tc>
          <w:tcPr>
            <w:tcW w:w="5584" w:type="dxa"/>
            <w:shd w:val="clear" w:color="auto" w:fill="0072C6"/>
            <w:vAlign w:val="center"/>
          </w:tcPr>
          <w:p w14:paraId="2CE9A291" w14:textId="77777777" w:rsidR="00126AEF" w:rsidRPr="00B80E5C" w:rsidRDefault="00126AEF" w:rsidP="00B80E5C">
            <w:pPr>
              <w:pStyle w:val="ProductList-OfferingBody"/>
              <w:jc w:val="center"/>
              <w:rPr>
                <w:rFonts w:cstheme="minorHAnsi"/>
                <w:color w:val="FFFFFF" w:themeColor="background1"/>
              </w:rPr>
            </w:pPr>
            <w:bookmarkStart w:id="262" w:name="_Toc178180868"/>
            <w:r w:rsidRPr="00B80E5C">
              <w:rPr>
                <w:rFonts w:cstheme="minorHAnsi"/>
                <w:color w:val="FFFFFF" w:themeColor="background1"/>
              </w:rPr>
              <w:t>Środki na Używanie Usług</w:t>
            </w:r>
            <w:bookmarkEnd w:id="262"/>
          </w:p>
        </w:tc>
      </w:tr>
      <w:tr w:rsidR="00126AEF" w:rsidRPr="008A6F08" w14:paraId="40DC12B4" w14:textId="77777777" w:rsidTr="00215B1F">
        <w:tc>
          <w:tcPr>
            <w:tcW w:w="5206" w:type="dxa"/>
            <w:vAlign w:val="center"/>
          </w:tcPr>
          <w:p w14:paraId="33F52F2E" w14:textId="77777777" w:rsidR="00126AEF" w:rsidRPr="00B80E5C" w:rsidRDefault="00126AEF" w:rsidP="00B80E5C">
            <w:pPr>
              <w:pStyle w:val="ProductList-OfferingBody"/>
              <w:jc w:val="center"/>
              <w:rPr>
                <w:rFonts w:cstheme="minorHAnsi"/>
              </w:rPr>
            </w:pPr>
            <w:bookmarkStart w:id="263" w:name="_Toc178180869"/>
            <w:r w:rsidRPr="00B80E5C">
              <w:rPr>
                <w:rFonts w:cstheme="minorHAnsi"/>
              </w:rPr>
              <w:t>&lt;95%</w:t>
            </w:r>
            <w:bookmarkEnd w:id="263"/>
          </w:p>
        </w:tc>
        <w:tc>
          <w:tcPr>
            <w:tcW w:w="5584" w:type="dxa"/>
            <w:vAlign w:val="center"/>
          </w:tcPr>
          <w:p w14:paraId="601FD931" w14:textId="77777777" w:rsidR="00126AEF" w:rsidRPr="00B80E5C" w:rsidRDefault="00126AEF" w:rsidP="00B80E5C">
            <w:pPr>
              <w:pStyle w:val="ProductList-OfferingBody"/>
              <w:jc w:val="center"/>
              <w:rPr>
                <w:rFonts w:cstheme="minorHAnsi"/>
              </w:rPr>
            </w:pPr>
            <w:bookmarkStart w:id="264" w:name="_Toc178180870"/>
            <w:r w:rsidRPr="00B80E5C">
              <w:rPr>
                <w:rFonts w:cstheme="minorHAnsi"/>
              </w:rPr>
              <w:t>10%</w:t>
            </w:r>
            <w:bookmarkEnd w:id="264"/>
          </w:p>
        </w:tc>
      </w:tr>
      <w:tr w:rsidR="00126AEF" w:rsidRPr="008A6F08" w14:paraId="3BD3ED73" w14:textId="77777777" w:rsidTr="00215B1F">
        <w:tc>
          <w:tcPr>
            <w:tcW w:w="5206" w:type="dxa"/>
            <w:vAlign w:val="center"/>
          </w:tcPr>
          <w:p w14:paraId="55C65E6D" w14:textId="77777777" w:rsidR="00126AEF" w:rsidRPr="00B80E5C" w:rsidRDefault="00126AEF" w:rsidP="00B80E5C">
            <w:pPr>
              <w:pStyle w:val="ProductList-OfferingBody"/>
              <w:jc w:val="center"/>
              <w:rPr>
                <w:rFonts w:cstheme="minorHAnsi"/>
              </w:rPr>
            </w:pPr>
            <w:bookmarkStart w:id="265" w:name="_Toc178180871"/>
            <w:r w:rsidRPr="00B80E5C">
              <w:rPr>
                <w:rFonts w:cstheme="minorHAnsi"/>
              </w:rPr>
              <w:t>&lt;90%</w:t>
            </w:r>
            <w:bookmarkEnd w:id="265"/>
          </w:p>
        </w:tc>
        <w:tc>
          <w:tcPr>
            <w:tcW w:w="5584" w:type="dxa"/>
            <w:vAlign w:val="center"/>
          </w:tcPr>
          <w:p w14:paraId="3621700A" w14:textId="77777777" w:rsidR="00126AEF" w:rsidRPr="00B80E5C" w:rsidRDefault="00126AEF" w:rsidP="00B80E5C">
            <w:pPr>
              <w:pStyle w:val="ProductList-OfferingBody"/>
              <w:jc w:val="center"/>
              <w:rPr>
                <w:rFonts w:cstheme="minorHAnsi"/>
              </w:rPr>
            </w:pPr>
            <w:bookmarkStart w:id="266" w:name="_Toc178180872"/>
            <w:r w:rsidRPr="00B80E5C">
              <w:rPr>
                <w:rFonts w:cstheme="minorHAnsi"/>
              </w:rPr>
              <w:t>30%</w:t>
            </w:r>
            <w:bookmarkEnd w:id="266"/>
          </w:p>
        </w:tc>
      </w:tr>
    </w:tbl>
    <w:p w14:paraId="135C8DAB" w14:textId="77777777" w:rsidR="00737399" w:rsidRPr="00EF7CF9" w:rsidRDefault="00737399" w:rsidP="0073739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77520E5" w14:textId="7A493375" w:rsidR="00CE29C1" w:rsidRPr="00042CC1" w:rsidRDefault="00CE29C1" w:rsidP="00CE29C1">
      <w:pPr>
        <w:pStyle w:val="ProductList-Offering2Heading"/>
        <w:keepNext/>
        <w:tabs>
          <w:tab w:val="clear" w:pos="360"/>
          <w:tab w:val="clear" w:pos="720"/>
          <w:tab w:val="clear" w:pos="1080"/>
        </w:tabs>
        <w:outlineLvl w:val="2"/>
      </w:pPr>
      <w:bookmarkStart w:id="267" w:name="_Toc239175009"/>
      <w:r>
        <w:t xml:space="preserve">Event </w:t>
      </w:r>
      <w:proofErr w:type="spellStart"/>
      <w:r>
        <w:t>Grid</w:t>
      </w:r>
      <w:bookmarkEnd w:id="243"/>
      <w:bookmarkEnd w:id="244"/>
      <w:bookmarkEnd w:id="267"/>
      <w:proofErr w:type="spellEnd"/>
    </w:p>
    <w:p w14:paraId="437BE5B4" w14:textId="77777777" w:rsidR="00CE29C1" w:rsidRPr="00042CC1" w:rsidRDefault="00CE29C1" w:rsidP="00CE29C1">
      <w:pPr>
        <w:pStyle w:val="ProductList-Body"/>
      </w:pPr>
      <w:r>
        <w:rPr>
          <w:b/>
          <w:color w:val="00188F"/>
        </w:rPr>
        <w:t>Dodatkowe definicje</w:t>
      </w:r>
      <w:r w:rsidRPr="0034704E">
        <w:rPr>
          <w:b/>
          <w:color w:val="00188F"/>
        </w:rPr>
        <w:t>:</w:t>
      </w:r>
    </w:p>
    <w:p w14:paraId="0328158B" w14:textId="0522CBF2" w:rsidR="00CE29C1" w:rsidRPr="00AD4F4D" w:rsidRDefault="00C84B0F" w:rsidP="00CE29C1">
      <w:pPr>
        <w:spacing w:after="0"/>
        <w:rPr>
          <w:rFonts w:eastAsiaTheme="minorEastAsia"/>
          <w:sz w:val="18"/>
          <w:szCs w:val="18"/>
          <w:lang w:eastAsia="zh-TW"/>
        </w:rPr>
      </w:pPr>
      <w:r w:rsidRPr="00C84B0F">
        <w:rPr>
          <w:sz w:val="18"/>
        </w:rPr>
        <w:t>„</w:t>
      </w:r>
      <w:r w:rsidR="00CE29C1">
        <w:rPr>
          <w:rFonts w:eastAsiaTheme="minorEastAsia"/>
          <w:b/>
          <w:color w:val="00188F"/>
          <w:sz w:val="18"/>
          <w:szCs w:val="18"/>
        </w:rPr>
        <w:t>Maksymalna Liczba Dostępnych Minut</w:t>
      </w:r>
      <w:r w:rsidR="00CE29C1">
        <w:rPr>
          <w:rFonts w:eastAsiaTheme="minorEastAsia"/>
          <w:sz w:val="18"/>
          <w:szCs w:val="18"/>
        </w:rPr>
        <w:t xml:space="preserve">” to łączna liczba minut, przez które usługa Event </w:t>
      </w:r>
      <w:proofErr w:type="spellStart"/>
      <w:r w:rsidR="00CE29C1">
        <w:rPr>
          <w:rFonts w:eastAsiaTheme="minorEastAsia"/>
          <w:sz w:val="18"/>
          <w:szCs w:val="18"/>
        </w:rPr>
        <w:t>Grid</w:t>
      </w:r>
      <w:proofErr w:type="spellEnd"/>
      <w:r w:rsidR="00CE29C1">
        <w:rPr>
          <w:rFonts w:eastAsiaTheme="minorEastAsia"/>
          <w:sz w:val="18"/>
          <w:szCs w:val="18"/>
        </w:rPr>
        <w:t xml:space="preserve"> była wdrażana przez klienta w ramach subskrypcji Microsoft </w:t>
      </w:r>
      <w:proofErr w:type="spellStart"/>
      <w:r w:rsidR="00CE29C1">
        <w:rPr>
          <w:rFonts w:eastAsiaTheme="minorEastAsia"/>
          <w:sz w:val="18"/>
          <w:szCs w:val="18"/>
        </w:rPr>
        <w:t>Azure</w:t>
      </w:r>
      <w:proofErr w:type="spellEnd"/>
      <w:r w:rsidR="00CE29C1">
        <w:rPr>
          <w:rFonts w:eastAsiaTheme="minorEastAsia"/>
          <w:sz w:val="18"/>
          <w:szCs w:val="18"/>
        </w:rPr>
        <w:t xml:space="preserve"> w trakcie Właściwego Okresu.</w:t>
      </w:r>
    </w:p>
    <w:p w14:paraId="33CF1F3B" w14:textId="77777777" w:rsidR="00CE29C1" w:rsidRPr="00272B37" w:rsidRDefault="00CE29C1" w:rsidP="00CE29C1">
      <w:pPr>
        <w:spacing w:after="0"/>
        <w:rPr>
          <w:rFonts w:eastAsiaTheme="minorEastAsia"/>
          <w:spacing w:val="-2"/>
          <w:sz w:val="18"/>
          <w:szCs w:val="18"/>
          <w:lang w:eastAsia="zh-TW"/>
        </w:rPr>
      </w:pPr>
      <w:r w:rsidRPr="00272B37">
        <w:rPr>
          <w:rFonts w:eastAsiaTheme="minorEastAsia"/>
          <w:spacing w:val="-2"/>
          <w:sz w:val="18"/>
          <w:szCs w:val="18"/>
        </w:rPr>
        <w:t>„</w:t>
      </w:r>
      <w:r w:rsidRPr="00272B37">
        <w:rPr>
          <w:rFonts w:eastAsiaTheme="minorEastAsia"/>
          <w:b/>
          <w:color w:val="00188F"/>
          <w:spacing w:val="-2"/>
          <w:sz w:val="18"/>
          <w:szCs w:val="18"/>
        </w:rPr>
        <w:t>Przestój</w:t>
      </w:r>
      <w:r w:rsidRPr="00272B37">
        <w:rPr>
          <w:rFonts w:eastAsiaTheme="minorEastAsia"/>
          <w:spacing w:val="-2"/>
          <w:sz w:val="18"/>
          <w:szCs w:val="18"/>
        </w:rPr>
        <w:t xml:space="preserve">” to łączna liczba minut w ramach Maksymalnej Liczby Dostępnych Minut dla wszystkich usług Event </w:t>
      </w:r>
      <w:proofErr w:type="spellStart"/>
      <w:r w:rsidRPr="00272B37">
        <w:rPr>
          <w:rFonts w:eastAsiaTheme="minorEastAsia"/>
          <w:spacing w:val="-2"/>
          <w:sz w:val="18"/>
          <w:szCs w:val="18"/>
        </w:rPr>
        <w:t>Grid</w:t>
      </w:r>
      <w:proofErr w:type="spellEnd"/>
      <w:r w:rsidRPr="00272B37">
        <w:rPr>
          <w:rFonts w:eastAsiaTheme="minorEastAsia"/>
          <w:spacing w:val="-2"/>
          <w:sz w:val="18"/>
          <w:szCs w:val="18"/>
        </w:rPr>
        <w:t xml:space="preserve"> wdrożonych przez Klienta w ramach danej subskrypcji Microsoft </w:t>
      </w:r>
      <w:proofErr w:type="spellStart"/>
      <w:r w:rsidRPr="00272B37">
        <w:rPr>
          <w:rFonts w:eastAsiaTheme="minorEastAsia"/>
          <w:spacing w:val="-2"/>
          <w:sz w:val="18"/>
          <w:szCs w:val="18"/>
        </w:rPr>
        <w:t>Azure</w:t>
      </w:r>
      <w:proofErr w:type="spellEnd"/>
      <w:r w:rsidRPr="00272B37">
        <w:rPr>
          <w:rFonts w:eastAsiaTheme="minorEastAsia"/>
          <w:spacing w:val="-2"/>
          <w:sz w:val="18"/>
          <w:szCs w:val="18"/>
        </w:rPr>
        <w:t xml:space="preserve">, podczas których usługa Event </w:t>
      </w:r>
      <w:proofErr w:type="spellStart"/>
      <w:r w:rsidRPr="00272B37">
        <w:rPr>
          <w:rFonts w:eastAsiaTheme="minorEastAsia"/>
          <w:spacing w:val="-2"/>
          <w:sz w:val="18"/>
          <w:szCs w:val="18"/>
        </w:rPr>
        <w:t>Grid</w:t>
      </w:r>
      <w:proofErr w:type="spellEnd"/>
      <w:r w:rsidRPr="00272B37">
        <w:rPr>
          <w:rFonts w:eastAsiaTheme="minorEastAsia"/>
          <w:spacing w:val="-2"/>
          <w:sz w:val="18"/>
          <w:szCs w:val="18"/>
        </w:rPr>
        <w:t xml:space="preserve"> jest niedostępna. Minuta jest uznawana za minutę niedostępności dla danej usługi Event </w:t>
      </w:r>
      <w:proofErr w:type="spellStart"/>
      <w:r w:rsidRPr="00272B37">
        <w:rPr>
          <w:rFonts w:eastAsiaTheme="minorEastAsia"/>
          <w:spacing w:val="-2"/>
          <w:sz w:val="18"/>
          <w:szCs w:val="18"/>
        </w:rPr>
        <w:t>Grid</w:t>
      </w:r>
      <w:proofErr w:type="spellEnd"/>
      <w:r w:rsidRPr="00272B37">
        <w:rPr>
          <w:rFonts w:eastAsiaTheme="minorEastAsia"/>
          <w:spacing w:val="-2"/>
          <w:sz w:val="18"/>
          <w:szCs w:val="18"/>
        </w:rPr>
        <w:t>, jeśli wszystkie żądania opublikowania wiadomości zwracają Kod Błędu lub nie skutkują Kodem Sukcesu w ciągu jednej minuty.</w:t>
      </w:r>
    </w:p>
    <w:p w14:paraId="2BEDFAF2" w14:textId="25659030" w:rsidR="00CE29C1" w:rsidRDefault="00CE29C1" w:rsidP="00CE29C1">
      <w:pPr>
        <w:pStyle w:val="ProductList-Body"/>
      </w:pPr>
      <w:r>
        <w:t>„</w:t>
      </w:r>
      <w:r>
        <w:rPr>
          <w:b/>
          <w:color w:val="00188F"/>
        </w:rPr>
        <w:t>Procent Czasu Sprawnego Działania</w:t>
      </w:r>
      <w:r>
        <w:t>”</w:t>
      </w:r>
      <w:r w:rsidRPr="0034704E">
        <w:rPr>
          <w:b/>
          <w:color w:val="00188F"/>
        </w:rPr>
        <w:t>:</w:t>
      </w:r>
      <w:r>
        <w:t xml:space="preserve"> Procent Czasu Sprawnego Działania jest obliczany przy użyciu następującego wzoru:</w:t>
      </w:r>
    </w:p>
    <w:p w14:paraId="79284E66" w14:textId="4C76E751" w:rsidR="00CE29C1" w:rsidRPr="00D730E5" w:rsidRDefault="00000000" w:rsidP="007B0376">
      <w:pPr>
        <w:spacing w:before="120" w:after="0" w:line="240" w:lineRule="auto"/>
        <w:jc w:val="both"/>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A548F73" w14:textId="77777777" w:rsidR="00CE29C1" w:rsidRPr="00042CC1" w:rsidRDefault="00CE29C1" w:rsidP="00FD5737">
      <w:pPr>
        <w:pStyle w:val="ProductList-Body"/>
        <w:keepNext/>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E29C1" w:rsidRPr="00B44CF9" w14:paraId="19BFCD1C" w14:textId="77777777" w:rsidTr="00277097">
        <w:trPr>
          <w:tblHeader/>
        </w:trPr>
        <w:tc>
          <w:tcPr>
            <w:tcW w:w="5400" w:type="dxa"/>
            <w:shd w:val="clear" w:color="auto" w:fill="0072C6"/>
          </w:tcPr>
          <w:p w14:paraId="390FF3F0" w14:textId="445941A7" w:rsidR="00CE29C1" w:rsidRPr="00042CC1"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40E0AC4" w14:textId="77777777" w:rsidR="00CE29C1" w:rsidRPr="00042CC1" w:rsidRDefault="00CE29C1" w:rsidP="000F31B4">
            <w:pPr>
              <w:pStyle w:val="ProductList-OfferingBody"/>
              <w:jc w:val="center"/>
              <w:rPr>
                <w:color w:val="FFFFFF" w:themeColor="background1"/>
              </w:rPr>
            </w:pPr>
            <w:r>
              <w:rPr>
                <w:color w:val="FFFFFF" w:themeColor="background1"/>
              </w:rPr>
              <w:t>Środki Serwisowe na Używanie Usług</w:t>
            </w:r>
          </w:p>
        </w:tc>
      </w:tr>
      <w:tr w:rsidR="00CE29C1" w:rsidRPr="00B44CF9" w14:paraId="62ABD52C" w14:textId="77777777" w:rsidTr="00277097">
        <w:trPr>
          <w:trHeight w:val="175"/>
        </w:trPr>
        <w:tc>
          <w:tcPr>
            <w:tcW w:w="5400" w:type="dxa"/>
          </w:tcPr>
          <w:p w14:paraId="6E2C5EB8" w14:textId="77777777" w:rsidR="00CE29C1" w:rsidRPr="00D730E5" w:rsidRDefault="00CE29C1" w:rsidP="000F31B4">
            <w:pPr>
              <w:pStyle w:val="ProductList-OfferingBody"/>
              <w:jc w:val="center"/>
            </w:pPr>
            <w:r>
              <w:t>&lt;99,99%</w:t>
            </w:r>
          </w:p>
        </w:tc>
        <w:tc>
          <w:tcPr>
            <w:tcW w:w="5400" w:type="dxa"/>
          </w:tcPr>
          <w:p w14:paraId="373AB7D9" w14:textId="77777777" w:rsidR="00CE29C1" w:rsidRPr="00D730E5" w:rsidRDefault="00CE29C1" w:rsidP="000F31B4">
            <w:pPr>
              <w:pStyle w:val="ProductList-OfferingBody"/>
              <w:tabs>
                <w:tab w:val="left" w:pos="905"/>
                <w:tab w:val="center" w:pos="2635"/>
              </w:tabs>
              <w:jc w:val="center"/>
            </w:pPr>
            <w:r>
              <w:t>10%</w:t>
            </w:r>
          </w:p>
        </w:tc>
      </w:tr>
      <w:tr w:rsidR="00CE29C1" w:rsidRPr="00B44CF9" w14:paraId="38780FDF" w14:textId="77777777" w:rsidTr="00277097">
        <w:trPr>
          <w:trHeight w:val="174"/>
        </w:trPr>
        <w:tc>
          <w:tcPr>
            <w:tcW w:w="5400" w:type="dxa"/>
          </w:tcPr>
          <w:p w14:paraId="751DF4EA" w14:textId="77777777" w:rsidR="00CE29C1" w:rsidRPr="00D730E5" w:rsidRDefault="00CE29C1" w:rsidP="000F31B4">
            <w:pPr>
              <w:pStyle w:val="ProductList-OfferingBody"/>
              <w:jc w:val="center"/>
            </w:pPr>
            <w:r>
              <w:t>&lt;99%</w:t>
            </w:r>
          </w:p>
        </w:tc>
        <w:tc>
          <w:tcPr>
            <w:tcW w:w="5400" w:type="dxa"/>
          </w:tcPr>
          <w:p w14:paraId="19499F7C" w14:textId="77777777" w:rsidR="00CE29C1" w:rsidRPr="00D730E5" w:rsidRDefault="00CE29C1" w:rsidP="000F31B4">
            <w:pPr>
              <w:pStyle w:val="ProductList-OfferingBody"/>
              <w:jc w:val="center"/>
            </w:pPr>
            <w:r>
              <w:t>25%</w:t>
            </w:r>
          </w:p>
        </w:tc>
      </w:tr>
    </w:tbl>
    <w:p w14:paraId="71059DD9" w14:textId="14118DAA" w:rsidR="00CE29C1" w:rsidRPr="00EF7CF9" w:rsidRDefault="00C71F89" w:rsidP="00CE29C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278BF5A" w14:textId="77777777" w:rsidR="00261A34" w:rsidRPr="00261A34" w:rsidRDefault="00261A34" w:rsidP="00261A34">
      <w:pPr>
        <w:pStyle w:val="ProductList-Offering2Heading"/>
        <w:keepNext/>
        <w:tabs>
          <w:tab w:val="clear" w:pos="360"/>
          <w:tab w:val="clear" w:pos="720"/>
          <w:tab w:val="clear" w:pos="1080"/>
        </w:tabs>
        <w:outlineLvl w:val="2"/>
      </w:pPr>
      <w:bookmarkStart w:id="268" w:name="_Toc239175010"/>
      <w:bookmarkStart w:id="269" w:name="_Toc457821571"/>
      <w:bookmarkStart w:id="270" w:name="_Toc52348981"/>
      <w:r w:rsidRPr="00261A34">
        <w:t>Magazyn z Nadmiarem Geograficznym (GRS) - Replikacja Priorytetowa</w:t>
      </w:r>
      <w:bookmarkEnd w:id="268"/>
    </w:p>
    <w:p w14:paraId="6D51896E"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color w:val="000000"/>
          <w:sz w:val="18"/>
          <w:szCs w:val="18"/>
        </w:rPr>
        <w:t>Niniejsza umowa SLA ma zastosowanie do wszystkich Kont Magazynu z Nadmiarem Geograficznym lub kontami Magazynu ze Strefowym Nadmiarem Geograficznym, w których włączono Priorytetową Replikację Geograficzną.</w:t>
      </w:r>
    </w:p>
    <w:p w14:paraId="6C122178" w14:textId="77777777" w:rsidR="00261A34" w:rsidRDefault="00261A34" w:rsidP="00261A34">
      <w:pPr>
        <w:spacing w:after="0" w:line="240" w:lineRule="auto"/>
        <w:rPr>
          <w:rFonts w:ascii="Calibri" w:eastAsia="Calibri" w:hAnsi="Calibri" w:cs="Calibri"/>
          <w:b/>
          <w:bCs/>
          <w:color w:val="00188F"/>
          <w:sz w:val="18"/>
          <w:szCs w:val="18"/>
        </w:rPr>
      </w:pPr>
    </w:p>
    <w:p w14:paraId="0E9AE7B7" w14:textId="77777777" w:rsidR="00261A34" w:rsidRPr="00A15C3C" w:rsidRDefault="00261A34" w:rsidP="00261A34">
      <w:pPr>
        <w:spacing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Dodatkowe definicje:</w:t>
      </w:r>
    </w:p>
    <w:p w14:paraId="67B81957"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2060"/>
          <w:sz w:val="18"/>
          <w:szCs w:val="18"/>
        </w:rPr>
        <w:t>Minuta Przekroczonego Czasu</w:t>
      </w:r>
      <w:r>
        <w:rPr>
          <w:rFonts w:ascii="Calibri" w:eastAsia="Times New Roman" w:hAnsi="Calibri" w:cs="Calibri"/>
          <w:b/>
          <w:bCs/>
          <w:color w:val="00188F"/>
          <w:sz w:val="18"/>
          <w:szCs w:val="18"/>
        </w:rPr>
        <w:t xml:space="preserve"> Ostatniej Synchronizacji (LST)</w:t>
      </w:r>
      <w:r>
        <w:rPr>
          <w:rFonts w:ascii="Calibri" w:eastAsia="Times New Roman" w:hAnsi="Calibri" w:cs="Calibri"/>
          <w:sz w:val="18"/>
          <w:szCs w:val="18"/>
        </w:rPr>
        <w:t xml:space="preserve">” to każda minuta w miesiącu rozliczeniowym, w której czas ostatniej synchronizacji Konta Magazynu z Nadmiarem Geograficznym lub Konta Magazynu ze Strefowym Nadmiarem Geograficznym przekracza 15 minut w przypadku danych blokowych obiektów </w:t>
      </w:r>
      <w:proofErr w:type="spellStart"/>
      <w:r>
        <w:rPr>
          <w:rFonts w:ascii="Calibri" w:eastAsia="Times New Roman" w:hAnsi="Calibri" w:cs="Calibri"/>
          <w:sz w:val="18"/>
          <w:szCs w:val="18"/>
        </w:rPr>
        <w:t>blob</w:t>
      </w:r>
      <w:proofErr w:type="spellEnd"/>
      <w:r>
        <w:rPr>
          <w:rFonts w:ascii="Calibri" w:eastAsia="Times New Roman" w:hAnsi="Calibri" w:cs="Calibri"/>
          <w:sz w:val="18"/>
          <w:szCs w:val="18"/>
        </w:rPr>
        <w:t>. </w:t>
      </w:r>
    </w:p>
    <w:p w14:paraId="1CB111D9"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Magazynu z Nadmiarem Geograficznym (GRS)</w:t>
      </w:r>
      <w:r>
        <w:rPr>
          <w:rFonts w:ascii="Calibri" w:eastAsia="Times New Roman" w:hAnsi="Calibri" w:cs="Calibri"/>
          <w:sz w:val="18"/>
          <w:szCs w:val="18"/>
        </w:rPr>
        <w:t>” jest kontem magazynu, na którym dane są replikowane w obrębie Regionu Podstawowego, a następnie replikowane asynchronicznie do Regionu Pomocniczego. Nie można bezpośrednio odczytywać ani zapisywać danych w Regionie Pomocniczym powiązanym z Kontami GRS. </w:t>
      </w:r>
    </w:p>
    <w:p w14:paraId="5006733E"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Magazynu ze Strefowym Nadmiarem Geograficznym (GZRS)</w:t>
      </w:r>
      <w:r>
        <w:rPr>
          <w:rFonts w:ascii="Calibri" w:eastAsia="Times New Roman" w:hAnsi="Calibri" w:cs="Calibri"/>
          <w:sz w:val="18"/>
          <w:szCs w:val="18"/>
        </w:rPr>
        <w:t>” jest kontem magazynu, na którym dane są replikowane w wielu obiektach przy użyciu Magazynu ze Strefowym Nadmiarem Geograficznym w Regionie Podstawowym, a następnie replikowane asynchronicznie do Regionu Pomocniczego przy użyciu Magazynu z Nadmiarem Lokalnym. Nie można bezpośrednio odczytywać ani zapisywać danych w Regionie Pomocniczym powiązanym z Kontami GZRS. </w:t>
      </w:r>
    </w:p>
    <w:p w14:paraId="22800152"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Czas Ostatniej Synchronizacji</w:t>
      </w:r>
      <w:r>
        <w:rPr>
          <w:rFonts w:ascii="Calibri" w:eastAsia="Times New Roman" w:hAnsi="Calibri" w:cs="Calibri"/>
          <w:sz w:val="18"/>
          <w:szCs w:val="18"/>
        </w:rPr>
        <w:t>” wskazuje, kiedy ostatni raz wszystkie pełne synchronizacje danych z Regionu Podstawowego zostały pomyślnie zreplikowane do Regionu Pomocniczego. Wszystkie zapisy dokonane w Regionie Podstawowym przed Czasem Ostatniej Synchronizacji są dostępne do odczytu w Regionie Pomocniczym. . </w:t>
      </w:r>
    </w:p>
    <w:p w14:paraId="23BF5A91"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Magazynu z Nadmiarem Lokalnym (LRS)</w:t>
      </w:r>
      <w:r>
        <w:rPr>
          <w:rFonts w:ascii="Calibri" w:eastAsia="Times New Roman" w:hAnsi="Calibri" w:cs="Calibri"/>
          <w:sz w:val="18"/>
          <w:szCs w:val="18"/>
        </w:rPr>
        <w:t>” jest kontem magazynu, dla którego dane są replikowane wyłącznie w obrębie Regionu Podstawowego. </w:t>
      </w:r>
    </w:p>
    <w:p w14:paraId="7F0233DB"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Maksymalna Liczba Dostępnych Minut</w:t>
      </w:r>
      <w:r>
        <w:rPr>
          <w:rFonts w:ascii="Calibri" w:eastAsia="Times New Roman" w:hAnsi="Calibri" w:cs="Calibri"/>
          <w:sz w:val="18"/>
          <w:szCs w:val="18"/>
        </w:rPr>
        <w:t xml:space="preserve">” to łączna liczba minut, przez które Klient wdrożył Konto Magazynu z Nadmiarem Geograficznym lub Konto ze Strefowym Nadmiarem Geograficznym z włączoną Replikacją Priorytetu Geograficznego w subskrypcji Microsoft </w:t>
      </w:r>
      <w:proofErr w:type="spellStart"/>
      <w:r>
        <w:rPr>
          <w:rFonts w:ascii="Calibri" w:eastAsia="Times New Roman" w:hAnsi="Calibri" w:cs="Calibri"/>
          <w:sz w:val="18"/>
          <w:szCs w:val="18"/>
        </w:rPr>
        <w:t>Azure</w:t>
      </w:r>
      <w:proofErr w:type="spellEnd"/>
      <w:r>
        <w:rPr>
          <w:rFonts w:ascii="Calibri" w:eastAsia="Times New Roman" w:hAnsi="Calibri" w:cs="Calibri"/>
          <w:sz w:val="18"/>
          <w:szCs w:val="18"/>
        </w:rPr>
        <w:t xml:space="preserve"> w trakcie miesiąca rozliczeniowego. </w:t>
      </w:r>
    </w:p>
    <w:p w14:paraId="128C47D5"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Region Podstawowy</w:t>
      </w:r>
      <w:r>
        <w:rPr>
          <w:rFonts w:ascii="Calibri" w:eastAsia="Times New Roman" w:hAnsi="Calibri" w:cs="Calibri"/>
          <w:sz w:val="18"/>
          <w:szCs w:val="18"/>
        </w:rPr>
        <w:t>” to region geograficzny, w którym znajdują się dane na koncie magazynu, wybranym przez Użytkownika podczas tworzenia konta magazynu. Żądania zapisu można wykonywać wyłącznie w odniesieniu do danych przechowywanych w Regionie Podstawowym skojarzonym z kontami magazynu. </w:t>
      </w:r>
    </w:p>
    <w:p w14:paraId="2AAC5FD1"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z Dostępem do Odczytu i Nadmiarem Geograficznym (RA-GRS)</w:t>
      </w:r>
      <w:r>
        <w:rPr>
          <w:rFonts w:ascii="Calibri" w:eastAsia="Times New Roman" w:hAnsi="Calibri" w:cs="Calibri"/>
          <w:sz w:val="18"/>
          <w:szCs w:val="18"/>
        </w:rPr>
        <w:t>” jest kontem magazynu, na którym dane są replikowane w obrębie Regionu Podstawowego, a następnie replikowane asynchronicznie do Regionu Pomocniczego. Można bezpośrednio odczytywać dane, lecz nie można zapisywać danych w Regionie Pomocniczym powiązanym z Kontami RA- GRS. </w:t>
      </w:r>
    </w:p>
    <w:p w14:paraId="31E49990"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z Dostępem do Odczytu i Strefowym Nadmiarem Geograficznym (RA-GZRS)</w:t>
      </w:r>
      <w:r>
        <w:rPr>
          <w:rFonts w:ascii="Calibri" w:eastAsia="Times New Roman" w:hAnsi="Calibri" w:cs="Calibri"/>
          <w:sz w:val="18"/>
          <w:szCs w:val="18"/>
        </w:rPr>
        <w:t>” jest kontem magazynu, na którym dane są replikowane w wielu obiektach przy użyciu Magazynu z Nadmiarem Strefowym w Regionie Podstawowym, a następnie replikowane asynchronicznie do Regionu Pomocniczego przy użyciu Magazynu z Nadmiarem Lokalnym. Można bezpośrednio odczytywać dane, lecz nie można zapisywać danych w Regionie Pomocniczym powiązanym z Kontami RA- GZRS. </w:t>
      </w:r>
    </w:p>
    <w:p w14:paraId="29E3EB7A"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Region Pomocniczy</w:t>
      </w:r>
      <w:r>
        <w:rPr>
          <w:rFonts w:ascii="Calibri" w:eastAsia="Times New Roman" w:hAnsi="Calibri" w:cs="Calibri"/>
          <w:sz w:val="18"/>
          <w:szCs w:val="18"/>
        </w:rPr>
        <w:t xml:space="preserve">” to region geograficzny, w którym replikowane i przechowywane są dane na koncie GRS lub GZRS, zgodnie z przydziałem Microsoft </w:t>
      </w:r>
      <w:proofErr w:type="spellStart"/>
      <w:r>
        <w:rPr>
          <w:rFonts w:ascii="Calibri" w:eastAsia="Times New Roman" w:hAnsi="Calibri" w:cs="Calibri"/>
          <w:sz w:val="18"/>
          <w:szCs w:val="18"/>
        </w:rPr>
        <w:t>Azure</w:t>
      </w:r>
      <w:proofErr w:type="spellEnd"/>
      <w:r>
        <w:rPr>
          <w:rFonts w:ascii="Calibri" w:eastAsia="Times New Roman" w:hAnsi="Calibri" w:cs="Calibri"/>
          <w:sz w:val="18"/>
          <w:szCs w:val="18"/>
        </w:rPr>
        <w:t xml:space="preserve"> na podstawie Regionu Podstawowego powiązanego z kontem magazynu. Nie można określić Regionu Pomocniczego skojarzonego z kontami magazynu. </w:t>
      </w:r>
    </w:p>
    <w:p w14:paraId="27CD69B5" w14:textId="77777777" w:rsidR="00261A34" w:rsidRPr="00926E76" w:rsidRDefault="00261A34" w:rsidP="00261A34">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Konto Magazynu z Nadmiarem Strefowym (ZRS)</w:t>
      </w:r>
      <w:r>
        <w:rPr>
          <w:rFonts w:ascii="Calibri" w:eastAsia="Times New Roman" w:hAnsi="Calibri" w:cs="Calibri"/>
          <w:sz w:val="18"/>
          <w:szCs w:val="18"/>
        </w:rPr>
        <w:t>” to konto magazynu, na którym dane są replikowane w wielu obiektach. Obiekty te mogą znajdować się w tym samym regionie geograficznym lub na terenie dwóch regionów geograficznych. </w:t>
      </w:r>
    </w:p>
    <w:p w14:paraId="0E5D1C0C" w14:textId="77777777" w:rsidR="00261A34" w:rsidRDefault="00261A34" w:rsidP="00261A34">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„Miesięczny </w:t>
      </w:r>
      <w:r>
        <w:rPr>
          <w:rFonts w:ascii="Calibri" w:eastAsia="Times New Roman" w:hAnsi="Calibri" w:cs="Calibri"/>
          <w:b/>
          <w:bCs/>
          <w:color w:val="00188F"/>
          <w:sz w:val="18"/>
          <w:szCs w:val="18"/>
        </w:rPr>
        <w:t>Procent Zgodności</w:t>
      </w:r>
      <w:r>
        <w:rPr>
          <w:rFonts w:ascii="Calibri" w:eastAsia="Times New Roman" w:hAnsi="Calibri" w:cs="Calibri"/>
          <w:sz w:val="18"/>
          <w:szCs w:val="18"/>
        </w:rPr>
        <w:t>”: Miesięczny Procent Zgodności jest obliczany przy użyciu następującego wzoru: </w:t>
      </w:r>
    </w:p>
    <w:p w14:paraId="2509C34A" w14:textId="77777777" w:rsidR="00261A34" w:rsidRPr="00EF7CF9" w:rsidRDefault="00000000" w:rsidP="00261A34">
      <w:pPr>
        <w:pStyle w:val="ListParagraph"/>
        <w:spacing w:before="120" w:after="120" w:line="240" w:lineRule="auto"/>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Dostępnych Minut-Minuta Przekroczonego Czasu Ostatniej Synchronizacji</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0295B9F0" w14:textId="77777777" w:rsidR="00261A34" w:rsidRPr="0036053F" w:rsidRDefault="00261A34" w:rsidP="00261A34">
      <w:pPr>
        <w:pStyle w:val="ProductList-Body"/>
        <w:rPr>
          <w:rFonts w:ascii="Calibri" w:hAnsi="Calibri" w:cs="Calibri"/>
        </w:rPr>
      </w:pPr>
      <w:r>
        <w:rPr>
          <w:rFonts w:ascii="Calibri" w:hAnsi="Calibri" w:cs="Calibri"/>
          <w:b/>
          <w:color w:val="00188F"/>
        </w:rPr>
        <w:t>Środki Serwisowe na Używanie Usług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61A34" w:rsidRPr="00B44CF9" w14:paraId="51C41BE8" w14:textId="77777777" w:rsidTr="00954FA1">
        <w:trPr>
          <w:trHeight w:val="245"/>
          <w:tblHeader/>
        </w:trPr>
        <w:tc>
          <w:tcPr>
            <w:tcW w:w="5400" w:type="dxa"/>
            <w:shd w:val="clear" w:color="auto" w:fill="0072C6"/>
          </w:tcPr>
          <w:p w14:paraId="450AEDAD" w14:textId="77777777" w:rsidR="00261A34" w:rsidRPr="0084755E" w:rsidRDefault="00261A34"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Zgodności</w:t>
            </w:r>
          </w:p>
        </w:tc>
        <w:tc>
          <w:tcPr>
            <w:tcW w:w="5400" w:type="dxa"/>
            <w:shd w:val="clear" w:color="auto" w:fill="0072C6"/>
          </w:tcPr>
          <w:p w14:paraId="4F4CD63F" w14:textId="77777777" w:rsidR="00261A34" w:rsidRPr="0084755E" w:rsidRDefault="00261A34"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261A34" w:rsidRPr="00B44CF9" w14:paraId="4B70EB37" w14:textId="77777777" w:rsidTr="00954FA1">
        <w:trPr>
          <w:trHeight w:val="245"/>
        </w:trPr>
        <w:tc>
          <w:tcPr>
            <w:tcW w:w="5400" w:type="dxa"/>
          </w:tcPr>
          <w:p w14:paraId="6B6F7822" w14:textId="77777777" w:rsidR="00261A34" w:rsidRPr="0084755E" w:rsidRDefault="00261A34" w:rsidP="00954FA1">
            <w:pPr>
              <w:pStyle w:val="ProductList-OfferingBody"/>
              <w:jc w:val="center"/>
              <w:rPr>
                <w:rFonts w:ascii="Calibri" w:hAnsi="Calibri" w:cs="Calibri"/>
                <w:szCs w:val="16"/>
              </w:rPr>
            </w:pPr>
            <w:r>
              <w:rPr>
                <w:rFonts w:ascii="Calibri" w:eastAsia="Times New Roman" w:hAnsi="Calibri" w:cs="Calibri"/>
                <w:szCs w:val="16"/>
              </w:rPr>
              <w:t>Poniżej 99,00%, ale nie mniej niż 95,00% </w:t>
            </w:r>
          </w:p>
        </w:tc>
        <w:tc>
          <w:tcPr>
            <w:tcW w:w="5400" w:type="dxa"/>
          </w:tcPr>
          <w:p w14:paraId="2E609CED" w14:textId="77777777" w:rsidR="00261A34" w:rsidRPr="0084755E" w:rsidRDefault="00261A34" w:rsidP="00954FA1">
            <w:pPr>
              <w:pStyle w:val="ProductList-OfferingBody"/>
              <w:jc w:val="center"/>
              <w:rPr>
                <w:rFonts w:ascii="Calibri" w:hAnsi="Calibri" w:cs="Calibri"/>
                <w:szCs w:val="16"/>
              </w:rPr>
            </w:pPr>
            <w:r>
              <w:rPr>
                <w:rFonts w:ascii="Calibri" w:hAnsi="Calibri" w:cs="Calibri"/>
                <w:szCs w:val="16"/>
              </w:rPr>
              <w:t>10%</w:t>
            </w:r>
          </w:p>
        </w:tc>
      </w:tr>
      <w:tr w:rsidR="00261A34" w:rsidRPr="00B44CF9" w14:paraId="47BD7A27" w14:textId="77777777" w:rsidTr="00954FA1">
        <w:trPr>
          <w:trHeight w:val="245"/>
        </w:trPr>
        <w:tc>
          <w:tcPr>
            <w:tcW w:w="5400" w:type="dxa"/>
          </w:tcPr>
          <w:p w14:paraId="45FC82E2" w14:textId="77777777" w:rsidR="00261A34" w:rsidRPr="0084755E" w:rsidRDefault="00261A34" w:rsidP="00954FA1">
            <w:pPr>
              <w:pStyle w:val="ProductList-OfferingBody"/>
              <w:jc w:val="center"/>
              <w:rPr>
                <w:rFonts w:ascii="Calibri" w:hAnsi="Calibri" w:cs="Calibri"/>
                <w:szCs w:val="16"/>
              </w:rPr>
            </w:pPr>
            <w:r>
              <w:rPr>
                <w:rFonts w:ascii="Calibri" w:eastAsia="Times New Roman" w:hAnsi="Calibri" w:cs="Calibri"/>
                <w:szCs w:val="16"/>
              </w:rPr>
              <w:t>Poniżej 95,00%, ale nie mniej niż 90,00% </w:t>
            </w:r>
          </w:p>
        </w:tc>
        <w:tc>
          <w:tcPr>
            <w:tcW w:w="5400" w:type="dxa"/>
          </w:tcPr>
          <w:p w14:paraId="0335F325" w14:textId="77777777" w:rsidR="00261A34" w:rsidRPr="0084755E" w:rsidRDefault="00261A34" w:rsidP="00954FA1">
            <w:pPr>
              <w:pStyle w:val="ProductList-OfferingBody"/>
              <w:jc w:val="center"/>
              <w:rPr>
                <w:rFonts w:ascii="Calibri" w:hAnsi="Calibri" w:cs="Calibri"/>
                <w:szCs w:val="16"/>
              </w:rPr>
            </w:pPr>
            <w:r>
              <w:rPr>
                <w:rFonts w:ascii="Calibri" w:hAnsi="Calibri" w:cs="Calibri"/>
                <w:szCs w:val="16"/>
              </w:rPr>
              <w:t>25%</w:t>
            </w:r>
          </w:p>
        </w:tc>
      </w:tr>
      <w:tr w:rsidR="00261A34" w:rsidRPr="00B44CF9" w14:paraId="2FD6B9A7" w14:textId="77777777" w:rsidTr="00954FA1">
        <w:trPr>
          <w:trHeight w:val="245"/>
        </w:trPr>
        <w:tc>
          <w:tcPr>
            <w:tcW w:w="5400" w:type="dxa"/>
          </w:tcPr>
          <w:p w14:paraId="4B040E59" w14:textId="77777777" w:rsidR="00261A34" w:rsidRPr="0084755E" w:rsidRDefault="00261A34" w:rsidP="00954FA1">
            <w:pPr>
              <w:pStyle w:val="ProductList-OfferingBody"/>
              <w:jc w:val="center"/>
              <w:rPr>
                <w:rFonts w:ascii="Calibri" w:hAnsi="Calibri" w:cs="Calibri"/>
                <w:szCs w:val="16"/>
              </w:rPr>
            </w:pPr>
            <w:r>
              <w:rPr>
                <w:rFonts w:ascii="Calibri" w:eastAsia="Times New Roman" w:hAnsi="Calibri" w:cs="Calibri"/>
                <w:szCs w:val="16"/>
              </w:rPr>
              <w:t>&lt;90,00% </w:t>
            </w:r>
          </w:p>
        </w:tc>
        <w:tc>
          <w:tcPr>
            <w:tcW w:w="5400" w:type="dxa"/>
          </w:tcPr>
          <w:p w14:paraId="75A7578D" w14:textId="77777777" w:rsidR="00261A34" w:rsidRPr="0084755E" w:rsidRDefault="00261A34" w:rsidP="00954FA1">
            <w:pPr>
              <w:pStyle w:val="ProductList-OfferingBody"/>
              <w:jc w:val="center"/>
              <w:rPr>
                <w:rFonts w:ascii="Calibri" w:hAnsi="Calibri" w:cs="Calibri"/>
                <w:szCs w:val="16"/>
              </w:rPr>
            </w:pPr>
            <w:r>
              <w:rPr>
                <w:rFonts w:ascii="Calibri" w:hAnsi="Calibri" w:cs="Calibri"/>
                <w:szCs w:val="16"/>
              </w:rPr>
              <w:t>100%</w:t>
            </w:r>
          </w:p>
        </w:tc>
      </w:tr>
    </w:tbl>
    <w:p w14:paraId="5B9D1834" w14:textId="77777777" w:rsidR="00261A34" w:rsidRDefault="00261A34" w:rsidP="00261A34">
      <w:pPr>
        <w:spacing w:before="120"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Wyjątki dotyczące Poziomu Usługi.</w:t>
      </w:r>
      <w:r>
        <w:rPr>
          <w:rFonts w:ascii="Calibri" w:eastAsia="Times New Roman" w:hAnsi="Calibri" w:cs="Calibri"/>
          <w:color w:val="000000"/>
          <w:sz w:val="18"/>
          <w:szCs w:val="18"/>
        </w:rPr>
        <w:t xml:space="preserve"> Niniejsza umowa SLA nie ma zastosowania do (i) kont magazynu, na których nie włączono funkcji Replikacji Priorytetu Geograficznego, (ii) kont magazynu, na których w ciągu ostatnich 30 dni wykonano wywołania interfejsu API dołączania lub stronicowania obiektów </w:t>
      </w:r>
      <w:proofErr w:type="spellStart"/>
      <w:r>
        <w:rPr>
          <w:rFonts w:ascii="Calibri" w:eastAsia="Times New Roman" w:hAnsi="Calibri" w:cs="Calibri"/>
          <w:color w:val="000000"/>
          <w:sz w:val="18"/>
          <w:szCs w:val="18"/>
        </w:rPr>
        <w:t>blob</w:t>
      </w:r>
      <w:proofErr w:type="spellEnd"/>
      <w:r>
        <w:rPr>
          <w:rFonts w:ascii="Calibri" w:eastAsia="Times New Roman" w:hAnsi="Calibri" w:cs="Calibri"/>
          <w:color w:val="000000"/>
          <w:sz w:val="18"/>
          <w:szCs w:val="18"/>
        </w:rPr>
        <w:t>, (iii) konta magazynu z czasem ostatniej synchronizacji opóźnionym o ponad 15 minut w momencie włączenia funkcji Replikacji Priorytetu Geograficznego nie będą uprawnione, dopóki Czas Ostatniej Synchronizacji konta nie będzie opóźniony o 15 minut lub mniej lub (iv) w okresach, w których (a) szybkość transferu danych przekracza 1 gigabit na sekundę (</w:t>
      </w:r>
      <w:proofErr w:type="spellStart"/>
      <w:r>
        <w:rPr>
          <w:rFonts w:ascii="Calibri" w:eastAsia="Times New Roman" w:hAnsi="Calibri" w:cs="Calibri"/>
          <w:color w:val="000000"/>
          <w:sz w:val="18"/>
          <w:szCs w:val="18"/>
        </w:rPr>
        <w:t>Gb</w:t>
      </w:r>
      <w:proofErr w:type="spellEnd"/>
      <w:r>
        <w:rPr>
          <w:rFonts w:ascii="Calibri" w:eastAsia="Times New Roman" w:hAnsi="Calibri" w:cs="Calibri"/>
          <w:color w:val="000000"/>
          <w:sz w:val="18"/>
          <w:szCs w:val="18"/>
        </w:rPr>
        <w:t xml:space="preserve">/s), a wynikające z tego zaległości w zapisach są replikowane lub (b) gdy żądanie kopiowania obiektów </w:t>
      </w:r>
      <w:proofErr w:type="spellStart"/>
      <w:r>
        <w:rPr>
          <w:rFonts w:ascii="Calibri" w:eastAsia="Times New Roman" w:hAnsi="Calibri" w:cs="Calibri"/>
          <w:color w:val="000000"/>
          <w:sz w:val="18"/>
          <w:szCs w:val="18"/>
        </w:rPr>
        <w:t>blob</w:t>
      </w:r>
      <w:proofErr w:type="spellEnd"/>
      <w:r>
        <w:rPr>
          <w:rFonts w:ascii="Calibri" w:eastAsia="Times New Roman" w:hAnsi="Calibri" w:cs="Calibri"/>
          <w:color w:val="000000"/>
          <w:sz w:val="18"/>
          <w:szCs w:val="18"/>
        </w:rPr>
        <w:t xml:space="preserve"> przekracza 100 żądań </w:t>
      </w:r>
      <w:proofErr w:type="spellStart"/>
      <w:r>
        <w:rPr>
          <w:rFonts w:ascii="Calibri" w:eastAsia="Times New Roman" w:hAnsi="Calibri" w:cs="Calibri"/>
          <w:color w:val="000000"/>
          <w:sz w:val="18"/>
          <w:szCs w:val="18"/>
        </w:rPr>
        <w:t>CopyBlob</w:t>
      </w:r>
      <w:proofErr w:type="spellEnd"/>
      <w:r>
        <w:rPr>
          <w:rFonts w:ascii="Calibri" w:eastAsia="Times New Roman" w:hAnsi="Calibri" w:cs="Calibri"/>
          <w:color w:val="000000"/>
          <w:sz w:val="18"/>
          <w:szCs w:val="18"/>
        </w:rPr>
        <w:t xml:space="preserve"> na sekundę, a wynikające z tego zaległości w zapisach są replikowane.</w:t>
      </w:r>
    </w:p>
    <w:p w14:paraId="48B8CECE" w14:textId="77777777" w:rsidR="00261A34" w:rsidRPr="00EF7CF9" w:rsidRDefault="00261A34" w:rsidP="00261A3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E361F15" w14:textId="74147C5C" w:rsidR="00795604" w:rsidRPr="00EF7CF9" w:rsidRDefault="00795604" w:rsidP="00795604">
      <w:pPr>
        <w:pStyle w:val="ProductList-Offering2Heading"/>
        <w:keepNext/>
        <w:tabs>
          <w:tab w:val="clear" w:pos="360"/>
          <w:tab w:val="clear" w:pos="720"/>
          <w:tab w:val="clear" w:pos="1080"/>
        </w:tabs>
        <w:outlineLvl w:val="2"/>
      </w:pPr>
      <w:bookmarkStart w:id="271" w:name="_Toc239175011"/>
      <w:r>
        <w:t>Centra Zdarzeń</w:t>
      </w:r>
      <w:bookmarkEnd w:id="269"/>
      <w:bookmarkEnd w:id="270"/>
      <w:bookmarkEnd w:id="271"/>
    </w:p>
    <w:p w14:paraId="0D535102" w14:textId="77777777" w:rsidR="00795604" w:rsidRPr="00EF7CF9" w:rsidRDefault="00795604" w:rsidP="00795604">
      <w:pPr>
        <w:pStyle w:val="ProductList-Body"/>
      </w:pPr>
      <w:r>
        <w:rPr>
          <w:b/>
          <w:color w:val="00188F"/>
        </w:rPr>
        <w:t>Dodatkowe definicje</w:t>
      </w:r>
      <w:r w:rsidRPr="0034704E">
        <w:rPr>
          <w:b/>
          <w:color w:val="00188F"/>
        </w:rPr>
        <w:t>:</w:t>
      </w:r>
    </w:p>
    <w:p w14:paraId="50576E2D" w14:textId="77777777" w:rsidR="00795604" w:rsidRPr="00EF7CF9" w:rsidRDefault="00795604" w:rsidP="00795604">
      <w:pPr>
        <w:pStyle w:val="ProductList-Body"/>
      </w:pPr>
      <w:r>
        <w:t>„</w:t>
      </w:r>
      <w:r>
        <w:rPr>
          <w:b/>
          <w:color w:val="00188F"/>
        </w:rPr>
        <w:t>Wiadomość</w:t>
      </w:r>
      <w:r>
        <w:t>” to dowolna zdefiniowana przez użytkownika treść, wysyłana lub odbierana przez Przekaźniki, Kolejki lub Tematu Usługi Service Bus przy użyciu dowolnego protokołu obsługiwanego przez Service Bus.</w:t>
      </w:r>
    </w:p>
    <w:p w14:paraId="452A93E2" w14:textId="2F3870B2" w:rsidR="00795604" w:rsidRPr="00ED4527" w:rsidRDefault="00EE6E3C" w:rsidP="001722AF">
      <w:pPr>
        <w:pStyle w:val="ProductList-Body"/>
        <w:spacing w:before="60"/>
        <w:rPr>
          <w:b/>
          <w:bCs/>
          <w:color w:val="00188F"/>
        </w:rPr>
      </w:pPr>
      <w:r>
        <w:rPr>
          <w:b/>
          <w:bCs/>
          <w:color w:val="00188F"/>
        </w:rPr>
        <w:t>Obliczanie Czasu Sprawnego Działania i Poziomy Usługi dla Centrów Zdarzeń w warstwach Podstawowa i Standardowa</w:t>
      </w:r>
    </w:p>
    <w:p w14:paraId="0D780F49" w14:textId="23482C04" w:rsidR="00795604" w:rsidRPr="00EF7CF9" w:rsidRDefault="00795604" w:rsidP="00795604">
      <w:pPr>
        <w:pStyle w:val="ProductList-Body"/>
      </w:pPr>
      <w:r>
        <w:t>„</w:t>
      </w:r>
      <w:r>
        <w:rPr>
          <w:b/>
          <w:color w:val="00188F"/>
        </w:rPr>
        <w:t>Minuty Wdrożenia</w:t>
      </w:r>
      <w:r>
        <w:t xml:space="preserve">” to łączna liczba minut, przez które dane Centrum Zdarzeń zostało wdrożone na platformie Microsoft </w:t>
      </w:r>
      <w:proofErr w:type="spellStart"/>
      <w:r>
        <w:t>Azure</w:t>
      </w:r>
      <w:proofErr w:type="spellEnd"/>
      <w:r>
        <w:t xml:space="preserve"> we Właściwym Okresie.</w:t>
      </w:r>
    </w:p>
    <w:p w14:paraId="5B4F51F2" w14:textId="6B4AB020" w:rsidR="00795604" w:rsidRPr="00EF7CF9" w:rsidRDefault="00795604" w:rsidP="00795604">
      <w:pPr>
        <w:pStyle w:val="ProductList-Body"/>
      </w:pPr>
      <w:r>
        <w:t>„</w:t>
      </w:r>
      <w:r>
        <w:rPr>
          <w:b/>
          <w:color w:val="00188F"/>
        </w:rPr>
        <w:t>Maksymalna Liczba Dostępnych Minut</w:t>
      </w:r>
      <w:r>
        <w:t>” to suma wszystkich Minut Wdrożenia we wszystkich Centrach Zdarzeń wdrożonych przez użytkownika w</w:t>
      </w:r>
      <w:r w:rsidR="00263A45">
        <w:t> </w:t>
      </w:r>
      <w:r>
        <w:t xml:space="preserve">ramach danej subskrypcji Microsoft </w:t>
      </w:r>
      <w:proofErr w:type="spellStart"/>
      <w:r>
        <w:t>Azure</w:t>
      </w:r>
      <w:proofErr w:type="spellEnd"/>
      <w:r>
        <w:t xml:space="preserve"> we Właściwym Okresie w warstwach Centrum Zdarzeń Podstawowa i Standardowa.</w:t>
      </w:r>
    </w:p>
    <w:p w14:paraId="0D07A3EF" w14:textId="77777777" w:rsidR="00795604" w:rsidRPr="00EF7CF9" w:rsidRDefault="00795604" w:rsidP="00795604">
      <w:pPr>
        <w:pStyle w:val="ProductList-Body"/>
      </w:pPr>
      <w:r>
        <w:rPr>
          <w:b/>
          <w:color w:val="00188F"/>
        </w:rPr>
        <w:t>Przestój</w:t>
      </w:r>
      <w:r w:rsidRPr="0034704E">
        <w:rPr>
          <w:b/>
          <w:color w:val="00188F"/>
        </w:rPr>
        <w:t>:</w:t>
      </w:r>
      <w:r>
        <w:t xml:space="preserve"> Łączna skumulowana liczba Minut Wdrożenia we wszystkich Centrach Zdarzeń wdrożonych przez użytkownika w ramach danej subskrypcji Microsoft </w:t>
      </w:r>
      <w:proofErr w:type="spellStart"/>
      <w:r>
        <w:t>Azure</w:t>
      </w:r>
      <w:proofErr w:type="spellEnd"/>
      <w:r>
        <w:t xml:space="preserve"> w warstwach Podstawowa lub Standardowa Centrów Zdarzeń, podczas których Centrum Zdarzeń jest niedostępne. Minuta jest uznawana za minutę niedostępności dla danego Centrum Zdarzeń, jeśli wszystkie nieprzerwane próby wysłania lub odebrania Wiadomości lub wykonania innych operacji w Centrum </w:t>
      </w:r>
      <w:r>
        <w:rPr>
          <w:rFonts w:cs="Segoe UI"/>
        </w:rPr>
        <w:t xml:space="preserve">Zdarzeń </w:t>
      </w:r>
      <w:r>
        <w:t>w ciągu tej minuty zwrócą Kod Błędu lub nie zwrócą Kodu Sukcesu w ciągu pięciu minut.</w:t>
      </w:r>
    </w:p>
    <w:p w14:paraId="7928B454" w14:textId="1BC237BC" w:rsidR="00795604" w:rsidRPr="00EF7CF9" w:rsidRDefault="00AC48A7" w:rsidP="00272B37">
      <w:pPr>
        <w:pStyle w:val="ProductList-Body"/>
        <w:keepNext/>
        <w:keepLines/>
      </w:pPr>
      <w:r>
        <w:rPr>
          <w:b/>
          <w:color w:val="00188F"/>
        </w:rPr>
        <w:t>Procent Czasu Sprawnego Działania</w:t>
      </w:r>
      <w:r w:rsidRPr="0034704E">
        <w:rPr>
          <w:b/>
          <w:color w:val="00188F"/>
        </w:rPr>
        <w:t>:</w:t>
      </w:r>
      <w:r>
        <w:t xml:space="preserve"> Procent Czasu Sprawnego Działania jest obliczany przy użyciu następującego wzoru:</w:t>
      </w:r>
    </w:p>
    <w:p w14:paraId="38F5FD93" w14:textId="0894E665" w:rsidR="00795604" w:rsidRPr="00EF7CF9" w:rsidRDefault="00000000" w:rsidP="00261A34">
      <w:pPr>
        <w:pStyle w:val="ListParagraph"/>
        <w:keepNext/>
        <w:keepLines/>
        <w:spacing w:before="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00DC91E" w14:textId="77777777" w:rsidR="00795604" w:rsidRPr="00EF7CF9" w:rsidRDefault="00795604" w:rsidP="00795604">
      <w:pPr>
        <w:pStyle w:val="ProductList-Body"/>
      </w:pPr>
      <w:r>
        <w:rPr>
          <w:b/>
          <w:color w:val="00188F"/>
        </w:rPr>
        <w:t>Do używania przez Klienta warstw Podstawowa i Standardowa dla Centrów Zdarzeń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1413EBC6" w14:textId="77777777" w:rsidTr="00277097">
        <w:trPr>
          <w:tblHeader/>
        </w:trPr>
        <w:tc>
          <w:tcPr>
            <w:tcW w:w="5400" w:type="dxa"/>
            <w:shd w:val="clear" w:color="auto" w:fill="0072C6"/>
          </w:tcPr>
          <w:p w14:paraId="3BE96023" w14:textId="43FE8F87" w:rsidR="0079560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319E933" w14:textId="77777777" w:rsidR="00795604" w:rsidRPr="00EF7CF9" w:rsidRDefault="00795604" w:rsidP="000F31B4">
            <w:pPr>
              <w:pStyle w:val="ProductList-OfferingBody"/>
              <w:jc w:val="center"/>
              <w:rPr>
                <w:color w:val="FFFFFF" w:themeColor="background1"/>
              </w:rPr>
            </w:pPr>
            <w:r>
              <w:rPr>
                <w:color w:val="FFFFFF" w:themeColor="background1"/>
              </w:rPr>
              <w:t>Środki Serwisowe na Używanie Usług</w:t>
            </w:r>
          </w:p>
        </w:tc>
      </w:tr>
      <w:tr w:rsidR="00795604" w:rsidRPr="00B44CF9" w14:paraId="78EF5E47" w14:textId="77777777" w:rsidTr="00277097">
        <w:tc>
          <w:tcPr>
            <w:tcW w:w="5400" w:type="dxa"/>
          </w:tcPr>
          <w:p w14:paraId="5B48BEC8" w14:textId="77777777" w:rsidR="00795604" w:rsidRPr="00EF7CF9" w:rsidRDefault="00795604" w:rsidP="000F31B4">
            <w:pPr>
              <w:pStyle w:val="ProductList-OfferingBody"/>
              <w:jc w:val="center"/>
            </w:pPr>
            <w:r>
              <w:t>&lt; 99,95%</w:t>
            </w:r>
          </w:p>
        </w:tc>
        <w:tc>
          <w:tcPr>
            <w:tcW w:w="5400" w:type="dxa"/>
          </w:tcPr>
          <w:p w14:paraId="10CBE3D0" w14:textId="77777777" w:rsidR="00795604" w:rsidRPr="00EF7CF9" w:rsidRDefault="00795604" w:rsidP="000F31B4">
            <w:pPr>
              <w:pStyle w:val="ProductList-OfferingBody"/>
              <w:jc w:val="center"/>
            </w:pPr>
            <w:r>
              <w:t>10%</w:t>
            </w:r>
          </w:p>
        </w:tc>
      </w:tr>
      <w:tr w:rsidR="00795604" w:rsidRPr="00B44CF9" w14:paraId="7B1A3019" w14:textId="77777777" w:rsidTr="00277097">
        <w:tc>
          <w:tcPr>
            <w:tcW w:w="5400" w:type="dxa"/>
          </w:tcPr>
          <w:p w14:paraId="1200C115" w14:textId="77777777" w:rsidR="00795604" w:rsidRPr="00EF7CF9" w:rsidRDefault="00795604" w:rsidP="000F31B4">
            <w:pPr>
              <w:pStyle w:val="ProductList-OfferingBody"/>
              <w:jc w:val="center"/>
            </w:pPr>
            <w:r>
              <w:t>&lt; 99%</w:t>
            </w:r>
          </w:p>
        </w:tc>
        <w:tc>
          <w:tcPr>
            <w:tcW w:w="5400" w:type="dxa"/>
          </w:tcPr>
          <w:p w14:paraId="41FBFCB3" w14:textId="77777777" w:rsidR="00795604" w:rsidRPr="00EF7CF9" w:rsidRDefault="00795604" w:rsidP="000F31B4">
            <w:pPr>
              <w:pStyle w:val="ProductList-OfferingBody"/>
              <w:jc w:val="center"/>
            </w:pPr>
            <w:r>
              <w:t>25%</w:t>
            </w:r>
          </w:p>
        </w:tc>
      </w:tr>
    </w:tbl>
    <w:p w14:paraId="36DAB40C" w14:textId="17D51539" w:rsidR="00795604" w:rsidRPr="00ED4527" w:rsidRDefault="00EE6E3C" w:rsidP="0007032F">
      <w:pPr>
        <w:pStyle w:val="ProductList-Body"/>
        <w:spacing w:before="120"/>
        <w:rPr>
          <w:b/>
          <w:bCs/>
          <w:color w:val="00188F"/>
        </w:rPr>
      </w:pPr>
      <w:r>
        <w:rPr>
          <w:b/>
          <w:bCs/>
          <w:color w:val="00188F"/>
        </w:rPr>
        <w:t>Obliczanie Czasu Sprawnego Działania i Poziomy Usługi dla Centrów Zdarzeń w warstwach Premium i Dedykowana</w:t>
      </w:r>
    </w:p>
    <w:p w14:paraId="7F3A0014" w14:textId="649BE3C0" w:rsidR="00795604" w:rsidRPr="00ED4527" w:rsidRDefault="00795604" w:rsidP="00795604">
      <w:pPr>
        <w:pStyle w:val="ProductList-Body"/>
        <w:rPr>
          <w:color w:val="000000" w:themeColor="text1"/>
        </w:rPr>
      </w:pPr>
      <w:r>
        <w:t>„</w:t>
      </w:r>
      <w:r>
        <w:rPr>
          <w:b/>
          <w:bCs/>
          <w:color w:val="00188F"/>
        </w:rPr>
        <w:t>Minuty Wdrożenia</w:t>
      </w:r>
      <w:r>
        <w:rPr>
          <w:color w:val="000000" w:themeColor="text1"/>
        </w:rPr>
        <w:t xml:space="preserve">” to łączna liczba minut, przez które dane Centrum Zdarzeń zostało wdrożone na platformie Microsoft </w:t>
      </w:r>
      <w:proofErr w:type="spellStart"/>
      <w:r>
        <w:rPr>
          <w:color w:val="000000" w:themeColor="text1"/>
        </w:rPr>
        <w:t>Azure</w:t>
      </w:r>
      <w:proofErr w:type="spellEnd"/>
      <w:r>
        <w:rPr>
          <w:color w:val="000000" w:themeColor="text1"/>
        </w:rPr>
        <w:t xml:space="preserve"> we Właściwym Okresie.</w:t>
      </w:r>
    </w:p>
    <w:p w14:paraId="6F2209A8" w14:textId="55623319" w:rsidR="00795604" w:rsidRPr="00ED4527" w:rsidRDefault="00795604" w:rsidP="00795604">
      <w:pPr>
        <w:pStyle w:val="ProductList-Body"/>
        <w:rPr>
          <w:color w:val="000000" w:themeColor="text1"/>
        </w:rPr>
      </w:pPr>
      <w:r>
        <w:rPr>
          <w:color w:val="000000" w:themeColor="text1"/>
        </w:rPr>
        <w:t>„</w:t>
      </w:r>
      <w:r>
        <w:rPr>
          <w:b/>
          <w:bCs/>
          <w:color w:val="00188F"/>
        </w:rPr>
        <w:t>Maksymalna Liczba Dostępnych Minut</w:t>
      </w:r>
      <w:r>
        <w:rPr>
          <w:color w:val="000000" w:themeColor="text1"/>
        </w:rPr>
        <w:t>” to suma wszystkich Minut Wdrożenia we wszystkich Centrach Zdarzeń wdrożonych przez użytkownika w</w:t>
      </w:r>
      <w:r w:rsidR="00272B37">
        <w:rPr>
          <w:color w:val="000000" w:themeColor="text1"/>
        </w:rPr>
        <w:t> </w:t>
      </w:r>
      <w:r>
        <w:rPr>
          <w:color w:val="000000" w:themeColor="text1"/>
        </w:rPr>
        <w:t xml:space="preserve">ramach danej subskrypcji Microsoft </w:t>
      </w:r>
      <w:proofErr w:type="spellStart"/>
      <w:r>
        <w:rPr>
          <w:color w:val="000000" w:themeColor="text1"/>
        </w:rPr>
        <w:t>Azure</w:t>
      </w:r>
      <w:proofErr w:type="spellEnd"/>
      <w:r>
        <w:rPr>
          <w:color w:val="000000" w:themeColor="text1"/>
        </w:rPr>
        <w:t xml:space="preserve"> we Właściwym Okresie w warstwach Centrum Zdarzeń Premium i Dedykowana.</w:t>
      </w:r>
      <w:r>
        <w:t xml:space="preserve"> .</w:t>
      </w:r>
    </w:p>
    <w:p w14:paraId="07D95EC2" w14:textId="48541482" w:rsidR="00795604" w:rsidRPr="00272B37" w:rsidRDefault="00795604" w:rsidP="00795604">
      <w:pPr>
        <w:pStyle w:val="ProductList-Body"/>
        <w:rPr>
          <w:color w:val="000000" w:themeColor="text1"/>
          <w:spacing w:val="-2"/>
        </w:rPr>
      </w:pPr>
      <w:r w:rsidRPr="00272B37">
        <w:rPr>
          <w:color w:val="000000" w:themeColor="text1"/>
          <w:spacing w:val="-2"/>
        </w:rPr>
        <w:t>„</w:t>
      </w:r>
      <w:r w:rsidRPr="00272B37">
        <w:rPr>
          <w:b/>
          <w:bCs/>
          <w:color w:val="00188F"/>
          <w:spacing w:val="-2"/>
        </w:rPr>
        <w:t>Przestój</w:t>
      </w:r>
      <w:r w:rsidRPr="00272B37">
        <w:rPr>
          <w:color w:val="000000" w:themeColor="text1"/>
          <w:spacing w:val="-2"/>
        </w:rPr>
        <w:t>” to łączna zakumulowana liczba Minut Wdrożenia dla wszystkich Centrów Zdarzeń wdrożonych przez Klienta w ramach określonej subskrypcji</w:t>
      </w:r>
      <w:r w:rsidR="002F65C2">
        <w:rPr>
          <w:color w:val="000000" w:themeColor="text1"/>
          <w:spacing w:val="-2"/>
        </w:rPr>
        <w:t> </w:t>
      </w:r>
      <w:r w:rsidRPr="00272B37">
        <w:rPr>
          <w:color w:val="000000" w:themeColor="text1"/>
          <w:spacing w:val="-2"/>
        </w:rPr>
        <w:t xml:space="preserve">Microsoft </w:t>
      </w:r>
      <w:proofErr w:type="spellStart"/>
      <w:r w:rsidRPr="00272B37">
        <w:rPr>
          <w:color w:val="000000" w:themeColor="text1"/>
          <w:spacing w:val="-2"/>
        </w:rPr>
        <w:t>Azure</w:t>
      </w:r>
      <w:proofErr w:type="spellEnd"/>
      <w:r w:rsidRPr="00272B37">
        <w:rPr>
          <w:color w:val="000000" w:themeColor="text1"/>
          <w:spacing w:val="-2"/>
        </w:rPr>
        <w:t xml:space="preserve"> w warstwach Premium albo Dedykowana usługi Event </w:t>
      </w:r>
      <w:proofErr w:type="spellStart"/>
      <w:r w:rsidRPr="00272B37">
        <w:rPr>
          <w:color w:val="000000" w:themeColor="text1"/>
          <w:spacing w:val="-2"/>
        </w:rPr>
        <w:t>Hubs</w:t>
      </w:r>
      <w:proofErr w:type="spellEnd"/>
      <w:r w:rsidRPr="00272B37">
        <w:rPr>
          <w:color w:val="000000" w:themeColor="text1"/>
          <w:spacing w:val="-2"/>
        </w:rPr>
        <w:t>, w czasie których Centrum Zdarzeń jest niedostępne. Minuta jest uznawana za minutę niedostępności dla danego Centrum Zdarzeń, jeśli wszystkie nieprzerwane próby wysłania lub odebrania Wiadomości lub wykonania innych operacji w Centrum Zdarzeń w ciągu tej minuty zwrócą Kod Błędu lub nie zwrócą Kodu Sukcesu w ciągu pięciu minut.</w:t>
      </w:r>
    </w:p>
    <w:p w14:paraId="3914DB2B" w14:textId="380C11AF" w:rsidR="00795604" w:rsidRDefault="00B41CC1" w:rsidP="00795604">
      <w:pPr>
        <w:pStyle w:val="ProductList-Body"/>
        <w:rPr>
          <w:color w:val="000000" w:themeColor="text1"/>
        </w:rPr>
      </w:pPr>
      <w:r w:rsidRPr="00272B37">
        <w:rPr>
          <w:color w:val="000000" w:themeColor="text1"/>
          <w:spacing w:val="-2"/>
        </w:rPr>
        <w:t>„</w:t>
      </w:r>
      <w:r w:rsidR="00795604">
        <w:rPr>
          <w:b/>
          <w:bCs/>
          <w:color w:val="00188F"/>
        </w:rPr>
        <w:t>Procent Czasu Sprawnego Działania</w:t>
      </w:r>
      <w:r>
        <w:rPr>
          <w:color w:val="000000" w:themeColor="text1"/>
        </w:rPr>
        <w:t>”</w:t>
      </w:r>
      <w:r w:rsidR="00795604">
        <w:rPr>
          <w:color w:val="000000" w:themeColor="text1"/>
        </w:rPr>
        <w:t xml:space="preserve"> dla Centrów Zdarzeń to Maksymalna Liczba Dostępnych Minut pomniejszona o Przestój podzielona przez</w:t>
      </w:r>
      <w:r w:rsidR="002F65C2">
        <w:rPr>
          <w:color w:val="000000" w:themeColor="text1"/>
        </w:rPr>
        <w:t> </w:t>
      </w:r>
      <w:r w:rsidR="00795604">
        <w:rPr>
          <w:color w:val="000000" w:themeColor="text1"/>
        </w:rPr>
        <w:t xml:space="preserve">Maksymalną Liczbę Dostępnych Minut we Właściwym Okresie dla danej subskrypcji Microsoft </w:t>
      </w:r>
      <w:proofErr w:type="spellStart"/>
      <w:r w:rsidR="00795604">
        <w:rPr>
          <w:color w:val="000000" w:themeColor="text1"/>
        </w:rPr>
        <w:t>Azure</w:t>
      </w:r>
      <w:proofErr w:type="spellEnd"/>
      <w:r w:rsidR="00795604">
        <w:rPr>
          <w:color w:val="000000" w:themeColor="text1"/>
        </w:rPr>
        <w:t>.</w:t>
      </w:r>
    </w:p>
    <w:p w14:paraId="7028DE47" w14:textId="7414BE93" w:rsidR="00795604" w:rsidRDefault="00AC48A7" w:rsidP="00795604">
      <w:pPr>
        <w:pStyle w:val="ProductList-Body"/>
        <w:rPr>
          <w:color w:val="000000" w:themeColor="text1"/>
        </w:rPr>
      </w:pPr>
      <w:r>
        <w:rPr>
          <w:color w:val="000000" w:themeColor="text1"/>
        </w:rPr>
        <w:t>Procent Czasu Sprawnego Działania przedstawia się za pomocą następującego wzoru:</w:t>
      </w:r>
    </w:p>
    <w:p w14:paraId="53424A05" w14:textId="334F33C7" w:rsidR="00795604" w:rsidRPr="00EF7CF9" w:rsidRDefault="00000000" w:rsidP="006826E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11E8A31" w14:textId="77777777" w:rsidR="00795604" w:rsidRPr="00EF7CF9" w:rsidRDefault="00795604" w:rsidP="00272B37">
      <w:pPr>
        <w:pStyle w:val="ProductList-Body"/>
        <w:ind w:right="144"/>
      </w:pPr>
      <w:r>
        <w:rPr>
          <w:b/>
          <w:color w:val="00188F"/>
        </w:rPr>
        <w:t>Do używania przez Klienta warstw Premium albo Dedykowana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95604" w:rsidRPr="00B44CF9" w14:paraId="67ADAD4A" w14:textId="77777777" w:rsidTr="00277097">
        <w:trPr>
          <w:tblHeader/>
        </w:trPr>
        <w:tc>
          <w:tcPr>
            <w:tcW w:w="5400" w:type="dxa"/>
            <w:shd w:val="clear" w:color="auto" w:fill="0072C6"/>
          </w:tcPr>
          <w:p w14:paraId="7BA8549C" w14:textId="5AE008CF" w:rsidR="00795604"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3C2EA93" w14:textId="77777777" w:rsidR="00795604" w:rsidRPr="00EF7CF9" w:rsidRDefault="00795604" w:rsidP="000F31B4">
            <w:pPr>
              <w:pStyle w:val="ProductList-OfferingBody"/>
              <w:jc w:val="center"/>
              <w:rPr>
                <w:color w:val="FFFFFF" w:themeColor="background1"/>
              </w:rPr>
            </w:pPr>
            <w:r>
              <w:rPr>
                <w:color w:val="FFFFFF" w:themeColor="background1"/>
              </w:rPr>
              <w:t>Środki Serwisowe na Używanie Usług</w:t>
            </w:r>
          </w:p>
        </w:tc>
      </w:tr>
      <w:tr w:rsidR="00795604" w:rsidRPr="00B44CF9" w14:paraId="239389D2" w14:textId="77777777" w:rsidTr="00277097">
        <w:tc>
          <w:tcPr>
            <w:tcW w:w="5400" w:type="dxa"/>
          </w:tcPr>
          <w:p w14:paraId="0CDDF050" w14:textId="77777777" w:rsidR="00795604" w:rsidRPr="00EF7CF9" w:rsidRDefault="00795604" w:rsidP="000F31B4">
            <w:pPr>
              <w:pStyle w:val="ProductList-OfferingBody"/>
              <w:jc w:val="center"/>
            </w:pPr>
            <w:r>
              <w:t>&lt; 99,99%</w:t>
            </w:r>
          </w:p>
        </w:tc>
        <w:tc>
          <w:tcPr>
            <w:tcW w:w="5400" w:type="dxa"/>
          </w:tcPr>
          <w:p w14:paraId="3958ED47" w14:textId="77777777" w:rsidR="00795604" w:rsidRPr="00EF7CF9" w:rsidRDefault="00795604" w:rsidP="000F31B4">
            <w:pPr>
              <w:pStyle w:val="ProductList-OfferingBody"/>
              <w:jc w:val="center"/>
            </w:pPr>
            <w:r>
              <w:t>10%</w:t>
            </w:r>
          </w:p>
        </w:tc>
      </w:tr>
      <w:tr w:rsidR="00795604" w:rsidRPr="00B44CF9" w14:paraId="614A2A3D" w14:textId="77777777" w:rsidTr="00277097">
        <w:tc>
          <w:tcPr>
            <w:tcW w:w="5400" w:type="dxa"/>
          </w:tcPr>
          <w:p w14:paraId="6E1B0CA3" w14:textId="77777777" w:rsidR="00795604" w:rsidRPr="00EF7CF9" w:rsidRDefault="00795604" w:rsidP="000F31B4">
            <w:pPr>
              <w:pStyle w:val="ProductList-OfferingBody"/>
              <w:jc w:val="center"/>
            </w:pPr>
            <w:r>
              <w:t>&lt; 99%</w:t>
            </w:r>
          </w:p>
        </w:tc>
        <w:tc>
          <w:tcPr>
            <w:tcW w:w="5400" w:type="dxa"/>
          </w:tcPr>
          <w:p w14:paraId="1EC0B0C5" w14:textId="77777777" w:rsidR="00795604" w:rsidRPr="00EF7CF9" w:rsidRDefault="00795604" w:rsidP="000F31B4">
            <w:pPr>
              <w:pStyle w:val="ProductList-OfferingBody"/>
              <w:jc w:val="center"/>
            </w:pPr>
            <w:r>
              <w:t>25%</w:t>
            </w:r>
          </w:p>
        </w:tc>
      </w:tr>
    </w:tbl>
    <w:p w14:paraId="75435A99" w14:textId="5E7545F0" w:rsidR="00795604" w:rsidRPr="00EF7CF9" w:rsidRDefault="00C71F89" w:rsidP="007956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F899C39" w14:textId="74676BCD" w:rsidR="000D47D0" w:rsidRPr="00EF7CF9" w:rsidRDefault="000D47D0" w:rsidP="00396BDB">
      <w:pPr>
        <w:pStyle w:val="ProductList-Offering2Heading"/>
        <w:pBdr>
          <w:bottom w:val="single" w:sz="4" w:space="0" w:color="595959" w:themeColor="text1" w:themeTint="A6"/>
        </w:pBdr>
        <w:tabs>
          <w:tab w:val="clear" w:pos="360"/>
          <w:tab w:val="clear" w:pos="720"/>
          <w:tab w:val="clear" w:pos="1080"/>
        </w:tabs>
        <w:outlineLvl w:val="2"/>
      </w:pPr>
      <w:bookmarkStart w:id="272" w:name="_Toc457821550"/>
      <w:bookmarkStart w:id="273" w:name="_Toc52348954"/>
      <w:bookmarkStart w:id="274" w:name="_Toc239175012"/>
      <w:proofErr w:type="spellStart"/>
      <w:r>
        <w:t>Azure</w:t>
      </w:r>
      <w:proofErr w:type="spellEnd"/>
      <w:r>
        <w:t xml:space="preserve"> </w:t>
      </w:r>
      <w:bookmarkStart w:id="275" w:name="_Hlk119927884"/>
      <w:proofErr w:type="spellStart"/>
      <w:r>
        <w:t>ExpressRoute</w:t>
      </w:r>
      <w:bookmarkEnd w:id="272"/>
      <w:bookmarkEnd w:id="273"/>
      <w:bookmarkEnd w:id="274"/>
      <w:bookmarkEnd w:id="275"/>
      <w:proofErr w:type="spellEnd"/>
    </w:p>
    <w:p w14:paraId="7D3B0AEC" w14:textId="77777777" w:rsidR="000D47D0" w:rsidRPr="00EF7CF9" w:rsidRDefault="000D47D0" w:rsidP="000D47D0">
      <w:pPr>
        <w:pStyle w:val="ProductList-Body"/>
        <w:rPr>
          <w:b/>
          <w:color w:val="00188F"/>
        </w:rPr>
      </w:pPr>
      <w:r>
        <w:rPr>
          <w:b/>
          <w:color w:val="00188F"/>
        </w:rPr>
        <w:t>Dodatkowe definicje</w:t>
      </w:r>
      <w:r w:rsidRPr="0034704E">
        <w:rPr>
          <w:b/>
          <w:color w:val="00188F"/>
        </w:rPr>
        <w:t>:</w:t>
      </w:r>
    </w:p>
    <w:p w14:paraId="4C268A91"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Połączenie</w:t>
      </w:r>
      <w:r>
        <w:rPr>
          <w:rFonts w:ascii="Calibri" w:eastAsia="Calibri" w:hAnsi="Calibri" w:cs="Arial"/>
          <w:sz w:val="18"/>
        </w:rPr>
        <w:t xml:space="preserve">” jest obiektem platformy </w:t>
      </w:r>
      <w:proofErr w:type="spellStart"/>
      <w:r>
        <w:rPr>
          <w:rFonts w:ascii="Calibri" w:eastAsia="Calibri" w:hAnsi="Calibri" w:cs="Arial"/>
          <w:sz w:val="18"/>
        </w:rPr>
        <w:t>Azure</w:t>
      </w:r>
      <w:proofErr w:type="spellEnd"/>
      <w:r>
        <w:rPr>
          <w:rFonts w:ascii="Calibri" w:eastAsia="Calibri" w:hAnsi="Calibri" w:cs="Arial"/>
          <w:sz w:val="18"/>
        </w:rPr>
        <w:t xml:space="preserve">, który łączy Bramę </w:t>
      </w:r>
      <w:proofErr w:type="spellStart"/>
      <w:r>
        <w:rPr>
          <w:rFonts w:ascii="Calibri" w:eastAsia="Calibri" w:hAnsi="Calibri" w:cs="Arial"/>
          <w:sz w:val="18"/>
        </w:rPr>
        <w:t>ExpressRoute</w:t>
      </w:r>
      <w:proofErr w:type="spellEnd"/>
      <w:r>
        <w:rPr>
          <w:rFonts w:ascii="Calibri" w:eastAsia="Calibri" w:hAnsi="Calibri" w:cs="Arial"/>
          <w:sz w:val="18"/>
        </w:rPr>
        <w:t xml:space="preserve"> z Wyznaczonym Obwodem. W ramach niniejszej umowy SLA Brama </w:t>
      </w:r>
      <w:proofErr w:type="spellStart"/>
      <w:r>
        <w:rPr>
          <w:rFonts w:ascii="Calibri" w:eastAsia="Calibri" w:hAnsi="Calibri" w:cs="Arial"/>
          <w:sz w:val="18"/>
        </w:rPr>
        <w:t>ExpressRoute</w:t>
      </w:r>
      <w:proofErr w:type="spellEnd"/>
      <w:r>
        <w:rPr>
          <w:rFonts w:ascii="Calibri" w:eastAsia="Calibri" w:hAnsi="Calibri" w:cs="Arial"/>
          <w:sz w:val="18"/>
        </w:rPr>
        <w:t xml:space="preserve"> może mieć połączenia z wieloma Wyznaczonymi Obwodami.</w:t>
      </w:r>
    </w:p>
    <w:p w14:paraId="7D9EC054"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Wyznaczony Obwód</w:t>
      </w:r>
      <w:r>
        <w:rPr>
          <w:rFonts w:ascii="Calibri" w:eastAsia="Calibri" w:hAnsi="Calibri" w:cs="Arial"/>
          <w:sz w:val="18"/>
        </w:rPr>
        <w:t xml:space="preserve">” oznacza logiczną reprezentację łączności oferowanej za pośrednictwem Usługi </w:t>
      </w:r>
      <w:proofErr w:type="spellStart"/>
      <w:r>
        <w:rPr>
          <w:rFonts w:ascii="Calibri" w:eastAsia="Calibri" w:hAnsi="Calibri" w:cs="Arial"/>
          <w:sz w:val="18"/>
        </w:rPr>
        <w:t>ExpressRoute</w:t>
      </w:r>
      <w:proofErr w:type="spellEnd"/>
      <w:r>
        <w:rPr>
          <w:rFonts w:ascii="Calibri" w:eastAsia="Calibri" w:hAnsi="Calibri" w:cs="Arial"/>
          <w:sz w:val="18"/>
        </w:rPr>
        <w:t xml:space="preserve"> między siedzibami Użytkownika a platformą Microsoft </w:t>
      </w:r>
      <w:proofErr w:type="spellStart"/>
      <w:r>
        <w:rPr>
          <w:rFonts w:ascii="Calibri" w:eastAsia="Calibri" w:hAnsi="Calibri" w:cs="Arial"/>
          <w:sz w:val="18"/>
        </w:rPr>
        <w:t>Azure</w:t>
      </w:r>
      <w:proofErr w:type="spellEnd"/>
      <w:r>
        <w:rPr>
          <w:rFonts w:ascii="Calibri" w:eastAsia="Calibri" w:hAnsi="Calibri" w:cs="Arial"/>
          <w:sz w:val="18"/>
        </w:rPr>
        <w:t xml:space="preserve"> za pośrednictwem dostawcy łączności </w:t>
      </w:r>
      <w:proofErr w:type="spellStart"/>
      <w:r>
        <w:rPr>
          <w:rFonts w:ascii="Calibri" w:eastAsia="Calibri" w:hAnsi="Calibri" w:cs="Arial"/>
          <w:sz w:val="18"/>
        </w:rPr>
        <w:t>ExpressRoute</w:t>
      </w:r>
      <w:proofErr w:type="spellEnd"/>
      <w:r>
        <w:rPr>
          <w:rFonts w:ascii="Calibri" w:eastAsia="Calibri" w:hAnsi="Calibri" w:cs="Arial"/>
          <w:sz w:val="18"/>
        </w:rPr>
        <w:t xml:space="preserve"> lub bezpośrednio za pośrednictwem Portu Bezpośredniego </w:t>
      </w:r>
      <w:proofErr w:type="spellStart"/>
      <w:r>
        <w:rPr>
          <w:rFonts w:ascii="Calibri" w:eastAsia="Calibri" w:hAnsi="Calibri" w:cs="Arial"/>
          <w:sz w:val="18"/>
        </w:rPr>
        <w:t>ExpressRoute</w:t>
      </w:r>
      <w:proofErr w:type="spellEnd"/>
      <w:r>
        <w:rPr>
          <w:rFonts w:ascii="Calibri" w:eastAsia="Calibri" w:hAnsi="Calibri" w:cs="Arial"/>
          <w:sz w:val="18"/>
        </w:rPr>
        <w:t>, w przypadku gdy taka łączność nie przechodzi przez publiczny Internet.</w:t>
      </w:r>
    </w:p>
    <w:p w14:paraId="4E4546AF"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Przestój</w:t>
      </w:r>
      <w:r>
        <w:rPr>
          <w:rFonts w:ascii="Calibri" w:eastAsia="Calibri" w:hAnsi="Calibri" w:cs="Arial"/>
          <w:sz w:val="18"/>
        </w:rPr>
        <w:t xml:space="preserve">” o łączna zakumulowana liczba minut we Właściwym Okresie dla danej subskrypcji Microsoft </w:t>
      </w:r>
      <w:proofErr w:type="spellStart"/>
      <w:r>
        <w:rPr>
          <w:rFonts w:ascii="Calibri" w:eastAsia="Calibri" w:hAnsi="Calibri" w:cs="Arial"/>
          <w:sz w:val="18"/>
        </w:rPr>
        <w:t>Azure</w:t>
      </w:r>
      <w:proofErr w:type="spellEnd"/>
      <w:r>
        <w:rPr>
          <w:rFonts w:ascii="Calibri" w:eastAsia="Calibri" w:hAnsi="Calibri" w:cs="Arial"/>
          <w:sz w:val="18"/>
        </w:rPr>
        <w:t xml:space="preserve">, podczas których dany Wyznaczony Obwód jest niedostępny. Minutę uznaje się za niedostępną dla danego Wyznaczonego Obwodu, jeśli wszystkie podejmowane w ciągu tej minuty próby nawiązania połączenia na poziomie IP z Bramą Express </w:t>
      </w:r>
      <w:proofErr w:type="spellStart"/>
      <w:r>
        <w:rPr>
          <w:rFonts w:ascii="Calibri" w:eastAsia="Calibri" w:hAnsi="Calibri" w:cs="Arial"/>
          <w:sz w:val="18"/>
        </w:rPr>
        <w:t>Route</w:t>
      </w:r>
      <w:proofErr w:type="spellEnd"/>
      <w:r>
        <w:rPr>
          <w:rFonts w:ascii="Calibri" w:eastAsia="Calibri" w:hAnsi="Calibri" w:cs="Arial"/>
          <w:sz w:val="18"/>
        </w:rPr>
        <w:t xml:space="preserve"> powiązaną z Siecią Wirtualną zakończą się niepowodzeniem trwającym dłużej niż trzydzieści sekund. Ruch przepływający przez alternatywny Wyznaczony Obwód w konfiguracji 2+ lokalizacji nie jest uważany za przestój w wyłączonym Wyznaczonym Obwodzie w tej konfiguracji.</w:t>
      </w:r>
    </w:p>
    <w:p w14:paraId="52B57E44"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Brama ER</w:t>
      </w:r>
      <w:r>
        <w:rPr>
          <w:rFonts w:ascii="Calibri" w:eastAsia="Calibri" w:hAnsi="Calibri" w:cs="Arial"/>
          <w:sz w:val="18"/>
        </w:rPr>
        <w:t>” odnosi się do Brama Sieci Wirtualnej, która ułatwia łączność między Siecią Wirtualną a Wyznaczonym Obwodem.</w:t>
      </w:r>
    </w:p>
    <w:p w14:paraId="17B9D69D"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 xml:space="preserve">Lokalizacja Metro </w:t>
      </w:r>
      <w:proofErr w:type="spellStart"/>
      <w:r>
        <w:rPr>
          <w:rFonts w:ascii="Calibri" w:eastAsia="Calibri" w:hAnsi="Calibri" w:cs="Arial"/>
          <w:b/>
          <w:color w:val="00188F"/>
          <w:sz w:val="18"/>
        </w:rPr>
        <w:t>Peering</w:t>
      </w:r>
      <w:proofErr w:type="spellEnd"/>
      <w:r>
        <w:rPr>
          <w:rFonts w:ascii="Calibri" w:eastAsia="Calibri" w:hAnsi="Calibri" w:cs="Arial"/>
          <w:sz w:val="18"/>
        </w:rPr>
        <w:t xml:space="preserve">” jest nazwą miasta zawierającą etykietę „Metro” wskazującą, że Wyznaczony Obwód z tą Lokalizacją Metro </w:t>
      </w:r>
      <w:proofErr w:type="spellStart"/>
      <w:r>
        <w:rPr>
          <w:rFonts w:ascii="Calibri" w:eastAsia="Calibri" w:hAnsi="Calibri" w:cs="Arial"/>
          <w:sz w:val="18"/>
        </w:rPr>
        <w:t>Peering</w:t>
      </w:r>
      <w:proofErr w:type="spellEnd"/>
      <w:r>
        <w:rPr>
          <w:rFonts w:ascii="Calibri" w:eastAsia="Calibri" w:hAnsi="Calibri" w:cs="Arial"/>
          <w:sz w:val="18"/>
        </w:rPr>
        <w:t xml:space="preserve"> kończy się w dwóch Lokalizacjach </w:t>
      </w:r>
      <w:proofErr w:type="spellStart"/>
      <w:r>
        <w:rPr>
          <w:rFonts w:ascii="Calibri" w:eastAsia="Calibri" w:hAnsi="Calibri" w:cs="Arial"/>
          <w:sz w:val="18"/>
        </w:rPr>
        <w:t>Peering</w:t>
      </w:r>
      <w:proofErr w:type="spellEnd"/>
      <w:r>
        <w:rPr>
          <w:rFonts w:ascii="Calibri" w:eastAsia="Calibri" w:hAnsi="Calibri" w:cs="Arial"/>
          <w:sz w:val="18"/>
        </w:rPr>
        <w:t xml:space="preserve"> w obrębie tego miasta. Np. Waszyngton DC Metro i Sydney Metro miałyby połączenia z dwoma Lokalizacjami </w:t>
      </w:r>
      <w:proofErr w:type="spellStart"/>
      <w:r>
        <w:rPr>
          <w:rFonts w:ascii="Calibri" w:eastAsia="Calibri" w:hAnsi="Calibri" w:cs="Arial"/>
          <w:sz w:val="18"/>
        </w:rPr>
        <w:t>Peering</w:t>
      </w:r>
      <w:proofErr w:type="spellEnd"/>
      <w:r>
        <w:rPr>
          <w:rFonts w:ascii="Calibri" w:eastAsia="Calibri" w:hAnsi="Calibri" w:cs="Arial"/>
          <w:sz w:val="18"/>
        </w:rPr>
        <w:t xml:space="preserve"> poza Metro w tych miastach.</w:t>
      </w:r>
    </w:p>
    <w:p w14:paraId="4F6B0BB1"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Maksymalna Liczba Dostępnych Minut</w:t>
      </w:r>
      <w:r>
        <w:rPr>
          <w:rFonts w:ascii="Calibri" w:eastAsia="Calibri" w:hAnsi="Calibri" w:cs="Arial"/>
          <w:sz w:val="18"/>
        </w:rPr>
        <w:t xml:space="preserve">” to łączna liczba minut, przez które dany Wyznaczony Obwód jest powiązany z co najmniej jedną Siecią Wirtualną na platformie Microsoft </w:t>
      </w:r>
      <w:proofErr w:type="spellStart"/>
      <w:r>
        <w:rPr>
          <w:rFonts w:ascii="Calibri" w:eastAsia="Calibri" w:hAnsi="Calibri" w:cs="Arial"/>
          <w:sz w:val="18"/>
        </w:rPr>
        <w:t>Azure</w:t>
      </w:r>
      <w:proofErr w:type="spellEnd"/>
      <w:r>
        <w:rPr>
          <w:rFonts w:ascii="Calibri" w:eastAsia="Calibri" w:hAnsi="Calibri" w:cs="Arial"/>
          <w:sz w:val="18"/>
        </w:rPr>
        <w:t xml:space="preserve"> we Właściwym Okresie w ramach danej subskrypcji Microsoft </w:t>
      </w:r>
      <w:proofErr w:type="spellStart"/>
      <w:r>
        <w:rPr>
          <w:rFonts w:ascii="Calibri" w:eastAsia="Calibri" w:hAnsi="Calibri" w:cs="Arial"/>
          <w:sz w:val="18"/>
        </w:rPr>
        <w:t>Azure</w:t>
      </w:r>
      <w:proofErr w:type="spellEnd"/>
      <w:r>
        <w:rPr>
          <w:rFonts w:ascii="Calibri" w:eastAsia="Calibri" w:hAnsi="Calibri" w:cs="Arial"/>
          <w:sz w:val="18"/>
        </w:rPr>
        <w:t>.</w:t>
      </w:r>
    </w:p>
    <w:p w14:paraId="58AC6A27" w14:textId="77777777" w:rsidR="00B85D10" w:rsidRPr="00DD0FCE" w:rsidRDefault="00B85D10" w:rsidP="0007032F">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Sieć Wirtualna</w:t>
      </w:r>
      <w:r>
        <w:rPr>
          <w:rFonts w:ascii="Calibri" w:eastAsia="Calibri" w:hAnsi="Calibri" w:cs="Arial"/>
          <w:sz w:val="18"/>
        </w:rPr>
        <w:t xml:space="preserve">” oznacza wirtualną sieć prywatną składającą się ze zbioru zdefiniowanych przez użytkownika adresów IP i podsieci, które razem tworzą granicę sieci w ramach Microsoft </w:t>
      </w:r>
      <w:proofErr w:type="spellStart"/>
      <w:r>
        <w:rPr>
          <w:rFonts w:ascii="Calibri" w:eastAsia="Calibri" w:hAnsi="Calibri" w:cs="Arial"/>
          <w:sz w:val="18"/>
        </w:rPr>
        <w:t>Azure</w:t>
      </w:r>
      <w:proofErr w:type="spellEnd"/>
      <w:r>
        <w:rPr>
          <w:rFonts w:ascii="Calibri" w:eastAsia="Calibri" w:hAnsi="Calibri" w:cs="Arial"/>
          <w:sz w:val="18"/>
        </w:rPr>
        <w:t>.</w:t>
      </w:r>
    </w:p>
    <w:p w14:paraId="697146BD" w14:textId="77777777" w:rsidR="00B85D10" w:rsidRPr="00DD0FCE" w:rsidDel="00AA2D86" w:rsidRDefault="00B85D10" w:rsidP="00B85D10">
      <w:pPr>
        <w:tabs>
          <w:tab w:val="left" w:pos="360"/>
          <w:tab w:val="left" w:pos="720"/>
          <w:tab w:val="left" w:pos="1080"/>
        </w:tabs>
        <w:spacing w:after="0" w:line="240" w:lineRule="auto"/>
        <w:rPr>
          <w:rFonts w:ascii="Calibri" w:eastAsia="Calibri" w:hAnsi="Calibri" w:cs="Arial"/>
          <w:sz w:val="18"/>
        </w:rPr>
      </w:pPr>
    </w:p>
    <w:p w14:paraId="39B3A211" w14:textId="77777777" w:rsidR="00B85D10" w:rsidRPr="00DD0FCE" w:rsidDel="00B90AF1" w:rsidRDefault="00B85D10" w:rsidP="00B85D1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Umowa SLA </w:t>
      </w:r>
      <w:proofErr w:type="spellStart"/>
      <w:r>
        <w:rPr>
          <w:rFonts w:ascii="Calibri" w:eastAsia="Calibri" w:hAnsi="Calibri" w:cs="Arial"/>
          <w:sz w:val="18"/>
        </w:rPr>
        <w:t>ExpressRoute</w:t>
      </w:r>
      <w:proofErr w:type="spellEnd"/>
      <w:r>
        <w:rPr>
          <w:rFonts w:ascii="Calibri" w:eastAsia="Calibri" w:hAnsi="Calibri" w:cs="Arial"/>
          <w:sz w:val="18"/>
        </w:rPr>
        <w:t xml:space="preserve"> dzieli się na trzy kategorie:</w:t>
      </w:r>
    </w:p>
    <w:p w14:paraId="3B5D451C" w14:textId="77777777" w:rsidR="00B85D10" w:rsidRPr="00DD0FCE" w:rsidRDefault="00B85D10" w:rsidP="00DB4449">
      <w:pPr>
        <w:numPr>
          <w:ilvl w:val="0"/>
          <w:numId w:val="31"/>
        </w:numPr>
        <w:tabs>
          <w:tab w:val="left" w:pos="360"/>
          <w:tab w:val="left" w:pos="720"/>
          <w:tab w:val="left" w:pos="1080"/>
        </w:tabs>
        <w:spacing w:after="0" w:line="240" w:lineRule="auto"/>
        <w:contextualSpacing/>
        <w:rPr>
          <w:rFonts w:ascii="Calibri" w:eastAsia="Calibri" w:hAnsi="Calibri" w:cs="Arial"/>
          <w:sz w:val="18"/>
          <w:szCs w:val="18"/>
        </w:rPr>
      </w:pPr>
      <w:r>
        <w:rPr>
          <w:rFonts w:ascii="Calibri" w:eastAsia="Calibri" w:hAnsi="Calibri" w:cs="Arial"/>
          <w:sz w:val="18"/>
          <w:szCs w:val="18"/>
        </w:rPr>
        <w:t>„</w:t>
      </w:r>
      <w:r>
        <w:rPr>
          <w:rFonts w:ascii="Calibri" w:eastAsia="Calibri" w:hAnsi="Calibri" w:cs="Arial"/>
          <w:b/>
          <w:bCs/>
          <w:color w:val="00188F"/>
          <w:sz w:val="18"/>
          <w:szCs w:val="18"/>
        </w:rPr>
        <w:t>Konfiguracja lokalizacji 2+</w:t>
      </w:r>
      <w:r>
        <w:rPr>
          <w:rFonts w:ascii="Calibri" w:eastAsia="Calibri" w:hAnsi="Calibri" w:cs="Arial"/>
          <w:sz w:val="18"/>
          <w:szCs w:val="18"/>
        </w:rPr>
        <w:t xml:space="preserve">” – połączenia lądujące w dwóch lub więcej różnych lokalizacjach </w:t>
      </w:r>
      <w:proofErr w:type="spellStart"/>
      <w:r>
        <w:rPr>
          <w:rFonts w:ascii="Calibri" w:eastAsia="Calibri" w:hAnsi="Calibri" w:cs="Arial"/>
          <w:sz w:val="18"/>
          <w:szCs w:val="18"/>
        </w:rPr>
        <w:t>Peering</w:t>
      </w:r>
      <w:proofErr w:type="spellEnd"/>
      <w:r>
        <w:rPr>
          <w:rFonts w:ascii="Calibri" w:eastAsia="Calibri" w:hAnsi="Calibri" w:cs="Arial"/>
          <w:sz w:val="18"/>
          <w:szCs w:val="18"/>
        </w:rPr>
        <w:t xml:space="preserve"> z Wyznaczonymi Obwodami innymi niż Metro. Przykładem połączeń z lokalizacjami, które kwalifikują się do konfiguracji lokalizacji 2+ są Waszyngton DC2 i Chicago lub Chicago i Chicago 2 itd. Dodanie trzeciej, innej lokalizacji kwalifikuje się do tej konfiguracji. Połączenia z lokalizacją w obszarze Metro i poza nim są uważane za konfigurację „Lokalizacji Metro”, a nie konfigurację lokalizacji 2+.</w:t>
      </w:r>
    </w:p>
    <w:p w14:paraId="04312256" w14:textId="77777777" w:rsidR="00B85D10" w:rsidRPr="00DD0FCE" w:rsidRDefault="00B85D10" w:rsidP="00DB4449">
      <w:pPr>
        <w:numPr>
          <w:ilvl w:val="0"/>
          <w:numId w:val="31"/>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Konfiguracja Lokalizacji Metro</w:t>
      </w:r>
      <w:r>
        <w:rPr>
          <w:rFonts w:ascii="Calibri" w:eastAsia="Calibri" w:hAnsi="Calibri" w:cs="Arial"/>
          <w:sz w:val="18"/>
        </w:rPr>
        <w:t xml:space="preserve">” – jedno (lub więcej) połączenie z Bramy ER do obwodu lub obwodów </w:t>
      </w:r>
      <w:proofErr w:type="spellStart"/>
      <w:r>
        <w:rPr>
          <w:rFonts w:ascii="Calibri" w:eastAsia="Calibri" w:hAnsi="Calibri" w:cs="Arial"/>
          <w:sz w:val="18"/>
        </w:rPr>
        <w:t>ExpressRoute</w:t>
      </w:r>
      <w:proofErr w:type="spellEnd"/>
      <w:r>
        <w:rPr>
          <w:rFonts w:ascii="Calibri" w:eastAsia="Calibri" w:hAnsi="Calibri" w:cs="Arial"/>
          <w:sz w:val="18"/>
        </w:rPr>
        <w:t xml:space="preserve"> w pojedynczej Lokalizacji Metro </w:t>
      </w:r>
      <w:proofErr w:type="spellStart"/>
      <w:r>
        <w:rPr>
          <w:rFonts w:ascii="Calibri" w:eastAsia="Calibri" w:hAnsi="Calibri" w:cs="Arial"/>
          <w:sz w:val="18"/>
        </w:rPr>
        <w:t>Peering</w:t>
      </w:r>
      <w:proofErr w:type="spellEnd"/>
      <w:r>
        <w:rPr>
          <w:rFonts w:ascii="Calibri" w:eastAsia="Calibri" w:hAnsi="Calibri" w:cs="Arial"/>
          <w:sz w:val="18"/>
        </w:rPr>
        <w:t>.</w:t>
      </w:r>
    </w:p>
    <w:p w14:paraId="6BFEE494" w14:textId="77777777" w:rsidR="00B85D10" w:rsidRPr="00DD0FCE" w:rsidRDefault="00B85D10" w:rsidP="00DB4449">
      <w:pPr>
        <w:numPr>
          <w:ilvl w:val="0"/>
          <w:numId w:val="31"/>
        </w:numPr>
        <w:tabs>
          <w:tab w:val="left" w:pos="360"/>
          <w:tab w:val="left" w:pos="720"/>
          <w:tab w:val="left" w:pos="1080"/>
        </w:tabs>
        <w:spacing w:after="0" w:line="240" w:lineRule="auto"/>
        <w:contextualSpacing/>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Konfiguracja Pojedynczej Lokalizacji</w:t>
      </w:r>
      <w:r>
        <w:rPr>
          <w:rFonts w:ascii="Calibri" w:eastAsia="Calibri" w:hAnsi="Calibri" w:cs="Arial"/>
          <w:sz w:val="18"/>
        </w:rPr>
        <w:t xml:space="preserve">” – jedno (lub więcej) połączenie z Bramy ER do obwodu lub obwodów </w:t>
      </w:r>
      <w:proofErr w:type="spellStart"/>
      <w:r>
        <w:rPr>
          <w:rFonts w:ascii="Calibri" w:eastAsia="Calibri" w:hAnsi="Calibri" w:cs="Arial"/>
          <w:sz w:val="18"/>
        </w:rPr>
        <w:t>ExpressRoute</w:t>
      </w:r>
      <w:proofErr w:type="spellEnd"/>
      <w:r>
        <w:rPr>
          <w:rFonts w:ascii="Calibri" w:eastAsia="Calibri" w:hAnsi="Calibri" w:cs="Arial"/>
          <w:sz w:val="18"/>
        </w:rPr>
        <w:t xml:space="preserve"> w wyłącznie jednej Lokalizacji </w:t>
      </w:r>
      <w:proofErr w:type="spellStart"/>
      <w:r>
        <w:rPr>
          <w:rFonts w:ascii="Calibri" w:eastAsia="Calibri" w:hAnsi="Calibri" w:cs="Arial"/>
          <w:sz w:val="18"/>
        </w:rPr>
        <w:t>Peering</w:t>
      </w:r>
      <w:proofErr w:type="spellEnd"/>
      <w:r>
        <w:rPr>
          <w:rFonts w:ascii="Calibri" w:eastAsia="Calibri" w:hAnsi="Calibri" w:cs="Arial"/>
          <w:sz w:val="18"/>
        </w:rPr>
        <w:t xml:space="preserve"> (nie Metro).</w:t>
      </w:r>
    </w:p>
    <w:p w14:paraId="2C93E978" w14:textId="77777777" w:rsidR="00B85D10" w:rsidRPr="00DD0FCE" w:rsidRDefault="00B85D10" w:rsidP="00B85D10">
      <w:pPr>
        <w:tabs>
          <w:tab w:val="left" w:pos="360"/>
          <w:tab w:val="left" w:pos="720"/>
          <w:tab w:val="left" w:pos="1080"/>
        </w:tabs>
        <w:spacing w:after="0" w:line="240" w:lineRule="auto"/>
        <w:ind w:left="360"/>
        <w:contextualSpacing/>
        <w:rPr>
          <w:rFonts w:ascii="Calibri" w:eastAsia="Calibri" w:hAnsi="Calibri" w:cs="Arial"/>
          <w:sz w:val="18"/>
        </w:rPr>
      </w:pPr>
    </w:p>
    <w:p w14:paraId="4170630E"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Środki na Używanie Usług</w:t>
      </w:r>
      <w:r>
        <w:rPr>
          <w:rFonts w:ascii="Calibri" w:eastAsia="Calibri" w:hAnsi="Calibri" w:cs="Arial"/>
          <w:sz w:val="18"/>
        </w:rPr>
        <w:t xml:space="preserve"> Następujące Poziomy Usługi i Środki na Używanie Usług mogą być wykorzystane przez klienta dla każdego Wyznaczonego Obwodu w ramach Usługi </w:t>
      </w:r>
      <w:proofErr w:type="spellStart"/>
      <w:r>
        <w:rPr>
          <w:rFonts w:ascii="Calibri" w:eastAsia="Calibri" w:hAnsi="Calibri" w:cs="Arial"/>
          <w:sz w:val="18"/>
        </w:rPr>
        <w:t>ExpressRoute</w:t>
      </w:r>
      <w:proofErr w:type="spellEnd"/>
      <w:r>
        <w:rPr>
          <w:rFonts w:ascii="Calibri" w:eastAsia="Calibri" w:hAnsi="Calibri" w:cs="Arial"/>
          <w:sz w:val="18"/>
        </w:rPr>
        <w:t xml:space="preserve"> w zależności od konfiguracji lokalizacji. Środki na Używanie Usług obowiązują wyłącznie w architekturze wieloobwodowej lub składającej się z wielu lokalizacji, jeśli jednocześnie nie działają obwody i/lub lokalizacje, co powoduje całkowitą utratę łączności z podłączoną bramą.</w:t>
      </w:r>
    </w:p>
    <w:p w14:paraId="0F94EE59"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rPr>
      </w:pPr>
    </w:p>
    <w:p w14:paraId="5F889323"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szCs w:val="18"/>
        </w:rPr>
      </w:pPr>
      <w:r>
        <w:rPr>
          <w:rFonts w:ascii="Calibri" w:eastAsia="Calibri" w:hAnsi="Calibri" w:cs="Arial"/>
          <w:b/>
          <w:bCs/>
          <w:color w:val="00188F"/>
          <w:sz w:val="18"/>
          <w:szCs w:val="18"/>
        </w:rPr>
        <w:t>Co najmniej dwa Wyznaczone Obwody w konfiguracji 2+ lokalizacji do Bramy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85D10" w:rsidRPr="00DD0FCE" w14:paraId="363746F5" w14:textId="77777777" w:rsidTr="00DB2782">
        <w:trPr>
          <w:tblHeader/>
        </w:trPr>
        <w:tc>
          <w:tcPr>
            <w:tcW w:w="5400" w:type="dxa"/>
            <w:shd w:val="clear" w:color="auto" w:fill="0072C6"/>
          </w:tcPr>
          <w:p w14:paraId="15819882"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27C47132"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na Używanie Usług</w:t>
            </w:r>
          </w:p>
        </w:tc>
      </w:tr>
      <w:tr w:rsidR="00B85D10" w:rsidRPr="00DD0FCE" w14:paraId="4D745B50" w14:textId="77777777" w:rsidTr="00DB2782">
        <w:tc>
          <w:tcPr>
            <w:tcW w:w="5400" w:type="dxa"/>
          </w:tcPr>
          <w:p w14:paraId="01A9FCE6"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99,95%</w:t>
            </w:r>
          </w:p>
        </w:tc>
        <w:tc>
          <w:tcPr>
            <w:tcW w:w="5400" w:type="dxa"/>
          </w:tcPr>
          <w:p w14:paraId="7157B980"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85D10" w:rsidRPr="00DD0FCE" w14:paraId="37F2D476" w14:textId="77777777" w:rsidTr="00DB2782">
        <w:tc>
          <w:tcPr>
            <w:tcW w:w="5400" w:type="dxa"/>
          </w:tcPr>
          <w:p w14:paraId="03DFDC2A"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3E0DF167"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79CD76C0"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rPr>
      </w:pPr>
    </w:p>
    <w:p w14:paraId="5A519351"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Dedykowany obwód w konfiguracji obiektu Metro do Bramy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85D10" w:rsidRPr="00DD0FCE" w14:paraId="0610EC3F" w14:textId="77777777" w:rsidTr="00DB2782">
        <w:trPr>
          <w:tblHeader/>
        </w:trPr>
        <w:tc>
          <w:tcPr>
            <w:tcW w:w="5400" w:type="dxa"/>
            <w:shd w:val="clear" w:color="auto" w:fill="0072C6"/>
          </w:tcPr>
          <w:p w14:paraId="068D761A"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7BF87798"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na Używanie Usług</w:t>
            </w:r>
          </w:p>
        </w:tc>
      </w:tr>
      <w:tr w:rsidR="00B85D10" w:rsidRPr="00DD0FCE" w14:paraId="6B745594" w14:textId="77777777" w:rsidTr="00DB2782">
        <w:tc>
          <w:tcPr>
            <w:tcW w:w="5400" w:type="dxa"/>
          </w:tcPr>
          <w:p w14:paraId="5243E143"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5400" w:type="dxa"/>
          </w:tcPr>
          <w:p w14:paraId="11259FE9"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85D10" w:rsidRPr="00DD0FCE" w14:paraId="5FF819FA" w14:textId="77777777" w:rsidTr="00DB2782">
        <w:tc>
          <w:tcPr>
            <w:tcW w:w="5400" w:type="dxa"/>
          </w:tcPr>
          <w:p w14:paraId="690407D9"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5AADFE0D"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4C09832E"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rPr>
      </w:pPr>
    </w:p>
    <w:p w14:paraId="23FA631D" w14:textId="77777777" w:rsidR="00B85D10" w:rsidRPr="00DD0FCE" w:rsidRDefault="00B85D10" w:rsidP="00B85D10">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Wyznaczony Obwód w konfiguracji pojedynczej lokalizacji do Bramy ER:</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B85D10" w:rsidRPr="00DD0FCE" w14:paraId="1112C40F" w14:textId="77777777" w:rsidTr="00DB2782">
        <w:trPr>
          <w:tblHeader/>
        </w:trPr>
        <w:tc>
          <w:tcPr>
            <w:tcW w:w="5400" w:type="dxa"/>
            <w:shd w:val="clear" w:color="auto" w:fill="0072C6"/>
          </w:tcPr>
          <w:p w14:paraId="57B91C7C"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7386AFCA"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na Używanie Usług</w:t>
            </w:r>
          </w:p>
        </w:tc>
      </w:tr>
      <w:tr w:rsidR="00B85D10" w:rsidRPr="00DD0FCE" w14:paraId="56FB38DD" w14:textId="77777777" w:rsidTr="00DB2782">
        <w:tc>
          <w:tcPr>
            <w:tcW w:w="5400" w:type="dxa"/>
          </w:tcPr>
          <w:p w14:paraId="17F827AD"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99,0%</w:t>
            </w:r>
          </w:p>
        </w:tc>
        <w:tc>
          <w:tcPr>
            <w:tcW w:w="5400" w:type="dxa"/>
          </w:tcPr>
          <w:p w14:paraId="2616E27A"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B85D10" w:rsidRPr="00DD0FCE" w14:paraId="40C2A78E" w14:textId="77777777" w:rsidTr="00DB2782">
        <w:tc>
          <w:tcPr>
            <w:tcW w:w="5400" w:type="dxa"/>
          </w:tcPr>
          <w:p w14:paraId="7EC14841"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95%</w:t>
            </w:r>
          </w:p>
        </w:tc>
        <w:tc>
          <w:tcPr>
            <w:tcW w:w="5400" w:type="dxa"/>
          </w:tcPr>
          <w:p w14:paraId="57FDDAE0" w14:textId="77777777" w:rsidR="00B85D10" w:rsidRPr="00DD0FCE" w:rsidRDefault="00B85D10" w:rsidP="00DB2782">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2A9D5A0D" w14:textId="704D3348" w:rsidR="000D47D0" w:rsidRPr="00EF7CF9" w:rsidRDefault="00C71F89" w:rsidP="000D47D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B9FAF75" w14:textId="0CC3EB6D" w:rsidR="0064660A" w:rsidRPr="00EF7CF9" w:rsidRDefault="0064660A" w:rsidP="00B85D10">
      <w:pPr>
        <w:pStyle w:val="ProductList-Offering2Heading"/>
        <w:keepNext/>
        <w:pBdr>
          <w:bottom w:val="single" w:sz="4" w:space="0" w:color="595959" w:themeColor="text1" w:themeTint="A6"/>
        </w:pBdr>
        <w:tabs>
          <w:tab w:val="clear" w:pos="360"/>
          <w:tab w:val="clear" w:pos="720"/>
          <w:tab w:val="clear" w:pos="1080"/>
        </w:tabs>
        <w:outlineLvl w:val="2"/>
      </w:pPr>
      <w:bookmarkStart w:id="276" w:name="_Toc239175013"/>
      <w:proofErr w:type="spellStart"/>
      <w:r>
        <w:t>Azure</w:t>
      </w:r>
      <w:proofErr w:type="spellEnd"/>
      <w:r>
        <w:t xml:space="preserve"> </w:t>
      </w:r>
      <w:proofErr w:type="spellStart"/>
      <w:r>
        <w:t>ExpressRoute</w:t>
      </w:r>
      <w:proofErr w:type="spellEnd"/>
      <w:r>
        <w:t xml:space="preserve"> </w:t>
      </w:r>
      <w:proofErr w:type="spellStart"/>
      <w:r>
        <w:t>Traffic</w:t>
      </w:r>
      <w:proofErr w:type="spellEnd"/>
      <w:r>
        <w:t xml:space="preserve"> </w:t>
      </w:r>
      <w:proofErr w:type="spellStart"/>
      <w:r>
        <w:t>Collector</w:t>
      </w:r>
      <w:bookmarkEnd w:id="276"/>
      <w:proofErr w:type="spellEnd"/>
    </w:p>
    <w:p w14:paraId="581ADBF1" w14:textId="77777777" w:rsidR="0064660A" w:rsidRDefault="0064660A" w:rsidP="0064660A">
      <w:pPr>
        <w:pStyle w:val="ProductList-Body"/>
        <w:rPr>
          <w:b/>
          <w:color w:val="00188F"/>
        </w:rPr>
      </w:pPr>
      <w:r>
        <w:rPr>
          <w:b/>
          <w:color w:val="00188F"/>
        </w:rPr>
        <w:t>Dodatkowe definicje</w:t>
      </w:r>
      <w:r w:rsidRPr="0034704E">
        <w:rPr>
          <w:b/>
          <w:color w:val="00188F"/>
        </w:rPr>
        <w:t>:</w:t>
      </w:r>
    </w:p>
    <w:p w14:paraId="4FA07D43" w14:textId="77777777" w:rsidR="00575F19" w:rsidRPr="005C673D" w:rsidRDefault="00575F19" w:rsidP="00575F19">
      <w:pPr>
        <w:pStyle w:val="ProductList-Body"/>
        <w:spacing w:after="40"/>
        <w:rPr>
          <w:rFonts w:ascii="Calibri" w:hAnsi="Calibri" w:cs="Calibri"/>
        </w:rPr>
      </w:pPr>
      <w:r>
        <w:rPr>
          <w:rFonts w:ascii="Calibri" w:hAnsi="Calibri" w:cs="Calibri"/>
        </w:rPr>
        <w:t>„</w:t>
      </w:r>
      <w:r>
        <w:rPr>
          <w:rFonts w:ascii="Calibri" w:hAnsi="Calibri" w:cs="Calibri"/>
          <w:b/>
          <w:color w:val="00188F"/>
        </w:rPr>
        <w:t>Wyznaczony Obwód</w:t>
      </w:r>
      <w:r>
        <w:rPr>
          <w:rFonts w:ascii="Calibri" w:hAnsi="Calibri" w:cs="Calibri"/>
        </w:rPr>
        <w:t xml:space="preserve">” oznacza logiczną reprezentację łączności oferowanej za pośrednictwem Usługi </w:t>
      </w:r>
      <w:proofErr w:type="spellStart"/>
      <w:r>
        <w:rPr>
          <w:rFonts w:ascii="Calibri" w:hAnsi="Calibri" w:cs="Calibri"/>
        </w:rPr>
        <w:t>ExpressRoute</w:t>
      </w:r>
      <w:proofErr w:type="spellEnd"/>
      <w:r>
        <w:rPr>
          <w:rFonts w:ascii="Calibri" w:hAnsi="Calibri" w:cs="Calibri"/>
        </w:rPr>
        <w:t xml:space="preserve"> między lokalizacją Klienta a platformą Microsoft </w:t>
      </w:r>
      <w:proofErr w:type="spellStart"/>
      <w:r>
        <w:rPr>
          <w:rFonts w:ascii="Calibri" w:hAnsi="Calibri" w:cs="Calibri"/>
        </w:rPr>
        <w:t>Azure</w:t>
      </w:r>
      <w:proofErr w:type="spellEnd"/>
      <w:r>
        <w:rPr>
          <w:rFonts w:ascii="Calibri" w:hAnsi="Calibri" w:cs="Calibri"/>
        </w:rPr>
        <w:t xml:space="preserve"> za pośrednictwem łączności </w:t>
      </w:r>
      <w:proofErr w:type="spellStart"/>
      <w:r>
        <w:rPr>
          <w:rFonts w:ascii="Calibri" w:hAnsi="Calibri" w:cs="Calibri"/>
        </w:rPr>
        <w:t>ExpressRoute</w:t>
      </w:r>
      <w:proofErr w:type="spellEnd"/>
      <w:r>
        <w:rPr>
          <w:rFonts w:ascii="Calibri" w:hAnsi="Calibri" w:cs="Calibri"/>
        </w:rPr>
        <w:t xml:space="preserve"> Direct, przy czym łączność taka odbywa się poza publicznym Internetem.</w:t>
      </w:r>
    </w:p>
    <w:p w14:paraId="5AF25DBD" w14:textId="77777777" w:rsidR="00575F19" w:rsidRPr="005C673D" w:rsidRDefault="00575F19" w:rsidP="00575F19">
      <w:pPr>
        <w:pStyle w:val="ProductList-ClauseHeading"/>
        <w:rPr>
          <w:rFonts w:ascii="Calibri" w:hAnsi="Calibri" w:cs="Calibri"/>
          <w:b w:val="0"/>
          <w:bCs/>
          <w:color w:val="auto"/>
        </w:rPr>
      </w:pPr>
      <w:r w:rsidRPr="00EA0C6F">
        <w:rPr>
          <w:rFonts w:ascii="Calibri" w:hAnsi="Calibri" w:cs="Calibri"/>
          <w:b w:val="0"/>
          <w:bCs/>
        </w:rPr>
        <w:t>„</w:t>
      </w:r>
      <w:proofErr w:type="spellStart"/>
      <w:r>
        <w:rPr>
          <w:rFonts w:ascii="Calibri" w:hAnsi="Calibri" w:cs="Calibri"/>
        </w:rPr>
        <w:t>ExpressRoute</w:t>
      </w:r>
      <w:proofErr w:type="spellEnd"/>
      <w:r>
        <w:rPr>
          <w:rFonts w:ascii="Calibri" w:hAnsi="Calibri" w:cs="Calibri"/>
        </w:rPr>
        <w:t xml:space="preserve"> </w:t>
      </w:r>
      <w:proofErr w:type="spellStart"/>
      <w:r>
        <w:rPr>
          <w:rFonts w:ascii="Calibri" w:hAnsi="Calibri" w:cs="Calibri"/>
        </w:rPr>
        <w:t>Traffic</w:t>
      </w:r>
      <w:proofErr w:type="spellEnd"/>
      <w:r>
        <w:rPr>
          <w:rFonts w:ascii="Calibri" w:hAnsi="Calibri" w:cs="Calibri"/>
        </w:rPr>
        <w:t xml:space="preserve"> </w:t>
      </w:r>
      <w:proofErr w:type="spellStart"/>
      <w:r>
        <w:rPr>
          <w:rFonts w:ascii="Calibri" w:hAnsi="Calibri" w:cs="Calibri"/>
        </w:rPr>
        <w:t>Collector</w:t>
      </w:r>
      <w:proofErr w:type="spellEnd"/>
      <w:r w:rsidRPr="00EA0C6F">
        <w:rPr>
          <w:rFonts w:ascii="Calibri" w:hAnsi="Calibri" w:cs="Calibri"/>
          <w:b w:val="0"/>
          <w:bCs/>
        </w:rPr>
        <w:t>”</w:t>
      </w:r>
      <w:r>
        <w:rPr>
          <w:rFonts w:ascii="Calibri" w:hAnsi="Calibri" w:cs="Calibri"/>
        </w:rPr>
        <w:t xml:space="preserve"> </w:t>
      </w:r>
      <w:r>
        <w:rPr>
          <w:rFonts w:ascii="Calibri" w:hAnsi="Calibri" w:cs="Calibri"/>
          <w:b w:val="0"/>
          <w:bCs/>
          <w:color w:val="auto"/>
        </w:rPr>
        <w:t>oznacza moduł zbierający ruch, który ułatwia gromadzenie dzienników przepływu dotyczących ruchu IP przechodzącego przez wyznaczony obwód.</w:t>
      </w:r>
    </w:p>
    <w:p w14:paraId="1F02F2CE" w14:textId="77777777" w:rsidR="00575F19" w:rsidRPr="005C673D" w:rsidRDefault="00575F19" w:rsidP="00575F19">
      <w:pPr>
        <w:pStyle w:val="ProductList-Body"/>
        <w:spacing w:after="40"/>
        <w:rPr>
          <w:rFonts w:ascii="Calibri" w:hAnsi="Calibri" w:cs="Calibri"/>
        </w:rPr>
      </w:pPr>
      <w:r>
        <w:rPr>
          <w:rFonts w:ascii="Calibri" w:hAnsi="Calibri" w:cs="Calibri"/>
        </w:rPr>
        <w:t>„</w:t>
      </w:r>
      <w:r>
        <w:rPr>
          <w:rFonts w:ascii="Calibri" w:hAnsi="Calibri" w:cs="Calibri"/>
          <w:b/>
          <w:color w:val="00188F"/>
        </w:rPr>
        <w:t>Maksymalna Liczba Dostępnych Minut</w:t>
      </w:r>
      <w:r>
        <w:rPr>
          <w:rFonts w:ascii="Calibri" w:hAnsi="Calibri" w:cs="Calibri"/>
        </w:rPr>
        <w:t xml:space="preserve">” to łączna liczba minut, przez którą dany </w:t>
      </w:r>
      <w:proofErr w:type="spellStart"/>
      <w:r>
        <w:rPr>
          <w:rFonts w:ascii="Calibri" w:hAnsi="Calibri" w:cs="Calibri"/>
        </w:rPr>
        <w:t>ExpressRoute</w:t>
      </w:r>
      <w:proofErr w:type="spellEnd"/>
      <w:r>
        <w:rPr>
          <w:rFonts w:ascii="Calibri" w:hAnsi="Calibri" w:cs="Calibri"/>
        </w:rPr>
        <w:t xml:space="preserve"> </w:t>
      </w:r>
      <w:proofErr w:type="spellStart"/>
      <w:r>
        <w:rPr>
          <w:rFonts w:ascii="Calibri" w:hAnsi="Calibri" w:cs="Calibri"/>
        </w:rPr>
        <w:t>Traffic</w:t>
      </w:r>
      <w:proofErr w:type="spellEnd"/>
      <w:r>
        <w:rPr>
          <w:rFonts w:ascii="Calibri" w:hAnsi="Calibri" w:cs="Calibri"/>
        </w:rPr>
        <w:t xml:space="preserve"> Controller zostały wdrożony przez klienta na platformie Microsoft </w:t>
      </w:r>
      <w:proofErr w:type="spellStart"/>
      <w:r>
        <w:rPr>
          <w:rFonts w:ascii="Calibri" w:hAnsi="Calibri" w:cs="Calibri"/>
        </w:rPr>
        <w:t>Azure</w:t>
      </w:r>
      <w:proofErr w:type="spellEnd"/>
      <w:r>
        <w:rPr>
          <w:rFonts w:ascii="Calibri" w:hAnsi="Calibri" w:cs="Calibri"/>
        </w:rPr>
        <w:t xml:space="preserve"> we Właściwym Okresie w ramach danej subskrypcji Microsoft </w:t>
      </w:r>
      <w:proofErr w:type="spellStart"/>
      <w:r>
        <w:rPr>
          <w:rFonts w:ascii="Calibri" w:hAnsi="Calibri" w:cs="Calibri"/>
        </w:rPr>
        <w:t>Azure</w:t>
      </w:r>
      <w:proofErr w:type="spellEnd"/>
      <w:r>
        <w:rPr>
          <w:rFonts w:ascii="Calibri" w:hAnsi="Calibri" w:cs="Calibri"/>
        </w:rPr>
        <w:t>.</w:t>
      </w:r>
    </w:p>
    <w:p w14:paraId="4F2985D4" w14:textId="77777777" w:rsidR="00575F19" w:rsidRPr="005C673D" w:rsidRDefault="00575F19" w:rsidP="00575F19">
      <w:pPr>
        <w:pStyle w:val="ProductList-Body"/>
        <w:rPr>
          <w:rFonts w:ascii="Calibri" w:hAnsi="Calibri" w:cs="Calibri"/>
        </w:rPr>
      </w:pPr>
      <w:r>
        <w:rPr>
          <w:rFonts w:ascii="Calibri" w:hAnsi="Calibri" w:cs="Calibri"/>
        </w:rPr>
        <w:t>„</w:t>
      </w:r>
      <w:r>
        <w:rPr>
          <w:rFonts w:ascii="Calibri" w:hAnsi="Calibri" w:cs="Calibri"/>
          <w:b/>
          <w:color w:val="00188F"/>
        </w:rPr>
        <w:t>Przestój</w:t>
      </w:r>
      <w:r>
        <w:rPr>
          <w:rFonts w:ascii="Calibri" w:hAnsi="Calibri" w:cs="Calibri"/>
        </w:rPr>
        <w:t xml:space="preserve">” to łączna liczba minut w ramach Maksymalnej Liczby Dostępnych Minut, przez którą dane w module </w:t>
      </w:r>
      <w:proofErr w:type="spellStart"/>
      <w:r>
        <w:rPr>
          <w:rFonts w:ascii="Calibri" w:hAnsi="Calibri" w:cs="Calibri"/>
        </w:rPr>
        <w:t>ExpressRoute</w:t>
      </w:r>
      <w:proofErr w:type="spellEnd"/>
      <w:r>
        <w:rPr>
          <w:rFonts w:ascii="Calibri" w:hAnsi="Calibri" w:cs="Calibri"/>
        </w:rPr>
        <w:t xml:space="preserve"> </w:t>
      </w:r>
      <w:proofErr w:type="spellStart"/>
      <w:r>
        <w:rPr>
          <w:rFonts w:ascii="Calibri" w:hAnsi="Calibri" w:cs="Calibri"/>
        </w:rPr>
        <w:t>Traffic</w:t>
      </w:r>
      <w:proofErr w:type="spellEnd"/>
      <w:r>
        <w:rPr>
          <w:rFonts w:ascii="Calibri" w:hAnsi="Calibri" w:cs="Calibri"/>
        </w:rPr>
        <w:t xml:space="preserve"> </w:t>
      </w:r>
      <w:proofErr w:type="spellStart"/>
      <w:r>
        <w:rPr>
          <w:rFonts w:ascii="Calibri" w:hAnsi="Calibri" w:cs="Calibri"/>
        </w:rPr>
        <w:t>Collector</w:t>
      </w:r>
      <w:proofErr w:type="spellEnd"/>
      <w:r>
        <w:rPr>
          <w:rFonts w:ascii="Calibri" w:hAnsi="Calibri" w:cs="Calibri"/>
        </w:rPr>
        <w:t xml:space="preserve"> są niedostępne, podczas których nie są dostarczane żadne zebrane rekordy przepływu przez okres dłuższy niż 5 minut.</w:t>
      </w:r>
    </w:p>
    <w:p w14:paraId="06FFEA50" w14:textId="77777777" w:rsidR="00575F19" w:rsidRDefault="00575F19" w:rsidP="00575F19">
      <w:pPr>
        <w:pStyle w:val="ProductList-Body"/>
        <w:rPr>
          <w:rFonts w:ascii="Calibri" w:hAnsi="Calibri" w:cs="Calibri"/>
        </w:rPr>
      </w:pPr>
      <w:r>
        <w:rPr>
          <w:rFonts w:ascii="Calibri" w:hAnsi="Calibri" w:cs="Calibri"/>
        </w:rPr>
        <w:t>„</w:t>
      </w:r>
      <w:r>
        <w:rPr>
          <w:rFonts w:ascii="Calibri" w:hAnsi="Calibri" w:cs="Calibri"/>
          <w:b/>
          <w:color w:val="00188F"/>
        </w:rPr>
        <w:t>Procent Czasu Sprawnego Działania”</w:t>
      </w:r>
      <w:r w:rsidRPr="00EA0C6F">
        <w:rPr>
          <w:rFonts w:ascii="Calibri" w:hAnsi="Calibri" w:cs="Calibri"/>
          <w:bCs/>
          <w:color w:val="00188F"/>
        </w:rPr>
        <w:t xml:space="preserve"> </w:t>
      </w:r>
      <w:r w:rsidRPr="00EA0C6F">
        <w:rPr>
          <w:rFonts w:ascii="Calibri" w:hAnsi="Calibri" w:cs="Calibri"/>
        </w:rPr>
        <w:t>jest obliczany przy użyciu następującego wzoru</w:t>
      </w:r>
      <w:r>
        <w:rPr>
          <w:rFonts w:ascii="Calibri" w:hAnsi="Calibri" w:cs="Calibri"/>
        </w:rPr>
        <w:t>:</w:t>
      </w:r>
    </w:p>
    <w:p w14:paraId="23E6F2EA" w14:textId="77777777" w:rsidR="00575F19" w:rsidRPr="00EF7CF9" w:rsidRDefault="00000000" w:rsidP="006826EF">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Minut Dostępności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E01D3DF" w14:textId="77777777" w:rsidR="00575F19" w:rsidRPr="005C673D" w:rsidRDefault="00575F19" w:rsidP="00575F19">
      <w:pPr>
        <w:pStyle w:val="ProductList-Body"/>
        <w:rPr>
          <w:rFonts w:ascii="Calibri" w:hAnsi="Calibri" w:cs="Calibri"/>
        </w:rPr>
      </w:pPr>
      <w:r>
        <w:rPr>
          <w:rFonts w:ascii="Calibri" w:hAnsi="Calibri" w:cs="Calibri"/>
          <w:b/>
          <w:color w:val="00188F"/>
        </w:rPr>
        <w:t>Środki Serwisowe na Używanie Usług</w:t>
      </w:r>
      <w:r>
        <w:rPr>
          <w:rFonts w:ascii="Calibri" w:hAnsi="Calibri" w:cs="Calibri"/>
        </w:rPr>
        <w:t xml:space="preserve"> Do używania przez Klienta </w:t>
      </w:r>
      <w:proofErr w:type="spellStart"/>
      <w:r>
        <w:rPr>
          <w:rFonts w:ascii="Calibri" w:hAnsi="Calibri" w:cs="Calibri"/>
        </w:rPr>
        <w:t>Azure</w:t>
      </w:r>
      <w:proofErr w:type="spellEnd"/>
      <w:r>
        <w:rPr>
          <w:rFonts w:ascii="Calibri" w:hAnsi="Calibri" w:cs="Calibri"/>
        </w:rPr>
        <w:t xml:space="preserve"> </w:t>
      </w:r>
      <w:proofErr w:type="spellStart"/>
      <w:r>
        <w:rPr>
          <w:rFonts w:ascii="Calibri" w:hAnsi="Calibri" w:cs="Calibri"/>
        </w:rPr>
        <w:t>ExpressRoute</w:t>
      </w:r>
      <w:proofErr w:type="spellEnd"/>
      <w:r>
        <w:rPr>
          <w:rFonts w:ascii="Calibri" w:hAnsi="Calibri" w:cs="Calibri"/>
        </w:rPr>
        <w:t xml:space="preserve"> </w:t>
      </w:r>
      <w:proofErr w:type="spellStart"/>
      <w:r>
        <w:rPr>
          <w:rFonts w:ascii="Calibri" w:hAnsi="Calibri" w:cs="Calibri"/>
        </w:rPr>
        <w:t>Traffic</w:t>
      </w:r>
      <w:proofErr w:type="spellEnd"/>
      <w:r>
        <w:rPr>
          <w:rFonts w:ascii="Calibri" w:hAnsi="Calibri" w:cs="Calibri"/>
        </w:rPr>
        <w:t xml:space="preserve"> </w:t>
      </w:r>
      <w:proofErr w:type="spellStart"/>
      <w:r>
        <w:rPr>
          <w:rFonts w:ascii="Calibri" w:hAnsi="Calibri" w:cs="Calibri"/>
        </w:rPr>
        <w:t>Collector</w:t>
      </w:r>
      <w:proofErr w:type="spellEnd"/>
      <w:r>
        <w:rPr>
          <w:rFonts w:ascii="Calibri" w:hAnsi="Calibri" w:cs="Calibri"/>
        </w:rPr>
        <w:t xml:space="preserve"> zastosowanie następujące Poziomy Usługi i Środki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5F19" w:rsidRPr="00B44CF9" w14:paraId="38705F94" w14:textId="77777777" w:rsidTr="00921C06">
        <w:trPr>
          <w:tblHeader/>
        </w:trPr>
        <w:tc>
          <w:tcPr>
            <w:tcW w:w="5400" w:type="dxa"/>
            <w:shd w:val="clear" w:color="auto" w:fill="0072C6"/>
          </w:tcPr>
          <w:p w14:paraId="67F4388D" w14:textId="77777777" w:rsidR="00575F19" w:rsidRPr="00EF7CF9" w:rsidRDefault="00575F19" w:rsidP="00921C06">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F2A64F9" w14:textId="77777777" w:rsidR="00575F19" w:rsidRPr="00EF7CF9" w:rsidRDefault="00575F19" w:rsidP="00921C06">
            <w:pPr>
              <w:pStyle w:val="ProductList-OfferingBody"/>
              <w:jc w:val="center"/>
              <w:rPr>
                <w:color w:val="FFFFFF" w:themeColor="background1"/>
              </w:rPr>
            </w:pPr>
            <w:r>
              <w:rPr>
                <w:color w:val="FFFFFF" w:themeColor="background1"/>
              </w:rPr>
              <w:t>Środki Serwisowe na Używanie Usług</w:t>
            </w:r>
          </w:p>
        </w:tc>
      </w:tr>
      <w:tr w:rsidR="00575F19" w:rsidRPr="00B44CF9" w14:paraId="33769FF4" w14:textId="77777777" w:rsidTr="00921C06">
        <w:tc>
          <w:tcPr>
            <w:tcW w:w="5400" w:type="dxa"/>
          </w:tcPr>
          <w:p w14:paraId="4A0F704E" w14:textId="2F00AAFD" w:rsidR="00575F19" w:rsidRPr="00EF7CF9" w:rsidRDefault="00575F19" w:rsidP="00921C06">
            <w:pPr>
              <w:pStyle w:val="ProductList-OfferingBody"/>
              <w:jc w:val="center"/>
            </w:pPr>
            <w:r>
              <w:t>&lt; 99,9%</w:t>
            </w:r>
          </w:p>
        </w:tc>
        <w:tc>
          <w:tcPr>
            <w:tcW w:w="5400" w:type="dxa"/>
          </w:tcPr>
          <w:p w14:paraId="4D543B60" w14:textId="77777777" w:rsidR="00575F19" w:rsidRPr="00EF7CF9" w:rsidRDefault="00575F19" w:rsidP="00921C06">
            <w:pPr>
              <w:pStyle w:val="ProductList-OfferingBody"/>
              <w:jc w:val="center"/>
            </w:pPr>
            <w:r>
              <w:t>10%</w:t>
            </w:r>
          </w:p>
        </w:tc>
      </w:tr>
      <w:tr w:rsidR="00575F19" w:rsidRPr="00B44CF9" w14:paraId="23AD5E58" w14:textId="77777777" w:rsidTr="00921C06">
        <w:tc>
          <w:tcPr>
            <w:tcW w:w="5400" w:type="dxa"/>
          </w:tcPr>
          <w:p w14:paraId="68E31174" w14:textId="77777777" w:rsidR="00575F19" w:rsidRPr="00EF7CF9" w:rsidRDefault="00575F19" w:rsidP="00921C06">
            <w:pPr>
              <w:pStyle w:val="ProductList-OfferingBody"/>
              <w:jc w:val="center"/>
            </w:pPr>
            <w:r>
              <w:t>&lt; 99%</w:t>
            </w:r>
          </w:p>
        </w:tc>
        <w:tc>
          <w:tcPr>
            <w:tcW w:w="5400" w:type="dxa"/>
          </w:tcPr>
          <w:p w14:paraId="6A2189B9" w14:textId="77777777" w:rsidR="00575F19" w:rsidRPr="00EF7CF9" w:rsidRDefault="00575F19" w:rsidP="00921C06">
            <w:pPr>
              <w:pStyle w:val="ProductList-OfferingBody"/>
              <w:jc w:val="center"/>
            </w:pPr>
            <w:r>
              <w:t>25%</w:t>
            </w:r>
          </w:p>
        </w:tc>
      </w:tr>
    </w:tbl>
    <w:p w14:paraId="4D090B2B" w14:textId="77777777" w:rsidR="00575F19" w:rsidRPr="00EF7CF9" w:rsidRDefault="00575F19" w:rsidP="00575F1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0826508" w14:textId="602B33D4" w:rsidR="00EA47D8" w:rsidRDefault="00EA47D8" w:rsidP="0007032F">
      <w:pPr>
        <w:pStyle w:val="ProductList-Offering2Heading"/>
        <w:tabs>
          <w:tab w:val="clear" w:pos="360"/>
          <w:tab w:val="clear" w:pos="720"/>
          <w:tab w:val="clear" w:pos="1080"/>
        </w:tabs>
        <w:outlineLvl w:val="2"/>
        <w:rPr>
          <w:bdr w:val="none" w:sz="0" w:space="0" w:color="auto" w:frame="1"/>
        </w:rPr>
      </w:pPr>
      <w:bookmarkStart w:id="277" w:name="_Toc239175014"/>
      <w:r>
        <w:t xml:space="preserve">Warstwa Premium </w:t>
      </w:r>
      <w:r>
        <w:rPr>
          <w:bdr w:val="none" w:sz="0" w:space="0" w:color="auto" w:frame="1"/>
        </w:rPr>
        <w:t xml:space="preserve">usługi </w:t>
      </w:r>
      <w:proofErr w:type="spellStart"/>
      <w:r>
        <w:rPr>
          <w:bdr w:val="none" w:sz="0" w:space="0" w:color="auto" w:frame="1"/>
        </w:rPr>
        <w:t>Azure</w:t>
      </w:r>
      <w:proofErr w:type="spellEnd"/>
      <w:r>
        <w:rPr>
          <w:bdr w:val="none" w:sz="0" w:space="0" w:color="auto" w:frame="1"/>
        </w:rPr>
        <w:t xml:space="preserve"> </w:t>
      </w:r>
      <w:proofErr w:type="spellStart"/>
      <w:r>
        <w:rPr>
          <w:bdr w:val="none" w:sz="0" w:space="0" w:color="auto" w:frame="1"/>
        </w:rPr>
        <w:t>Files</w:t>
      </w:r>
      <w:bookmarkEnd w:id="277"/>
      <w:proofErr w:type="spellEnd"/>
    </w:p>
    <w:p w14:paraId="156AA938"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t xml:space="preserve"> </w:t>
      </w:r>
      <w:r>
        <w:rPr>
          <w:rFonts w:ascii="Calibri" w:eastAsia="Times New Roman" w:hAnsi="Calibri" w:cs="Calibri"/>
          <w:b/>
          <w:bCs/>
          <w:color w:val="00188F"/>
          <w:sz w:val="18"/>
          <w:szCs w:val="18"/>
          <w:bdr w:val="none" w:sz="0" w:space="0" w:color="auto" w:frame="1"/>
        </w:rPr>
        <w:t>Dodatkowe definicje</w:t>
      </w:r>
    </w:p>
    <w:p w14:paraId="39DD34CC" w14:textId="784B31CE" w:rsidR="00EA47D8" w:rsidRDefault="00EA47D8" w:rsidP="00EA47D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 </w:t>
      </w:r>
      <w:r w:rsidRPr="00B41CC1">
        <w:rPr>
          <w:sz w:val="18"/>
        </w:rPr>
        <w:t>„</w:t>
      </w:r>
      <w:r>
        <w:rPr>
          <w:rFonts w:ascii="Calibri" w:eastAsia="Times New Roman" w:hAnsi="Calibri" w:cs="Calibri"/>
          <w:b/>
          <w:bCs/>
          <w:color w:val="00188F"/>
          <w:sz w:val="18"/>
          <w:szCs w:val="18"/>
          <w:bdr w:val="none" w:sz="0" w:space="0" w:color="auto" w:frame="1"/>
        </w:rPr>
        <w:t>Udział Plików</w:t>
      </w:r>
      <w:r>
        <w:rPr>
          <w:rFonts w:ascii="Calibri" w:eastAsia="Times New Roman" w:hAnsi="Calibri" w:cs="Calibri"/>
          <w:color w:val="242424"/>
          <w:sz w:val="18"/>
          <w:szCs w:val="18"/>
        </w:rPr>
        <w:t xml:space="preserve">” to logiczny zasób magazynu w usłudze </w:t>
      </w:r>
      <w:proofErr w:type="spellStart"/>
      <w:r>
        <w:rPr>
          <w:rFonts w:ascii="Calibri" w:eastAsia="Times New Roman" w:hAnsi="Calibri" w:cs="Calibri"/>
          <w:color w:val="242424"/>
          <w:sz w:val="18"/>
          <w:szCs w:val="18"/>
        </w:rPr>
        <w:t>Azure</w:t>
      </w:r>
      <w:proofErr w:type="spellEnd"/>
      <w:r>
        <w:rPr>
          <w:rFonts w:ascii="Calibri" w:eastAsia="Times New Roman" w:hAnsi="Calibri" w:cs="Calibri"/>
          <w:color w:val="242424"/>
          <w:sz w:val="18"/>
          <w:szCs w:val="18"/>
        </w:rPr>
        <w:t xml:space="preserve"> </w:t>
      </w:r>
      <w:proofErr w:type="spellStart"/>
      <w:r>
        <w:rPr>
          <w:rFonts w:ascii="Calibri" w:eastAsia="Times New Roman" w:hAnsi="Calibri" w:cs="Calibri"/>
          <w:color w:val="242424"/>
          <w:sz w:val="18"/>
          <w:szCs w:val="18"/>
        </w:rPr>
        <w:t>Files</w:t>
      </w:r>
      <w:proofErr w:type="spellEnd"/>
      <w:r>
        <w:rPr>
          <w:rFonts w:ascii="Calibri" w:eastAsia="Times New Roman" w:hAnsi="Calibri" w:cs="Calibri"/>
          <w:color w:val="242424"/>
          <w:sz w:val="18"/>
          <w:szCs w:val="18"/>
        </w:rPr>
        <w:t>, który zawiera system plików i jest używany do przechowywania danych.</w:t>
      </w:r>
    </w:p>
    <w:p w14:paraId="763F50C5"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Magazyn Lokalnie Nadmiarowy (LRS)</w:t>
      </w:r>
      <w:r>
        <w:rPr>
          <w:rFonts w:ascii="Calibri" w:eastAsia="Times New Roman" w:hAnsi="Calibri" w:cs="Calibri"/>
          <w:color w:val="242424"/>
          <w:sz w:val="18"/>
          <w:szCs w:val="18"/>
        </w:rPr>
        <w:t>” to ustawienie, które wskazuje, że dane są replikowane synchronicznie wyłącznie w Regionie Podstawowym.</w:t>
      </w:r>
    </w:p>
    <w:p w14:paraId="760A8D86"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color w:val="242424"/>
          <w:sz w:val="18"/>
          <w:szCs w:val="18"/>
        </w:rPr>
        <w:t>„</w:t>
      </w:r>
      <w:r>
        <w:rPr>
          <w:rFonts w:ascii="Calibri" w:eastAsia="Times New Roman" w:hAnsi="Calibri" w:cs="Calibri"/>
          <w:b/>
          <w:bCs/>
          <w:color w:val="00188F"/>
          <w:sz w:val="18"/>
          <w:szCs w:val="18"/>
          <w:bdr w:val="none" w:sz="0" w:space="0" w:color="auto" w:frame="1"/>
        </w:rPr>
        <w:t>Magazyn Strefowo Nadmiarowy (ZRS)</w:t>
      </w:r>
      <w:r>
        <w:rPr>
          <w:rFonts w:ascii="Calibri" w:eastAsia="Times New Roman" w:hAnsi="Calibri" w:cs="Calibri"/>
          <w:color w:val="242424"/>
          <w:sz w:val="18"/>
          <w:szCs w:val="18"/>
        </w:rPr>
        <w:t>” to ustawienie, które wskazuje, że dane są replikowane w ramach wielu placówek. Placówki takie mogą znajdować się w tym samym regionie geograficznym lub w dwóch regionach geograficznych.</w:t>
      </w:r>
    </w:p>
    <w:p w14:paraId="0DE4468B"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rsidRPr="00B41CC1">
        <w:rPr>
          <w:sz w:val="18"/>
        </w:rPr>
        <w:t>„</w:t>
      </w:r>
      <w:r>
        <w:rPr>
          <w:rFonts w:ascii="Calibri" w:eastAsia="Times New Roman" w:hAnsi="Calibri" w:cs="Calibri"/>
          <w:b/>
          <w:bCs/>
          <w:color w:val="00188F"/>
          <w:sz w:val="18"/>
          <w:szCs w:val="18"/>
          <w:bdr w:val="none" w:sz="0" w:space="0" w:color="auto" w:frame="1"/>
        </w:rPr>
        <w:t>Maksymalna Liczba Dostępnych Minut</w:t>
      </w:r>
      <w:r>
        <w:rPr>
          <w:rFonts w:ascii="Calibri" w:eastAsia="Times New Roman" w:hAnsi="Calibri" w:cs="Calibri"/>
          <w:color w:val="242424"/>
          <w:sz w:val="18"/>
          <w:szCs w:val="18"/>
        </w:rPr>
        <w:t xml:space="preserve">” liczba minut dla danego Udziału Plików wdrożonych przez klienta w ramach danej subskrypcji Microsoft </w:t>
      </w:r>
      <w:proofErr w:type="spellStart"/>
      <w:r>
        <w:rPr>
          <w:rFonts w:ascii="Calibri" w:eastAsia="Times New Roman" w:hAnsi="Calibri" w:cs="Calibri"/>
          <w:color w:val="242424"/>
          <w:sz w:val="18"/>
          <w:szCs w:val="18"/>
        </w:rPr>
        <w:t>Azure</w:t>
      </w:r>
      <w:proofErr w:type="spellEnd"/>
      <w:r>
        <w:rPr>
          <w:rFonts w:ascii="Calibri" w:eastAsia="Times New Roman" w:hAnsi="Calibri" w:cs="Calibri"/>
          <w:color w:val="242424"/>
          <w:sz w:val="18"/>
          <w:szCs w:val="18"/>
        </w:rPr>
        <w:t xml:space="preserve"> we Właściwym Okresie.</w:t>
      </w:r>
    </w:p>
    <w:p w14:paraId="0972F587"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rsidRPr="00B41CC1">
        <w:rPr>
          <w:sz w:val="18"/>
        </w:rPr>
        <w:t>„</w:t>
      </w:r>
      <w:r>
        <w:rPr>
          <w:rFonts w:ascii="Calibri" w:eastAsia="Times New Roman" w:hAnsi="Calibri" w:cs="Calibri"/>
          <w:b/>
          <w:bCs/>
          <w:color w:val="00188F"/>
          <w:sz w:val="18"/>
          <w:szCs w:val="18"/>
          <w:bdr w:val="none" w:sz="0" w:space="0" w:color="auto" w:frame="1"/>
        </w:rPr>
        <w:t>Problem po Stronie Usługi</w:t>
      </w:r>
      <w:r w:rsidRPr="00B41CC1">
        <w:rPr>
          <w:sz w:val="18"/>
        </w:rPr>
        <w:t>”</w:t>
      </w:r>
      <w:r>
        <w:rPr>
          <w:rFonts w:ascii="Calibri" w:eastAsia="Times New Roman" w:hAnsi="Calibri" w:cs="Calibri"/>
          <w:color w:val="242424"/>
          <w:sz w:val="18"/>
          <w:szCs w:val="18"/>
        </w:rPr>
        <w:t xml:space="preserve"> jest zgłaszany, gdy żądanie zakończy się niepowodzeniem z odpowiedzią typu </w:t>
      </w:r>
      <w:proofErr w:type="spellStart"/>
      <w:r>
        <w:rPr>
          <w:rFonts w:ascii="Calibri" w:eastAsia="Times New Roman" w:hAnsi="Calibri" w:cs="Calibri"/>
          <w:color w:val="242424"/>
          <w:sz w:val="18"/>
          <w:szCs w:val="18"/>
        </w:rPr>
        <w:t>ServerOtherError</w:t>
      </w:r>
      <w:proofErr w:type="spellEnd"/>
      <w:r>
        <w:rPr>
          <w:rFonts w:ascii="Calibri" w:eastAsia="Times New Roman" w:hAnsi="Calibri" w:cs="Calibri"/>
          <w:color w:val="242424"/>
          <w:sz w:val="18"/>
          <w:szCs w:val="18"/>
        </w:rPr>
        <w:t xml:space="preserve">, </w:t>
      </w:r>
      <w:proofErr w:type="spellStart"/>
      <w:r>
        <w:rPr>
          <w:rFonts w:ascii="Calibri" w:eastAsia="Times New Roman" w:hAnsi="Calibri" w:cs="Calibri"/>
          <w:color w:val="242424"/>
          <w:sz w:val="18"/>
          <w:szCs w:val="18"/>
        </w:rPr>
        <w:t>ServerBusyError</w:t>
      </w:r>
      <w:proofErr w:type="spellEnd"/>
      <w:r>
        <w:rPr>
          <w:rFonts w:ascii="Calibri" w:eastAsia="Times New Roman" w:hAnsi="Calibri" w:cs="Calibri"/>
          <w:color w:val="242424"/>
          <w:sz w:val="18"/>
          <w:szCs w:val="18"/>
        </w:rPr>
        <w:t xml:space="preserve"> lub </w:t>
      </w:r>
      <w:proofErr w:type="spellStart"/>
      <w:r>
        <w:rPr>
          <w:rFonts w:ascii="Calibri" w:eastAsia="Times New Roman" w:hAnsi="Calibri" w:cs="Calibri"/>
          <w:color w:val="242424"/>
          <w:sz w:val="18"/>
          <w:szCs w:val="18"/>
        </w:rPr>
        <w:t>ServerTimeoutError</w:t>
      </w:r>
      <w:proofErr w:type="spellEnd"/>
      <w:r>
        <w:rPr>
          <w:rFonts w:ascii="Calibri" w:eastAsia="Times New Roman" w:hAnsi="Calibri" w:cs="Calibri"/>
          <w:color w:val="242424"/>
          <w:sz w:val="18"/>
          <w:szCs w:val="18"/>
        </w:rPr>
        <w:t>.</w:t>
      </w:r>
    </w:p>
    <w:p w14:paraId="1A41E3E8"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rsidRPr="00B41CC1">
        <w:rPr>
          <w:sz w:val="18"/>
        </w:rPr>
        <w:t>„</w:t>
      </w:r>
      <w:r>
        <w:rPr>
          <w:rFonts w:ascii="Calibri" w:eastAsia="Times New Roman" w:hAnsi="Calibri" w:cs="Calibri"/>
          <w:b/>
          <w:bCs/>
          <w:color w:val="00188F"/>
          <w:sz w:val="18"/>
          <w:szCs w:val="18"/>
          <w:bdr w:val="none" w:sz="0" w:space="0" w:color="auto" w:frame="1"/>
        </w:rPr>
        <w:t>Przestój</w:t>
      </w:r>
      <w:r w:rsidRPr="00B41CC1">
        <w:rPr>
          <w:sz w:val="18"/>
        </w:rPr>
        <w:t>”</w:t>
      </w:r>
      <w:r>
        <w:rPr>
          <w:rFonts w:ascii="Calibri" w:eastAsia="Times New Roman" w:hAnsi="Calibri" w:cs="Calibri"/>
          <w:color w:val="242424"/>
          <w:sz w:val="18"/>
          <w:szCs w:val="18"/>
        </w:rPr>
        <w:t> to łączna liczba minut we Właściwym Okresie, podczas których wszystkie żądania dotyczące Udziału Plików zakończyły się niepowodzeniem z powodu Problemu po Stronie Usługi.</w:t>
      </w:r>
    </w:p>
    <w:p w14:paraId="6CD10708" w14:textId="77777777" w:rsidR="00EA47D8" w:rsidRDefault="00EA47D8" w:rsidP="00EA47D8">
      <w:pPr>
        <w:shd w:val="clear" w:color="auto" w:fill="FFFFFF"/>
        <w:spacing w:after="0" w:line="240" w:lineRule="auto"/>
        <w:rPr>
          <w:rFonts w:ascii="Calibri" w:eastAsia="Times New Roman" w:hAnsi="Calibri" w:cs="Calibri"/>
          <w:color w:val="242424"/>
          <w:sz w:val="18"/>
          <w:szCs w:val="18"/>
        </w:rPr>
      </w:pPr>
      <w:r w:rsidRPr="00B41CC1">
        <w:rPr>
          <w:sz w:val="18"/>
        </w:rPr>
        <w:t>„</w:t>
      </w:r>
      <w:r>
        <w:rPr>
          <w:rFonts w:ascii="Calibri" w:eastAsia="Times New Roman" w:hAnsi="Calibri" w:cs="Calibri"/>
          <w:b/>
          <w:bCs/>
          <w:color w:val="00188F"/>
          <w:sz w:val="18"/>
          <w:szCs w:val="18"/>
          <w:bdr w:val="none" w:sz="0" w:space="0" w:color="auto" w:frame="1"/>
        </w:rPr>
        <w:t>Procent Czasu Sprawnego Działania</w:t>
      </w:r>
      <w:r w:rsidRPr="00B41CC1">
        <w:rPr>
          <w:sz w:val="18"/>
        </w:rPr>
        <w:t>”</w:t>
      </w:r>
      <w:r w:rsidRPr="0034704E">
        <w:rPr>
          <w:b/>
          <w:color w:val="00188F"/>
          <w:sz w:val="18"/>
        </w:rPr>
        <w:t>:</w:t>
      </w:r>
      <w:r>
        <w:rPr>
          <w:rFonts w:ascii="Calibri" w:eastAsia="Times New Roman" w:hAnsi="Calibri" w:cs="Calibri"/>
          <w:color w:val="242424"/>
          <w:sz w:val="18"/>
          <w:szCs w:val="18"/>
        </w:rPr>
        <w:t xml:space="preserve"> Procent Czasu Sprawnego Działania jest obliczany przy użyciu następującego wzoru:</w:t>
      </w:r>
    </w:p>
    <w:p w14:paraId="2A07B040" w14:textId="77777777" w:rsidR="00EA47D8" w:rsidRDefault="00000000" w:rsidP="006826EF">
      <w:pPr>
        <w:shd w:val="clear" w:color="auto" w:fill="FFFFFF"/>
        <w:spacing w:before="120" w:after="120" w:line="240" w:lineRule="auto"/>
        <w:ind w:left="720"/>
        <w:rPr>
          <w:rFonts w:ascii="Calibri" w:eastAsia="Times New Roman" w:hAnsi="Calibri" w:cs="Calibri"/>
          <w:color w:val="242424"/>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AE9AE25" w14:textId="77777777" w:rsidR="00D276BB" w:rsidRDefault="00D276BB" w:rsidP="00D276BB">
      <w:pPr>
        <w:spacing w:after="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Poniższe Poziomy Usługi i Środki na Używanie Usług dotyczą korzystania przez Klienta z usługi File </w:t>
      </w:r>
      <w:proofErr w:type="spellStart"/>
      <w:r>
        <w:rPr>
          <w:rFonts w:ascii="Calibri" w:eastAsia="Times New Roman" w:hAnsi="Calibri" w:cs="Calibri"/>
          <w:b/>
          <w:bCs/>
          <w:color w:val="00188F"/>
          <w:sz w:val="18"/>
          <w:szCs w:val="18"/>
          <w:bdr w:val="none" w:sz="0" w:space="0" w:color="auto" w:frame="1"/>
        </w:rPr>
        <w:t>Share</w:t>
      </w:r>
      <w:proofErr w:type="spellEnd"/>
      <w:r>
        <w:rPr>
          <w:rFonts w:ascii="Calibri" w:eastAsia="Times New Roman" w:hAnsi="Calibri" w:cs="Calibri"/>
          <w:b/>
          <w:bCs/>
          <w:color w:val="00188F"/>
          <w:sz w:val="18"/>
          <w:szCs w:val="18"/>
          <w:bdr w:val="none" w:sz="0" w:space="0" w:color="auto" w:frame="1"/>
        </w:rPr>
        <w:t xml:space="preserve"> z Warstwą Premium przy użyciu pamięci masowej Zone </w:t>
      </w:r>
      <w:proofErr w:type="spellStart"/>
      <w:r>
        <w:rPr>
          <w:rFonts w:ascii="Calibri" w:eastAsia="Times New Roman" w:hAnsi="Calibri" w:cs="Calibri"/>
          <w:b/>
          <w:bCs/>
          <w:color w:val="00188F"/>
          <w:sz w:val="18"/>
          <w:szCs w:val="18"/>
          <w:bdr w:val="none" w:sz="0" w:space="0" w:color="auto" w:frame="1"/>
        </w:rPr>
        <w:t>Redundant</w:t>
      </w:r>
      <w:proofErr w:type="spellEnd"/>
      <w:r>
        <w:rPr>
          <w:rFonts w:ascii="Calibri" w:eastAsia="Times New Roman" w:hAnsi="Calibri" w:cs="Calibri"/>
          <w:b/>
          <w:bCs/>
          <w:color w:val="00188F"/>
          <w:sz w:val="18"/>
          <w:szCs w:val="18"/>
          <w:bdr w:val="none" w:sz="0" w:space="0" w:color="auto" w:frame="1"/>
        </w:rPr>
        <w:t xml:space="preserve"> Storage (ZRS) lub </w:t>
      </w:r>
      <w:proofErr w:type="spellStart"/>
      <w:r>
        <w:rPr>
          <w:rFonts w:ascii="Calibri" w:eastAsia="Times New Roman" w:hAnsi="Calibri" w:cs="Calibri"/>
          <w:b/>
          <w:bCs/>
          <w:color w:val="00188F"/>
          <w:sz w:val="18"/>
          <w:szCs w:val="18"/>
          <w:bdr w:val="none" w:sz="0" w:space="0" w:color="auto" w:frame="1"/>
        </w:rPr>
        <w:t>Locally</w:t>
      </w:r>
      <w:proofErr w:type="spellEnd"/>
      <w:r>
        <w:rPr>
          <w:rFonts w:ascii="Calibri" w:eastAsia="Times New Roman" w:hAnsi="Calibri" w:cs="Calibri"/>
          <w:b/>
          <w:bCs/>
          <w:color w:val="00188F"/>
          <w:sz w:val="18"/>
          <w:szCs w:val="18"/>
          <w:bdr w:val="none" w:sz="0" w:space="0" w:color="auto" w:frame="1"/>
        </w:rPr>
        <w:t xml:space="preserve"> </w:t>
      </w:r>
      <w:proofErr w:type="spellStart"/>
      <w:r>
        <w:rPr>
          <w:rFonts w:ascii="Calibri" w:eastAsia="Times New Roman" w:hAnsi="Calibri" w:cs="Calibri"/>
          <w:b/>
          <w:bCs/>
          <w:color w:val="00188F"/>
          <w:sz w:val="18"/>
          <w:szCs w:val="18"/>
          <w:bdr w:val="none" w:sz="0" w:space="0" w:color="auto" w:frame="1"/>
        </w:rPr>
        <w:t>Redundant</w:t>
      </w:r>
      <w:proofErr w:type="spellEnd"/>
      <w:r>
        <w:rPr>
          <w:rFonts w:ascii="Calibri" w:eastAsia="Times New Roman" w:hAnsi="Calibri" w:cs="Calibri"/>
          <w:b/>
          <w:bCs/>
          <w:color w:val="00188F"/>
          <w:sz w:val="18"/>
          <w:szCs w:val="18"/>
          <w:bdr w:val="none" w:sz="0" w:space="0" w:color="auto" w:frame="1"/>
        </w:rPr>
        <w:t xml:space="preserve"> Storage (LRS) i dotyczą udziałów plików rozliczanych w ramach modelu rozliczeniowego </w:t>
      </w:r>
      <w:proofErr w:type="spellStart"/>
      <w:r>
        <w:rPr>
          <w:rFonts w:ascii="Calibri" w:eastAsia="Times New Roman" w:hAnsi="Calibri" w:cs="Calibri"/>
          <w:b/>
          <w:bCs/>
          <w:color w:val="00188F"/>
          <w:sz w:val="18"/>
          <w:szCs w:val="18"/>
          <w:bdr w:val="none" w:sz="0" w:space="0" w:color="auto" w:frame="1"/>
        </w:rPr>
        <w:t>Provisioned</w:t>
      </w:r>
      <w:proofErr w:type="spellEnd"/>
      <w:r>
        <w:rPr>
          <w:rFonts w:ascii="Calibri" w:eastAsia="Times New Roman" w:hAnsi="Calibri" w:cs="Calibri"/>
          <w:b/>
          <w:bCs/>
          <w:color w:val="00188F"/>
          <w:sz w:val="18"/>
          <w:szCs w:val="18"/>
          <w:bdr w:val="none" w:sz="0" w:space="0" w:color="auto" w:frame="1"/>
        </w:rPr>
        <w:t xml:space="preserve"> v1 i </w:t>
      </w:r>
      <w:proofErr w:type="spellStart"/>
      <w:r>
        <w:rPr>
          <w:rFonts w:ascii="Calibri" w:eastAsia="Times New Roman" w:hAnsi="Calibri" w:cs="Calibri"/>
          <w:b/>
          <w:bCs/>
          <w:color w:val="00188F"/>
          <w:sz w:val="18"/>
          <w:szCs w:val="18"/>
          <w:bdr w:val="none" w:sz="0" w:space="0" w:color="auto" w:frame="1"/>
        </w:rPr>
        <w:t>Provisioned</w:t>
      </w:r>
      <w:proofErr w:type="spellEnd"/>
      <w:r>
        <w:rPr>
          <w:rFonts w:ascii="Calibri" w:eastAsia="Times New Roman" w:hAnsi="Calibri" w:cs="Calibri"/>
          <w:b/>
          <w:bCs/>
          <w:color w:val="00188F"/>
          <w:sz w:val="18"/>
          <w:szCs w:val="18"/>
          <w:bdr w:val="none" w:sz="0" w:space="0" w:color="auto" w:frame="1"/>
        </w:rPr>
        <w:t xml:space="preserve"> v2.</w:t>
      </w:r>
    </w:p>
    <w:tbl>
      <w:tblPr>
        <w:tblW w:w="10800" w:type="dxa"/>
        <w:shd w:val="clear" w:color="auto" w:fill="FFFFFF"/>
        <w:tblCellMar>
          <w:left w:w="0" w:type="dxa"/>
          <w:right w:w="0" w:type="dxa"/>
        </w:tblCellMar>
        <w:tblLook w:val="04A0" w:firstRow="1" w:lastRow="0" w:firstColumn="1" w:lastColumn="0" w:noHBand="0" w:noVBand="1"/>
      </w:tblPr>
      <w:tblGrid>
        <w:gridCol w:w="5400"/>
        <w:gridCol w:w="5400"/>
      </w:tblGrid>
      <w:tr w:rsidR="00DA7ADD" w14:paraId="42E5FF8F" w14:textId="77777777" w:rsidTr="00AA2EA1">
        <w:trPr>
          <w:tblHeader/>
        </w:trPr>
        <w:tc>
          <w:tcPr>
            <w:tcW w:w="5400" w:type="dxa"/>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2D13E72C" w14:textId="77777777" w:rsidR="00DA7ADD" w:rsidRDefault="00DA7ADD" w:rsidP="00AA2EA1">
            <w:pPr>
              <w:spacing w:after="0" w:line="168" w:lineRule="atLeast"/>
              <w:jc w:val="center"/>
              <w:rPr>
                <w:rFonts w:ascii="Calibri" w:eastAsia="Times New Roman" w:hAnsi="Calibri" w:cs="Calibri"/>
                <w:color w:val="242424"/>
                <w:sz w:val="16"/>
                <w:szCs w:val="16"/>
              </w:rPr>
            </w:pPr>
            <w:r>
              <w:rPr>
                <w:rFonts w:ascii="Calibri" w:eastAsia="Times New Roman" w:hAnsi="Calibri" w:cs="Calibri"/>
                <w:b/>
                <w:bCs/>
                <w:color w:val="00188F"/>
                <w:sz w:val="18"/>
                <w:szCs w:val="18"/>
                <w:bdr w:val="none" w:sz="0" w:space="0" w:color="auto" w:frame="1"/>
              </w:rPr>
              <w:t> </w:t>
            </w:r>
            <w:r>
              <w:rPr>
                <w:rFonts w:ascii="Calibri" w:eastAsia="Times New Roman" w:hAnsi="Calibri" w:cs="Calibri"/>
                <w:color w:val="FFFFFF"/>
                <w:sz w:val="16"/>
                <w:szCs w:val="16"/>
                <w:bdr w:val="none" w:sz="0" w:space="0" w:color="auto" w:frame="1"/>
              </w:rPr>
              <w:t>Procent Czasu Sprawnego Działania</w:t>
            </w:r>
          </w:p>
        </w:tc>
        <w:tc>
          <w:tcPr>
            <w:tcW w:w="5400" w:type="dxa"/>
            <w:tcBorders>
              <w:top w:val="single" w:sz="8" w:space="0" w:color="000000"/>
              <w:left w:val="nil"/>
              <w:bottom w:val="single" w:sz="8" w:space="0" w:color="000000"/>
              <w:right w:val="single" w:sz="8" w:space="0" w:color="000000"/>
            </w:tcBorders>
            <w:shd w:val="clear" w:color="auto" w:fill="0072C6"/>
            <w:tcMar>
              <w:top w:w="0" w:type="dxa"/>
              <w:left w:w="108" w:type="dxa"/>
              <w:bottom w:w="0" w:type="dxa"/>
              <w:right w:w="108" w:type="dxa"/>
            </w:tcMar>
            <w:hideMark/>
          </w:tcPr>
          <w:p w14:paraId="6F985AF3" w14:textId="77777777" w:rsidR="00DA7ADD" w:rsidRDefault="00DA7ADD" w:rsidP="00AA2EA1">
            <w:pPr>
              <w:spacing w:after="0" w:line="168" w:lineRule="atLeast"/>
              <w:jc w:val="center"/>
              <w:rPr>
                <w:rFonts w:ascii="Calibri" w:eastAsia="Times New Roman" w:hAnsi="Calibri" w:cs="Calibri"/>
                <w:color w:val="242424"/>
                <w:sz w:val="16"/>
                <w:szCs w:val="16"/>
              </w:rPr>
            </w:pPr>
            <w:r>
              <w:rPr>
                <w:rFonts w:ascii="Calibri" w:eastAsia="Times New Roman" w:hAnsi="Calibri" w:cs="Calibri"/>
                <w:color w:val="FFFFFF"/>
                <w:sz w:val="16"/>
                <w:szCs w:val="16"/>
                <w:bdr w:val="none" w:sz="0" w:space="0" w:color="auto" w:frame="1"/>
              </w:rPr>
              <w:t>Środki Serwisowe na Używanie Usług</w:t>
            </w:r>
          </w:p>
        </w:tc>
      </w:tr>
      <w:tr w:rsidR="00DA7ADD" w14:paraId="1D825DA1" w14:textId="77777777" w:rsidTr="00AA2EA1">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C89DE5B" w14:textId="77777777" w:rsidR="00DA7ADD" w:rsidRDefault="00DA7ADD" w:rsidP="00AA2EA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2023EE86" w14:textId="77777777" w:rsidR="00DA7ADD" w:rsidRDefault="00DA7ADD" w:rsidP="00AA2EA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10%</w:t>
            </w:r>
          </w:p>
        </w:tc>
      </w:tr>
      <w:tr w:rsidR="00DA7ADD" w14:paraId="2E73478B" w14:textId="77777777" w:rsidTr="00AA2EA1">
        <w:tc>
          <w:tcPr>
            <w:tcW w:w="540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4E9FE3" w14:textId="77777777" w:rsidR="00DA7ADD" w:rsidRDefault="00DA7ADD" w:rsidP="00AA2EA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&lt; 99%</w:t>
            </w:r>
          </w:p>
        </w:tc>
        <w:tc>
          <w:tcPr>
            <w:tcW w:w="540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14:paraId="3C589C5C" w14:textId="77777777" w:rsidR="00DA7ADD" w:rsidRDefault="00DA7ADD" w:rsidP="00AA2EA1">
            <w:pPr>
              <w:spacing w:before="20" w:after="20" w:line="168" w:lineRule="atLeast"/>
              <w:jc w:val="center"/>
              <w:rPr>
                <w:rFonts w:ascii="Calibri" w:eastAsia="Times New Roman" w:hAnsi="Calibri" w:cs="Calibri"/>
                <w:color w:val="242424"/>
                <w:sz w:val="16"/>
                <w:szCs w:val="16"/>
              </w:rPr>
            </w:pPr>
            <w:r>
              <w:rPr>
                <w:rFonts w:ascii="Calibri" w:eastAsia="Times New Roman" w:hAnsi="Calibri" w:cs="Calibri"/>
                <w:color w:val="242424"/>
                <w:sz w:val="16"/>
                <w:szCs w:val="16"/>
              </w:rPr>
              <w:t>25%</w:t>
            </w:r>
          </w:p>
        </w:tc>
      </w:tr>
    </w:tbl>
    <w:p w14:paraId="178C7C56" w14:textId="77777777" w:rsidR="00DA7ADD" w:rsidRPr="00EF7CF9" w:rsidRDefault="00DA7ADD" w:rsidP="00DA7AD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DC2AD44" w14:textId="6FD0F02A" w:rsidR="004005AF" w:rsidRPr="00EF7CF9" w:rsidRDefault="004005AF" w:rsidP="004005AF">
      <w:pPr>
        <w:pStyle w:val="ProductList-Offering2Heading"/>
        <w:tabs>
          <w:tab w:val="clear" w:pos="360"/>
          <w:tab w:val="clear" w:pos="720"/>
          <w:tab w:val="clear" w:pos="1080"/>
        </w:tabs>
        <w:outlineLvl w:val="2"/>
      </w:pPr>
      <w:bookmarkStart w:id="278" w:name="_Toc239175015"/>
      <w:proofErr w:type="spellStart"/>
      <w:r>
        <w:t>Azure</w:t>
      </w:r>
      <w:proofErr w:type="spellEnd"/>
      <w:r>
        <w:t xml:space="preserve"> Firewall</w:t>
      </w:r>
      <w:bookmarkEnd w:id="241"/>
      <w:bookmarkEnd w:id="245"/>
      <w:bookmarkEnd w:id="278"/>
    </w:p>
    <w:p w14:paraId="107DEEB6" w14:textId="77777777" w:rsidR="004005AF" w:rsidRPr="00EF7CF9" w:rsidRDefault="004005AF" w:rsidP="004005AF">
      <w:pPr>
        <w:pStyle w:val="ProductList-Body"/>
      </w:pPr>
      <w:r>
        <w:rPr>
          <w:b/>
          <w:color w:val="00188F"/>
        </w:rPr>
        <w:t>Dodatkowe definicje</w:t>
      </w:r>
      <w:r w:rsidRPr="0034704E">
        <w:rPr>
          <w:b/>
          <w:color w:val="00188F"/>
        </w:rPr>
        <w:t>:</w:t>
      </w:r>
    </w:p>
    <w:p w14:paraId="645A75B8" w14:textId="28B25971" w:rsidR="004005AF" w:rsidRPr="00B85D10" w:rsidRDefault="004005AF" w:rsidP="00C347F8">
      <w:pPr>
        <w:pStyle w:val="ProductList-Body"/>
      </w:pPr>
      <w:r>
        <w:t>„</w:t>
      </w:r>
      <w:r>
        <w:rPr>
          <w:b/>
          <w:color w:val="00188F"/>
        </w:rPr>
        <w:t xml:space="preserve">Usługa </w:t>
      </w:r>
      <w:proofErr w:type="spellStart"/>
      <w:r>
        <w:rPr>
          <w:b/>
          <w:color w:val="00188F"/>
        </w:rPr>
        <w:t>Azure</w:t>
      </w:r>
      <w:proofErr w:type="spellEnd"/>
      <w:r>
        <w:rPr>
          <w:b/>
          <w:color w:val="00188F"/>
        </w:rPr>
        <w:t xml:space="preserve"> Firewall</w:t>
      </w:r>
      <w:r>
        <w:t>”</w:t>
      </w:r>
      <w:r>
        <w:rPr>
          <w:b/>
          <w:color w:val="00188F"/>
        </w:rPr>
        <w:t xml:space="preserve"> </w:t>
      </w:r>
      <w:r>
        <w:t>to logiczne wystąpienie zapory wdrożone w Sieci Wirtualnej klienta.</w:t>
      </w:r>
    </w:p>
    <w:p w14:paraId="7D62F386" w14:textId="07808C7F" w:rsidR="004005AF" w:rsidRPr="00ED4527" w:rsidRDefault="00EE6E3C" w:rsidP="00C347F8">
      <w:pPr>
        <w:pStyle w:val="ProductList-Body"/>
        <w:rPr>
          <w:b/>
          <w:bCs/>
          <w:color w:val="00188F"/>
        </w:rPr>
      </w:pPr>
      <w:r>
        <w:rPr>
          <w:b/>
          <w:bCs/>
          <w:color w:val="00188F"/>
        </w:rPr>
        <w:t xml:space="preserve">Obliczanie Czasu Sprawnego Działania i Poziomy Usługi dla Usługi </w:t>
      </w:r>
      <w:proofErr w:type="spellStart"/>
      <w:r>
        <w:rPr>
          <w:b/>
          <w:bCs/>
          <w:color w:val="00188F"/>
        </w:rPr>
        <w:t>Azure</w:t>
      </w:r>
      <w:proofErr w:type="spellEnd"/>
      <w:r>
        <w:rPr>
          <w:b/>
          <w:bCs/>
          <w:color w:val="00188F"/>
        </w:rPr>
        <w:t xml:space="preserve"> Firewall wdrożonej w jednej Strefie Dostępności</w:t>
      </w:r>
    </w:p>
    <w:p w14:paraId="58255A28" w14:textId="699AA074" w:rsidR="004005AF" w:rsidRPr="00A2017D" w:rsidRDefault="004005AF" w:rsidP="00C347F8">
      <w:pPr>
        <w:pStyle w:val="ProductList-Body"/>
      </w:pPr>
      <w:r>
        <w:t>„</w:t>
      </w:r>
      <w:r>
        <w:rPr>
          <w:b/>
          <w:color w:val="00188F"/>
        </w:rPr>
        <w:t>Maksymalna Liczba Dostępnych Minut</w:t>
      </w:r>
      <w:r>
        <w:t>”</w:t>
      </w:r>
      <w:r>
        <w:rPr>
          <w:b/>
          <w:color w:val="00188F"/>
        </w:rPr>
        <w:t xml:space="preserve"> </w:t>
      </w:r>
      <w:r>
        <w:t xml:space="preserve">to łączna zakumulowana liczba minut we Właściwym Okresie, podczas których Usługa </w:t>
      </w:r>
      <w:proofErr w:type="spellStart"/>
      <w:r>
        <w:t>Azure</w:t>
      </w:r>
      <w:proofErr w:type="spellEnd"/>
      <w:r>
        <w:t xml:space="preserve"> Firewall została wdrożona w ramach subskrypcji Microsoft </w:t>
      </w:r>
      <w:proofErr w:type="spellStart"/>
      <w:r>
        <w:t>Azure</w:t>
      </w:r>
      <w:proofErr w:type="spellEnd"/>
      <w:r>
        <w:t>.</w:t>
      </w:r>
    </w:p>
    <w:p w14:paraId="2C00A1C0" w14:textId="6C0A6472" w:rsidR="004005AF" w:rsidRDefault="004005AF" w:rsidP="00C347F8">
      <w:pPr>
        <w:pStyle w:val="ProductList-Body"/>
      </w:pPr>
      <w:r>
        <w:t>„</w:t>
      </w:r>
      <w:r>
        <w:rPr>
          <w:b/>
          <w:color w:val="00188F"/>
        </w:rPr>
        <w:t>Przestój</w:t>
      </w:r>
      <w:r>
        <w:t>”</w:t>
      </w:r>
      <w:r>
        <w:rPr>
          <w:b/>
          <w:color w:val="00188F"/>
        </w:rPr>
        <w:t xml:space="preserve"> </w:t>
      </w:r>
      <w:r>
        <w:t xml:space="preserve">to łączna zakumulowana Maksymalna Liczba Dostępnych Minut we Właściwym Okresie dla danej Usługi </w:t>
      </w:r>
      <w:proofErr w:type="spellStart"/>
      <w:r>
        <w:t>Azure</w:t>
      </w:r>
      <w:proofErr w:type="spellEnd"/>
      <w:r>
        <w:t xml:space="preserve"> Firewall,</w:t>
      </w:r>
      <w:r w:rsidRPr="00821B79">
        <w:t xml:space="preserve"> </w:t>
      </w:r>
      <w:r>
        <w:t xml:space="preserve">podczas których Usługa </w:t>
      </w:r>
      <w:proofErr w:type="spellStart"/>
      <w:r>
        <w:t>Azure</w:t>
      </w:r>
      <w:proofErr w:type="spellEnd"/>
      <w:r>
        <w:t xml:space="preserve"> Firewall jest niedostępna. Dana minuta jest uznawana za minutę niedostępności, jeśli wszystkie próby nawiązania połączenia z Usługą </w:t>
      </w:r>
      <w:proofErr w:type="spellStart"/>
      <w:r>
        <w:t>Azure</w:t>
      </w:r>
      <w:proofErr w:type="spellEnd"/>
      <w:r>
        <w:t xml:space="preserve"> Firewall w ciągu tej minuty zakończą się niepowodzeniem.</w:t>
      </w:r>
    </w:p>
    <w:p w14:paraId="2F4A07D6" w14:textId="12D0664A" w:rsidR="004005AF" w:rsidRPr="00EF7CF9" w:rsidRDefault="00AC48A7" w:rsidP="004005AF">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2398E6B9" w14:textId="712C40F1" w:rsidR="004005AF" w:rsidRPr="00EF7CF9" w:rsidRDefault="00000000" w:rsidP="00C347F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BD7FA62" w14:textId="77777777" w:rsidR="004005AF" w:rsidRPr="00ED4527" w:rsidRDefault="004005AF" w:rsidP="004005AF">
      <w:pPr>
        <w:pStyle w:val="ProductList-Body"/>
        <w:keepNext/>
        <w:rPr>
          <w:b/>
          <w:color w:val="00188F"/>
        </w:rPr>
      </w:pPr>
      <w:r>
        <w:rPr>
          <w:b/>
          <w:color w:val="00188F"/>
        </w:rPr>
        <w:t xml:space="preserve">Do używania przez Klienta Usługi </w:t>
      </w:r>
      <w:proofErr w:type="spellStart"/>
      <w:r>
        <w:rPr>
          <w:b/>
          <w:color w:val="00188F"/>
        </w:rPr>
        <w:t>Azure</w:t>
      </w:r>
      <w:proofErr w:type="spellEnd"/>
      <w:r>
        <w:rPr>
          <w:b/>
          <w:color w:val="00188F"/>
        </w:rPr>
        <w:t xml:space="preserve"> Firewall w przypadku wdrożenia w jednej Strefie Dostępności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2499836" w14:textId="77777777" w:rsidTr="00277097">
        <w:trPr>
          <w:tblHeader/>
        </w:trPr>
        <w:tc>
          <w:tcPr>
            <w:tcW w:w="5400" w:type="dxa"/>
            <w:shd w:val="clear" w:color="auto" w:fill="0072C6"/>
          </w:tcPr>
          <w:p w14:paraId="67AD5DC3" w14:textId="5FF0DE34" w:rsidR="004005AF"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0F2EBB8" w14:textId="77777777" w:rsidR="004005AF" w:rsidRPr="005A3C16"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5E9D7E7" w14:textId="77777777" w:rsidTr="00277097">
        <w:tc>
          <w:tcPr>
            <w:tcW w:w="5400" w:type="dxa"/>
          </w:tcPr>
          <w:p w14:paraId="5C610318" w14:textId="77777777" w:rsidR="004005AF" w:rsidRPr="005A3C16" w:rsidRDefault="004005AF" w:rsidP="000F31B4">
            <w:pPr>
              <w:pStyle w:val="ProductList-OfferingBody"/>
              <w:jc w:val="center"/>
            </w:pPr>
            <w:r>
              <w:t>&lt; 99,95%</w:t>
            </w:r>
          </w:p>
        </w:tc>
        <w:tc>
          <w:tcPr>
            <w:tcW w:w="5400" w:type="dxa"/>
          </w:tcPr>
          <w:p w14:paraId="10C08CE5" w14:textId="77777777" w:rsidR="004005AF" w:rsidRPr="005A3C16" w:rsidRDefault="004005AF" w:rsidP="000F31B4">
            <w:pPr>
              <w:pStyle w:val="ProductList-OfferingBody"/>
              <w:jc w:val="center"/>
            </w:pPr>
            <w:r>
              <w:t>10%</w:t>
            </w:r>
          </w:p>
        </w:tc>
      </w:tr>
      <w:tr w:rsidR="004005AF" w:rsidRPr="00B44CF9" w14:paraId="1A548F38" w14:textId="77777777" w:rsidTr="00277097">
        <w:tc>
          <w:tcPr>
            <w:tcW w:w="5400" w:type="dxa"/>
          </w:tcPr>
          <w:p w14:paraId="370C80ED" w14:textId="77777777" w:rsidR="004005AF" w:rsidRPr="005A3C16" w:rsidRDefault="004005AF" w:rsidP="000F31B4">
            <w:pPr>
              <w:pStyle w:val="ProductList-OfferingBody"/>
              <w:jc w:val="center"/>
            </w:pPr>
            <w:r>
              <w:t>&lt; 99%</w:t>
            </w:r>
          </w:p>
        </w:tc>
        <w:tc>
          <w:tcPr>
            <w:tcW w:w="5400" w:type="dxa"/>
          </w:tcPr>
          <w:p w14:paraId="75BACCED" w14:textId="77777777" w:rsidR="004005AF" w:rsidRPr="005A3C16" w:rsidRDefault="004005AF" w:rsidP="000F31B4">
            <w:pPr>
              <w:pStyle w:val="ProductList-OfferingBody"/>
              <w:jc w:val="center"/>
            </w:pPr>
            <w:r>
              <w:t>25%</w:t>
            </w:r>
          </w:p>
        </w:tc>
      </w:tr>
    </w:tbl>
    <w:p w14:paraId="605ED321" w14:textId="36894902" w:rsidR="004005AF" w:rsidRPr="00ED4527" w:rsidRDefault="00EE6E3C" w:rsidP="00D86FA3">
      <w:pPr>
        <w:pStyle w:val="ProductList-Body"/>
        <w:spacing w:before="120"/>
        <w:rPr>
          <w:b/>
          <w:bCs/>
          <w:color w:val="00188F"/>
        </w:rPr>
      </w:pPr>
      <w:r>
        <w:rPr>
          <w:b/>
          <w:bCs/>
          <w:color w:val="00188F"/>
        </w:rPr>
        <w:t xml:space="preserve">Obliczanie Czasu Sprawnego Działania i Poziomy Usługi dla Usługi </w:t>
      </w:r>
      <w:proofErr w:type="spellStart"/>
      <w:r>
        <w:rPr>
          <w:b/>
          <w:bCs/>
          <w:color w:val="00188F"/>
        </w:rPr>
        <w:t>Azure</w:t>
      </w:r>
      <w:proofErr w:type="spellEnd"/>
      <w:r>
        <w:rPr>
          <w:b/>
          <w:bCs/>
          <w:color w:val="00188F"/>
        </w:rPr>
        <w:t xml:space="preserve"> Firewall wdrożonej co najmniej dwóch Strefach Dostępności</w:t>
      </w:r>
    </w:p>
    <w:p w14:paraId="30D680C4" w14:textId="4BC29C94" w:rsidR="004005AF" w:rsidRPr="00ED4527" w:rsidRDefault="004005AF" w:rsidP="004005AF">
      <w:pPr>
        <w:pStyle w:val="ProductList-Body"/>
        <w:rPr>
          <w:color w:val="000000" w:themeColor="text1"/>
        </w:rPr>
      </w:pPr>
      <w:r>
        <w:t>„</w:t>
      </w:r>
      <w:r>
        <w:rPr>
          <w:b/>
          <w:bCs/>
          <w:color w:val="00188F"/>
        </w:rPr>
        <w:t>Maksymalna Liczba Dostępnych Minut</w:t>
      </w:r>
      <w:r>
        <w:t>”</w:t>
      </w:r>
      <w:r>
        <w:rPr>
          <w:color w:val="000000" w:themeColor="text1"/>
        </w:rPr>
        <w:t xml:space="preserve"> to łączna zakumulowana liczba minut we Właściwym Okresie, podczas których Usługa </w:t>
      </w:r>
      <w:proofErr w:type="spellStart"/>
      <w:r>
        <w:rPr>
          <w:color w:val="000000" w:themeColor="text1"/>
        </w:rPr>
        <w:t>Azure</w:t>
      </w:r>
      <w:proofErr w:type="spellEnd"/>
      <w:r>
        <w:rPr>
          <w:color w:val="000000" w:themeColor="text1"/>
        </w:rPr>
        <w:t xml:space="preserve"> Firewall została wdrożona w co najmniej dwóch Strefach Dostępności w tym samym regionie ramach subskrypcji Microsoft.</w:t>
      </w:r>
    </w:p>
    <w:p w14:paraId="3016A8A2" w14:textId="36E00FB3" w:rsidR="004005AF" w:rsidRPr="00ED4527" w:rsidRDefault="004005AF" w:rsidP="004005AF">
      <w:pPr>
        <w:pStyle w:val="ProductList-Body"/>
        <w:rPr>
          <w:color w:val="000000" w:themeColor="text1"/>
        </w:rPr>
      </w:pPr>
      <w:r>
        <w:t>„</w:t>
      </w:r>
      <w:r>
        <w:rPr>
          <w:b/>
          <w:bCs/>
          <w:color w:val="00188F"/>
        </w:rPr>
        <w:t>Przestój</w:t>
      </w:r>
      <w:r w:rsidR="00B41CC1" w:rsidRPr="00B41CC1">
        <w:t>”</w:t>
      </w:r>
      <w:r>
        <w:rPr>
          <w:color w:val="000000" w:themeColor="text1"/>
        </w:rPr>
        <w:t xml:space="preserve"> to łączna zakumulowana Maksymalna Liczba Dostępnych Minut we Właściwym Okresie dla danej Usługi </w:t>
      </w:r>
      <w:proofErr w:type="spellStart"/>
      <w:r>
        <w:rPr>
          <w:color w:val="000000" w:themeColor="text1"/>
        </w:rPr>
        <w:t>Azure</w:t>
      </w:r>
      <w:proofErr w:type="spellEnd"/>
      <w:r>
        <w:rPr>
          <w:color w:val="000000" w:themeColor="text1"/>
        </w:rPr>
        <w:t xml:space="preserve"> Firewall wdrożonych w co najmniej dwóch Strefach Dostępności, podczas których Usługa </w:t>
      </w:r>
      <w:proofErr w:type="spellStart"/>
      <w:r>
        <w:rPr>
          <w:color w:val="000000" w:themeColor="text1"/>
        </w:rPr>
        <w:t>Azure</w:t>
      </w:r>
      <w:proofErr w:type="spellEnd"/>
      <w:r>
        <w:rPr>
          <w:color w:val="000000" w:themeColor="text1"/>
        </w:rPr>
        <w:t xml:space="preserve"> Firewall jest niedostępna. Dana minuta jest uznawana za minutę niedostępności, jeśli wszystkie próby nawiązania połączenia z Usługą </w:t>
      </w:r>
      <w:proofErr w:type="spellStart"/>
      <w:r>
        <w:rPr>
          <w:color w:val="000000" w:themeColor="text1"/>
        </w:rPr>
        <w:t>Azure</w:t>
      </w:r>
      <w:proofErr w:type="spellEnd"/>
      <w:r>
        <w:rPr>
          <w:color w:val="000000" w:themeColor="text1"/>
        </w:rPr>
        <w:t xml:space="preserve"> Firewall w ciągu tej minuty zakończą się niepowodzeniem.</w:t>
      </w:r>
    </w:p>
    <w:p w14:paraId="705028FD" w14:textId="39839497" w:rsidR="004005AF" w:rsidRPr="00ED4527" w:rsidRDefault="004005AF" w:rsidP="004005AF">
      <w:pPr>
        <w:pStyle w:val="ProductList-Body"/>
        <w:tabs>
          <w:tab w:val="clear" w:pos="360"/>
          <w:tab w:val="clear" w:pos="720"/>
          <w:tab w:val="clear" w:pos="1080"/>
        </w:tabs>
        <w:rPr>
          <w:color w:val="000000" w:themeColor="text1"/>
        </w:rPr>
      </w:pPr>
      <w:r w:rsidRPr="00B41CC1">
        <w:t>„</w:t>
      </w:r>
      <w:r>
        <w:rPr>
          <w:b/>
          <w:bCs/>
          <w:color w:val="00188F"/>
        </w:rPr>
        <w:t>Procent Czasu Sprawnego Działania</w:t>
      </w:r>
      <w:r w:rsidRPr="00B41CC1">
        <w:t>”</w:t>
      </w:r>
      <w:r>
        <w:rPr>
          <w:color w:val="00188F"/>
        </w:rPr>
        <w:t xml:space="preserve"> </w:t>
      </w:r>
      <w:r>
        <w:rPr>
          <w:color w:val="000000" w:themeColor="text1"/>
        </w:rPr>
        <w:t xml:space="preserve">dla Usług </w:t>
      </w:r>
      <w:proofErr w:type="spellStart"/>
      <w:r>
        <w:rPr>
          <w:color w:val="000000" w:themeColor="text1"/>
        </w:rPr>
        <w:t>Azure</w:t>
      </w:r>
      <w:proofErr w:type="spellEnd"/>
      <w:r>
        <w:rPr>
          <w:color w:val="000000" w:themeColor="text1"/>
        </w:rPr>
        <w:t xml:space="preserve"> Firewall wdrożonych w co najmniej dwóch Strefach Dostępności jest obliczany przy użyciu następującego wzoru:</w:t>
      </w:r>
    </w:p>
    <w:p w14:paraId="3CF7D48F" w14:textId="49C44EA8" w:rsidR="004005AF" w:rsidRPr="00EF7CF9" w:rsidRDefault="00000000" w:rsidP="004005AF">
      <w:pPr>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AA24F9D" w14:textId="77777777" w:rsidR="004005AF" w:rsidRPr="008D2319" w:rsidRDefault="004005AF" w:rsidP="004005AF">
      <w:pPr>
        <w:pStyle w:val="ProductList-Body"/>
        <w:keepNext/>
        <w:rPr>
          <w:b/>
          <w:color w:val="00188F"/>
        </w:rPr>
      </w:pPr>
      <w:r>
        <w:rPr>
          <w:b/>
          <w:color w:val="00188F"/>
        </w:rPr>
        <w:t xml:space="preserve">Do używania przez Klienta Usługi </w:t>
      </w:r>
      <w:proofErr w:type="spellStart"/>
      <w:r>
        <w:rPr>
          <w:b/>
          <w:color w:val="00188F"/>
        </w:rPr>
        <w:t>Azure</w:t>
      </w:r>
      <w:proofErr w:type="spellEnd"/>
      <w:r>
        <w:rPr>
          <w:b/>
          <w:color w:val="00188F"/>
        </w:rPr>
        <w:t xml:space="preserve"> Firewall w przypadku wdrożenia w co najmniej dwóch Strefach Dostępności w tym samym regionie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6E4080E2" w14:textId="77777777" w:rsidTr="00277097">
        <w:trPr>
          <w:tblHeader/>
        </w:trPr>
        <w:tc>
          <w:tcPr>
            <w:tcW w:w="5400" w:type="dxa"/>
            <w:shd w:val="clear" w:color="auto" w:fill="0072C6"/>
          </w:tcPr>
          <w:p w14:paraId="0FD4EF76" w14:textId="07E834E2" w:rsidR="004005AF"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6F348E5" w14:textId="77777777" w:rsidR="004005AF" w:rsidRPr="005A3C16"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5E9E209C" w14:textId="77777777" w:rsidTr="00277097">
        <w:tc>
          <w:tcPr>
            <w:tcW w:w="5400" w:type="dxa"/>
          </w:tcPr>
          <w:p w14:paraId="3B9D5C82" w14:textId="77777777" w:rsidR="004005AF" w:rsidRPr="005A3C16" w:rsidRDefault="004005AF" w:rsidP="000F31B4">
            <w:pPr>
              <w:pStyle w:val="ProductList-OfferingBody"/>
              <w:jc w:val="center"/>
            </w:pPr>
            <w:r>
              <w:t>&lt; 99,99%</w:t>
            </w:r>
          </w:p>
        </w:tc>
        <w:tc>
          <w:tcPr>
            <w:tcW w:w="5400" w:type="dxa"/>
          </w:tcPr>
          <w:p w14:paraId="1EF2AB30" w14:textId="77777777" w:rsidR="004005AF" w:rsidRPr="005A3C16" w:rsidRDefault="004005AF" w:rsidP="000F31B4">
            <w:pPr>
              <w:pStyle w:val="ProductList-OfferingBody"/>
              <w:jc w:val="center"/>
            </w:pPr>
            <w:r>
              <w:t>10%</w:t>
            </w:r>
          </w:p>
        </w:tc>
      </w:tr>
      <w:tr w:rsidR="004005AF" w:rsidRPr="00B44CF9" w14:paraId="435C1CD5" w14:textId="77777777" w:rsidTr="00277097">
        <w:tc>
          <w:tcPr>
            <w:tcW w:w="5400" w:type="dxa"/>
          </w:tcPr>
          <w:p w14:paraId="7355E825" w14:textId="77777777" w:rsidR="004005AF" w:rsidRPr="005A3C16" w:rsidRDefault="004005AF" w:rsidP="000F31B4">
            <w:pPr>
              <w:pStyle w:val="ProductList-OfferingBody"/>
              <w:jc w:val="center"/>
            </w:pPr>
            <w:r>
              <w:t>&lt; 99%</w:t>
            </w:r>
          </w:p>
        </w:tc>
        <w:tc>
          <w:tcPr>
            <w:tcW w:w="5400" w:type="dxa"/>
          </w:tcPr>
          <w:p w14:paraId="41B7CDB9" w14:textId="77777777" w:rsidR="004005AF" w:rsidRPr="005A3C16" w:rsidRDefault="004005AF" w:rsidP="000F31B4">
            <w:pPr>
              <w:pStyle w:val="ProductList-OfferingBody"/>
              <w:jc w:val="center"/>
            </w:pPr>
            <w:r>
              <w:t>25%</w:t>
            </w:r>
          </w:p>
        </w:tc>
      </w:tr>
    </w:tbl>
    <w:p w14:paraId="3FCADD10" w14:textId="4347A5C2"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54879A1" w14:textId="77777777" w:rsidR="00E76FE2" w:rsidRPr="00E76FE2" w:rsidRDefault="00E76FE2" w:rsidP="00E76FE2">
      <w:pPr>
        <w:pStyle w:val="ProductList-Offering2Heading"/>
        <w:keepNext/>
        <w:tabs>
          <w:tab w:val="clear" w:pos="360"/>
          <w:tab w:val="clear" w:pos="720"/>
          <w:tab w:val="clear" w:pos="1080"/>
        </w:tabs>
        <w:outlineLvl w:val="2"/>
      </w:pPr>
      <w:bookmarkStart w:id="279" w:name="_Toc239175016"/>
      <w:bookmarkStart w:id="280" w:name="_Toc52348932"/>
      <w:proofErr w:type="spellStart"/>
      <w:r>
        <w:t>Azure</w:t>
      </w:r>
      <w:proofErr w:type="spellEnd"/>
      <w:r>
        <w:t xml:space="preserve"> Fluid </w:t>
      </w:r>
      <w:proofErr w:type="spellStart"/>
      <w:r>
        <w:t>Relay</w:t>
      </w:r>
      <w:bookmarkEnd w:id="279"/>
      <w:proofErr w:type="spellEnd"/>
    </w:p>
    <w:p w14:paraId="186ED242" w14:textId="77777777" w:rsidR="00E76FE2" w:rsidRPr="00E76FE2" w:rsidRDefault="00E76FE2" w:rsidP="00E76FE2">
      <w:pPr>
        <w:pStyle w:val="ProductList-Body"/>
        <w:rPr>
          <w:b/>
          <w:bCs/>
          <w:color w:val="00188F"/>
        </w:rPr>
      </w:pPr>
      <w:r>
        <w:rPr>
          <w:b/>
          <w:bCs/>
          <w:color w:val="00188F"/>
        </w:rPr>
        <w:t>Dodatkowe definicje</w:t>
      </w:r>
    </w:p>
    <w:p w14:paraId="6E84ED5D" w14:textId="72417546" w:rsidR="00E76FE2" w:rsidRDefault="00E76FE2" w:rsidP="00E76FE2">
      <w:pPr>
        <w:pStyle w:val="ProductList-Body"/>
      </w:pPr>
      <w:r>
        <w:t>„</w:t>
      </w:r>
      <w:r>
        <w:rPr>
          <w:b/>
          <w:bCs/>
          <w:color w:val="00188F"/>
        </w:rPr>
        <w:t>Maksymalna Liczba Dostępnych Minut</w:t>
      </w:r>
      <w:r>
        <w:t xml:space="preserve">” to łączna zakumulowana liczba minut we Właściwym Okresie, podczas których zasób </w:t>
      </w:r>
      <w:proofErr w:type="spellStart"/>
      <w:r>
        <w:t>Azure</w:t>
      </w:r>
      <w:proofErr w:type="spellEnd"/>
      <w:r>
        <w:t xml:space="preserve"> Fluid </w:t>
      </w:r>
      <w:proofErr w:type="spellStart"/>
      <w:r>
        <w:t>Relay</w:t>
      </w:r>
      <w:proofErr w:type="spellEnd"/>
      <w:r>
        <w:t xml:space="preserve"> został wdrożony w ramach subskrypcji Microsoft </w:t>
      </w:r>
      <w:proofErr w:type="spellStart"/>
      <w:r>
        <w:t>Azure</w:t>
      </w:r>
      <w:proofErr w:type="spellEnd"/>
      <w:r>
        <w:t>.</w:t>
      </w:r>
    </w:p>
    <w:p w14:paraId="2DE3F9A5" w14:textId="543D00F4" w:rsidR="00E76FE2" w:rsidRDefault="00E76FE2" w:rsidP="00E76FE2">
      <w:pPr>
        <w:pStyle w:val="ProductList-Body"/>
      </w:pPr>
      <w:r>
        <w:t>„</w:t>
      </w:r>
      <w:r>
        <w:rPr>
          <w:b/>
          <w:bCs/>
          <w:color w:val="00188F"/>
        </w:rPr>
        <w:t>Przestój</w:t>
      </w:r>
      <w:r>
        <w:t xml:space="preserve">” to łączna zakumulowana Maksymalna Liczba Dostępnych Minut we Właściwym Okresie, podczas której co najmniej jeden zasób </w:t>
      </w:r>
      <w:proofErr w:type="spellStart"/>
      <w:r>
        <w:t>Azure</w:t>
      </w:r>
      <w:proofErr w:type="spellEnd"/>
      <w:r>
        <w:t xml:space="preserve"> Fluid </w:t>
      </w:r>
      <w:proofErr w:type="spellStart"/>
      <w:r>
        <w:t>Relay</w:t>
      </w:r>
      <w:proofErr w:type="spellEnd"/>
      <w:r>
        <w:t xml:space="preserve"> został wdrożony wywołania usługi dla tego zasobu są niedostępne.</w:t>
      </w:r>
    </w:p>
    <w:p w14:paraId="263517D6" w14:textId="0120A66D" w:rsidR="00E76FE2" w:rsidRDefault="00E76FE2" w:rsidP="00E76FE2">
      <w:pPr>
        <w:pStyle w:val="ProductList-Body"/>
      </w:pPr>
      <w:r>
        <w:t>„</w:t>
      </w:r>
      <w:r>
        <w:rPr>
          <w:b/>
          <w:bCs/>
          <w:color w:val="00188F"/>
        </w:rPr>
        <w:t>Procent Czasu Sprawnego Działania</w:t>
      </w:r>
      <w:r>
        <w:t>” jest obliczany przy użyciu następującego wzoru:</w:t>
      </w:r>
    </w:p>
    <w:p w14:paraId="74504FF8" w14:textId="0B0A50E3" w:rsidR="00E76FE2" w:rsidRPr="00EF7CF9" w:rsidRDefault="00000000" w:rsidP="008D44F8">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0582B5E" w14:textId="77777777" w:rsidR="00E76FE2" w:rsidRPr="004F2381" w:rsidRDefault="00E76FE2" w:rsidP="00CD60E6">
      <w:pPr>
        <w:pStyle w:val="ProductList-Body"/>
        <w:keepNext/>
        <w:jc w:val="both"/>
        <w:rPr>
          <w:b/>
          <w:bCs/>
          <w:color w:val="00188F"/>
        </w:rPr>
      </w:pPr>
      <w:r>
        <w:rPr>
          <w:b/>
          <w:bCs/>
          <w:color w:val="00188F"/>
        </w:rPr>
        <w:t xml:space="preserve">Do używania przez Klienta zasobu usługi </w:t>
      </w:r>
      <w:proofErr w:type="spellStart"/>
      <w:r>
        <w:rPr>
          <w:b/>
          <w:bCs/>
          <w:color w:val="00188F"/>
        </w:rPr>
        <w:t>Azure</w:t>
      </w:r>
      <w:proofErr w:type="spellEnd"/>
      <w:r>
        <w:rPr>
          <w:b/>
          <w:bCs/>
          <w:color w:val="00188F"/>
        </w:rPr>
        <w:t xml:space="preserve"> Fluid </w:t>
      </w:r>
      <w:proofErr w:type="spellStart"/>
      <w:r>
        <w:rPr>
          <w:b/>
          <w:bCs/>
          <w:color w:val="00188F"/>
        </w:rPr>
        <w:t>Relay</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76FE2" w:rsidRPr="00B44CF9" w14:paraId="39724092" w14:textId="77777777" w:rsidTr="00277097">
        <w:trPr>
          <w:tblHeader/>
        </w:trPr>
        <w:tc>
          <w:tcPr>
            <w:tcW w:w="5400" w:type="dxa"/>
            <w:shd w:val="clear" w:color="auto" w:fill="0072C6"/>
          </w:tcPr>
          <w:p w14:paraId="58B7A839" w14:textId="5C9D4ED4" w:rsidR="00E76FE2"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8BD83B4" w14:textId="77777777" w:rsidR="00E76FE2" w:rsidRPr="005A3C16" w:rsidRDefault="00E76FE2" w:rsidP="000F31B4">
            <w:pPr>
              <w:pStyle w:val="ProductList-OfferingBody"/>
              <w:jc w:val="center"/>
              <w:rPr>
                <w:color w:val="FFFFFF" w:themeColor="background1"/>
              </w:rPr>
            </w:pPr>
            <w:r>
              <w:rPr>
                <w:color w:val="FFFFFF" w:themeColor="background1"/>
              </w:rPr>
              <w:t>Środki Serwisowe na Używanie Usług</w:t>
            </w:r>
          </w:p>
        </w:tc>
      </w:tr>
      <w:tr w:rsidR="00E76FE2" w:rsidRPr="00B44CF9" w14:paraId="014A3618" w14:textId="77777777" w:rsidTr="00277097">
        <w:tc>
          <w:tcPr>
            <w:tcW w:w="5400" w:type="dxa"/>
          </w:tcPr>
          <w:p w14:paraId="6F23F302" w14:textId="71E99B8D" w:rsidR="00E76FE2" w:rsidRPr="005A3C16" w:rsidRDefault="00E76FE2" w:rsidP="000F31B4">
            <w:pPr>
              <w:pStyle w:val="ProductList-OfferingBody"/>
              <w:jc w:val="center"/>
            </w:pPr>
            <w:r>
              <w:t>&lt; 99,9%</w:t>
            </w:r>
          </w:p>
        </w:tc>
        <w:tc>
          <w:tcPr>
            <w:tcW w:w="5400" w:type="dxa"/>
          </w:tcPr>
          <w:p w14:paraId="512E88FD" w14:textId="77777777" w:rsidR="00E76FE2" w:rsidRPr="005A3C16" w:rsidRDefault="00E76FE2" w:rsidP="000F31B4">
            <w:pPr>
              <w:pStyle w:val="ProductList-OfferingBody"/>
              <w:jc w:val="center"/>
            </w:pPr>
            <w:r>
              <w:t>10%</w:t>
            </w:r>
          </w:p>
        </w:tc>
      </w:tr>
      <w:tr w:rsidR="00E76FE2" w:rsidRPr="00B44CF9" w14:paraId="25315DD6" w14:textId="77777777" w:rsidTr="00277097">
        <w:tc>
          <w:tcPr>
            <w:tcW w:w="5400" w:type="dxa"/>
          </w:tcPr>
          <w:p w14:paraId="1709E494" w14:textId="77777777" w:rsidR="00E76FE2" w:rsidRPr="005A3C16" w:rsidRDefault="00E76FE2" w:rsidP="000F31B4">
            <w:pPr>
              <w:pStyle w:val="ProductList-OfferingBody"/>
              <w:jc w:val="center"/>
            </w:pPr>
            <w:r>
              <w:t>&lt; 99%</w:t>
            </w:r>
          </w:p>
        </w:tc>
        <w:tc>
          <w:tcPr>
            <w:tcW w:w="5400" w:type="dxa"/>
          </w:tcPr>
          <w:p w14:paraId="7192BB89" w14:textId="77777777" w:rsidR="00E76FE2" w:rsidRPr="005A3C16" w:rsidRDefault="00E76FE2" w:rsidP="000F31B4">
            <w:pPr>
              <w:pStyle w:val="ProductList-OfferingBody"/>
              <w:jc w:val="center"/>
            </w:pPr>
            <w:r>
              <w:t>25%</w:t>
            </w:r>
          </w:p>
        </w:tc>
      </w:tr>
    </w:tbl>
    <w:p w14:paraId="246D13F6" w14:textId="77777777" w:rsidR="00D86FA3" w:rsidRDefault="00D86FA3" w:rsidP="00D86FA3">
      <w:pPr>
        <w:pStyle w:val="ProductList-Body"/>
        <w:spacing w:before="120"/>
        <w:rPr>
          <w:rFonts w:ascii="Calibri" w:hAnsi="Calibri" w:cs="Calibri"/>
        </w:rPr>
      </w:pPr>
      <w:r>
        <w:rPr>
          <w:rFonts w:ascii="Calibri" w:hAnsi="Calibri" w:cs="Calibri"/>
          <w:b/>
          <w:color w:val="00188F"/>
        </w:rPr>
        <w:t>Wyjątki dotyczące Poziomu Usługi</w:t>
      </w:r>
      <w:r w:rsidRPr="00A13741">
        <w:rPr>
          <w:rFonts w:ascii="Calibri" w:hAnsi="Calibri" w:cs="Calibri"/>
          <w:b/>
          <w:bCs/>
        </w:rPr>
        <w:t>.</w:t>
      </w:r>
      <w:r>
        <w:rPr>
          <w:rFonts w:ascii="Calibri" w:hAnsi="Calibri" w:cs="Calibri"/>
        </w:rPr>
        <w:t xml:space="preserve"> </w:t>
      </w:r>
      <w:r>
        <w:rPr>
          <w:rFonts w:ascii="Calibri" w:eastAsia="Calibri" w:hAnsi="Calibri" w:cs="Calibri"/>
        </w:rPr>
        <w:t>Dla Warstwy Podstawowej nie jest świadczona umowa SLA</w:t>
      </w:r>
      <w:r>
        <w:t>.</w:t>
      </w:r>
    </w:p>
    <w:p w14:paraId="07A38F73" w14:textId="77777777" w:rsidR="00D86FA3" w:rsidRPr="0096559A" w:rsidRDefault="00D86FA3" w:rsidP="00D86FA3">
      <w:pPr>
        <w:pStyle w:val="ProductList-Body"/>
        <w:shd w:val="clear" w:color="auto" w:fill="808080" w:themeFill="background1" w:themeFillShade="80"/>
        <w:tabs>
          <w:tab w:val="clear" w:pos="360"/>
          <w:tab w:val="clear" w:pos="720"/>
          <w:tab w:val="clear" w:pos="1080"/>
        </w:tabs>
        <w:spacing w:before="120" w:after="240"/>
        <w:jc w:val="right"/>
        <w:rPr>
          <w:sz w:val="16"/>
          <w:szCs w:val="16"/>
          <w:lang w:val="en-US"/>
        </w:rPr>
      </w:pPr>
      <w:hyperlink w:anchor="TOC" w:history="1">
        <w:proofErr w:type="spellStart"/>
        <w:r w:rsidRPr="0096559A">
          <w:rPr>
            <w:rStyle w:val="Hyperlink"/>
            <w:sz w:val="16"/>
            <w:szCs w:val="16"/>
            <w:lang w:val="en-US"/>
          </w:rPr>
          <w:t>Spis</w:t>
        </w:r>
        <w:proofErr w:type="spellEnd"/>
        <w:r w:rsidRPr="0096559A">
          <w:rPr>
            <w:rStyle w:val="Hyperlink"/>
            <w:sz w:val="16"/>
            <w:szCs w:val="16"/>
            <w:lang w:val="en-US"/>
          </w:rPr>
          <w:t xml:space="preserve"> </w:t>
        </w:r>
        <w:proofErr w:type="spellStart"/>
        <w:r w:rsidRPr="0096559A">
          <w:rPr>
            <w:rStyle w:val="Hyperlink"/>
            <w:sz w:val="16"/>
            <w:szCs w:val="16"/>
            <w:lang w:val="en-US"/>
          </w:rPr>
          <w:t>treści</w:t>
        </w:r>
        <w:proofErr w:type="spellEnd"/>
      </w:hyperlink>
      <w:r w:rsidRPr="0096559A">
        <w:rPr>
          <w:sz w:val="16"/>
          <w:szCs w:val="16"/>
          <w:lang w:val="en-US"/>
        </w:rPr>
        <w:t xml:space="preserve"> / </w:t>
      </w:r>
      <w:hyperlink w:anchor="Definitions" w:history="1">
        <w:proofErr w:type="spellStart"/>
        <w:r w:rsidRPr="0096559A">
          <w:rPr>
            <w:rStyle w:val="Hyperlink"/>
            <w:sz w:val="16"/>
            <w:szCs w:val="16"/>
            <w:lang w:val="en-US"/>
          </w:rPr>
          <w:t>Definicje</w:t>
        </w:r>
        <w:proofErr w:type="spellEnd"/>
      </w:hyperlink>
    </w:p>
    <w:p w14:paraId="518DF4C1" w14:textId="77777777" w:rsidR="004F2381" w:rsidRPr="00C84B0F" w:rsidRDefault="004F2381" w:rsidP="004F2381">
      <w:pPr>
        <w:pStyle w:val="ProductList-Offering2Heading"/>
        <w:keepNext/>
        <w:tabs>
          <w:tab w:val="clear" w:pos="360"/>
          <w:tab w:val="clear" w:pos="720"/>
          <w:tab w:val="clear" w:pos="1080"/>
        </w:tabs>
        <w:outlineLvl w:val="2"/>
        <w:rPr>
          <w:lang w:val="en-US"/>
        </w:rPr>
      </w:pPr>
      <w:bookmarkStart w:id="281" w:name="_Toc239175017"/>
      <w:r w:rsidRPr="00C84B0F">
        <w:rPr>
          <w:lang w:val="en-US"/>
        </w:rPr>
        <w:t xml:space="preserve">Azure Front Door </w:t>
      </w:r>
      <w:proofErr w:type="spellStart"/>
      <w:r w:rsidRPr="00C84B0F">
        <w:rPr>
          <w:lang w:val="en-US"/>
        </w:rPr>
        <w:t>i</w:t>
      </w:r>
      <w:proofErr w:type="spellEnd"/>
      <w:r w:rsidRPr="00C84B0F">
        <w:rPr>
          <w:lang w:val="en-US"/>
        </w:rPr>
        <w:t xml:space="preserve"> Azure Front Door (classic)</w:t>
      </w:r>
      <w:bookmarkEnd w:id="281"/>
    </w:p>
    <w:p w14:paraId="4DF36CA6" w14:textId="19E613CE" w:rsidR="004F2381" w:rsidRPr="004F2381" w:rsidRDefault="00EE6E3C" w:rsidP="004F2381">
      <w:pPr>
        <w:pStyle w:val="ProductList-Body"/>
        <w:rPr>
          <w:b/>
          <w:bCs/>
          <w:color w:val="00188F"/>
        </w:rPr>
      </w:pPr>
      <w:r>
        <w:rPr>
          <w:b/>
          <w:bCs/>
          <w:color w:val="00188F"/>
        </w:rPr>
        <w:t xml:space="preserve">Obliczanie Czasu Sprawnego Działania i Poziomy Usługi dla </w:t>
      </w:r>
      <w:proofErr w:type="spellStart"/>
      <w:r>
        <w:rPr>
          <w:b/>
          <w:bCs/>
          <w:color w:val="00188F"/>
        </w:rPr>
        <w:t>Azure</w:t>
      </w:r>
      <w:proofErr w:type="spellEnd"/>
      <w:r>
        <w:rPr>
          <w:b/>
          <w:bCs/>
          <w:color w:val="00188F"/>
        </w:rPr>
        <w:t xml:space="preserve"> Front </w:t>
      </w:r>
      <w:proofErr w:type="spellStart"/>
      <w:r>
        <w:rPr>
          <w:b/>
          <w:bCs/>
          <w:color w:val="00188F"/>
        </w:rPr>
        <w:t>Door</w:t>
      </w:r>
      <w:proofErr w:type="spellEnd"/>
      <w:r>
        <w:rPr>
          <w:b/>
          <w:bCs/>
          <w:color w:val="00188F"/>
        </w:rPr>
        <w:t xml:space="preserve"> i </w:t>
      </w:r>
      <w:proofErr w:type="spellStart"/>
      <w:r>
        <w:rPr>
          <w:b/>
          <w:bCs/>
          <w:color w:val="00188F"/>
        </w:rPr>
        <w:t>Azure</w:t>
      </w:r>
      <w:proofErr w:type="spellEnd"/>
      <w:r>
        <w:rPr>
          <w:b/>
          <w:bCs/>
          <w:color w:val="00188F"/>
        </w:rPr>
        <w:t xml:space="preserve"> Front </w:t>
      </w:r>
      <w:proofErr w:type="spellStart"/>
      <w:r>
        <w:rPr>
          <w:b/>
          <w:bCs/>
          <w:color w:val="00188F"/>
        </w:rPr>
        <w:t>Door</w:t>
      </w:r>
      <w:proofErr w:type="spellEnd"/>
      <w:r>
        <w:rPr>
          <w:b/>
          <w:bCs/>
          <w:color w:val="00188F"/>
        </w:rPr>
        <w:t xml:space="preserve"> (</w:t>
      </w:r>
      <w:proofErr w:type="spellStart"/>
      <w:r>
        <w:rPr>
          <w:b/>
          <w:bCs/>
          <w:color w:val="00188F"/>
        </w:rPr>
        <w:t>classic</w:t>
      </w:r>
      <w:proofErr w:type="spellEnd"/>
      <w:r>
        <w:rPr>
          <w:b/>
          <w:bCs/>
          <w:color w:val="00188F"/>
        </w:rPr>
        <w:t>)</w:t>
      </w:r>
    </w:p>
    <w:p w14:paraId="0E9C02A9" w14:textId="22F6BA10" w:rsidR="004F2381" w:rsidRDefault="004F2381" w:rsidP="004F2381">
      <w:pPr>
        <w:pStyle w:val="ProductList-Body"/>
      </w:pPr>
      <w:r>
        <w:t xml:space="preserve">Microsoft przeanalizuje dane z dowolnego, uzasadnionego z komercyjnego punktu widzenia, niezależnego systemu pomiarowego używanego </w:t>
      </w:r>
      <w:r w:rsidR="00C84B0F">
        <w:br/>
      </w:r>
      <w:r>
        <w:t>przez Klienta.</w:t>
      </w:r>
    </w:p>
    <w:p w14:paraId="418C34AA" w14:textId="236C33C3" w:rsidR="004F2381" w:rsidRDefault="004F2381" w:rsidP="004F2381">
      <w:pPr>
        <w:pStyle w:val="ProductList-Body"/>
      </w:pPr>
      <w:r>
        <w:t xml:space="preserve">Klient musi wybrać zestaw agentów z listy systemu pomiarowego zawierającej standardowe </w:t>
      </w:r>
      <w:proofErr w:type="spellStart"/>
      <w:r>
        <w:t>agenty</w:t>
      </w:r>
      <w:proofErr w:type="spellEnd"/>
      <w:r>
        <w:t>, jakie są zwykle dostępne i reprezentują co</w:t>
      </w:r>
      <w:r w:rsidR="00A03CBF">
        <w:t> </w:t>
      </w:r>
      <w:r>
        <w:t>najmniej pięć różnych lokalizacji geograficznych w dużych światowych obszarach metropolitalnych (z wyjątkiem ChRL).</w:t>
      </w:r>
    </w:p>
    <w:p w14:paraId="6FBDA486" w14:textId="77777777" w:rsidR="004F2381" w:rsidRDefault="004F2381" w:rsidP="00DB4449">
      <w:pPr>
        <w:pStyle w:val="ProductList-Body"/>
        <w:numPr>
          <w:ilvl w:val="0"/>
          <w:numId w:val="9"/>
        </w:numPr>
      </w:pPr>
      <w:r>
        <w:t>Testy Systemu Pomiarowego (z częstotliwością co najmniej jednego testu na pięć minut na agenta) będą skonfigurowane tak, aby wykonywać jedną operację HTTP GET zgodnie z poniższym modelem:</w:t>
      </w:r>
    </w:p>
    <w:p w14:paraId="595DA6A2" w14:textId="77777777" w:rsidR="004F2381" w:rsidRDefault="004F2381" w:rsidP="00DB4449">
      <w:pPr>
        <w:pStyle w:val="ProductList-Body"/>
        <w:numPr>
          <w:ilvl w:val="0"/>
          <w:numId w:val="9"/>
        </w:numPr>
      </w:pPr>
      <w:r>
        <w:t xml:space="preserve">Plik testowy zostanie umieszczony w systemie zaplecza Klienta (np. na koncie Microsoft </w:t>
      </w:r>
      <w:proofErr w:type="spellStart"/>
      <w:r>
        <w:t>Azure</w:t>
      </w:r>
      <w:proofErr w:type="spellEnd"/>
      <w:r>
        <w:t xml:space="preserve"> Storage).</w:t>
      </w:r>
    </w:p>
    <w:p w14:paraId="78CE7BBA" w14:textId="1833CC76" w:rsidR="004F2381" w:rsidRDefault="004F2381" w:rsidP="00DB4449">
      <w:pPr>
        <w:pStyle w:val="ProductList-Body"/>
        <w:numPr>
          <w:ilvl w:val="0"/>
          <w:numId w:val="9"/>
        </w:numPr>
      </w:pPr>
      <w:r>
        <w:t xml:space="preserve">Operacja GET pobierze ten plik za pośrednictwem usług </w:t>
      </w:r>
      <w:proofErr w:type="spellStart"/>
      <w:r>
        <w:t>Azure</w:t>
      </w:r>
      <w:proofErr w:type="spellEnd"/>
      <w:r>
        <w:t xml:space="preserve"> Front </w:t>
      </w:r>
      <w:proofErr w:type="spellStart"/>
      <w:r>
        <w:t>Door</w:t>
      </w:r>
      <w:proofErr w:type="spellEnd"/>
      <w:r>
        <w:t xml:space="preserve"> i </w:t>
      </w:r>
      <w:proofErr w:type="spellStart"/>
      <w:r>
        <w:t>Azure</w:t>
      </w:r>
      <w:proofErr w:type="spellEnd"/>
      <w:r>
        <w:t xml:space="preserve"> Front </w:t>
      </w:r>
      <w:proofErr w:type="spellStart"/>
      <w:r>
        <w:t>Door</w:t>
      </w:r>
      <w:proofErr w:type="spellEnd"/>
      <w:r>
        <w:t xml:space="preserve"> (</w:t>
      </w:r>
      <w:proofErr w:type="spellStart"/>
      <w:r>
        <w:t>classic</w:t>
      </w:r>
      <w:proofErr w:type="spellEnd"/>
      <w:r>
        <w:t xml:space="preserve">), żądając obiektu od odpowiedniej nazwy hosta nazwy domenowej Microsoft </w:t>
      </w:r>
      <w:proofErr w:type="spellStart"/>
      <w:r>
        <w:t>Azure</w:t>
      </w:r>
      <w:proofErr w:type="spellEnd"/>
      <w:r>
        <w:t>.</w:t>
      </w:r>
    </w:p>
    <w:p w14:paraId="246D7779" w14:textId="77777777" w:rsidR="004F2381" w:rsidRDefault="004F2381" w:rsidP="00DB4449">
      <w:pPr>
        <w:pStyle w:val="ProductList-Body"/>
        <w:numPr>
          <w:ilvl w:val="0"/>
          <w:numId w:val="9"/>
        </w:numPr>
      </w:pPr>
      <w:r>
        <w:t>Plik testowy ma spełniać następujące kryteria:</w:t>
      </w:r>
    </w:p>
    <w:p w14:paraId="168D1BD3" w14:textId="77777777" w:rsidR="004F2381" w:rsidRDefault="004F2381" w:rsidP="00DB4449">
      <w:pPr>
        <w:pStyle w:val="ProductList-Body"/>
        <w:numPr>
          <w:ilvl w:val="0"/>
          <w:numId w:val="10"/>
        </w:numPr>
        <w:ind w:left="1080"/>
      </w:pPr>
      <w:r>
        <w:t xml:space="preserve">Obiekt testowy będzie plikiem o wielkości co najmniej 50 </w:t>
      </w:r>
      <w:proofErr w:type="spellStart"/>
      <w:r>
        <w:t>kB</w:t>
      </w:r>
      <w:proofErr w:type="spellEnd"/>
      <w:r>
        <w:t>.</w:t>
      </w:r>
    </w:p>
    <w:p w14:paraId="3E713057" w14:textId="121D57DC" w:rsidR="004F2381" w:rsidRDefault="004F2381" w:rsidP="00DB4449">
      <w:pPr>
        <w:pStyle w:val="ProductList-Body"/>
        <w:numPr>
          <w:ilvl w:val="0"/>
          <w:numId w:val="10"/>
        </w:numPr>
        <w:ind w:left="1080"/>
      </w:pPr>
      <w:r>
        <w:t>Zostaną obcięte dane „surowe”, aby wyeliminować wszelkie pomiary pochodzące od agenta, w którym w okresie pomiaru wystąpiły problemy techniczne.</w:t>
      </w:r>
    </w:p>
    <w:p w14:paraId="0AC04D72" w14:textId="77777777" w:rsidR="004F2381" w:rsidRPr="00D86FA3" w:rsidRDefault="004F2381" w:rsidP="004F2381">
      <w:pPr>
        <w:pStyle w:val="ProductList-Body"/>
        <w:rPr>
          <w:sz w:val="12"/>
          <w:szCs w:val="12"/>
        </w:rPr>
      </w:pPr>
    </w:p>
    <w:p w14:paraId="17584669" w14:textId="50DD1CE1" w:rsidR="004F2381" w:rsidRDefault="004F2381" w:rsidP="004F2381">
      <w:pPr>
        <w:pStyle w:val="ProductList-Body"/>
      </w:pPr>
      <w:r w:rsidRPr="00B41CC1">
        <w:t>„</w:t>
      </w:r>
      <w:r>
        <w:rPr>
          <w:b/>
          <w:bCs/>
          <w:color w:val="00188F"/>
        </w:rPr>
        <w:t>Procent Czasu Sprawnego Działania</w:t>
      </w:r>
      <w:r>
        <w:t xml:space="preserve">” to odsetek transakcji HTTP, w których </w:t>
      </w:r>
      <w:proofErr w:type="spellStart"/>
      <w:r>
        <w:t>Azure</w:t>
      </w:r>
      <w:proofErr w:type="spellEnd"/>
      <w:r>
        <w:t xml:space="preserve"> Front </w:t>
      </w:r>
      <w:proofErr w:type="spellStart"/>
      <w:r>
        <w:t>Door</w:t>
      </w:r>
      <w:proofErr w:type="spellEnd"/>
      <w:r>
        <w:t xml:space="preserve"> i </w:t>
      </w:r>
      <w:proofErr w:type="spellStart"/>
      <w:r>
        <w:t>Azure</w:t>
      </w:r>
      <w:proofErr w:type="spellEnd"/>
      <w:r>
        <w:t xml:space="preserve"> Front </w:t>
      </w:r>
      <w:proofErr w:type="spellStart"/>
      <w:r>
        <w:t>Door</w:t>
      </w:r>
      <w:proofErr w:type="spellEnd"/>
      <w:r>
        <w:t xml:space="preserve"> (</w:t>
      </w:r>
      <w:proofErr w:type="spellStart"/>
      <w:r>
        <w:t>classic</w:t>
      </w:r>
      <w:proofErr w:type="spellEnd"/>
      <w:r>
        <w:t xml:space="preserve">) odpowiada na żądania klientów i dostarcza żądaną zawartość bez błędów. Procent Czasu Sprawnego Działania </w:t>
      </w:r>
      <w:proofErr w:type="spellStart"/>
      <w:r>
        <w:t>Azure</w:t>
      </w:r>
      <w:proofErr w:type="spellEnd"/>
      <w:r>
        <w:t xml:space="preserve"> Front </w:t>
      </w:r>
      <w:proofErr w:type="spellStart"/>
      <w:r>
        <w:t>Door</w:t>
      </w:r>
      <w:proofErr w:type="spellEnd"/>
      <w:r>
        <w:t xml:space="preserve"> i </w:t>
      </w:r>
      <w:proofErr w:type="spellStart"/>
      <w:r>
        <w:t>Azure</w:t>
      </w:r>
      <w:proofErr w:type="spellEnd"/>
      <w:r>
        <w:t xml:space="preserve"> Front </w:t>
      </w:r>
      <w:proofErr w:type="spellStart"/>
      <w:r>
        <w:t>Door</w:t>
      </w:r>
      <w:proofErr w:type="spellEnd"/>
      <w:r>
        <w:t xml:space="preserve"> (</w:t>
      </w:r>
      <w:proofErr w:type="spellStart"/>
      <w:r>
        <w:t>classic</w:t>
      </w:r>
      <w:proofErr w:type="spellEnd"/>
      <w:r>
        <w:t xml:space="preserve">) jest obliczany jako liczba udanych </w:t>
      </w:r>
      <w:proofErr w:type="spellStart"/>
      <w:r>
        <w:t>dostarczeń</w:t>
      </w:r>
      <w:proofErr w:type="spellEnd"/>
      <w:r>
        <w:t xml:space="preserve"> obiektu podzielona przez łączną liczbę żądań (po usunięciu błędnych danych).</w:t>
      </w:r>
    </w:p>
    <w:p w14:paraId="3091E497" w14:textId="77777777" w:rsidR="004F2381" w:rsidRPr="00D86FA3" w:rsidRDefault="004F2381" w:rsidP="004F2381">
      <w:pPr>
        <w:pStyle w:val="ProductList-Body"/>
        <w:rPr>
          <w:sz w:val="12"/>
          <w:szCs w:val="12"/>
        </w:rPr>
      </w:pPr>
    </w:p>
    <w:p w14:paraId="67FB4267" w14:textId="77777777" w:rsidR="004F2381" w:rsidRPr="004F2381" w:rsidRDefault="004F2381" w:rsidP="004F2381">
      <w:pPr>
        <w:pStyle w:val="ProductList-Body"/>
        <w:rPr>
          <w:b/>
          <w:bCs/>
          <w:color w:val="00188F"/>
        </w:rPr>
      </w:pPr>
      <w:r>
        <w:rPr>
          <w:b/>
          <w:bCs/>
          <w:color w:val="00188F"/>
        </w:rPr>
        <w:t xml:space="preserve">Do używania przez Klienta usług </w:t>
      </w:r>
      <w:proofErr w:type="spellStart"/>
      <w:r>
        <w:rPr>
          <w:b/>
          <w:bCs/>
          <w:color w:val="00188F"/>
        </w:rPr>
        <w:t>Azure</w:t>
      </w:r>
      <w:proofErr w:type="spellEnd"/>
      <w:r>
        <w:rPr>
          <w:b/>
          <w:bCs/>
          <w:color w:val="00188F"/>
        </w:rPr>
        <w:t xml:space="preserve"> Front </w:t>
      </w:r>
      <w:proofErr w:type="spellStart"/>
      <w:r>
        <w:rPr>
          <w:b/>
          <w:bCs/>
          <w:color w:val="00188F"/>
        </w:rPr>
        <w:t>Door</w:t>
      </w:r>
      <w:proofErr w:type="spellEnd"/>
      <w:r>
        <w:rPr>
          <w:b/>
          <w:bCs/>
          <w:color w:val="00188F"/>
        </w:rPr>
        <w:t xml:space="preserve"> i </w:t>
      </w:r>
      <w:proofErr w:type="spellStart"/>
      <w:r>
        <w:rPr>
          <w:b/>
          <w:bCs/>
          <w:color w:val="00188F"/>
        </w:rPr>
        <w:t>Azure</w:t>
      </w:r>
      <w:proofErr w:type="spellEnd"/>
      <w:r>
        <w:rPr>
          <w:b/>
          <w:bCs/>
          <w:color w:val="00188F"/>
        </w:rPr>
        <w:t xml:space="preserve"> Front </w:t>
      </w:r>
      <w:proofErr w:type="spellStart"/>
      <w:r>
        <w:rPr>
          <w:b/>
          <w:bCs/>
          <w:color w:val="00188F"/>
        </w:rPr>
        <w:t>Door</w:t>
      </w:r>
      <w:proofErr w:type="spellEnd"/>
      <w:r>
        <w:rPr>
          <w:b/>
          <w:bCs/>
          <w:color w:val="00188F"/>
        </w:rPr>
        <w:t xml:space="preserve"> (</w:t>
      </w:r>
      <w:proofErr w:type="spellStart"/>
      <w:r>
        <w:rPr>
          <w:b/>
          <w:bCs/>
          <w:color w:val="00188F"/>
        </w:rPr>
        <w:t>classic</w:t>
      </w:r>
      <w:proofErr w:type="spellEnd"/>
      <w:r>
        <w:rPr>
          <w:b/>
          <w:bCs/>
          <w:color w:val="00188F"/>
        </w:rPr>
        <w:t>)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F2381" w:rsidRPr="00B44CF9" w14:paraId="4015E684" w14:textId="77777777" w:rsidTr="00277097">
        <w:trPr>
          <w:tblHeader/>
        </w:trPr>
        <w:tc>
          <w:tcPr>
            <w:tcW w:w="5400" w:type="dxa"/>
            <w:shd w:val="clear" w:color="auto" w:fill="0072C6"/>
          </w:tcPr>
          <w:p w14:paraId="404A7F08" w14:textId="4DA9C8E4" w:rsidR="004F2381"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4F82E53" w14:textId="77777777" w:rsidR="004F2381" w:rsidRPr="005A3C16" w:rsidRDefault="004F2381" w:rsidP="000F31B4">
            <w:pPr>
              <w:pStyle w:val="ProductList-OfferingBody"/>
              <w:jc w:val="center"/>
              <w:rPr>
                <w:color w:val="FFFFFF" w:themeColor="background1"/>
              </w:rPr>
            </w:pPr>
            <w:r>
              <w:rPr>
                <w:color w:val="FFFFFF" w:themeColor="background1"/>
              </w:rPr>
              <w:t>Środki Serwisowe na Używanie Usług</w:t>
            </w:r>
          </w:p>
        </w:tc>
      </w:tr>
      <w:tr w:rsidR="004F2381" w:rsidRPr="00B44CF9" w14:paraId="4B99269F" w14:textId="77777777" w:rsidTr="00277097">
        <w:tc>
          <w:tcPr>
            <w:tcW w:w="5400" w:type="dxa"/>
          </w:tcPr>
          <w:p w14:paraId="233930EB" w14:textId="61EBE563" w:rsidR="004F2381" w:rsidRPr="005A3C16" w:rsidRDefault="004F2381" w:rsidP="000F31B4">
            <w:pPr>
              <w:pStyle w:val="ProductList-OfferingBody"/>
              <w:jc w:val="center"/>
            </w:pPr>
            <w:r>
              <w:t>&lt; 99,99%</w:t>
            </w:r>
          </w:p>
        </w:tc>
        <w:tc>
          <w:tcPr>
            <w:tcW w:w="5400" w:type="dxa"/>
          </w:tcPr>
          <w:p w14:paraId="64166E7A" w14:textId="77777777" w:rsidR="004F2381" w:rsidRPr="005A3C16" w:rsidRDefault="004F2381" w:rsidP="000F31B4">
            <w:pPr>
              <w:pStyle w:val="ProductList-OfferingBody"/>
              <w:jc w:val="center"/>
            </w:pPr>
            <w:r>
              <w:t>10%</w:t>
            </w:r>
          </w:p>
        </w:tc>
      </w:tr>
      <w:tr w:rsidR="004F2381" w:rsidRPr="00B44CF9" w14:paraId="3D5E3389" w14:textId="77777777" w:rsidTr="00277097">
        <w:tc>
          <w:tcPr>
            <w:tcW w:w="5400" w:type="dxa"/>
          </w:tcPr>
          <w:p w14:paraId="4D6B759B" w14:textId="7559920F" w:rsidR="004F2381" w:rsidRPr="005A3C16" w:rsidRDefault="004F2381" w:rsidP="000F31B4">
            <w:pPr>
              <w:pStyle w:val="ProductList-OfferingBody"/>
              <w:jc w:val="center"/>
            </w:pPr>
            <w:r>
              <w:t>&lt; 99,9%</w:t>
            </w:r>
          </w:p>
        </w:tc>
        <w:tc>
          <w:tcPr>
            <w:tcW w:w="5400" w:type="dxa"/>
          </w:tcPr>
          <w:p w14:paraId="2E8B9EF7" w14:textId="77777777" w:rsidR="004F2381" w:rsidRPr="005A3C16" w:rsidRDefault="004F2381" w:rsidP="000F31B4">
            <w:pPr>
              <w:pStyle w:val="ProductList-OfferingBody"/>
              <w:jc w:val="center"/>
            </w:pPr>
            <w:r>
              <w:t>25%</w:t>
            </w:r>
          </w:p>
        </w:tc>
      </w:tr>
    </w:tbl>
    <w:p w14:paraId="5B88D180" w14:textId="77777777" w:rsidR="003407B7" w:rsidRPr="00EF7CF9" w:rsidRDefault="003407B7" w:rsidP="003407B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4D9DDFE" w14:textId="0EF8A242" w:rsidR="00BA2ACE" w:rsidRPr="00BA2ACE" w:rsidRDefault="00BA2ACE" w:rsidP="0007032F">
      <w:pPr>
        <w:pStyle w:val="ProductList-Offering2Heading"/>
        <w:tabs>
          <w:tab w:val="clear" w:pos="360"/>
          <w:tab w:val="clear" w:pos="720"/>
          <w:tab w:val="clear" w:pos="1080"/>
        </w:tabs>
        <w:outlineLvl w:val="2"/>
      </w:pPr>
      <w:bookmarkStart w:id="282" w:name="_Toc239175018"/>
      <w:r>
        <w:t xml:space="preserve">Funkcje </w:t>
      </w:r>
      <w:proofErr w:type="spellStart"/>
      <w:r>
        <w:t>Azure</w:t>
      </w:r>
      <w:bookmarkEnd w:id="282"/>
      <w:proofErr w:type="spellEnd"/>
    </w:p>
    <w:p w14:paraId="052624BB" w14:textId="77777777" w:rsidR="00BA2ACE" w:rsidRPr="00BA2ACE" w:rsidRDefault="00BA2ACE" w:rsidP="00BA2ACE">
      <w:pPr>
        <w:pStyle w:val="ProductList-Body"/>
        <w:rPr>
          <w:b/>
          <w:bCs/>
          <w:color w:val="00188F"/>
        </w:rPr>
      </w:pPr>
      <w:r>
        <w:rPr>
          <w:b/>
          <w:bCs/>
          <w:color w:val="00188F"/>
        </w:rPr>
        <w:t>Dodatkowe definicje</w:t>
      </w:r>
    </w:p>
    <w:p w14:paraId="235BCA0A" w14:textId="77777777" w:rsidR="00BA2ACE" w:rsidRDefault="00BA2ACE" w:rsidP="00BA2ACE">
      <w:pPr>
        <w:pStyle w:val="ProductList-Body"/>
      </w:pPr>
      <w:r>
        <w:t>„</w:t>
      </w:r>
      <w:r>
        <w:rPr>
          <w:b/>
          <w:bCs/>
          <w:color w:val="00188F"/>
        </w:rPr>
        <w:t>Aplikacja Funkcyjna</w:t>
      </w:r>
      <w:r>
        <w:t>” to co najmniej jedna funkcja wdrażana za pomocą powiązanego wyzwalacza.</w:t>
      </w:r>
    </w:p>
    <w:p w14:paraId="4B85BC3C" w14:textId="058CB4EA" w:rsidR="00BA2ACE" w:rsidRPr="00BA2ACE" w:rsidRDefault="00EE6E3C" w:rsidP="000D38EE">
      <w:pPr>
        <w:pStyle w:val="ProductList-Body"/>
        <w:rPr>
          <w:b/>
          <w:bCs/>
          <w:color w:val="00188F"/>
        </w:rPr>
      </w:pPr>
      <w:r>
        <w:rPr>
          <w:b/>
          <w:bCs/>
          <w:color w:val="00188F"/>
        </w:rPr>
        <w:t>Obliczanie Czasu Sprawnego Działania i Poziomy Usługi dla Aplikacji Funkcyjnej w Planie Zużycia</w:t>
      </w:r>
    </w:p>
    <w:p w14:paraId="64932D86" w14:textId="7BB7C793" w:rsidR="00BA2ACE" w:rsidRDefault="00C84B0F" w:rsidP="00C84B0F">
      <w:pPr>
        <w:pStyle w:val="ProductList-Body"/>
      </w:pPr>
      <w:r w:rsidRPr="00C84B0F">
        <w:t>„</w:t>
      </w:r>
      <w:r w:rsidR="00BA2ACE">
        <w:rPr>
          <w:b/>
          <w:bCs/>
          <w:color w:val="00188F"/>
        </w:rPr>
        <w:t xml:space="preserve">Łączna Liczba Wyzwolonych </w:t>
      </w:r>
      <w:proofErr w:type="spellStart"/>
      <w:r w:rsidR="00BA2ACE">
        <w:rPr>
          <w:b/>
          <w:bCs/>
          <w:color w:val="00188F"/>
        </w:rPr>
        <w:t>Wykonań</w:t>
      </w:r>
      <w:proofErr w:type="spellEnd"/>
      <w:r>
        <w:t>”</w:t>
      </w:r>
      <w:r w:rsidR="00BA2ACE">
        <w:t xml:space="preserve"> to łączna liczba wszystkich </w:t>
      </w:r>
      <w:proofErr w:type="spellStart"/>
      <w:r w:rsidR="00BA2ACE">
        <w:t>wykonań</w:t>
      </w:r>
      <w:proofErr w:type="spellEnd"/>
      <w:r w:rsidR="00BA2ACE">
        <w:t xml:space="preserve"> Aplikacji Funkcyjnej wyzwolonych przez klienta w ramach danej subskrypcji Microsoft </w:t>
      </w:r>
      <w:proofErr w:type="spellStart"/>
      <w:r w:rsidR="00BA2ACE">
        <w:t>Azure</w:t>
      </w:r>
      <w:proofErr w:type="spellEnd"/>
      <w:r w:rsidR="00BA2ACE">
        <w:t xml:space="preserve"> we Właściwym Okresie.</w:t>
      </w:r>
    </w:p>
    <w:p w14:paraId="1096786D" w14:textId="77777777" w:rsidR="00BA2ACE" w:rsidRDefault="00BA2ACE" w:rsidP="00BA2ACE">
      <w:pPr>
        <w:pStyle w:val="ProductList-Body"/>
      </w:pPr>
      <w:r>
        <w:t>„</w:t>
      </w:r>
      <w:r>
        <w:rPr>
          <w:b/>
          <w:bCs/>
          <w:color w:val="00188F"/>
        </w:rPr>
        <w:t>Wykonania Niedostępne</w:t>
      </w:r>
      <w:r>
        <w:t xml:space="preserve">” to łączna liczba </w:t>
      </w:r>
      <w:proofErr w:type="spellStart"/>
      <w:r>
        <w:t>wykonań</w:t>
      </w:r>
      <w:proofErr w:type="spellEnd"/>
      <w:r>
        <w:t xml:space="preserve"> w Łącznej Liczbie Wyzwolonych </w:t>
      </w:r>
      <w:proofErr w:type="spellStart"/>
      <w:r>
        <w:t>Wykonań</w:t>
      </w:r>
      <w:proofErr w:type="spellEnd"/>
      <w:r>
        <w:t>, których nie można było uruchomić. Nie można uruchomić wykonywania, gdy dany dziennik historii Aplikacji Funkcyjnej nie zarejestrował danych wyjściowych w ciągu pięciu (5) minut po zakończonym powodzeniem uruchomieniu wyzwalacza.</w:t>
      </w:r>
    </w:p>
    <w:p w14:paraId="689CE859" w14:textId="0A4A256D" w:rsidR="00BA2ACE" w:rsidRDefault="00BA2ACE" w:rsidP="00BA2ACE">
      <w:pPr>
        <w:pStyle w:val="ProductList-Body"/>
      </w:pPr>
      <w:r>
        <w:t>„</w:t>
      </w:r>
      <w:r>
        <w:rPr>
          <w:b/>
          <w:bCs/>
          <w:color w:val="00188F"/>
        </w:rPr>
        <w:t>Procent Czasu Sprawnego Działania</w:t>
      </w:r>
      <w:r w:rsidR="00B41CC1" w:rsidRPr="00B41CC1">
        <w:t>”</w:t>
      </w:r>
      <w:r>
        <w:t xml:space="preserve"> dla Aplikacji Funkcyjnych w Planie Zużycia jest obliczany jako Łączna Liczba Wyzwolonych </w:t>
      </w:r>
      <w:proofErr w:type="spellStart"/>
      <w:r>
        <w:t>Wykonań</w:t>
      </w:r>
      <w:proofErr w:type="spellEnd"/>
      <w:r>
        <w:t xml:space="preserve"> pomniejszona o Wykonania Niedostępne podzielona przez Łączną Liczbę Wyzwolonych </w:t>
      </w:r>
      <w:proofErr w:type="spellStart"/>
      <w:r>
        <w:t>Wykonań</w:t>
      </w:r>
      <w:proofErr w:type="spellEnd"/>
      <w:r>
        <w:t xml:space="preserve"> pomnożoną przez 100.</w:t>
      </w:r>
    </w:p>
    <w:p w14:paraId="293767FF" w14:textId="0615E5BB" w:rsidR="00BA2ACE" w:rsidRPr="00BA2ACE" w:rsidRDefault="00000000" w:rsidP="001D17B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 xml:space="preserve">Łączna Liczba Wyzwolonych </m:t>
              </m:r>
              <w:proofErr w:type="spellStart"/>
              <m:r>
                <m:rPr>
                  <m:nor/>
                </m:rPr>
                <w:rPr>
                  <w:rFonts w:ascii="Cambria Math" w:hAnsi="Cambria Math" w:cs="Tahoma"/>
                  <w:i/>
                  <w:color w:val="000000" w:themeColor="text1"/>
                  <w:sz w:val="18"/>
                  <w:szCs w:val="18"/>
                </w:rPr>
                <m:t>Wykonań</m:t>
              </m:r>
              <w:proofErr w:type="spellEnd"/>
              <m:r>
                <m:rPr>
                  <m:nor/>
                </m:rPr>
                <w:rPr>
                  <w:rFonts w:ascii="Cambria Math" w:hAnsi="Cambria Math" w:cs="Tahoma"/>
                  <w:i/>
                  <w:color w:val="000000" w:themeColor="text1"/>
                  <w:sz w:val="18"/>
                  <w:szCs w:val="18"/>
                </w:rPr>
                <m:t xml:space="preserve"> - Wykonania Niedostępne</m:t>
              </m:r>
            </m:num>
            <m:den>
              <m:r>
                <m:rPr>
                  <m:nor/>
                </m:rPr>
                <w:rPr>
                  <w:rFonts w:ascii="Cambria Math" w:hAnsi="Cambria Math" w:cs="Tahoma"/>
                  <w:i/>
                  <w:color w:val="000000" w:themeColor="text1"/>
                  <w:sz w:val="18"/>
                  <w:szCs w:val="18"/>
                </w:rPr>
                <m:t xml:space="preserve">Łączna Liczba Wyzwolonych </m:t>
              </m:r>
              <w:proofErr w:type="spellStart"/>
              <m:r>
                <m:rPr>
                  <m:nor/>
                </m:rPr>
                <w:rPr>
                  <w:rFonts w:ascii="Cambria Math" w:hAnsi="Cambria Math" w:cs="Tahoma"/>
                  <w:i/>
                  <w:color w:val="000000" w:themeColor="text1"/>
                  <w:sz w:val="18"/>
                  <w:szCs w:val="18"/>
                </w:rPr>
                <m:t>Wykonań</m:t>
              </m:r>
              <w:proofErr w:type="spellEnd"/>
            </m:den>
          </m:f>
          <m:r>
            <w:rPr>
              <w:rFonts w:ascii="Cambria Math" w:hAnsi="Cambria Math" w:cs="Tahoma"/>
              <w:color w:val="000000" w:themeColor="text1"/>
              <w:sz w:val="18"/>
              <w:szCs w:val="18"/>
            </w:rPr>
            <m:t xml:space="preserve"> x 100</m:t>
          </m:r>
        </m:oMath>
      </m:oMathPara>
    </w:p>
    <w:p w14:paraId="4D9D763B" w14:textId="77777777" w:rsidR="00BA2ACE" w:rsidRPr="00BA2ACE" w:rsidRDefault="00BA2ACE" w:rsidP="00BA2ACE">
      <w:pPr>
        <w:pStyle w:val="ProductList-Body"/>
        <w:keepNext/>
        <w:rPr>
          <w:b/>
          <w:bCs/>
          <w:color w:val="00188F"/>
        </w:rPr>
      </w:pPr>
      <w:r>
        <w:rPr>
          <w:b/>
          <w:bCs/>
          <w:color w:val="00188F"/>
        </w:rPr>
        <w:t>Do używania przez Klienta Aplikacji Funkcyjnych w Planie Zużycia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5B3876C3" w14:textId="77777777" w:rsidTr="00277097">
        <w:trPr>
          <w:trHeight w:val="249"/>
          <w:tblHeader/>
        </w:trPr>
        <w:tc>
          <w:tcPr>
            <w:tcW w:w="5400" w:type="dxa"/>
            <w:shd w:val="clear" w:color="auto" w:fill="0072C6"/>
          </w:tcPr>
          <w:p w14:paraId="421CB153" w14:textId="188DA940" w:rsidR="00BA2ACE"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1CB9C4F" w14:textId="77777777" w:rsidR="00BA2ACE" w:rsidRPr="00EF7CF9" w:rsidRDefault="00BA2ACE" w:rsidP="000F31B4">
            <w:pPr>
              <w:pStyle w:val="ProductList-OfferingBody"/>
              <w:jc w:val="center"/>
              <w:rPr>
                <w:color w:val="FFFFFF" w:themeColor="background1"/>
              </w:rPr>
            </w:pPr>
            <w:r>
              <w:rPr>
                <w:color w:val="FFFFFF" w:themeColor="background1"/>
              </w:rPr>
              <w:t>Środki Serwisowe na Używanie Usług</w:t>
            </w:r>
          </w:p>
        </w:tc>
      </w:tr>
      <w:tr w:rsidR="00BA2ACE" w:rsidRPr="00B44CF9" w14:paraId="66A68143" w14:textId="77777777" w:rsidTr="00277097">
        <w:trPr>
          <w:trHeight w:val="242"/>
        </w:trPr>
        <w:tc>
          <w:tcPr>
            <w:tcW w:w="5400" w:type="dxa"/>
          </w:tcPr>
          <w:p w14:paraId="2030FE8B" w14:textId="77777777" w:rsidR="00BA2ACE" w:rsidRPr="00EF7CF9" w:rsidRDefault="00BA2ACE" w:rsidP="000F31B4">
            <w:pPr>
              <w:pStyle w:val="ProductList-OfferingBody"/>
              <w:jc w:val="center"/>
            </w:pPr>
            <w:r>
              <w:t>&lt; 99,95%</w:t>
            </w:r>
          </w:p>
        </w:tc>
        <w:tc>
          <w:tcPr>
            <w:tcW w:w="5400" w:type="dxa"/>
          </w:tcPr>
          <w:p w14:paraId="12A1DCF6" w14:textId="77777777" w:rsidR="00BA2ACE" w:rsidRPr="00EF7CF9" w:rsidRDefault="00BA2ACE" w:rsidP="000F31B4">
            <w:pPr>
              <w:pStyle w:val="ProductList-OfferingBody"/>
              <w:jc w:val="center"/>
            </w:pPr>
            <w:r>
              <w:t>10%</w:t>
            </w:r>
          </w:p>
        </w:tc>
      </w:tr>
      <w:tr w:rsidR="00BA2ACE" w:rsidRPr="00B44CF9" w14:paraId="3194E7C9" w14:textId="77777777" w:rsidTr="00277097">
        <w:trPr>
          <w:trHeight w:val="249"/>
        </w:trPr>
        <w:tc>
          <w:tcPr>
            <w:tcW w:w="5400" w:type="dxa"/>
          </w:tcPr>
          <w:p w14:paraId="1CB9D483" w14:textId="77777777" w:rsidR="00BA2ACE" w:rsidRPr="00EF7CF9" w:rsidRDefault="00BA2ACE" w:rsidP="000F31B4">
            <w:pPr>
              <w:pStyle w:val="ProductList-OfferingBody"/>
              <w:jc w:val="center"/>
            </w:pPr>
            <w:r>
              <w:t>&lt; 99%</w:t>
            </w:r>
          </w:p>
        </w:tc>
        <w:tc>
          <w:tcPr>
            <w:tcW w:w="5400" w:type="dxa"/>
          </w:tcPr>
          <w:p w14:paraId="201A7205" w14:textId="77777777" w:rsidR="00BA2ACE" w:rsidRPr="00EF7CF9" w:rsidRDefault="00BA2ACE" w:rsidP="000F31B4">
            <w:pPr>
              <w:pStyle w:val="ProductList-OfferingBody"/>
              <w:jc w:val="center"/>
            </w:pPr>
            <w:r>
              <w:t>25%</w:t>
            </w:r>
          </w:p>
        </w:tc>
      </w:tr>
      <w:tr w:rsidR="00BA2ACE" w:rsidRPr="00B44CF9" w14:paraId="51850274" w14:textId="77777777" w:rsidTr="00277097">
        <w:trPr>
          <w:trHeight w:val="249"/>
        </w:trPr>
        <w:tc>
          <w:tcPr>
            <w:tcW w:w="5400" w:type="dxa"/>
          </w:tcPr>
          <w:p w14:paraId="388CC5D0" w14:textId="77777777" w:rsidR="00BA2ACE" w:rsidRPr="00EF7CF9" w:rsidRDefault="00BA2ACE" w:rsidP="000F31B4">
            <w:pPr>
              <w:pStyle w:val="ProductList-OfferingBody"/>
              <w:jc w:val="center"/>
            </w:pPr>
            <w:r>
              <w:t>&lt; 95%</w:t>
            </w:r>
          </w:p>
        </w:tc>
        <w:tc>
          <w:tcPr>
            <w:tcW w:w="5400" w:type="dxa"/>
          </w:tcPr>
          <w:p w14:paraId="0B8D9475" w14:textId="77777777" w:rsidR="00BA2ACE" w:rsidRPr="00EF7CF9" w:rsidRDefault="00BA2ACE" w:rsidP="000F31B4">
            <w:pPr>
              <w:pStyle w:val="ProductList-OfferingBody"/>
              <w:jc w:val="center"/>
            </w:pPr>
            <w:r>
              <w:t>100%</w:t>
            </w:r>
          </w:p>
        </w:tc>
      </w:tr>
    </w:tbl>
    <w:p w14:paraId="03F16E55" w14:textId="77777777" w:rsidR="00D50315" w:rsidRPr="006629FF" w:rsidRDefault="00D50315" w:rsidP="00D50315">
      <w:pPr>
        <w:pStyle w:val="ProductList-Body"/>
        <w:keepNext/>
        <w:spacing w:before="120"/>
        <w:rPr>
          <w:rFonts w:ascii="Calibri" w:hAnsi="Calibri" w:cs="Calibri"/>
          <w:b/>
          <w:bCs/>
          <w:color w:val="00188F"/>
        </w:rPr>
      </w:pPr>
      <w:r>
        <w:rPr>
          <w:rFonts w:ascii="Calibri" w:hAnsi="Calibri" w:cs="Calibri"/>
          <w:b/>
          <w:bCs/>
          <w:color w:val="00188F"/>
        </w:rPr>
        <w:t xml:space="preserve">Obliczanie Czasu Sprawnego Działania i Poziomy Usługi dla Aplikacji Funkcyjnych w planie </w:t>
      </w:r>
      <w:proofErr w:type="spellStart"/>
      <w:r>
        <w:rPr>
          <w:rFonts w:ascii="Calibri" w:hAnsi="Calibri" w:cs="Calibri"/>
          <w:b/>
          <w:bCs/>
          <w:color w:val="00188F"/>
        </w:rPr>
        <w:t>Flex</w:t>
      </w:r>
      <w:proofErr w:type="spellEnd"/>
      <w:r>
        <w:rPr>
          <w:rFonts w:ascii="Calibri" w:hAnsi="Calibri" w:cs="Calibri"/>
          <w:b/>
          <w:bCs/>
          <w:color w:val="00188F"/>
        </w:rPr>
        <w:t xml:space="preserve"> </w:t>
      </w:r>
      <w:proofErr w:type="spellStart"/>
      <w:r>
        <w:rPr>
          <w:rFonts w:ascii="Calibri" w:hAnsi="Calibri" w:cs="Calibri"/>
          <w:b/>
          <w:bCs/>
          <w:color w:val="00188F"/>
        </w:rPr>
        <w:t>Consumption</w:t>
      </w:r>
      <w:proofErr w:type="spellEnd"/>
      <w:r>
        <w:rPr>
          <w:rFonts w:ascii="Calibri" w:hAnsi="Calibri" w:cs="Calibri"/>
          <w:b/>
          <w:bCs/>
          <w:color w:val="00188F"/>
        </w:rPr>
        <w:t>, planie Premium lub Dedykowanym Planie Usługi Aplikacji.</w:t>
      </w:r>
    </w:p>
    <w:p w14:paraId="60225E56" w14:textId="77777777" w:rsidR="00D50315" w:rsidRPr="006629FF" w:rsidRDefault="00D50315" w:rsidP="00D50315">
      <w:pPr>
        <w:pStyle w:val="ProductList-Body"/>
        <w:rPr>
          <w:rFonts w:ascii="Calibri" w:hAnsi="Calibri" w:cs="Calibri"/>
        </w:rPr>
      </w:pPr>
      <w:r>
        <w:rPr>
          <w:rFonts w:ascii="Calibri" w:hAnsi="Calibri" w:cs="Calibri"/>
        </w:rPr>
        <w:t>„</w:t>
      </w:r>
      <w:r>
        <w:rPr>
          <w:rFonts w:ascii="Calibri" w:hAnsi="Calibri" w:cs="Calibri"/>
          <w:b/>
          <w:bCs/>
          <w:color w:val="00188F"/>
        </w:rPr>
        <w:t>Minuty Wdrożenia</w:t>
      </w:r>
      <w:r>
        <w:rPr>
          <w:rFonts w:ascii="Calibri" w:hAnsi="Calibri" w:cs="Calibri"/>
        </w:rPr>
        <w:t xml:space="preserve">” oznacza łączną liczbę minut, przez jaką dana Aplikacja Funkcyjna jest dostępna w trakcie Właściwego Okresu. Minuty Wdrożenia są mierzone na podstawie całkowitego czasu, przez jaki usługa jest dostępna do wykonania funkcji, a nie na podstawie potencjalnej liczby </w:t>
      </w:r>
      <w:proofErr w:type="spellStart"/>
      <w:r>
        <w:rPr>
          <w:rFonts w:ascii="Calibri" w:hAnsi="Calibri" w:cs="Calibri"/>
        </w:rPr>
        <w:t>wykonań</w:t>
      </w:r>
      <w:proofErr w:type="spellEnd"/>
      <w:r>
        <w:rPr>
          <w:rFonts w:ascii="Calibri" w:hAnsi="Calibri" w:cs="Calibri"/>
        </w:rPr>
        <w:t xml:space="preserve"> funkcji, które mogą zostać dokonane w danym Właściwym Okresie.</w:t>
      </w:r>
    </w:p>
    <w:p w14:paraId="2189F092" w14:textId="77777777" w:rsidR="00D50315" w:rsidRPr="006629FF" w:rsidRDefault="00D50315" w:rsidP="00D50315">
      <w:pPr>
        <w:pStyle w:val="ProductList-Body"/>
        <w:rPr>
          <w:rFonts w:ascii="Calibri" w:hAnsi="Calibri" w:cs="Calibri"/>
        </w:rPr>
      </w:pPr>
      <w:r>
        <w:rPr>
          <w:rFonts w:ascii="Calibri" w:hAnsi="Calibri" w:cs="Calibri"/>
        </w:rPr>
        <w:t>„</w:t>
      </w:r>
      <w:r>
        <w:rPr>
          <w:rFonts w:ascii="Calibri" w:hAnsi="Calibri" w:cs="Calibri"/>
          <w:b/>
          <w:bCs/>
          <w:color w:val="00188F"/>
        </w:rPr>
        <w:t>Maksymalna Liczba Dostępnych Minut</w:t>
      </w:r>
      <w:r>
        <w:rPr>
          <w:rFonts w:ascii="Calibri" w:hAnsi="Calibri" w:cs="Calibri"/>
        </w:rPr>
        <w:t xml:space="preserve">” to suma wszystkich Minut Wdrożenia dla danej Aplikacji Funkcyjnej wdrożonych przez użytkownika w ramach danej subskrypcji Microsoft </w:t>
      </w:r>
      <w:proofErr w:type="spellStart"/>
      <w:r>
        <w:rPr>
          <w:rFonts w:ascii="Calibri" w:hAnsi="Calibri" w:cs="Calibri"/>
        </w:rPr>
        <w:t>Azure</w:t>
      </w:r>
      <w:proofErr w:type="spellEnd"/>
      <w:r>
        <w:rPr>
          <w:rFonts w:ascii="Calibri" w:hAnsi="Calibri" w:cs="Calibri"/>
        </w:rPr>
        <w:t xml:space="preserve"> we Właściwym Okresie.</w:t>
      </w:r>
    </w:p>
    <w:p w14:paraId="43DED706" w14:textId="77777777" w:rsidR="00D50315" w:rsidRPr="006629FF" w:rsidRDefault="00D50315" w:rsidP="00D50315">
      <w:pPr>
        <w:pStyle w:val="ProductList-Body"/>
        <w:rPr>
          <w:rFonts w:ascii="Calibri" w:hAnsi="Calibri" w:cs="Calibri"/>
        </w:rPr>
      </w:pPr>
      <w:r>
        <w:rPr>
          <w:rFonts w:ascii="Calibri" w:hAnsi="Calibri" w:cs="Calibri"/>
        </w:rPr>
        <w:t>„</w:t>
      </w:r>
      <w:r>
        <w:rPr>
          <w:rFonts w:ascii="Calibri" w:hAnsi="Calibri" w:cs="Calibri"/>
          <w:b/>
          <w:bCs/>
          <w:color w:val="00188F"/>
        </w:rPr>
        <w:t>Przestój</w:t>
      </w:r>
      <w:r>
        <w:rPr>
          <w:rFonts w:ascii="Calibri" w:hAnsi="Calibri" w:cs="Calibri"/>
        </w:rPr>
        <w:t xml:space="preserve">” to całkowita liczba minut w ramach Maksymalnej Liczby Dostępnych Minut, w czasie których aplikacja funkcyjna nie może zostać uruchomiona. Minutę uznaje się za niedostępną dla danej aplikacji funkcyjnej, gdy nie ma połączenia między planem, w ramach którego hostowana jest Aplikacja Funkcyjna (plan </w:t>
      </w:r>
      <w:proofErr w:type="spellStart"/>
      <w:r>
        <w:rPr>
          <w:rFonts w:ascii="Calibri" w:hAnsi="Calibri" w:cs="Calibri"/>
        </w:rPr>
        <w:t>Flex</w:t>
      </w:r>
      <w:proofErr w:type="spellEnd"/>
      <w:r>
        <w:rPr>
          <w:rFonts w:ascii="Calibri" w:hAnsi="Calibri" w:cs="Calibri"/>
        </w:rPr>
        <w:t xml:space="preserve"> </w:t>
      </w:r>
      <w:proofErr w:type="spellStart"/>
      <w:r>
        <w:rPr>
          <w:rFonts w:ascii="Calibri" w:hAnsi="Calibri" w:cs="Calibri"/>
        </w:rPr>
        <w:t>Consumption</w:t>
      </w:r>
      <w:proofErr w:type="spellEnd"/>
      <w:r>
        <w:rPr>
          <w:rFonts w:ascii="Calibri" w:hAnsi="Calibri" w:cs="Calibri"/>
        </w:rPr>
        <w:t xml:space="preserve">, plan Premium lub plan </w:t>
      </w:r>
      <w:proofErr w:type="spellStart"/>
      <w:r>
        <w:rPr>
          <w:rFonts w:ascii="Calibri" w:hAnsi="Calibri" w:cs="Calibri"/>
        </w:rPr>
        <w:t>Dedicated</w:t>
      </w:r>
      <w:proofErr w:type="spellEnd"/>
      <w:r>
        <w:rPr>
          <w:rFonts w:ascii="Calibri" w:hAnsi="Calibri" w:cs="Calibri"/>
        </w:rPr>
        <w:t xml:space="preserve"> </w:t>
      </w:r>
      <w:proofErr w:type="spellStart"/>
      <w:r>
        <w:rPr>
          <w:rFonts w:ascii="Calibri" w:hAnsi="Calibri" w:cs="Calibri"/>
        </w:rPr>
        <w:t>App</w:t>
      </w:r>
      <w:proofErr w:type="spellEnd"/>
      <w:r>
        <w:rPr>
          <w:rFonts w:ascii="Calibri" w:hAnsi="Calibri" w:cs="Calibri"/>
        </w:rPr>
        <w:t xml:space="preserve"> Service), a bramą internetową Microsoft.</w:t>
      </w:r>
    </w:p>
    <w:p w14:paraId="56EBCDAE" w14:textId="77777777" w:rsidR="00D50315" w:rsidRPr="006629FF" w:rsidRDefault="00D50315" w:rsidP="00D50315">
      <w:pPr>
        <w:pStyle w:val="ProductList-Body"/>
        <w:rPr>
          <w:rFonts w:ascii="Calibri" w:hAnsi="Calibri" w:cs="Calibri"/>
        </w:rPr>
      </w:pPr>
      <w:r>
        <w:rPr>
          <w:rFonts w:ascii="Calibri" w:hAnsi="Calibri" w:cs="Calibri"/>
        </w:rPr>
        <w:t>„</w:t>
      </w:r>
      <w:r>
        <w:rPr>
          <w:rFonts w:ascii="Calibri" w:hAnsi="Calibri" w:cs="Calibri"/>
          <w:b/>
          <w:bCs/>
          <w:color w:val="00188F"/>
        </w:rPr>
        <w:t>Procent Czasu Sprawnego Działania</w:t>
      </w:r>
      <w:r>
        <w:rPr>
          <w:rFonts w:ascii="Calibri" w:hAnsi="Calibri" w:cs="Calibri"/>
        </w:rPr>
        <w:t xml:space="preserve">” Aplikacji Funkcyjnych w planie </w:t>
      </w:r>
      <w:proofErr w:type="spellStart"/>
      <w:r>
        <w:rPr>
          <w:rFonts w:ascii="Calibri" w:hAnsi="Calibri" w:cs="Calibri"/>
        </w:rPr>
        <w:t>Flex</w:t>
      </w:r>
      <w:proofErr w:type="spellEnd"/>
      <w:r>
        <w:rPr>
          <w:rFonts w:ascii="Calibri" w:hAnsi="Calibri" w:cs="Calibri"/>
        </w:rPr>
        <w:t xml:space="preserve"> </w:t>
      </w:r>
      <w:proofErr w:type="spellStart"/>
      <w:r>
        <w:rPr>
          <w:rFonts w:ascii="Calibri" w:hAnsi="Calibri" w:cs="Calibri"/>
        </w:rPr>
        <w:t>Consumption</w:t>
      </w:r>
      <w:proofErr w:type="spellEnd"/>
      <w:r>
        <w:rPr>
          <w:rFonts w:ascii="Calibri" w:hAnsi="Calibri" w:cs="Calibri"/>
        </w:rPr>
        <w:t>, planie Premium lub Dedykowanym Planie Usługi Aplikacji jest obliczany jako Maksymalna Liczba Dostępnych Minut pomniejszona o Przestój podzielona przez Maksymalną Liczbę Dostępnych Minut pomnożoną przez 100.</w:t>
      </w:r>
    </w:p>
    <w:p w14:paraId="032F4CDF" w14:textId="42BBEFAE" w:rsidR="00BA2ACE" w:rsidRPr="00EF7CF9" w:rsidRDefault="00000000" w:rsidP="00444DA8">
      <w:pPr>
        <w:spacing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8444FF0" w14:textId="1763E357" w:rsidR="00BA2ACE" w:rsidRPr="00BA2ACE" w:rsidRDefault="00BA2ACE" w:rsidP="00BA2ACE">
      <w:pPr>
        <w:pStyle w:val="ProductList-Body"/>
        <w:rPr>
          <w:b/>
          <w:bCs/>
          <w:color w:val="00188F"/>
        </w:rPr>
      </w:pP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A2ACE" w:rsidRPr="00B44CF9" w14:paraId="6D556F81" w14:textId="77777777" w:rsidTr="00277097">
        <w:trPr>
          <w:trHeight w:val="249"/>
          <w:tblHeader/>
        </w:trPr>
        <w:tc>
          <w:tcPr>
            <w:tcW w:w="5400" w:type="dxa"/>
            <w:shd w:val="clear" w:color="auto" w:fill="0072C6"/>
          </w:tcPr>
          <w:p w14:paraId="0222726D" w14:textId="240144BF" w:rsidR="00BA2ACE"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E8C7445" w14:textId="77777777" w:rsidR="00BA2ACE" w:rsidRPr="00EF7CF9" w:rsidRDefault="00BA2ACE" w:rsidP="000F31B4">
            <w:pPr>
              <w:pStyle w:val="ProductList-OfferingBody"/>
              <w:jc w:val="center"/>
              <w:rPr>
                <w:color w:val="FFFFFF" w:themeColor="background1"/>
              </w:rPr>
            </w:pPr>
            <w:r>
              <w:rPr>
                <w:color w:val="FFFFFF" w:themeColor="background1"/>
              </w:rPr>
              <w:t>Środki Serwisowe na Używanie Usług</w:t>
            </w:r>
          </w:p>
        </w:tc>
      </w:tr>
      <w:tr w:rsidR="00BA2ACE" w:rsidRPr="00B44CF9" w14:paraId="3DF2A24F" w14:textId="77777777" w:rsidTr="00277097">
        <w:trPr>
          <w:trHeight w:val="242"/>
        </w:trPr>
        <w:tc>
          <w:tcPr>
            <w:tcW w:w="5400" w:type="dxa"/>
          </w:tcPr>
          <w:p w14:paraId="01A3A320" w14:textId="77777777" w:rsidR="00BA2ACE" w:rsidRPr="00EF7CF9" w:rsidRDefault="00BA2ACE" w:rsidP="000F31B4">
            <w:pPr>
              <w:pStyle w:val="ProductList-OfferingBody"/>
              <w:jc w:val="center"/>
            </w:pPr>
            <w:r>
              <w:t>&lt; 99,95%</w:t>
            </w:r>
          </w:p>
        </w:tc>
        <w:tc>
          <w:tcPr>
            <w:tcW w:w="5400" w:type="dxa"/>
          </w:tcPr>
          <w:p w14:paraId="7DB5AE74" w14:textId="77777777" w:rsidR="00BA2ACE" w:rsidRPr="00EF7CF9" w:rsidRDefault="00BA2ACE" w:rsidP="000F31B4">
            <w:pPr>
              <w:pStyle w:val="ProductList-OfferingBody"/>
              <w:jc w:val="center"/>
            </w:pPr>
            <w:r>
              <w:t>10%</w:t>
            </w:r>
          </w:p>
        </w:tc>
      </w:tr>
      <w:tr w:rsidR="00BA2ACE" w:rsidRPr="00B44CF9" w14:paraId="50785373" w14:textId="77777777" w:rsidTr="00277097">
        <w:trPr>
          <w:trHeight w:val="249"/>
        </w:trPr>
        <w:tc>
          <w:tcPr>
            <w:tcW w:w="5400" w:type="dxa"/>
          </w:tcPr>
          <w:p w14:paraId="204993FB" w14:textId="77777777" w:rsidR="00BA2ACE" w:rsidRPr="00EF7CF9" w:rsidRDefault="00BA2ACE" w:rsidP="000F31B4">
            <w:pPr>
              <w:pStyle w:val="ProductList-OfferingBody"/>
              <w:jc w:val="center"/>
            </w:pPr>
            <w:r>
              <w:t>&lt; 99%</w:t>
            </w:r>
          </w:p>
        </w:tc>
        <w:tc>
          <w:tcPr>
            <w:tcW w:w="5400" w:type="dxa"/>
          </w:tcPr>
          <w:p w14:paraId="41BED183" w14:textId="77777777" w:rsidR="00BA2ACE" w:rsidRPr="00EF7CF9" w:rsidRDefault="00BA2ACE" w:rsidP="000F31B4">
            <w:pPr>
              <w:pStyle w:val="ProductList-OfferingBody"/>
              <w:jc w:val="center"/>
            </w:pPr>
            <w:r>
              <w:t>25%</w:t>
            </w:r>
          </w:p>
        </w:tc>
      </w:tr>
      <w:tr w:rsidR="00BA2ACE" w:rsidRPr="00B44CF9" w14:paraId="194F7CFA" w14:textId="77777777" w:rsidTr="00277097">
        <w:trPr>
          <w:trHeight w:val="249"/>
        </w:trPr>
        <w:tc>
          <w:tcPr>
            <w:tcW w:w="5400" w:type="dxa"/>
          </w:tcPr>
          <w:p w14:paraId="332639D8" w14:textId="77777777" w:rsidR="00BA2ACE" w:rsidRPr="00EF7CF9" w:rsidRDefault="00BA2ACE" w:rsidP="000F31B4">
            <w:pPr>
              <w:pStyle w:val="ProductList-OfferingBody"/>
              <w:jc w:val="center"/>
            </w:pPr>
            <w:r>
              <w:t>&lt; 95%</w:t>
            </w:r>
          </w:p>
        </w:tc>
        <w:tc>
          <w:tcPr>
            <w:tcW w:w="5400" w:type="dxa"/>
          </w:tcPr>
          <w:p w14:paraId="5C85EFDB" w14:textId="77777777" w:rsidR="00BA2ACE" w:rsidRPr="00EF7CF9" w:rsidRDefault="00BA2ACE" w:rsidP="000F31B4">
            <w:pPr>
              <w:pStyle w:val="ProductList-OfferingBody"/>
              <w:jc w:val="center"/>
            </w:pPr>
            <w:r>
              <w:t>100%</w:t>
            </w:r>
          </w:p>
        </w:tc>
      </w:tr>
    </w:tbl>
    <w:p w14:paraId="41759908" w14:textId="4F6AA485" w:rsidR="00BA2ACE" w:rsidRPr="00EF7CF9" w:rsidRDefault="00C71F89" w:rsidP="00BA2AC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0F04BB2" w14:textId="77777777" w:rsidR="00FD6764" w:rsidRPr="00FD6764" w:rsidRDefault="00FD6764" w:rsidP="00FD6764">
      <w:pPr>
        <w:pStyle w:val="ProductList-Offering2Heading"/>
        <w:keepNext/>
        <w:keepLines/>
        <w:tabs>
          <w:tab w:val="clear" w:pos="360"/>
          <w:tab w:val="clear" w:pos="720"/>
          <w:tab w:val="clear" w:pos="1080"/>
        </w:tabs>
        <w:outlineLvl w:val="2"/>
      </w:pPr>
      <w:bookmarkStart w:id="283" w:name="_Toc239175019"/>
      <w:bookmarkStart w:id="284" w:name="_Toc457821551"/>
      <w:bookmarkStart w:id="285" w:name="_Toc52348957"/>
      <w:r w:rsidRPr="00FD6764">
        <w:t>Globalny Bezpieczny Dostęp</w:t>
      </w:r>
      <w:bookmarkEnd w:id="283"/>
    </w:p>
    <w:p w14:paraId="2D94CE32" w14:textId="77777777" w:rsidR="00FD6764" w:rsidRPr="004C1229" w:rsidRDefault="00FD6764" w:rsidP="00FD6764">
      <w:pPr>
        <w:pStyle w:val="ProductList-Body"/>
        <w:rPr>
          <w:rFonts w:ascii="Calibri" w:hAnsi="Calibri" w:cs="Calibri"/>
          <w:b/>
          <w:color w:val="00188F"/>
        </w:rPr>
      </w:pPr>
      <w:r>
        <w:rPr>
          <w:rFonts w:ascii="Calibri" w:hAnsi="Calibri" w:cs="Calibri"/>
          <w:b/>
          <w:color w:val="00188F"/>
        </w:rPr>
        <w:t xml:space="preserve">Dostęp Prywatny Microsoft </w:t>
      </w:r>
      <w:proofErr w:type="spellStart"/>
      <w:r>
        <w:rPr>
          <w:rFonts w:ascii="Calibri" w:hAnsi="Calibri" w:cs="Calibri"/>
          <w:b/>
          <w:color w:val="00188F"/>
        </w:rPr>
        <w:t>Entra</w:t>
      </w:r>
      <w:proofErr w:type="spellEnd"/>
      <w:r>
        <w:rPr>
          <w:rFonts w:ascii="Calibri" w:hAnsi="Calibri" w:cs="Calibri"/>
          <w:b/>
          <w:color w:val="00188F"/>
        </w:rPr>
        <w:t xml:space="preserve"> i Dostęp do Internetu Microsoft </w:t>
      </w:r>
      <w:proofErr w:type="spellStart"/>
      <w:r>
        <w:rPr>
          <w:rFonts w:ascii="Calibri" w:hAnsi="Calibri" w:cs="Calibri"/>
          <w:b/>
          <w:color w:val="00188F"/>
        </w:rPr>
        <w:t>Entra</w:t>
      </w:r>
      <w:proofErr w:type="spellEnd"/>
    </w:p>
    <w:p w14:paraId="40B72889" w14:textId="77777777" w:rsidR="00FD6764" w:rsidRPr="004C1229" w:rsidRDefault="00FD6764" w:rsidP="00FD6764">
      <w:pPr>
        <w:pStyle w:val="ProductList-Body"/>
        <w:rPr>
          <w:rFonts w:ascii="Calibri" w:hAnsi="Calibri" w:cs="Calibri"/>
          <w:b/>
          <w:color w:val="00188F"/>
        </w:rPr>
      </w:pPr>
      <w:r>
        <w:rPr>
          <w:rFonts w:ascii="Calibri" w:hAnsi="Calibri" w:cs="Calibri"/>
          <w:b/>
          <w:color w:val="00188F"/>
        </w:rPr>
        <w:t>Dodatkowe definicje</w:t>
      </w:r>
    </w:p>
    <w:p w14:paraId="4D9AD77A" w14:textId="77777777" w:rsidR="00FD6764" w:rsidRPr="004C1229" w:rsidRDefault="00FD6764" w:rsidP="00FD6764">
      <w:pPr>
        <w:pStyle w:val="ProductList-Body"/>
        <w:rPr>
          <w:rFonts w:ascii="Calibri" w:hAnsi="Calibri" w:cs="Calibri"/>
        </w:rPr>
      </w:pPr>
      <w:r>
        <w:rPr>
          <w:rFonts w:ascii="Calibri" w:hAnsi="Calibri" w:cs="Calibri"/>
          <w:b/>
          <w:color w:val="00188F"/>
        </w:rPr>
        <w:t xml:space="preserve">Przestój: </w:t>
      </w:r>
      <w:r>
        <w:rPr>
          <w:rFonts w:ascii="Calibri" w:hAnsi="Calibri" w:cs="Calibri"/>
        </w:rPr>
        <w:t>Okres, w którym Globalny Bezpieczny Dostęp nie jest dostępny i nie może akceptować ani przetwarzać Transakcji lub Sesji. Przestój nie obejmuje niedostępności internetowego interfejsu użytkownika (UI), interfejsów API ani przetwarzania dziennika. Daną minutę uważa się za niedostępną, jeśli wszystkie próby połączenia się z GSA w ciągu tej minuty zakończą się niepowodzeniem lub jeśli nawet po nawiązaniu połączenia GSA nie będzie w stanie przetworzyć Transakcji ani Sesji.</w:t>
      </w:r>
    </w:p>
    <w:p w14:paraId="484936A4" w14:textId="77777777" w:rsidR="00FD6764" w:rsidRPr="004C1229" w:rsidRDefault="00FD6764" w:rsidP="00FD6764">
      <w:pPr>
        <w:pStyle w:val="ProductList-Body"/>
        <w:rPr>
          <w:rFonts w:ascii="Calibri" w:hAnsi="Calibri" w:cs="Calibri"/>
        </w:rPr>
      </w:pPr>
      <w:r>
        <w:rPr>
          <w:rFonts w:ascii="Calibri" w:hAnsi="Calibri" w:cs="Calibri"/>
          <w:b/>
          <w:color w:val="00188F"/>
        </w:rPr>
        <w:t>Transakcja:</w:t>
      </w:r>
      <w:r>
        <w:rPr>
          <w:rFonts w:ascii="Calibri" w:hAnsi="Calibri" w:cs="Calibri"/>
        </w:rPr>
        <w:t xml:space="preserve"> Dowolne żądanie HTTP lub HTTPS wysłane do lub od użytkownika końcowego GSA.</w:t>
      </w:r>
    </w:p>
    <w:p w14:paraId="3BC20AD1" w14:textId="77777777" w:rsidR="00FD6764" w:rsidRPr="004C1229" w:rsidRDefault="00FD6764" w:rsidP="00FD6764">
      <w:pPr>
        <w:pStyle w:val="ProductList-Body"/>
        <w:rPr>
          <w:rFonts w:ascii="Calibri" w:hAnsi="Calibri" w:cs="Calibri"/>
        </w:rPr>
      </w:pPr>
      <w:r>
        <w:rPr>
          <w:rFonts w:ascii="Calibri" w:hAnsi="Calibri" w:cs="Calibri"/>
          <w:b/>
          <w:color w:val="00188F"/>
        </w:rPr>
        <w:t>Sesja:</w:t>
      </w:r>
      <w:r>
        <w:rPr>
          <w:rFonts w:ascii="Calibri" w:hAnsi="Calibri" w:cs="Calibri"/>
        </w:rPr>
        <w:t xml:space="preserve"> Każde żądanie nie-HTTP lub nie-HTTPS wysłane do lub od użytkownika końcowego GSA.</w:t>
      </w:r>
    </w:p>
    <w:p w14:paraId="1E25DA94" w14:textId="77777777" w:rsidR="00FD6764" w:rsidRPr="004C1229" w:rsidRDefault="00FD6764" w:rsidP="00FD6764">
      <w:pPr>
        <w:pStyle w:val="ProductList-Body"/>
        <w:rPr>
          <w:rFonts w:ascii="Calibri" w:hAnsi="Calibri" w:cs="Calibri"/>
        </w:rPr>
      </w:pPr>
      <w:r>
        <w:rPr>
          <w:rFonts w:ascii="Calibri" w:hAnsi="Calibri" w:cs="Calibri"/>
          <w:b/>
          <w:color w:val="00188F"/>
        </w:rPr>
        <w:t>Procent Czasu Sprawnego Działania:</w:t>
      </w:r>
      <w:r>
        <w:rPr>
          <w:rFonts w:ascii="Calibri" w:hAnsi="Calibri" w:cs="Calibri"/>
        </w:rPr>
        <w:t xml:space="preserve"> Procent Czasu Sprawnego Działania jest obliczany przy użyciu następującego wzoru:</w:t>
      </w:r>
    </w:p>
    <w:p w14:paraId="6CB18B11" w14:textId="77777777" w:rsidR="00FD6764" w:rsidRDefault="00000000" w:rsidP="001D17B2">
      <w:pPr>
        <w:pStyle w:val="ProductList-Body"/>
        <w:spacing w:before="120" w:after="120"/>
      </w:pPr>
      <m:oMathPara>
        <m:oMath>
          <m:f>
            <m:fPr>
              <m:ctrlPr>
                <w:rPr>
                  <w:rFonts w:ascii="Cambria Math" w:hAnsi="Cambria Math" w:cs="Tahoma"/>
                  <w:i/>
                  <w:szCs w:val="18"/>
                </w:rPr>
              </m:ctrlPr>
            </m:fPr>
            <m:num>
              <m:r>
                <m:rPr>
                  <m:nor/>
                </m:rPr>
                <w:rPr>
                  <w:rFonts w:ascii="Cambria Math" w:hAnsi="Cambria Math" w:cs="Tahoma"/>
                  <w:i/>
                  <w:szCs w:val="18"/>
                </w:rPr>
                <m:t>Minuty Użytkownika - Przestój</m:t>
              </m:r>
            </m:num>
            <m:den>
              <m:r>
                <m:rPr>
                  <m:nor/>
                </m:rPr>
                <w:rPr>
                  <w:rFonts w:ascii="Cambria Math" w:hAnsi="Cambria Math" w:cs="Tahoma"/>
                  <w:i/>
                  <w:szCs w:val="18"/>
                </w:rPr>
                <m:t>Minuty Użytkownika</m:t>
              </m:r>
            </m:den>
          </m:f>
          <m:r>
            <w:rPr>
              <w:rFonts w:ascii="Cambria Math" w:hAnsi="Cambria Math" w:cs="Tahoma"/>
              <w:szCs w:val="18"/>
            </w:rPr>
            <m:t xml:space="preserve"> </m:t>
          </m:r>
          <m:r>
            <w:rPr>
              <w:rFonts w:ascii="Cambria Math" w:hAnsi="Cambria Math" w:cs="Calibri"/>
              <w:szCs w:val="18"/>
            </w:rPr>
            <m:t>x</m:t>
          </m:r>
          <m:r>
            <w:rPr>
              <w:rFonts w:ascii="Cambria Math" w:hAnsi="Cambria Math" w:cs="Tahoma"/>
              <w:szCs w:val="18"/>
            </w:rPr>
            <m:t xml:space="preserve"> 100</m:t>
          </m:r>
        </m:oMath>
      </m:oMathPara>
    </w:p>
    <w:p w14:paraId="5AEB03E3" w14:textId="77777777" w:rsidR="00FD6764" w:rsidRPr="004C1229" w:rsidRDefault="00FD6764" w:rsidP="00FD6764">
      <w:pPr>
        <w:pStyle w:val="ProductList-Body"/>
        <w:rPr>
          <w:rFonts w:ascii="Calibri" w:hAnsi="Calibri" w:cs="Calibri"/>
        </w:rPr>
      </w:pPr>
      <w:r>
        <w:rPr>
          <w:rFonts w:ascii="Calibri" w:hAnsi="Calibri" w:cs="Calibri"/>
        </w:rPr>
        <w:t>gdzie Przestój jest mierzony w minutach użytkownika; to znaczy, dla każdego Właściwego Okresu Przestój jest sumą czasu trwania (w minutach) każdego Incydentu, który występuje w tym Właściwym Okresie, pomnożoną przez liczbę użytkowników, których dotyczy dany Incydent.</w:t>
      </w:r>
    </w:p>
    <w:p w14:paraId="0500F469" w14:textId="77777777" w:rsidR="00FD6764" w:rsidRPr="004C1229" w:rsidRDefault="00FD6764" w:rsidP="00FD6764">
      <w:pPr>
        <w:pStyle w:val="ProductList-Body"/>
        <w:rPr>
          <w:rFonts w:ascii="Calibri" w:hAnsi="Calibri" w:cs="Calibri"/>
        </w:rPr>
      </w:pPr>
    </w:p>
    <w:p w14:paraId="10AD0490" w14:textId="77777777" w:rsidR="00FD6764" w:rsidRPr="004C1229" w:rsidRDefault="00FD6764" w:rsidP="00FD6764">
      <w:pPr>
        <w:pStyle w:val="ProductList-Body"/>
        <w:rPr>
          <w:rFonts w:ascii="Calibri" w:hAnsi="Calibri" w:cs="Calibri"/>
          <w:b/>
          <w:color w:val="00188F"/>
        </w:rPr>
      </w:pPr>
      <w:r>
        <w:rPr>
          <w:rFonts w:ascii="Calibri" w:hAnsi="Calibri" w:cs="Calibri"/>
          <w:b/>
          <w:color w:val="00188F"/>
        </w:rPr>
        <w:t>Wyjątki dotyczące Poziomu Usługi.</w:t>
      </w:r>
    </w:p>
    <w:p w14:paraId="5894C66D" w14:textId="77777777" w:rsidR="00FD6764" w:rsidRPr="004C1229" w:rsidRDefault="00FD6764" w:rsidP="00DB4449">
      <w:pPr>
        <w:pStyle w:val="ProductList-Body"/>
        <w:numPr>
          <w:ilvl w:val="0"/>
          <w:numId w:val="34"/>
        </w:numPr>
        <w:rPr>
          <w:rFonts w:ascii="Calibri" w:hAnsi="Calibri" w:cs="Calibri"/>
        </w:rPr>
      </w:pPr>
      <w:r>
        <w:rPr>
          <w:rFonts w:ascii="Calibri" w:hAnsi="Calibri" w:cs="Calibri"/>
        </w:rPr>
        <w:t>Problemy z wydajnością i dostępnością wynikające z:</w:t>
      </w:r>
    </w:p>
    <w:p w14:paraId="5E8D33B0" w14:textId="77777777" w:rsidR="00FD6764" w:rsidRPr="004C1229" w:rsidRDefault="00FD6764" w:rsidP="00DB4449">
      <w:pPr>
        <w:pStyle w:val="ProductList-Body"/>
        <w:numPr>
          <w:ilvl w:val="1"/>
          <w:numId w:val="34"/>
        </w:numPr>
        <w:rPr>
          <w:rFonts w:ascii="Calibri" w:hAnsi="Calibri" w:cs="Calibri"/>
        </w:rPr>
      </w:pPr>
      <w:r>
        <w:rPr>
          <w:rFonts w:ascii="Calibri" w:hAnsi="Calibri" w:cs="Calibri"/>
        </w:rPr>
        <w:t xml:space="preserve">czasu konwergencji trasy w przypadku korzystania z protokołu </w:t>
      </w:r>
      <w:proofErr w:type="spellStart"/>
      <w:r>
        <w:rPr>
          <w:rFonts w:ascii="Calibri" w:hAnsi="Calibri" w:cs="Calibri"/>
        </w:rPr>
        <w:t>Border</w:t>
      </w:r>
      <w:proofErr w:type="spellEnd"/>
      <w:r>
        <w:rPr>
          <w:rFonts w:ascii="Calibri" w:hAnsi="Calibri" w:cs="Calibri"/>
        </w:rPr>
        <w:t xml:space="preserve"> Gateway </w:t>
      </w:r>
      <w:proofErr w:type="spellStart"/>
      <w:r>
        <w:rPr>
          <w:rFonts w:ascii="Calibri" w:hAnsi="Calibri" w:cs="Calibri"/>
        </w:rPr>
        <w:t>Protocol</w:t>
      </w:r>
      <w:proofErr w:type="spellEnd"/>
      <w:r>
        <w:rPr>
          <w:rFonts w:ascii="Calibri" w:hAnsi="Calibri" w:cs="Calibri"/>
        </w:rPr>
        <w:t xml:space="preserve"> lub </w:t>
      </w:r>
      <w:proofErr w:type="spellStart"/>
      <w:r>
        <w:rPr>
          <w:rFonts w:ascii="Calibri" w:hAnsi="Calibri" w:cs="Calibri"/>
        </w:rPr>
        <w:t>Anycast</w:t>
      </w:r>
      <w:proofErr w:type="spellEnd"/>
      <w:r>
        <w:rPr>
          <w:rFonts w:ascii="Calibri" w:hAnsi="Calibri" w:cs="Calibri"/>
        </w:rPr>
        <w:t>;</w:t>
      </w:r>
    </w:p>
    <w:p w14:paraId="6A04DCF3" w14:textId="77777777" w:rsidR="00FD6764" w:rsidRPr="004C1229" w:rsidRDefault="00FD6764" w:rsidP="00DB4449">
      <w:pPr>
        <w:pStyle w:val="ProductList-Body"/>
        <w:numPr>
          <w:ilvl w:val="1"/>
          <w:numId w:val="34"/>
        </w:numPr>
        <w:rPr>
          <w:rFonts w:ascii="Calibri" w:hAnsi="Calibri" w:cs="Calibri"/>
        </w:rPr>
      </w:pPr>
      <w:r>
        <w:rPr>
          <w:rFonts w:ascii="Calibri" w:hAnsi="Calibri" w:cs="Calibri"/>
        </w:rPr>
        <w:t>skalowania zdarzeń i planowanej konserwacji, w tym okresu przełączania podczas zdarzeń o wysokiej dostępności.</w:t>
      </w:r>
    </w:p>
    <w:p w14:paraId="44C75B02" w14:textId="77777777" w:rsidR="00FD6764" w:rsidRPr="004C1229" w:rsidRDefault="00FD6764" w:rsidP="00FD6764">
      <w:pPr>
        <w:pStyle w:val="ProductList-Body"/>
        <w:rPr>
          <w:rFonts w:ascii="Calibri" w:hAnsi="Calibri" w:cs="Calibri"/>
        </w:rPr>
      </w:pPr>
      <w:r>
        <w:rPr>
          <w:rFonts w:ascii="Calibri" w:hAnsi="Calibri" w:cs="Calibri"/>
          <w:b/>
          <w:color w:val="00188F"/>
        </w:rPr>
        <w:t>Środki na Używanie Usług</w:t>
      </w:r>
      <w:r w:rsidRPr="00BA1084">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6764" w:rsidRPr="00B44CF9" w14:paraId="65C8D60E" w14:textId="77777777" w:rsidTr="00F02294">
        <w:trPr>
          <w:tblHeader/>
        </w:trPr>
        <w:tc>
          <w:tcPr>
            <w:tcW w:w="5400" w:type="dxa"/>
            <w:shd w:val="clear" w:color="auto" w:fill="0072C6"/>
          </w:tcPr>
          <w:p w14:paraId="2EFB43BA" w14:textId="77777777" w:rsidR="00FD6764" w:rsidRPr="001B0267" w:rsidRDefault="00FD6764" w:rsidP="00F02294">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786214E7" w14:textId="77777777" w:rsidR="00FD6764" w:rsidRPr="001B0267" w:rsidRDefault="00FD6764" w:rsidP="00F02294">
            <w:pPr>
              <w:pStyle w:val="ProductList-OfferingBody"/>
              <w:ind w:left="-144" w:right="-1008"/>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FD6764" w:rsidRPr="00B44CF9" w14:paraId="60DD4157" w14:textId="77777777" w:rsidTr="00F02294">
        <w:tc>
          <w:tcPr>
            <w:tcW w:w="5400" w:type="dxa"/>
          </w:tcPr>
          <w:p w14:paraId="64C8C5E7" w14:textId="77777777" w:rsidR="00FD6764" w:rsidRPr="00F463CE" w:rsidRDefault="00FD6764" w:rsidP="00F02294">
            <w:pPr>
              <w:pStyle w:val="ProductList-OfferingBody"/>
              <w:ind w:left="-144" w:right="-1008"/>
              <w:jc w:val="center"/>
              <w:rPr>
                <w:rFonts w:ascii="Calibri" w:hAnsi="Calibri" w:cs="Calibri"/>
                <w:szCs w:val="16"/>
              </w:rPr>
            </w:pPr>
            <w:r>
              <w:rPr>
                <w:rFonts w:ascii="Calibri" w:hAnsi="Calibri" w:cs="Calibri"/>
                <w:szCs w:val="16"/>
              </w:rPr>
              <w:t>&lt; 99,9%</w:t>
            </w:r>
          </w:p>
        </w:tc>
        <w:tc>
          <w:tcPr>
            <w:tcW w:w="5400" w:type="dxa"/>
          </w:tcPr>
          <w:p w14:paraId="055D2190" w14:textId="77777777" w:rsidR="00FD6764" w:rsidRPr="00F463CE" w:rsidRDefault="00FD6764" w:rsidP="00F02294">
            <w:pPr>
              <w:pStyle w:val="ProductList-OfferingBody"/>
              <w:ind w:left="-144" w:right="-1008"/>
              <w:jc w:val="center"/>
              <w:rPr>
                <w:rFonts w:ascii="Calibri" w:hAnsi="Calibri" w:cs="Calibri"/>
                <w:szCs w:val="16"/>
              </w:rPr>
            </w:pPr>
            <w:r>
              <w:rPr>
                <w:rFonts w:ascii="Calibri" w:hAnsi="Calibri" w:cs="Calibri"/>
                <w:szCs w:val="16"/>
              </w:rPr>
              <w:t>25%</w:t>
            </w:r>
          </w:p>
        </w:tc>
      </w:tr>
      <w:tr w:rsidR="00FD6764" w:rsidRPr="00B44CF9" w14:paraId="2B04FA38" w14:textId="77777777" w:rsidTr="00F02294">
        <w:trPr>
          <w:trHeight w:val="80"/>
        </w:trPr>
        <w:tc>
          <w:tcPr>
            <w:tcW w:w="5400" w:type="dxa"/>
          </w:tcPr>
          <w:p w14:paraId="23209101" w14:textId="77777777" w:rsidR="00FD6764" w:rsidRPr="00F463CE" w:rsidRDefault="00FD6764" w:rsidP="00F02294">
            <w:pPr>
              <w:pStyle w:val="ProductList-OfferingBody"/>
              <w:ind w:left="-144" w:right="-1008"/>
              <w:jc w:val="center"/>
              <w:rPr>
                <w:rFonts w:ascii="Calibri" w:hAnsi="Calibri" w:cs="Calibri"/>
                <w:szCs w:val="16"/>
              </w:rPr>
            </w:pPr>
            <w:r>
              <w:rPr>
                <w:rFonts w:ascii="Calibri" w:hAnsi="Calibri" w:cs="Calibri"/>
                <w:szCs w:val="16"/>
              </w:rPr>
              <w:t>&lt; 99%</w:t>
            </w:r>
          </w:p>
        </w:tc>
        <w:tc>
          <w:tcPr>
            <w:tcW w:w="5400" w:type="dxa"/>
          </w:tcPr>
          <w:p w14:paraId="3367AA82" w14:textId="77777777" w:rsidR="00FD6764" w:rsidRPr="00F463CE" w:rsidRDefault="00FD6764" w:rsidP="00F02294">
            <w:pPr>
              <w:pStyle w:val="ProductList-OfferingBody"/>
              <w:ind w:left="-144" w:right="-1008"/>
              <w:jc w:val="center"/>
              <w:rPr>
                <w:rFonts w:ascii="Calibri" w:hAnsi="Calibri" w:cs="Calibri"/>
                <w:szCs w:val="16"/>
              </w:rPr>
            </w:pPr>
            <w:r>
              <w:rPr>
                <w:rFonts w:ascii="Calibri" w:hAnsi="Calibri" w:cs="Calibri"/>
                <w:szCs w:val="16"/>
              </w:rPr>
              <w:t>50%</w:t>
            </w:r>
          </w:p>
        </w:tc>
      </w:tr>
      <w:tr w:rsidR="00FD6764" w:rsidRPr="00B44CF9" w14:paraId="008A58DF" w14:textId="77777777" w:rsidTr="00F02294">
        <w:trPr>
          <w:trHeight w:val="80"/>
        </w:trPr>
        <w:tc>
          <w:tcPr>
            <w:tcW w:w="5400" w:type="dxa"/>
          </w:tcPr>
          <w:p w14:paraId="79000AA3" w14:textId="77777777" w:rsidR="00FD6764" w:rsidRPr="00F463CE" w:rsidRDefault="00FD6764" w:rsidP="00F02294">
            <w:pPr>
              <w:pStyle w:val="ProductList-OfferingBody"/>
              <w:ind w:left="-144" w:right="-1008"/>
              <w:jc w:val="center"/>
              <w:rPr>
                <w:rFonts w:ascii="Calibri" w:hAnsi="Calibri" w:cs="Calibri"/>
                <w:szCs w:val="16"/>
              </w:rPr>
            </w:pPr>
            <w:r>
              <w:rPr>
                <w:rFonts w:ascii="Calibri" w:hAnsi="Calibri" w:cs="Calibri"/>
                <w:szCs w:val="16"/>
              </w:rPr>
              <w:t>&lt; 95%</w:t>
            </w:r>
          </w:p>
        </w:tc>
        <w:tc>
          <w:tcPr>
            <w:tcW w:w="5400" w:type="dxa"/>
          </w:tcPr>
          <w:p w14:paraId="11A4F652" w14:textId="77777777" w:rsidR="00FD6764" w:rsidRPr="00F463CE" w:rsidRDefault="00FD6764" w:rsidP="00F02294">
            <w:pPr>
              <w:pStyle w:val="ProductList-OfferingBody"/>
              <w:ind w:left="-144" w:right="-1008"/>
              <w:jc w:val="center"/>
              <w:rPr>
                <w:rFonts w:ascii="Calibri" w:hAnsi="Calibri" w:cs="Calibri"/>
                <w:szCs w:val="16"/>
              </w:rPr>
            </w:pPr>
            <w:r>
              <w:rPr>
                <w:rFonts w:ascii="Calibri" w:hAnsi="Calibri" w:cs="Calibri"/>
                <w:szCs w:val="16"/>
              </w:rPr>
              <w:t>100%</w:t>
            </w:r>
          </w:p>
        </w:tc>
      </w:tr>
    </w:tbl>
    <w:p w14:paraId="1CE58AB3" w14:textId="77777777" w:rsidR="00FD6764" w:rsidRPr="00EF7CF9" w:rsidRDefault="00FD6764" w:rsidP="00FD676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D15C719" w14:textId="34BD896C" w:rsidR="00C02802" w:rsidRPr="00EF7CF9" w:rsidRDefault="00C02802" w:rsidP="00CD60E6">
      <w:pPr>
        <w:pStyle w:val="ProductList-Offering2Heading"/>
        <w:keepNext/>
        <w:keepLines/>
        <w:tabs>
          <w:tab w:val="clear" w:pos="360"/>
          <w:tab w:val="clear" w:pos="720"/>
          <w:tab w:val="clear" w:pos="1080"/>
        </w:tabs>
        <w:outlineLvl w:val="2"/>
      </w:pPr>
      <w:bookmarkStart w:id="286" w:name="_Toc239175020"/>
      <w:r>
        <w:t>HDInsight</w:t>
      </w:r>
      <w:bookmarkEnd w:id="284"/>
      <w:bookmarkEnd w:id="285"/>
      <w:bookmarkEnd w:id="286"/>
    </w:p>
    <w:p w14:paraId="2784026B" w14:textId="77777777" w:rsidR="00C02802" w:rsidRPr="00EF7CF9" w:rsidRDefault="00C02802" w:rsidP="00CD60E6">
      <w:pPr>
        <w:pStyle w:val="ProductList-Body"/>
        <w:keepNext/>
        <w:keepLines/>
        <w:rPr>
          <w:b/>
          <w:color w:val="00188F"/>
        </w:rPr>
      </w:pPr>
      <w:r>
        <w:rPr>
          <w:b/>
          <w:color w:val="00188F"/>
        </w:rPr>
        <w:t>Dodatkowe definicje</w:t>
      </w:r>
      <w:r w:rsidRPr="0034704E">
        <w:rPr>
          <w:b/>
          <w:color w:val="00188F"/>
        </w:rPr>
        <w:t>:</w:t>
      </w:r>
    </w:p>
    <w:p w14:paraId="0E5D91C6" w14:textId="77777777" w:rsidR="00C02802" w:rsidRPr="00EF7CF9" w:rsidRDefault="00C02802" w:rsidP="008C4A1A">
      <w:pPr>
        <w:pStyle w:val="ProductList-Body"/>
      </w:pPr>
      <w:r>
        <w:t>„</w:t>
      </w:r>
      <w:r>
        <w:rPr>
          <w:b/>
          <w:color w:val="00188F"/>
        </w:rPr>
        <w:t>Brama Internetowa Klastra</w:t>
      </w:r>
      <w:r>
        <w:t>” to zestaw maszyn wirtualnych w ramach Klastra HDInsight, który pośredniczy w przekazywaniu do Klastra HDInsight wszystkich żądań łączności.</w:t>
      </w:r>
    </w:p>
    <w:p w14:paraId="36AE16AC" w14:textId="77777777" w:rsidR="00C02802" w:rsidRPr="00EF7CF9" w:rsidRDefault="00C02802" w:rsidP="008C4A1A">
      <w:pPr>
        <w:pStyle w:val="ProductList-Body"/>
      </w:pPr>
      <w:r>
        <w:t>„</w:t>
      </w:r>
      <w:r>
        <w:rPr>
          <w:b/>
          <w:color w:val="00188F"/>
        </w:rPr>
        <w:t>Minuty Wdrożenia</w:t>
      </w:r>
      <w:r>
        <w:t xml:space="preserve">” to łączna liczba minut, przez którą określony Klaster HDInsight został wdrożony na platformie Microsoft </w:t>
      </w:r>
      <w:proofErr w:type="spellStart"/>
      <w:r>
        <w:t>Azure</w:t>
      </w:r>
      <w:proofErr w:type="spellEnd"/>
      <w:r>
        <w:t>.</w:t>
      </w:r>
    </w:p>
    <w:p w14:paraId="4FA891BC" w14:textId="77777777" w:rsidR="00C02802" w:rsidRPr="00EF7CF9" w:rsidRDefault="00C02802" w:rsidP="008C4A1A">
      <w:pPr>
        <w:pStyle w:val="ProductList-Body"/>
      </w:pPr>
      <w:r>
        <w:t>„</w:t>
      </w:r>
      <w:r>
        <w:rPr>
          <w:b/>
          <w:color w:val="00188F"/>
        </w:rPr>
        <w:t>Klaster HDInsight</w:t>
      </w:r>
      <w:r>
        <w:t>” lub „</w:t>
      </w:r>
      <w:r>
        <w:rPr>
          <w:b/>
          <w:color w:val="00188F"/>
        </w:rPr>
        <w:t>Klaster</w:t>
      </w:r>
      <w:r>
        <w:t>” to zbiór maszyn wirtualnych, na których uruchomiono pojedyncze wystąpienie usługi HDInsight.</w:t>
      </w:r>
    </w:p>
    <w:p w14:paraId="10EBBD8E" w14:textId="0EBC995C" w:rsidR="00C02802" w:rsidRPr="00EF7CF9" w:rsidRDefault="00C02802" w:rsidP="008C4A1A">
      <w:pPr>
        <w:pStyle w:val="ProductList-Body"/>
      </w:pPr>
      <w:r>
        <w:t>„</w:t>
      </w:r>
      <w:r>
        <w:rPr>
          <w:b/>
          <w:color w:val="00188F"/>
        </w:rPr>
        <w:t>Maksymalna Liczba Dostępnych Minut</w:t>
      </w:r>
      <w:r>
        <w:t xml:space="preserve">” to suma wszystkich Minut Wdrożenia we wszystkich Klastrach wdrożonych przez użytkownika w ramach danej subskrypcji Microsoft </w:t>
      </w:r>
      <w:proofErr w:type="spellStart"/>
      <w:r>
        <w:t>Azure</w:t>
      </w:r>
      <w:proofErr w:type="spellEnd"/>
      <w:r>
        <w:t xml:space="preserve"> we Właściwym.</w:t>
      </w:r>
    </w:p>
    <w:p w14:paraId="3ED3A569" w14:textId="77777777" w:rsidR="00C02802" w:rsidRPr="00EF7CF9" w:rsidRDefault="00C02802" w:rsidP="008C4A1A">
      <w:pPr>
        <w:pStyle w:val="ProductList-Body"/>
      </w:pPr>
      <w:r>
        <w:rPr>
          <w:b/>
          <w:color w:val="00188F"/>
        </w:rPr>
        <w:t>Przestój</w:t>
      </w:r>
      <w:r w:rsidRPr="0034704E">
        <w:rPr>
          <w:b/>
          <w:color w:val="00188F"/>
        </w:rPr>
        <w:t>:</w:t>
      </w:r>
      <w:r>
        <w:t xml:space="preserve"> to łączna zakumulowana liczba Minut Wdrożenia, podczas których usługa HDInsight jest niedostępna. Minuta jest uznawana za minutę niedostępności dla danego Klastra, jeśli wszystkie kolejne podejmowane w trakcie tej minuty próby zmierzające do nawiązania łączności z Bramą Internetową Klastra zakończą się niepowodzeniem.</w:t>
      </w:r>
    </w:p>
    <w:p w14:paraId="587D8928" w14:textId="5BA0AF4C" w:rsidR="00C02802" w:rsidRDefault="00AC48A7" w:rsidP="00C02802">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1D099391" w14:textId="0D8B80F0" w:rsidR="00C02802" w:rsidRPr="00EF7CF9" w:rsidRDefault="00000000" w:rsidP="008C4A1A">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36ED468" w14:textId="77777777" w:rsidR="00C02802" w:rsidRPr="00EF7CF9" w:rsidRDefault="00C02802" w:rsidP="00C02802">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2802" w:rsidRPr="00B44CF9" w14:paraId="3007BB56" w14:textId="77777777" w:rsidTr="00277097">
        <w:trPr>
          <w:tblHeader/>
        </w:trPr>
        <w:tc>
          <w:tcPr>
            <w:tcW w:w="5400" w:type="dxa"/>
            <w:shd w:val="clear" w:color="auto" w:fill="0072C6"/>
          </w:tcPr>
          <w:p w14:paraId="1DD74C23" w14:textId="3E71E9A0" w:rsidR="00C02802"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7909096" w14:textId="77777777" w:rsidR="00C02802" w:rsidRPr="00EF7CF9" w:rsidRDefault="00C02802" w:rsidP="000F31B4">
            <w:pPr>
              <w:pStyle w:val="ProductList-OfferingBody"/>
              <w:jc w:val="center"/>
              <w:rPr>
                <w:color w:val="FFFFFF" w:themeColor="background1"/>
              </w:rPr>
            </w:pPr>
            <w:r>
              <w:rPr>
                <w:color w:val="FFFFFF" w:themeColor="background1"/>
              </w:rPr>
              <w:t>Środki Serwisowe na Używanie Usług</w:t>
            </w:r>
          </w:p>
        </w:tc>
      </w:tr>
      <w:tr w:rsidR="00C02802" w:rsidRPr="00B44CF9" w14:paraId="21490783" w14:textId="77777777" w:rsidTr="00277097">
        <w:tc>
          <w:tcPr>
            <w:tcW w:w="5400" w:type="dxa"/>
          </w:tcPr>
          <w:p w14:paraId="33AA9AD9" w14:textId="77777777" w:rsidR="00C02802" w:rsidRPr="00EF7CF9" w:rsidRDefault="00C02802" w:rsidP="000F31B4">
            <w:pPr>
              <w:pStyle w:val="ProductList-OfferingBody"/>
              <w:jc w:val="center"/>
            </w:pPr>
            <w:r>
              <w:t>&lt; 99,9%</w:t>
            </w:r>
          </w:p>
        </w:tc>
        <w:tc>
          <w:tcPr>
            <w:tcW w:w="5400" w:type="dxa"/>
          </w:tcPr>
          <w:p w14:paraId="3303510C" w14:textId="77777777" w:rsidR="00C02802" w:rsidRPr="00EF7CF9" w:rsidRDefault="00C02802" w:rsidP="000F31B4">
            <w:pPr>
              <w:pStyle w:val="ProductList-OfferingBody"/>
              <w:jc w:val="center"/>
            </w:pPr>
            <w:r>
              <w:t>10%</w:t>
            </w:r>
          </w:p>
        </w:tc>
      </w:tr>
      <w:tr w:rsidR="00C02802" w:rsidRPr="00B44CF9" w14:paraId="482293F7" w14:textId="77777777" w:rsidTr="00277097">
        <w:trPr>
          <w:trHeight w:val="80"/>
        </w:trPr>
        <w:tc>
          <w:tcPr>
            <w:tcW w:w="5400" w:type="dxa"/>
          </w:tcPr>
          <w:p w14:paraId="09B1F161" w14:textId="77777777" w:rsidR="00C02802" w:rsidRPr="00EF7CF9" w:rsidRDefault="00C02802" w:rsidP="000F31B4">
            <w:pPr>
              <w:pStyle w:val="ProductList-OfferingBody"/>
              <w:jc w:val="center"/>
            </w:pPr>
            <w:r>
              <w:t>&lt; 99%</w:t>
            </w:r>
          </w:p>
        </w:tc>
        <w:tc>
          <w:tcPr>
            <w:tcW w:w="5400" w:type="dxa"/>
          </w:tcPr>
          <w:p w14:paraId="0A85BFFA" w14:textId="77777777" w:rsidR="00C02802" w:rsidRPr="00EF7CF9" w:rsidRDefault="00C02802" w:rsidP="000F31B4">
            <w:pPr>
              <w:pStyle w:val="ProductList-OfferingBody"/>
              <w:jc w:val="center"/>
            </w:pPr>
            <w:r>
              <w:t>25%</w:t>
            </w:r>
          </w:p>
        </w:tc>
      </w:tr>
    </w:tbl>
    <w:bookmarkStart w:id="287" w:name="_Toc457821552"/>
    <w:p w14:paraId="719342C5" w14:textId="2D4048AD" w:rsidR="00C02802" w:rsidRPr="00EF7CF9" w:rsidRDefault="00C71F89" w:rsidP="00C02802">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4F374F59" w14:textId="27938537" w:rsidR="00E92C40" w:rsidRDefault="00E92C40" w:rsidP="000D38EE">
      <w:pPr>
        <w:pStyle w:val="ProductList-Offering2Heading"/>
        <w:tabs>
          <w:tab w:val="clear" w:pos="360"/>
        </w:tabs>
        <w:outlineLvl w:val="2"/>
      </w:pPr>
      <w:bookmarkStart w:id="288" w:name="_Toc239175021"/>
      <w:bookmarkEnd w:id="287"/>
      <w:r>
        <w:t xml:space="preserve">Usługa </w:t>
      </w:r>
      <w:proofErr w:type="spellStart"/>
      <w:r>
        <w:t>Azure</w:t>
      </w:r>
      <w:proofErr w:type="spellEnd"/>
      <w:r>
        <w:t xml:space="preserve"> </w:t>
      </w:r>
      <w:proofErr w:type="spellStart"/>
      <w:r>
        <w:t>Health</w:t>
      </w:r>
      <w:proofErr w:type="spellEnd"/>
      <w:r>
        <w:t xml:space="preserve"> Data Services (z wyłączeniem usługi </w:t>
      </w:r>
      <w:proofErr w:type="spellStart"/>
      <w:r>
        <w:t>MedTech</w:t>
      </w:r>
      <w:proofErr w:type="spellEnd"/>
      <w:r>
        <w:t xml:space="preserve"> Service)</w:t>
      </w:r>
      <w:bookmarkEnd w:id="288"/>
    </w:p>
    <w:p w14:paraId="17EBEAAB" w14:textId="77777777" w:rsidR="00E92C40" w:rsidRDefault="00E92C40" w:rsidP="00E92C40">
      <w:pPr>
        <w:pStyle w:val="ProductList-Body"/>
      </w:pPr>
      <w:r>
        <w:rPr>
          <w:b/>
          <w:color w:val="00188F"/>
        </w:rPr>
        <w:t>Dodatkowe definicje</w:t>
      </w:r>
      <w:r w:rsidRPr="0034704E">
        <w:rPr>
          <w:b/>
          <w:color w:val="00188F"/>
        </w:rPr>
        <w:t>:</w:t>
      </w:r>
    </w:p>
    <w:p w14:paraId="509653B9" w14:textId="2E4975CB" w:rsidR="00E92C40" w:rsidRDefault="00E92C40" w:rsidP="00E92C40">
      <w:pPr>
        <w:pStyle w:val="ProductList-Body"/>
      </w:pPr>
      <w:r>
        <w:t>„</w:t>
      </w:r>
      <w:r>
        <w:rPr>
          <w:b/>
          <w:color w:val="00188F"/>
        </w:rPr>
        <w:t>Łączna Liczba Prób Transakcji</w:t>
      </w:r>
      <w:r w:rsidR="00B41CC1" w:rsidRPr="00B41CC1">
        <w:t>”</w:t>
      </w:r>
      <w:r>
        <w:t xml:space="preserve"> to łączna liczba uwierzytelnionych żądań interfejsu API klienta we Właściwym Okresie dla danej Usługi </w:t>
      </w:r>
      <w:proofErr w:type="spellStart"/>
      <w:r>
        <w:t>Health</w:t>
      </w:r>
      <w:proofErr w:type="spellEnd"/>
      <w:r>
        <w:t xml:space="preserve"> Data Services (z wyłączeniem Usługi </w:t>
      </w:r>
      <w:proofErr w:type="spellStart"/>
      <w:r>
        <w:t>MedTech</w:t>
      </w:r>
      <w:proofErr w:type="spellEnd"/>
      <w:r>
        <w:t>). Łączna Liczba Prób Transakcji nie obejmuje żądań interfejsu API, które zwracają Kod Błędu i które są kolejno powtarzane w ciągu pięciu minut po zwróceniu pierwszego Kodu Błędu.</w:t>
      </w:r>
    </w:p>
    <w:p w14:paraId="3216C37D" w14:textId="77777777" w:rsidR="00E92C40" w:rsidRDefault="00E92C40" w:rsidP="00E92C40">
      <w:pPr>
        <w:pStyle w:val="ProductList-Body"/>
      </w:pPr>
      <w:r>
        <w:t>„</w:t>
      </w:r>
      <w:r>
        <w:rPr>
          <w:b/>
          <w:color w:val="00188F"/>
        </w:rPr>
        <w:t>Transakcje Zakończone Niepowodzeniem</w:t>
      </w:r>
      <w:r>
        <w:t xml:space="preserve">” to zestaw wszystkich żądań kierowanych do interfejsów API usługi </w:t>
      </w:r>
      <w:proofErr w:type="spellStart"/>
      <w:r>
        <w:t>Health</w:t>
      </w:r>
      <w:proofErr w:type="spellEnd"/>
      <w:r>
        <w:t xml:space="preserve"> Data Services (z wyłączeniem usługi </w:t>
      </w:r>
      <w:proofErr w:type="spellStart"/>
      <w:r>
        <w:t>MedTech</w:t>
      </w:r>
      <w:proofErr w:type="spellEnd"/>
      <w:r>
        <w:t>) w ramach Łącznej Liczby Prób Transakcji, które zwracają Kod Błędu. Próby Transakcji Zakończone Niepowodzeniem nie obejmują żądań interfejsu API zwracających Kod Błędu, które są stale powtarzane w ciągu pięciu minut od otrzymania pierwszego Kodu Błędu.</w:t>
      </w:r>
    </w:p>
    <w:p w14:paraId="42A39A85" w14:textId="654E196D" w:rsidR="00E92C40" w:rsidRDefault="00EE6E3C" w:rsidP="00E92C40">
      <w:pPr>
        <w:pStyle w:val="ProductList-Body"/>
        <w:rPr>
          <w:b/>
          <w:color w:val="00188F"/>
        </w:rPr>
      </w:pPr>
      <w:r>
        <w:rPr>
          <w:b/>
          <w:color w:val="00188F"/>
        </w:rPr>
        <w:t>Obliczanie Czasu Sprawnego Działania</w:t>
      </w:r>
    </w:p>
    <w:p w14:paraId="196BB763" w14:textId="29303409" w:rsidR="00E92C40" w:rsidRDefault="00AC48A7" w:rsidP="00E92C40">
      <w:pPr>
        <w:pStyle w:val="ProductList-Body"/>
      </w:pPr>
      <w:r>
        <w:rPr>
          <w:b/>
          <w:color w:val="00188F"/>
        </w:rPr>
        <w:t>Procent Czasu Sprawnego Działania</w:t>
      </w:r>
      <w:r w:rsidRPr="0034704E">
        <w:rPr>
          <w:b/>
          <w:color w:val="00188F"/>
        </w:rPr>
        <w:t>:</w:t>
      </w:r>
      <w:r>
        <w:t xml:space="preserve"> dla każdej usługi interfejsu API (z wyłączeniem usługi </w:t>
      </w:r>
      <w:proofErr w:type="spellStart"/>
      <w:r>
        <w:t>MedTech</w:t>
      </w:r>
      <w:proofErr w:type="spellEnd"/>
      <w:r>
        <w:t>) to Łączna Liczba Prób Transakcji pomniejszona o Transakcje Zakończone Niepowodzeniem i podzielona przez Łączną Liczbę Prób Transakcji. Procent Czasu Sprawnego Działania przedstawia się za pomocą następującego wzoru:</w:t>
      </w:r>
    </w:p>
    <w:p w14:paraId="0F83F054" w14:textId="5F0D103E" w:rsidR="00E92C40" w:rsidRDefault="00000000" w:rsidP="008C4A1A">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Prób Transakcji – Nieudane Transakcje</m:t>
              </m:r>
            </m:num>
            <m:den>
              <m:r>
                <m:rPr>
                  <m:nor/>
                </m:rPr>
                <w:rPr>
                  <w:rFonts w:ascii="Cambria Math" w:hAnsi="Cambria Math" w:cs="Calibri"/>
                  <w:i/>
                  <w:sz w:val="18"/>
                  <w:szCs w:val="18"/>
                </w:rPr>
                <m:t>Łączna Liczba Prób Transakcji</m:t>
              </m:r>
            </m:den>
          </m:f>
          <m:r>
            <w:rPr>
              <w:rFonts w:ascii="Cambria Math" w:hAnsi="Cambria Math" w:cs="Calibri"/>
              <w:sz w:val="18"/>
              <w:szCs w:val="18"/>
            </w:rPr>
            <m:t xml:space="preserve"> x 100</m:t>
          </m:r>
        </m:oMath>
      </m:oMathPara>
    </w:p>
    <w:p w14:paraId="53A786E1" w14:textId="460570D0" w:rsidR="00E92C40" w:rsidRDefault="00E92C40" w:rsidP="00C84B0F">
      <w:pPr>
        <w:pStyle w:val="ProductList-Body"/>
      </w:pPr>
      <w:r>
        <w:t xml:space="preserve">Do używania przez Klienta usługi </w:t>
      </w:r>
      <w:proofErr w:type="spellStart"/>
      <w:r>
        <w:t>Azure</w:t>
      </w:r>
      <w:proofErr w:type="spellEnd"/>
      <w:r>
        <w:t xml:space="preserve"> </w:t>
      </w:r>
      <w:proofErr w:type="spellStart"/>
      <w:r>
        <w:t>Health</w:t>
      </w:r>
      <w:proofErr w:type="spellEnd"/>
      <w:r>
        <w:t xml:space="preserve"> Data Services (z wyłączeniem usługi </w:t>
      </w:r>
      <w:proofErr w:type="spellStart"/>
      <w:r>
        <w:t>MedTech</w:t>
      </w:r>
      <w:proofErr w:type="spellEnd"/>
      <w:r>
        <w:t>) mają zastosowanie następujące Poziomy Usługi i</w:t>
      </w:r>
      <w:r w:rsidR="00C84B0F">
        <w:t> </w:t>
      </w:r>
      <w:r>
        <w:t>Środki na Używanie Usług:</w:t>
      </w:r>
    </w:p>
    <w:p w14:paraId="3B350080" w14:textId="77777777" w:rsidR="00E92C40" w:rsidRDefault="00E92C40" w:rsidP="00E92C40">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92C40" w14:paraId="5A576122" w14:textId="77777777" w:rsidTr="00E92C40">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B60F06F" w14:textId="394915C3" w:rsidR="00E92C40" w:rsidRDefault="00AC48A7" w:rsidP="00E7294E">
            <w:pPr>
              <w:pStyle w:val="ProductList-OfferingBody"/>
              <w:jc w:val="center"/>
              <w:rPr>
                <w:color w:val="FFFFFF" w:themeColor="background1"/>
                <w:kern w:val="2"/>
                <w14:ligatures w14:val="standardContextual"/>
              </w:rPr>
            </w:pPr>
            <w:r>
              <w:rPr>
                <w:color w:val="FFFFFF" w:themeColor="background1"/>
                <w14:ligatures w14:val="standardContextual"/>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0F4CC88" w14:textId="77777777" w:rsidR="00E92C40" w:rsidRDefault="00E92C40" w:rsidP="00E7294E">
            <w:pPr>
              <w:pStyle w:val="ProductList-OfferingBody"/>
              <w:jc w:val="center"/>
              <w:rPr>
                <w:color w:val="FFFFFF" w:themeColor="background1"/>
                <w:kern w:val="2"/>
                <w14:ligatures w14:val="standardContextual"/>
              </w:rPr>
            </w:pPr>
            <w:r>
              <w:rPr>
                <w:color w:val="FFFFFF" w:themeColor="background1"/>
                <w14:ligatures w14:val="standardContextual"/>
              </w:rPr>
              <w:t>Środki Serwisowe na Używanie Usług</w:t>
            </w:r>
          </w:p>
        </w:tc>
      </w:tr>
      <w:tr w:rsidR="00E92C40" w14:paraId="66518298"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364C7C" w14:textId="77777777" w:rsidR="00E92C40" w:rsidRDefault="00E92C40" w:rsidP="00E7294E">
            <w:pPr>
              <w:pStyle w:val="ProductList-OfferingBody"/>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129E7" w14:textId="77777777" w:rsidR="00E92C40" w:rsidRDefault="00E92C40" w:rsidP="00E7294E">
            <w:pPr>
              <w:pStyle w:val="ProductList-OfferingBody"/>
              <w:jc w:val="center"/>
              <w:rPr>
                <w:kern w:val="2"/>
                <w14:ligatures w14:val="standardContextual"/>
              </w:rPr>
            </w:pPr>
            <w:r>
              <w:rPr>
                <w14:ligatures w14:val="standardContextual"/>
              </w:rPr>
              <w:t>10%</w:t>
            </w:r>
          </w:p>
        </w:tc>
      </w:tr>
      <w:tr w:rsidR="00E92C40" w14:paraId="73ABD1C9" w14:textId="77777777" w:rsidTr="00E92C4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0BEED6" w14:textId="77777777" w:rsidR="00E92C40" w:rsidRDefault="00E92C40" w:rsidP="00E7294E">
            <w:pPr>
              <w:pStyle w:val="ProductList-OfferingBody"/>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67DFB" w14:textId="77777777" w:rsidR="00E92C40" w:rsidRDefault="00E92C40" w:rsidP="00E7294E">
            <w:pPr>
              <w:pStyle w:val="ProductList-OfferingBody"/>
              <w:jc w:val="center"/>
              <w:rPr>
                <w:kern w:val="2"/>
                <w14:ligatures w14:val="standardContextual"/>
              </w:rPr>
            </w:pPr>
            <w:r>
              <w:rPr>
                <w14:ligatures w14:val="standardContextual"/>
              </w:rPr>
              <w:t>25%</w:t>
            </w:r>
          </w:p>
        </w:tc>
      </w:tr>
    </w:tbl>
    <w:p w14:paraId="3FF1E71D" w14:textId="7716DBBE" w:rsidR="00B46AF4" w:rsidRPr="00EF7CF9" w:rsidRDefault="00C71F89" w:rsidP="00B46AF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32B7AEC" w14:textId="4AA9B99E" w:rsidR="008B23AE" w:rsidRPr="008B23AE" w:rsidRDefault="008B23AE" w:rsidP="00BC5957">
      <w:pPr>
        <w:pStyle w:val="ProductList-Offering2Heading"/>
        <w:keepNext/>
        <w:tabs>
          <w:tab w:val="clear" w:pos="360"/>
          <w:tab w:val="clear" w:pos="720"/>
          <w:tab w:val="clear" w:pos="1080"/>
        </w:tabs>
        <w:outlineLvl w:val="2"/>
      </w:pPr>
      <w:bookmarkStart w:id="289" w:name="_Toc239175022"/>
      <w:proofErr w:type="spellStart"/>
      <w:r>
        <w:t>Health</w:t>
      </w:r>
      <w:proofErr w:type="spellEnd"/>
      <w:r>
        <w:t xml:space="preserve"> Bot</w:t>
      </w:r>
      <w:bookmarkEnd w:id="289"/>
    </w:p>
    <w:p w14:paraId="761783E0" w14:textId="77777777" w:rsidR="008B23AE" w:rsidRPr="008B23AE" w:rsidRDefault="008B23AE" w:rsidP="00BC5957">
      <w:pPr>
        <w:pStyle w:val="ProductList-Body"/>
        <w:keepNext/>
        <w:rPr>
          <w:b/>
          <w:bCs/>
          <w:color w:val="00188F"/>
        </w:rPr>
      </w:pPr>
      <w:r>
        <w:rPr>
          <w:b/>
          <w:bCs/>
          <w:color w:val="00188F"/>
        </w:rPr>
        <w:t>Dodatkowe definicje</w:t>
      </w:r>
    </w:p>
    <w:p w14:paraId="7F2B27E6" w14:textId="77777777" w:rsidR="008B23AE" w:rsidRDefault="008B23AE" w:rsidP="008B23AE">
      <w:pPr>
        <w:pStyle w:val="ProductList-Body"/>
      </w:pPr>
      <w:r>
        <w:t>„</w:t>
      </w:r>
      <w:r>
        <w:rPr>
          <w:b/>
          <w:bCs/>
          <w:color w:val="00188F"/>
        </w:rPr>
        <w:t xml:space="preserve">Kanał </w:t>
      </w:r>
      <w:proofErr w:type="spellStart"/>
      <w:r>
        <w:rPr>
          <w:b/>
          <w:bCs/>
          <w:color w:val="00188F"/>
        </w:rPr>
        <w:t>Azure</w:t>
      </w:r>
      <w:proofErr w:type="spellEnd"/>
      <w:r>
        <w:rPr>
          <w:b/>
          <w:bCs/>
          <w:color w:val="00188F"/>
        </w:rPr>
        <w:t xml:space="preserve"> </w:t>
      </w:r>
      <w:proofErr w:type="spellStart"/>
      <w:r>
        <w:rPr>
          <w:b/>
          <w:bCs/>
          <w:color w:val="00188F"/>
        </w:rPr>
        <w:t>Health</w:t>
      </w:r>
      <w:proofErr w:type="spellEnd"/>
      <w:r>
        <w:rPr>
          <w:b/>
          <w:bCs/>
          <w:color w:val="00188F"/>
        </w:rPr>
        <w:t xml:space="preserve"> Bot Premium</w:t>
      </w:r>
      <w:r>
        <w:t xml:space="preserve">” to kanał platformy Bot Framework w kategorii </w:t>
      </w:r>
      <w:proofErr w:type="spellStart"/>
      <w:r>
        <w:t>premium</w:t>
      </w:r>
      <w:proofErr w:type="spellEnd"/>
      <w:r>
        <w:t xml:space="preserve"> obejmujący usługi </w:t>
      </w:r>
      <w:proofErr w:type="spellStart"/>
      <w:r>
        <w:t>Webchat</w:t>
      </w:r>
      <w:proofErr w:type="spellEnd"/>
      <w:r>
        <w:t xml:space="preserve"> i Direct Line.</w:t>
      </w:r>
    </w:p>
    <w:p w14:paraId="55A4B3E0" w14:textId="77777777" w:rsidR="008B23AE" w:rsidRDefault="008B23AE" w:rsidP="008B23AE">
      <w:pPr>
        <w:pStyle w:val="ProductList-Body"/>
      </w:pPr>
      <w:r>
        <w:t>„</w:t>
      </w:r>
      <w:r>
        <w:rPr>
          <w:b/>
          <w:bCs/>
          <w:color w:val="00188F"/>
        </w:rPr>
        <w:t xml:space="preserve">Aplikacja Klienta </w:t>
      </w:r>
      <w:proofErr w:type="spellStart"/>
      <w:r>
        <w:rPr>
          <w:b/>
          <w:bCs/>
          <w:color w:val="00188F"/>
        </w:rPr>
        <w:t>Health</w:t>
      </w:r>
      <w:proofErr w:type="spellEnd"/>
      <w:r>
        <w:rPr>
          <w:b/>
          <w:bCs/>
          <w:color w:val="00188F"/>
        </w:rPr>
        <w:t xml:space="preserve"> Bot</w:t>
      </w:r>
      <w:r>
        <w:t xml:space="preserve">” to zarejestrowana w Usłudze </w:t>
      </w:r>
      <w:proofErr w:type="spellStart"/>
      <w:r>
        <w:t>Azure</w:t>
      </w:r>
      <w:proofErr w:type="spellEnd"/>
      <w:r>
        <w:t xml:space="preserve"> </w:t>
      </w:r>
      <w:proofErr w:type="spellStart"/>
      <w:r>
        <w:t>Health</w:t>
      </w:r>
      <w:proofErr w:type="spellEnd"/>
      <w:r>
        <w:t xml:space="preserve"> Bot internetowa aplikacja konwersacyjna klienta </w:t>
      </w:r>
      <w:proofErr w:type="spellStart"/>
      <w:r>
        <w:t>Health</w:t>
      </w:r>
      <w:proofErr w:type="spellEnd"/>
      <w:r>
        <w:t xml:space="preserve"> Bot, która umożliwia wysyłanie wiadomości do Usługi </w:t>
      </w:r>
      <w:proofErr w:type="spellStart"/>
      <w:r>
        <w:t>Azure</w:t>
      </w:r>
      <w:proofErr w:type="spellEnd"/>
      <w:r>
        <w:t xml:space="preserve"> </w:t>
      </w:r>
      <w:proofErr w:type="spellStart"/>
      <w:r>
        <w:t>Health</w:t>
      </w:r>
      <w:proofErr w:type="spellEnd"/>
      <w:r>
        <w:t xml:space="preserve"> Bot i odbieranie wiadomości z Usługi </w:t>
      </w:r>
      <w:proofErr w:type="spellStart"/>
      <w:r>
        <w:t>Azure</w:t>
      </w:r>
      <w:proofErr w:type="spellEnd"/>
      <w:r>
        <w:t xml:space="preserve"> </w:t>
      </w:r>
      <w:proofErr w:type="spellStart"/>
      <w:r>
        <w:t>Health</w:t>
      </w:r>
      <w:proofErr w:type="spellEnd"/>
      <w:r>
        <w:t xml:space="preserve"> Bot.</w:t>
      </w:r>
    </w:p>
    <w:p w14:paraId="459B7380" w14:textId="77777777" w:rsidR="008B23AE" w:rsidRDefault="008B23AE" w:rsidP="008B23AE">
      <w:pPr>
        <w:pStyle w:val="ProductList-Body"/>
      </w:pPr>
      <w:r>
        <w:t>„</w:t>
      </w:r>
      <w:r>
        <w:rPr>
          <w:b/>
          <w:bCs/>
          <w:color w:val="00188F"/>
        </w:rPr>
        <w:t xml:space="preserve">Klient </w:t>
      </w:r>
      <w:proofErr w:type="spellStart"/>
      <w:r>
        <w:rPr>
          <w:b/>
          <w:bCs/>
          <w:color w:val="00188F"/>
        </w:rPr>
        <w:t>Health</w:t>
      </w:r>
      <w:proofErr w:type="spellEnd"/>
      <w:r>
        <w:rPr>
          <w:b/>
          <w:bCs/>
          <w:color w:val="00188F"/>
        </w:rPr>
        <w:t xml:space="preserve"> Bot</w:t>
      </w:r>
      <w:r>
        <w:t xml:space="preserve">” to użytkownik końcowy mający dostęp do części Aplikacji Klienta </w:t>
      </w:r>
      <w:proofErr w:type="spellStart"/>
      <w:r>
        <w:t>Health</w:t>
      </w:r>
      <w:proofErr w:type="spellEnd"/>
      <w:r>
        <w:t xml:space="preserve"> Bot.</w:t>
      </w:r>
    </w:p>
    <w:p w14:paraId="7098DA7D" w14:textId="77777777" w:rsidR="008B23AE" w:rsidRDefault="008B23AE" w:rsidP="008B23AE">
      <w:pPr>
        <w:pStyle w:val="ProductList-Body"/>
      </w:pPr>
      <w:r>
        <w:t>„</w:t>
      </w:r>
      <w:proofErr w:type="spellStart"/>
      <w:r>
        <w:rPr>
          <w:b/>
          <w:bCs/>
          <w:color w:val="00188F"/>
        </w:rPr>
        <w:t>Azure</w:t>
      </w:r>
      <w:proofErr w:type="spellEnd"/>
      <w:r>
        <w:rPr>
          <w:b/>
          <w:bCs/>
          <w:color w:val="00188F"/>
        </w:rPr>
        <w:t xml:space="preserve"> </w:t>
      </w:r>
      <w:proofErr w:type="spellStart"/>
      <w:r>
        <w:rPr>
          <w:b/>
          <w:bCs/>
          <w:color w:val="00188F"/>
        </w:rPr>
        <w:t>Health</w:t>
      </w:r>
      <w:proofErr w:type="spellEnd"/>
      <w:r>
        <w:rPr>
          <w:b/>
          <w:bCs/>
          <w:color w:val="00188F"/>
        </w:rPr>
        <w:t xml:space="preserve"> Bot</w:t>
      </w:r>
      <w:r>
        <w:t>” to platforma służąca do tworzenia, łączenia, testowania i wdrażania zaawansowanych i inteligentnych asystentów wirtualnych.</w:t>
      </w:r>
    </w:p>
    <w:p w14:paraId="0FD30F46" w14:textId="77777777" w:rsidR="008B23AE" w:rsidRDefault="008B23AE" w:rsidP="008B23AE">
      <w:pPr>
        <w:pStyle w:val="ProductList-Body"/>
      </w:pPr>
      <w:r>
        <w:t>„</w:t>
      </w:r>
      <w:r>
        <w:rPr>
          <w:b/>
          <w:bCs/>
          <w:color w:val="00188F"/>
        </w:rPr>
        <w:t xml:space="preserve">Punkt Końcowy Interfejsu API Kanałów </w:t>
      </w:r>
      <w:proofErr w:type="spellStart"/>
      <w:r>
        <w:rPr>
          <w:b/>
          <w:bCs/>
          <w:color w:val="00188F"/>
        </w:rPr>
        <w:t>Azure</w:t>
      </w:r>
      <w:proofErr w:type="spellEnd"/>
      <w:r>
        <w:rPr>
          <w:b/>
          <w:bCs/>
          <w:color w:val="00188F"/>
        </w:rPr>
        <w:t xml:space="preserve"> </w:t>
      </w:r>
      <w:proofErr w:type="spellStart"/>
      <w:r>
        <w:rPr>
          <w:b/>
          <w:bCs/>
          <w:color w:val="00188F"/>
        </w:rPr>
        <w:t>Health</w:t>
      </w:r>
      <w:proofErr w:type="spellEnd"/>
      <w:r>
        <w:rPr>
          <w:b/>
          <w:bCs/>
          <w:color w:val="00188F"/>
        </w:rPr>
        <w:t xml:space="preserve"> Bot</w:t>
      </w:r>
      <w:r>
        <w:t xml:space="preserve">” to punkt końcowy interfejsu API REST, którego używa Klient </w:t>
      </w:r>
      <w:proofErr w:type="spellStart"/>
      <w:r>
        <w:t>Health</w:t>
      </w:r>
      <w:proofErr w:type="spellEnd"/>
      <w:r>
        <w:t xml:space="preserve"> Bot na potrzeby komunikacji HTTP za pośrednictwem Kanałów </w:t>
      </w:r>
      <w:proofErr w:type="spellStart"/>
      <w:r>
        <w:t>Health</w:t>
      </w:r>
      <w:proofErr w:type="spellEnd"/>
      <w:r>
        <w:t xml:space="preserve"> Bot.</w:t>
      </w:r>
    </w:p>
    <w:p w14:paraId="51948353" w14:textId="4A47F8D4" w:rsidR="008B23AE" w:rsidRDefault="008B23AE" w:rsidP="008B23AE">
      <w:pPr>
        <w:pStyle w:val="ProductList-Body"/>
      </w:pPr>
      <w:r>
        <w:t>„</w:t>
      </w:r>
      <w:r>
        <w:rPr>
          <w:b/>
          <w:bCs/>
          <w:color w:val="00188F"/>
        </w:rPr>
        <w:t>Łączna Liczba Żądań API</w:t>
      </w:r>
      <w:r w:rsidR="00122FC8">
        <w:t>”</w:t>
      </w:r>
      <w:r>
        <w:t xml:space="preserve"> to łączna liczba żądań HTTP wysłanych przez Aplikację Klienta </w:t>
      </w:r>
      <w:proofErr w:type="spellStart"/>
      <w:r>
        <w:t>Health</w:t>
      </w:r>
      <w:proofErr w:type="spellEnd"/>
      <w:r>
        <w:t xml:space="preserve"> Bot lub Klienta </w:t>
      </w:r>
      <w:proofErr w:type="spellStart"/>
      <w:r>
        <w:t>Health</w:t>
      </w:r>
      <w:proofErr w:type="spellEnd"/>
      <w:r>
        <w:t xml:space="preserve"> Bot do Punktu Końcowego API </w:t>
      </w:r>
      <w:proofErr w:type="spellStart"/>
      <w:r>
        <w:t>Azure</w:t>
      </w:r>
      <w:proofErr w:type="spellEnd"/>
      <w:r>
        <w:t xml:space="preserve"> </w:t>
      </w:r>
      <w:proofErr w:type="spellStart"/>
      <w:r>
        <w:t>Health</w:t>
      </w:r>
      <w:proofErr w:type="spellEnd"/>
      <w:r>
        <w:t xml:space="preserve"> Bot </w:t>
      </w:r>
      <w:proofErr w:type="spellStart"/>
      <w:r>
        <w:t>Channels</w:t>
      </w:r>
      <w:proofErr w:type="spellEnd"/>
      <w:r>
        <w:t xml:space="preserve"> we Właściwym Okresie.</w:t>
      </w:r>
    </w:p>
    <w:p w14:paraId="26D47C0E" w14:textId="77777777" w:rsidR="008B23AE" w:rsidRDefault="008B23AE" w:rsidP="008B23AE">
      <w:pPr>
        <w:pStyle w:val="ProductList-Body"/>
      </w:pPr>
      <w:r>
        <w:t>„</w:t>
      </w:r>
      <w:r>
        <w:rPr>
          <w:b/>
          <w:bCs/>
          <w:color w:val="00188F"/>
        </w:rPr>
        <w:t>Żądania API Zakończone Niepowodzeniem</w:t>
      </w:r>
      <w:r>
        <w:t>” to łączna liczba żądań w ramach Łącznej Liczby Żądań API, które zwracają Kod Błędu albo nie dają odpowiedzi w ciągu dwóch minut.</w:t>
      </w:r>
    </w:p>
    <w:p w14:paraId="051FDBFA" w14:textId="4F37EBD3" w:rsidR="008B23AE" w:rsidRDefault="008B23AE" w:rsidP="008B23AE">
      <w:pPr>
        <w:pStyle w:val="ProductList-Body"/>
      </w:pPr>
      <w:r>
        <w:t>„</w:t>
      </w:r>
      <w:r>
        <w:rPr>
          <w:b/>
          <w:bCs/>
          <w:color w:val="00188F"/>
        </w:rPr>
        <w:t>Procent Czasu Sprawnego Działania</w:t>
      </w:r>
      <w:r>
        <w:t>” jest obliczany jako Łączna liczba Żądań API pomniejszona o Żądania API Zakończone Niepowodzeniem podzielona przez Łączną Liczbę Żądań API pomnożona przez 100.</w:t>
      </w:r>
    </w:p>
    <w:p w14:paraId="5CBB5BBD" w14:textId="677D4BEA" w:rsidR="008B23AE" w:rsidRDefault="00AC48A7" w:rsidP="008B23AE">
      <w:pPr>
        <w:pStyle w:val="ProductList-Body"/>
      </w:pPr>
      <w:r>
        <w:rPr>
          <w:b/>
          <w:bCs/>
          <w:color w:val="00188F"/>
        </w:rPr>
        <w:t>Procent Czasu Sprawnego Działania</w:t>
      </w:r>
      <w:r>
        <w:rPr>
          <w:color w:val="00188F"/>
        </w:rPr>
        <w:t xml:space="preserve"> </w:t>
      </w:r>
      <w:r>
        <w:t>Procent Czasu Sprawnego Działania jest obliczany przy użyciu następującego wzoru:</w:t>
      </w:r>
    </w:p>
    <w:p w14:paraId="7F009D58" w14:textId="57699DD1" w:rsidR="00766665" w:rsidRPr="00EF7CF9" w:rsidRDefault="00000000" w:rsidP="00261A3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Żądań API — Nieudane Żądania API</m:t>
              </m:r>
            </m:num>
            <m:den>
              <m:r>
                <m:rPr>
                  <m:nor/>
                </m:rPr>
                <w:rPr>
                  <w:rFonts w:ascii="Cambria Math" w:hAnsi="Cambria Math" w:cs="Tahoma"/>
                  <w:i/>
                  <w:sz w:val="18"/>
                  <w:szCs w:val="18"/>
                </w:rPr>
                <m:t>Łączna Liczba Żądań API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8A407FE" w14:textId="03B2264F" w:rsidR="008B23AE" w:rsidRPr="00167E37" w:rsidRDefault="008B23AE" w:rsidP="008B23AE">
      <w:pPr>
        <w:pStyle w:val="ProductList-Body"/>
        <w:rPr>
          <w:b/>
          <w:bCs/>
          <w:color w:val="00188F"/>
        </w:rPr>
      </w:pPr>
      <w:r>
        <w:rPr>
          <w:b/>
          <w:bCs/>
          <w:color w:val="00188F"/>
        </w:rPr>
        <w:t xml:space="preserve">Do używania przez Klienta Kanałów Microsoft </w:t>
      </w:r>
      <w:proofErr w:type="spellStart"/>
      <w:r>
        <w:rPr>
          <w:b/>
          <w:bCs/>
          <w:color w:val="00188F"/>
        </w:rPr>
        <w:t>Azure</w:t>
      </w:r>
      <w:proofErr w:type="spellEnd"/>
      <w:r>
        <w:rPr>
          <w:b/>
          <w:bCs/>
          <w:color w:val="00188F"/>
        </w:rPr>
        <w:t xml:space="preserve"> </w:t>
      </w:r>
      <w:proofErr w:type="spellStart"/>
      <w:r>
        <w:rPr>
          <w:b/>
          <w:bCs/>
          <w:color w:val="00188F"/>
        </w:rPr>
        <w:t>Health</w:t>
      </w:r>
      <w:proofErr w:type="spellEnd"/>
      <w:r>
        <w:rPr>
          <w:b/>
          <w:bCs/>
          <w:color w:val="00188F"/>
        </w:rPr>
        <w:t xml:space="preserve"> Bot mają zastosowanie następujące Poziomy Usługi i Środki Serwisowe na Używanie</w:t>
      </w:r>
      <w:r w:rsidR="008A5F67">
        <w:rPr>
          <w:b/>
          <w:bCs/>
          <w:color w:val="00188F"/>
        </w:rPr>
        <w:t> </w:t>
      </w:r>
      <w:r>
        <w:rPr>
          <w:b/>
          <w:bCs/>
          <w:color w:val="00188F"/>
        </w:rPr>
        <w:t>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A72F9" w:rsidRPr="00B44CF9" w14:paraId="4D8A7FB7" w14:textId="77777777" w:rsidTr="00277097">
        <w:trPr>
          <w:tblHeader/>
        </w:trPr>
        <w:tc>
          <w:tcPr>
            <w:tcW w:w="5400" w:type="dxa"/>
            <w:shd w:val="clear" w:color="auto" w:fill="0072C6"/>
          </w:tcPr>
          <w:p w14:paraId="177A649F" w14:textId="4CD6359C" w:rsidR="009A72F9"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D72F0BE" w14:textId="77777777" w:rsidR="009A72F9" w:rsidRPr="00EF7CF9" w:rsidRDefault="009A72F9" w:rsidP="000F31B4">
            <w:pPr>
              <w:pStyle w:val="ProductList-OfferingBody"/>
              <w:jc w:val="center"/>
              <w:rPr>
                <w:color w:val="FFFFFF" w:themeColor="background1"/>
              </w:rPr>
            </w:pPr>
            <w:r>
              <w:rPr>
                <w:color w:val="FFFFFF" w:themeColor="background1"/>
              </w:rPr>
              <w:t>Środki Serwisowe na Używanie Usług</w:t>
            </w:r>
          </w:p>
        </w:tc>
      </w:tr>
      <w:tr w:rsidR="009A72F9" w:rsidRPr="00B44CF9" w14:paraId="3DC04967" w14:textId="77777777" w:rsidTr="00277097">
        <w:tc>
          <w:tcPr>
            <w:tcW w:w="5400" w:type="dxa"/>
          </w:tcPr>
          <w:p w14:paraId="55526F63" w14:textId="77777777" w:rsidR="009A72F9" w:rsidRPr="00EF7CF9" w:rsidRDefault="009A72F9" w:rsidP="000F31B4">
            <w:pPr>
              <w:pStyle w:val="ProductList-OfferingBody"/>
              <w:jc w:val="center"/>
            </w:pPr>
            <w:r>
              <w:t>&lt; 99,9%</w:t>
            </w:r>
          </w:p>
        </w:tc>
        <w:tc>
          <w:tcPr>
            <w:tcW w:w="5400" w:type="dxa"/>
          </w:tcPr>
          <w:p w14:paraId="568815FC" w14:textId="77777777" w:rsidR="009A72F9" w:rsidRPr="00EF7CF9" w:rsidRDefault="009A72F9" w:rsidP="000F31B4">
            <w:pPr>
              <w:pStyle w:val="ProductList-OfferingBody"/>
              <w:jc w:val="center"/>
            </w:pPr>
            <w:r>
              <w:t>10%</w:t>
            </w:r>
          </w:p>
        </w:tc>
      </w:tr>
      <w:tr w:rsidR="009A72F9" w:rsidRPr="00B44CF9" w14:paraId="3016D957" w14:textId="77777777" w:rsidTr="00277097">
        <w:trPr>
          <w:trHeight w:val="80"/>
        </w:trPr>
        <w:tc>
          <w:tcPr>
            <w:tcW w:w="5400" w:type="dxa"/>
          </w:tcPr>
          <w:p w14:paraId="14CCBAA1" w14:textId="77777777" w:rsidR="009A72F9" w:rsidRPr="00EF7CF9" w:rsidRDefault="009A72F9" w:rsidP="000F31B4">
            <w:pPr>
              <w:pStyle w:val="ProductList-OfferingBody"/>
              <w:jc w:val="center"/>
            </w:pPr>
            <w:r>
              <w:t>&lt; 99%</w:t>
            </w:r>
          </w:p>
        </w:tc>
        <w:tc>
          <w:tcPr>
            <w:tcW w:w="5400" w:type="dxa"/>
          </w:tcPr>
          <w:p w14:paraId="0D206D89" w14:textId="77777777" w:rsidR="009A72F9" w:rsidRPr="00EF7CF9" w:rsidRDefault="009A72F9" w:rsidP="000F31B4">
            <w:pPr>
              <w:pStyle w:val="ProductList-OfferingBody"/>
              <w:jc w:val="center"/>
            </w:pPr>
            <w:r>
              <w:t>25%</w:t>
            </w:r>
          </w:p>
        </w:tc>
      </w:tr>
    </w:tbl>
    <w:p w14:paraId="5328D5E7" w14:textId="07CDC21F" w:rsidR="009A72F9" w:rsidRPr="00EF7CF9" w:rsidRDefault="00C71F89" w:rsidP="009A72F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93FBDBF" w14:textId="4A133429" w:rsidR="003C3496" w:rsidRPr="00EF7CF9" w:rsidRDefault="003C3496" w:rsidP="000D38EE">
      <w:pPr>
        <w:pStyle w:val="ProductList-Offering2Heading"/>
        <w:tabs>
          <w:tab w:val="clear" w:pos="360"/>
          <w:tab w:val="clear" w:pos="720"/>
          <w:tab w:val="clear" w:pos="1080"/>
        </w:tabs>
        <w:outlineLvl w:val="2"/>
      </w:pPr>
      <w:bookmarkStart w:id="290" w:name="_Toc457821532"/>
      <w:bookmarkStart w:id="291" w:name="_Toc52349006"/>
      <w:bookmarkStart w:id="292" w:name="_Toc239175023"/>
      <w:bookmarkStart w:id="293" w:name="AzureRightsManagementPremium"/>
      <w:proofErr w:type="spellStart"/>
      <w:r>
        <w:t>Azure</w:t>
      </w:r>
      <w:proofErr w:type="spellEnd"/>
      <w:r>
        <w:t xml:space="preserve"> Information </w:t>
      </w:r>
      <w:proofErr w:type="spellStart"/>
      <w:r>
        <w:t>Protection</w:t>
      </w:r>
      <w:bookmarkEnd w:id="290"/>
      <w:bookmarkEnd w:id="291"/>
      <w:bookmarkEnd w:id="292"/>
      <w:proofErr w:type="spellEnd"/>
    </w:p>
    <w:bookmarkEnd w:id="293"/>
    <w:p w14:paraId="1D5F3E5D" w14:textId="77777777" w:rsidR="003C3496" w:rsidRPr="00EF7CF9" w:rsidRDefault="003C3496" w:rsidP="003C3496">
      <w:pPr>
        <w:pStyle w:val="ProductList-Body"/>
      </w:pPr>
      <w:r>
        <w:rPr>
          <w:b/>
          <w:color w:val="00188F"/>
        </w:rPr>
        <w:t>Przestój</w:t>
      </w:r>
      <w:r w:rsidRPr="0034704E">
        <w:rPr>
          <w:b/>
          <w:color w:val="00188F"/>
        </w:rPr>
        <w:t>:</w:t>
      </w:r>
      <w:r>
        <w:t xml:space="preserve"> </w:t>
      </w:r>
      <w:r>
        <w:rPr>
          <w:szCs w:val="18"/>
        </w:rPr>
        <w:t>Dowolny okres, w którym użytkownicy końcowi nie mogą tworzyć ani korzystać z dokumentów IRM i wiadomości e-mail.</w:t>
      </w:r>
    </w:p>
    <w:p w14:paraId="0D5DE02B" w14:textId="5DF68E16" w:rsidR="003C3496" w:rsidRPr="00EF7CF9" w:rsidRDefault="00AC48A7" w:rsidP="003C3496">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33E2F56A" w14:textId="6B5B7370" w:rsidR="003C3496" w:rsidRPr="00EF7CF9" w:rsidRDefault="00000000" w:rsidP="005D2B3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Minuty Użytkownika - Przestój </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24EDA320" w14:textId="1646DCCB" w:rsidR="003C3496" w:rsidRPr="00EF7CF9" w:rsidRDefault="00AC48A7" w:rsidP="003C3496">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176B2706" w14:textId="77777777" w:rsidR="003C3496" w:rsidRPr="00EF7CF9" w:rsidRDefault="003C3496" w:rsidP="003C3496">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C3496" w:rsidRPr="00B44CF9" w14:paraId="74302324" w14:textId="77777777" w:rsidTr="00277097">
        <w:trPr>
          <w:tblHeader/>
        </w:trPr>
        <w:tc>
          <w:tcPr>
            <w:tcW w:w="5400" w:type="dxa"/>
            <w:shd w:val="clear" w:color="auto" w:fill="0072C6"/>
          </w:tcPr>
          <w:p w14:paraId="04C4CF60" w14:textId="37911736" w:rsidR="003C349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D544037" w14:textId="77777777" w:rsidR="003C3496" w:rsidRPr="00EF7CF9" w:rsidRDefault="003C3496" w:rsidP="000F31B4">
            <w:pPr>
              <w:pStyle w:val="ProductList-OfferingBody"/>
              <w:jc w:val="center"/>
              <w:rPr>
                <w:color w:val="FFFFFF" w:themeColor="background1"/>
              </w:rPr>
            </w:pPr>
            <w:r>
              <w:rPr>
                <w:color w:val="FFFFFF" w:themeColor="background1"/>
              </w:rPr>
              <w:t>Środki Serwisowe na Używanie Usług</w:t>
            </w:r>
          </w:p>
        </w:tc>
      </w:tr>
      <w:tr w:rsidR="003C3496" w:rsidRPr="00B44CF9" w14:paraId="0B43A41B" w14:textId="77777777" w:rsidTr="00277097">
        <w:tc>
          <w:tcPr>
            <w:tcW w:w="5400" w:type="dxa"/>
          </w:tcPr>
          <w:p w14:paraId="75C11FE0" w14:textId="77777777" w:rsidR="003C3496" w:rsidRPr="00EF7CF9" w:rsidRDefault="003C3496" w:rsidP="000F31B4">
            <w:pPr>
              <w:pStyle w:val="ProductList-OfferingBody"/>
              <w:jc w:val="center"/>
            </w:pPr>
            <w:r>
              <w:t>&lt; 99,9%</w:t>
            </w:r>
          </w:p>
        </w:tc>
        <w:tc>
          <w:tcPr>
            <w:tcW w:w="5400" w:type="dxa"/>
          </w:tcPr>
          <w:p w14:paraId="0CF0C1B3" w14:textId="77777777" w:rsidR="003C3496" w:rsidRPr="00EF7CF9" w:rsidRDefault="003C3496" w:rsidP="000F31B4">
            <w:pPr>
              <w:pStyle w:val="ProductList-OfferingBody"/>
              <w:jc w:val="center"/>
            </w:pPr>
            <w:r>
              <w:t>25%</w:t>
            </w:r>
          </w:p>
        </w:tc>
      </w:tr>
      <w:tr w:rsidR="003C3496" w:rsidRPr="00B44CF9" w14:paraId="4FF1B6BE" w14:textId="77777777" w:rsidTr="00277097">
        <w:tc>
          <w:tcPr>
            <w:tcW w:w="5400" w:type="dxa"/>
          </w:tcPr>
          <w:p w14:paraId="3CFB5C80" w14:textId="77777777" w:rsidR="003C3496" w:rsidRPr="00EF7CF9" w:rsidRDefault="003C3496" w:rsidP="000F31B4">
            <w:pPr>
              <w:pStyle w:val="ProductList-OfferingBody"/>
              <w:jc w:val="center"/>
            </w:pPr>
            <w:r>
              <w:t>&lt; 99%</w:t>
            </w:r>
          </w:p>
        </w:tc>
        <w:tc>
          <w:tcPr>
            <w:tcW w:w="5400" w:type="dxa"/>
          </w:tcPr>
          <w:p w14:paraId="1218794A" w14:textId="77777777" w:rsidR="003C3496" w:rsidRPr="00EF7CF9" w:rsidRDefault="003C3496" w:rsidP="000F31B4">
            <w:pPr>
              <w:pStyle w:val="ProductList-OfferingBody"/>
              <w:jc w:val="center"/>
            </w:pPr>
            <w:r>
              <w:t>50%</w:t>
            </w:r>
          </w:p>
        </w:tc>
      </w:tr>
      <w:tr w:rsidR="003C3496" w:rsidRPr="00B44CF9" w14:paraId="50F1D114" w14:textId="77777777" w:rsidTr="00277097">
        <w:tc>
          <w:tcPr>
            <w:tcW w:w="5400" w:type="dxa"/>
          </w:tcPr>
          <w:p w14:paraId="06FC6CF8" w14:textId="77777777" w:rsidR="003C3496" w:rsidRPr="00EF7CF9" w:rsidRDefault="003C3496" w:rsidP="000F31B4">
            <w:pPr>
              <w:pStyle w:val="ProductList-OfferingBody"/>
              <w:jc w:val="center"/>
            </w:pPr>
            <w:r>
              <w:t>&lt; 95%</w:t>
            </w:r>
          </w:p>
        </w:tc>
        <w:tc>
          <w:tcPr>
            <w:tcW w:w="5400" w:type="dxa"/>
          </w:tcPr>
          <w:p w14:paraId="1CED26AF" w14:textId="77777777" w:rsidR="003C3496" w:rsidRPr="00EF7CF9" w:rsidRDefault="003C3496" w:rsidP="000F31B4">
            <w:pPr>
              <w:pStyle w:val="ProductList-OfferingBody"/>
              <w:jc w:val="center"/>
            </w:pPr>
            <w:r>
              <w:t>100%</w:t>
            </w:r>
          </w:p>
        </w:tc>
      </w:tr>
    </w:tbl>
    <w:p w14:paraId="67EECD5F" w14:textId="7689E5F2" w:rsidR="003C3496" w:rsidRPr="00EF7CF9" w:rsidRDefault="00C71F89" w:rsidP="003C349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36D2BC5" w14:textId="77777777" w:rsidR="007B07AE" w:rsidRPr="00EF7CF9" w:rsidRDefault="007B07AE" w:rsidP="00A33D05">
      <w:pPr>
        <w:pStyle w:val="ProductList-Offering2Heading"/>
        <w:keepNext/>
        <w:tabs>
          <w:tab w:val="clear" w:pos="360"/>
          <w:tab w:val="clear" w:pos="720"/>
          <w:tab w:val="clear" w:pos="1080"/>
        </w:tabs>
        <w:outlineLvl w:val="2"/>
      </w:pPr>
      <w:bookmarkStart w:id="294" w:name="_Toc526859685"/>
      <w:bookmarkStart w:id="295" w:name="_Toc52348959"/>
      <w:bookmarkStart w:id="296" w:name="_Toc239175024"/>
      <w:proofErr w:type="spellStart"/>
      <w:r>
        <w:t>Azure</w:t>
      </w:r>
      <w:proofErr w:type="spellEnd"/>
      <w:r>
        <w:t xml:space="preserve"> </w:t>
      </w:r>
      <w:proofErr w:type="spellStart"/>
      <w:r>
        <w:t>IoT</w:t>
      </w:r>
      <w:proofErr w:type="spellEnd"/>
      <w:r>
        <w:t xml:space="preserve"> Central</w:t>
      </w:r>
      <w:bookmarkEnd w:id="294"/>
      <w:bookmarkEnd w:id="295"/>
      <w:bookmarkEnd w:id="296"/>
    </w:p>
    <w:p w14:paraId="5E34EF0B" w14:textId="77777777" w:rsidR="007B07AE" w:rsidRPr="00EF7CF9" w:rsidRDefault="007B07AE" w:rsidP="007B07AE">
      <w:pPr>
        <w:pStyle w:val="ProductList-Body"/>
        <w:rPr>
          <w:b/>
          <w:color w:val="00188F"/>
        </w:rPr>
      </w:pPr>
      <w:r>
        <w:rPr>
          <w:b/>
          <w:color w:val="00188F"/>
        </w:rPr>
        <w:t>Dodatkowe definicje</w:t>
      </w:r>
      <w:r w:rsidRPr="0034704E">
        <w:rPr>
          <w:b/>
          <w:color w:val="00188F"/>
        </w:rPr>
        <w:t>:</w:t>
      </w:r>
    </w:p>
    <w:p w14:paraId="2FC367F7" w14:textId="543446B0" w:rsidR="007B07AE" w:rsidRPr="00EF7CF9" w:rsidRDefault="007B07AE" w:rsidP="000D38EE">
      <w:pPr>
        <w:pStyle w:val="ProductList-Body"/>
      </w:pPr>
      <w:r>
        <w:t>„</w:t>
      </w:r>
      <w:r>
        <w:rPr>
          <w:b/>
          <w:color w:val="00188F"/>
        </w:rPr>
        <w:t>Minuty Wdrożenia</w:t>
      </w:r>
      <w:r>
        <w:t xml:space="preserve">” to łączna liczba minut, przez które dana aplikacja </w:t>
      </w:r>
      <w:proofErr w:type="spellStart"/>
      <w:r>
        <w:t>IoT</w:t>
      </w:r>
      <w:proofErr w:type="spellEnd"/>
      <w:r>
        <w:t xml:space="preserve"> Central została wdrożona w ramach danej Subskrypcji na platformie Microsoft </w:t>
      </w:r>
      <w:proofErr w:type="spellStart"/>
      <w:r>
        <w:t>Azure</w:t>
      </w:r>
      <w:proofErr w:type="spellEnd"/>
      <w:r>
        <w:t xml:space="preserve"> we Właściwym Okresie.</w:t>
      </w:r>
    </w:p>
    <w:p w14:paraId="767848F1" w14:textId="77777777" w:rsidR="007B07AE" w:rsidRPr="00EF7CF9" w:rsidRDefault="007B07AE" w:rsidP="000D38EE">
      <w:pPr>
        <w:pStyle w:val="ProductList-Body"/>
      </w:pPr>
      <w:r>
        <w:t>„</w:t>
      </w:r>
      <w:r>
        <w:rPr>
          <w:b/>
          <w:color w:val="00188F"/>
        </w:rPr>
        <w:t>Operacje dotyczące Tożsamości Urządzenia</w:t>
      </w:r>
      <w:r>
        <w:t xml:space="preserve">” to operacje tworzenia, odczytywania, aktualizowania i usuwania operacji wykonywanych na urządzeniach w aplikacji </w:t>
      </w:r>
      <w:proofErr w:type="spellStart"/>
      <w:r>
        <w:t>IoT</w:t>
      </w:r>
      <w:proofErr w:type="spellEnd"/>
      <w:r>
        <w:t xml:space="preserve"> Central.</w:t>
      </w:r>
    </w:p>
    <w:p w14:paraId="7F933A10" w14:textId="7488A022" w:rsidR="007B07AE" w:rsidRPr="00EF7CF9" w:rsidRDefault="007B07AE" w:rsidP="000D38EE">
      <w:pPr>
        <w:pStyle w:val="ProductList-Body"/>
      </w:pPr>
      <w:r>
        <w:t>„</w:t>
      </w:r>
      <w:r>
        <w:rPr>
          <w:b/>
          <w:color w:val="00188F"/>
        </w:rPr>
        <w:t>Maksymalna Liczba Dostępnych Minut</w:t>
      </w:r>
      <w:r>
        <w:t xml:space="preserve">” to suma wszystkich Minut Wdrożenia we wszystkich aplikacjach </w:t>
      </w:r>
      <w:proofErr w:type="spellStart"/>
      <w:r>
        <w:t>IoT</w:t>
      </w:r>
      <w:proofErr w:type="spellEnd"/>
      <w:r>
        <w:t xml:space="preserve"> Central wdrożonych przez użytkownika w ramach danej subskrypcji Microsoft </w:t>
      </w:r>
      <w:proofErr w:type="spellStart"/>
      <w:r>
        <w:t>Azure</w:t>
      </w:r>
      <w:proofErr w:type="spellEnd"/>
      <w:r>
        <w:t xml:space="preserve"> we Właściwym Okresie.</w:t>
      </w:r>
    </w:p>
    <w:p w14:paraId="4E276309" w14:textId="77777777" w:rsidR="007B07AE" w:rsidRPr="00EF7CF9" w:rsidRDefault="007B07AE" w:rsidP="000D38EE">
      <w:pPr>
        <w:pStyle w:val="ProductList-Body"/>
      </w:pPr>
      <w:r>
        <w:t>„</w:t>
      </w:r>
      <w:r>
        <w:rPr>
          <w:b/>
          <w:color w:val="00188F"/>
        </w:rPr>
        <w:t>Wiadomość</w:t>
      </w:r>
      <w:r>
        <w:t xml:space="preserve">” to dowolna treść wysłana przy użyciu wdrożonej aplikacji </w:t>
      </w:r>
      <w:proofErr w:type="spellStart"/>
      <w:r>
        <w:t>IoT</w:t>
      </w:r>
      <w:proofErr w:type="spellEnd"/>
      <w:r>
        <w:t xml:space="preserve"> Central do urządzenia zarejestrowanego w aplikacji </w:t>
      </w:r>
      <w:proofErr w:type="spellStart"/>
      <w:r>
        <w:t>IoT</w:t>
      </w:r>
      <w:proofErr w:type="spellEnd"/>
      <w:r>
        <w:t xml:space="preserve"> Central albo odebrana przez aplikację </w:t>
      </w:r>
      <w:proofErr w:type="spellStart"/>
      <w:r>
        <w:t>IoT</w:t>
      </w:r>
      <w:proofErr w:type="spellEnd"/>
      <w:r>
        <w:t xml:space="preserve"> Central z takiego zarejestrowanego urządzenia. </w:t>
      </w:r>
    </w:p>
    <w:p w14:paraId="5867CA80" w14:textId="67EA50AD" w:rsidR="007B07AE" w:rsidRPr="00EF7CF9" w:rsidRDefault="007B07AE" w:rsidP="000D38EE">
      <w:pPr>
        <w:pStyle w:val="ProductList-Body"/>
      </w:pPr>
      <w:r>
        <w:rPr>
          <w:b/>
          <w:color w:val="00188F"/>
        </w:rPr>
        <w:t>Przestój</w:t>
      </w:r>
      <w:r w:rsidRPr="0034704E">
        <w:rPr>
          <w:b/>
          <w:color w:val="00188F"/>
        </w:rPr>
        <w:t>:</w:t>
      </w:r>
      <w:r>
        <w:t xml:space="preserve"> to łączna zakumulowana Maksymalna Liczba Dostępnych Minut, podczas których aplikacja </w:t>
      </w:r>
      <w:proofErr w:type="spellStart"/>
      <w:r>
        <w:t>IoT</w:t>
      </w:r>
      <w:proofErr w:type="spellEnd"/>
      <w:r>
        <w:t xml:space="preserve"> Central jest niedostępna. Minuta jest uznawana za niedostępną dla danej aplikacji </w:t>
      </w:r>
      <w:proofErr w:type="spellStart"/>
      <w:r>
        <w:t>IoT</w:t>
      </w:r>
      <w:proofErr w:type="spellEnd"/>
      <w:r>
        <w:t xml:space="preserve"> Central, jeśli wszystkie ciągłe próby wysłania albo odebrania Wiadomości czy też wykonania Operacji dotyczących Tożsamości Urządzenia w aplikacji </w:t>
      </w:r>
      <w:proofErr w:type="spellStart"/>
      <w:r>
        <w:t>IoT</w:t>
      </w:r>
      <w:proofErr w:type="spellEnd"/>
      <w:r>
        <w:t> Central w ciągu tej minuty zwracają Kod Błędu albo nie zwracają Kodu Sukcesu przed</w:t>
      </w:r>
      <w:r w:rsidR="004913F0">
        <w:t> </w:t>
      </w:r>
      <w:r>
        <w:t>upływem pięciu minut.</w:t>
      </w:r>
    </w:p>
    <w:p w14:paraId="75B7A6D8" w14:textId="59690245" w:rsidR="007B07AE" w:rsidRPr="00EF7CF9" w:rsidRDefault="00AC48A7" w:rsidP="00CD60E6">
      <w:pPr>
        <w:pStyle w:val="ProductList-Body"/>
        <w:keepNext/>
        <w:keepLines/>
      </w:pPr>
      <w:r>
        <w:rPr>
          <w:b/>
          <w:color w:val="00188F"/>
        </w:rPr>
        <w:t>Procent Czasu Sprawnego Działania</w:t>
      </w:r>
      <w:r w:rsidRPr="0034704E">
        <w:rPr>
          <w:b/>
          <w:color w:val="00188F"/>
        </w:rPr>
        <w:t>:</w:t>
      </w:r>
      <w:r>
        <w:t xml:space="preserve"> Procent Czasu Sprawnego Działania jest obliczany przy użyciu następującego wzoru:</w:t>
      </w:r>
    </w:p>
    <w:p w14:paraId="12F9185F" w14:textId="09D84ED8" w:rsidR="007B07AE" w:rsidRPr="00EF7CF9" w:rsidRDefault="00000000" w:rsidP="005D2B3D">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928BF49" w14:textId="77777777" w:rsidR="007B07AE" w:rsidRPr="00EF7CF9" w:rsidRDefault="007B07AE" w:rsidP="007B07A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B07AE" w:rsidRPr="00B44CF9" w14:paraId="4A757A79" w14:textId="77777777" w:rsidTr="00277097">
        <w:trPr>
          <w:tblHeader/>
        </w:trPr>
        <w:tc>
          <w:tcPr>
            <w:tcW w:w="5400" w:type="dxa"/>
            <w:shd w:val="clear" w:color="auto" w:fill="0072C6"/>
          </w:tcPr>
          <w:p w14:paraId="2B3F5E5D" w14:textId="2C8905CE" w:rsidR="007B07AE"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913DF97" w14:textId="77777777" w:rsidR="007B07AE" w:rsidRPr="005A3C16" w:rsidRDefault="007B07AE" w:rsidP="000F31B4">
            <w:pPr>
              <w:pStyle w:val="ProductList-OfferingBody"/>
              <w:jc w:val="center"/>
              <w:rPr>
                <w:color w:val="FFFFFF" w:themeColor="background1"/>
              </w:rPr>
            </w:pPr>
            <w:r>
              <w:rPr>
                <w:color w:val="FFFFFF" w:themeColor="background1"/>
              </w:rPr>
              <w:t>Środki Serwisowe na Używanie Usług</w:t>
            </w:r>
          </w:p>
        </w:tc>
      </w:tr>
      <w:tr w:rsidR="007B07AE" w:rsidRPr="00B44CF9" w14:paraId="7890475B" w14:textId="77777777" w:rsidTr="00277097">
        <w:tc>
          <w:tcPr>
            <w:tcW w:w="5400" w:type="dxa"/>
          </w:tcPr>
          <w:p w14:paraId="17E84CE6" w14:textId="77777777" w:rsidR="007B07AE" w:rsidRPr="005A3C16" w:rsidRDefault="007B07AE" w:rsidP="000F31B4">
            <w:pPr>
              <w:pStyle w:val="ProductList-OfferingBody"/>
              <w:jc w:val="center"/>
            </w:pPr>
            <w:r>
              <w:t>&lt; 99,9%</w:t>
            </w:r>
          </w:p>
        </w:tc>
        <w:tc>
          <w:tcPr>
            <w:tcW w:w="5400" w:type="dxa"/>
          </w:tcPr>
          <w:p w14:paraId="45DADE55" w14:textId="77777777" w:rsidR="007B07AE" w:rsidRPr="005A3C16" w:rsidRDefault="007B07AE" w:rsidP="000F31B4">
            <w:pPr>
              <w:pStyle w:val="ProductList-OfferingBody"/>
              <w:jc w:val="center"/>
            </w:pPr>
            <w:r>
              <w:t>10%</w:t>
            </w:r>
          </w:p>
        </w:tc>
      </w:tr>
      <w:tr w:rsidR="007B07AE" w:rsidRPr="00B44CF9" w14:paraId="606AA7FC" w14:textId="77777777" w:rsidTr="00277097">
        <w:tc>
          <w:tcPr>
            <w:tcW w:w="5400" w:type="dxa"/>
          </w:tcPr>
          <w:p w14:paraId="520E5E27" w14:textId="77777777" w:rsidR="007B07AE" w:rsidRPr="005A3C16" w:rsidRDefault="007B07AE" w:rsidP="000F31B4">
            <w:pPr>
              <w:pStyle w:val="ProductList-OfferingBody"/>
              <w:jc w:val="center"/>
            </w:pPr>
            <w:r>
              <w:t>&lt; 99%</w:t>
            </w:r>
          </w:p>
        </w:tc>
        <w:tc>
          <w:tcPr>
            <w:tcW w:w="5400" w:type="dxa"/>
          </w:tcPr>
          <w:p w14:paraId="0C3ECDD2" w14:textId="77777777" w:rsidR="007B07AE" w:rsidRPr="005A3C16" w:rsidRDefault="007B07AE" w:rsidP="000F31B4">
            <w:pPr>
              <w:pStyle w:val="ProductList-OfferingBody"/>
              <w:jc w:val="center"/>
            </w:pPr>
            <w:r>
              <w:t>25%</w:t>
            </w:r>
          </w:p>
        </w:tc>
      </w:tr>
    </w:tbl>
    <w:p w14:paraId="76BB5F50" w14:textId="6BE18368" w:rsidR="007B07AE" w:rsidRPr="00EF7CF9" w:rsidRDefault="00C71F89" w:rsidP="007B07A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B306458" w14:textId="77777777" w:rsidR="00A33D05" w:rsidRPr="00EF7CF9" w:rsidRDefault="00A33D05" w:rsidP="00444DA8">
      <w:pPr>
        <w:pStyle w:val="ProductList-Offering2Heading"/>
        <w:keepNext/>
        <w:tabs>
          <w:tab w:val="clear" w:pos="360"/>
          <w:tab w:val="clear" w:pos="720"/>
          <w:tab w:val="clear" w:pos="1080"/>
        </w:tabs>
        <w:outlineLvl w:val="2"/>
      </w:pPr>
      <w:bookmarkStart w:id="297" w:name="_Toc457821553"/>
      <w:bookmarkStart w:id="298" w:name="_Toc52348960"/>
      <w:bookmarkStart w:id="299" w:name="_Toc239175025"/>
      <w:bookmarkStart w:id="300" w:name="IoTHub"/>
      <w:proofErr w:type="spellStart"/>
      <w:r>
        <w:t>Azure</w:t>
      </w:r>
      <w:proofErr w:type="spellEnd"/>
      <w:r>
        <w:t xml:space="preserve"> </w:t>
      </w:r>
      <w:proofErr w:type="spellStart"/>
      <w:r>
        <w:t>IoT</w:t>
      </w:r>
      <w:proofErr w:type="spellEnd"/>
      <w:r>
        <w:t xml:space="preserve"> Hub</w:t>
      </w:r>
      <w:bookmarkEnd w:id="297"/>
      <w:bookmarkEnd w:id="298"/>
      <w:bookmarkEnd w:id="299"/>
    </w:p>
    <w:bookmarkEnd w:id="300"/>
    <w:p w14:paraId="0A867471" w14:textId="1FB08987" w:rsidR="00A33D05" w:rsidRDefault="00EE6E3C" w:rsidP="00A33D05">
      <w:pPr>
        <w:pStyle w:val="ProductList-Body"/>
        <w:rPr>
          <w:b/>
          <w:color w:val="00188F"/>
        </w:rPr>
      </w:pPr>
      <w:r>
        <w:rPr>
          <w:b/>
          <w:color w:val="00188F"/>
        </w:rPr>
        <w:t xml:space="preserve">Obliczanie Czasu Sprawnego Działania i Poziomy Usługi dla Centrum </w:t>
      </w:r>
      <w:proofErr w:type="spellStart"/>
      <w:r>
        <w:rPr>
          <w:b/>
          <w:color w:val="00188F"/>
        </w:rPr>
        <w:t>IoT</w:t>
      </w:r>
      <w:proofErr w:type="spellEnd"/>
    </w:p>
    <w:p w14:paraId="632DB8E3" w14:textId="77777777" w:rsidR="00A33D05" w:rsidRPr="00EF7CF9" w:rsidRDefault="00A33D05" w:rsidP="000D38EE">
      <w:pPr>
        <w:pStyle w:val="ProductList-Body"/>
        <w:rPr>
          <w:b/>
          <w:color w:val="00188F"/>
        </w:rPr>
      </w:pPr>
      <w:r>
        <w:rPr>
          <w:b/>
          <w:color w:val="00188F"/>
        </w:rPr>
        <w:t>Dodatkowe definicje</w:t>
      </w:r>
      <w:r w:rsidRPr="0034704E">
        <w:rPr>
          <w:b/>
          <w:color w:val="00188F"/>
        </w:rPr>
        <w:t>:</w:t>
      </w:r>
    </w:p>
    <w:p w14:paraId="6C1AD240" w14:textId="5298C3C7" w:rsidR="00A33D05" w:rsidRPr="00EF7CF9" w:rsidRDefault="00A33D05" w:rsidP="000D38EE">
      <w:pPr>
        <w:pStyle w:val="ProductList-Body"/>
      </w:pPr>
      <w:r>
        <w:t>„</w:t>
      </w:r>
      <w:r>
        <w:rPr>
          <w:b/>
          <w:color w:val="00188F"/>
        </w:rPr>
        <w:t>Minuty Wdrożenia</w:t>
      </w:r>
      <w:r>
        <w:t xml:space="preserve">” to łączna liczba minut, przez które dane Centrum </w:t>
      </w:r>
      <w:proofErr w:type="spellStart"/>
      <w:r>
        <w:t>IoT</w:t>
      </w:r>
      <w:proofErr w:type="spellEnd"/>
      <w:r>
        <w:t xml:space="preserve"> zostało wdrożone na platformie Microsoft </w:t>
      </w:r>
      <w:proofErr w:type="spellStart"/>
      <w:r>
        <w:t>Azure</w:t>
      </w:r>
      <w:proofErr w:type="spellEnd"/>
      <w:r>
        <w:t xml:space="preserve"> we Właściwym Okresie.</w:t>
      </w:r>
    </w:p>
    <w:p w14:paraId="5C00CFC5" w14:textId="77777777" w:rsidR="00A33D05" w:rsidRPr="00EF7CF9" w:rsidRDefault="00A33D05" w:rsidP="000D38EE">
      <w:pPr>
        <w:pStyle w:val="ProductList-Body"/>
      </w:pPr>
      <w:r>
        <w:t>„</w:t>
      </w:r>
      <w:r>
        <w:rPr>
          <w:b/>
          <w:color w:val="00188F"/>
        </w:rPr>
        <w:t>Operacje dotyczące Tożsamości Urządzenia</w:t>
      </w:r>
      <w:r>
        <w:t xml:space="preserve">” to operacje tworzenia, odczytywania, aktualizowania i usuwania operacji wykonywanych w rejestrze tożsamości na urządzenia Centrum </w:t>
      </w:r>
      <w:proofErr w:type="spellStart"/>
      <w:r>
        <w:t>IoT</w:t>
      </w:r>
      <w:proofErr w:type="spellEnd"/>
      <w:r>
        <w:t>.</w:t>
      </w:r>
    </w:p>
    <w:p w14:paraId="262F8F69" w14:textId="499B8AED" w:rsidR="00A33D05" w:rsidRPr="00EF7CF9" w:rsidRDefault="00A33D05" w:rsidP="000D38EE">
      <w:pPr>
        <w:pStyle w:val="ProductList-Body"/>
      </w:pPr>
      <w:r>
        <w:t>„</w:t>
      </w:r>
      <w:r>
        <w:rPr>
          <w:b/>
          <w:color w:val="00188F"/>
        </w:rPr>
        <w:t>Maksymalna Liczba Dostępnych Minut</w:t>
      </w:r>
      <w:r>
        <w:t xml:space="preserve">” to suma wszystkich Minut Wdrożenia we wszystkich Centrach </w:t>
      </w:r>
      <w:proofErr w:type="spellStart"/>
      <w:r>
        <w:t>IoT</w:t>
      </w:r>
      <w:proofErr w:type="spellEnd"/>
      <w:r>
        <w:t xml:space="preserve"> przez użytkownika w ramach danej subskrypcji Microsoft </w:t>
      </w:r>
      <w:proofErr w:type="spellStart"/>
      <w:r>
        <w:t>Azure</w:t>
      </w:r>
      <w:proofErr w:type="spellEnd"/>
      <w:r>
        <w:t xml:space="preserve"> we Właściwym Okresie.</w:t>
      </w:r>
    </w:p>
    <w:p w14:paraId="099D76A1" w14:textId="77777777" w:rsidR="00A33D05" w:rsidRPr="00EF7CF9" w:rsidRDefault="00A33D05" w:rsidP="000D38EE">
      <w:pPr>
        <w:pStyle w:val="ProductList-Body"/>
      </w:pPr>
      <w:r>
        <w:t>„</w:t>
      </w:r>
      <w:r>
        <w:rPr>
          <w:b/>
          <w:color w:val="00188F"/>
        </w:rPr>
        <w:t>Wiadomość</w:t>
      </w:r>
      <w:r>
        <w:t xml:space="preserve">” to wszelkie treści wysyłane przez wdrożone Centrum </w:t>
      </w:r>
      <w:proofErr w:type="spellStart"/>
      <w:r>
        <w:t>IoT</w:t>
      </w:r>
      <w:proofErr w:type="spellEnd"/>
      <w:r>
        <w:t xml:space="preserve"> do urządzenia zarejestrowanego w Centrum </w:t>
      </w:r>
      <w:proofErr w:type="spellStart"/>
      <w:r>
        <w:t>IoT</w:t>
      </w:r>
      <w:proofErr w:type="spellEnd"/>
      <w:r>
        <w:t xml:space="preserve"> lub odbierane Centrum </w:t>
      </w:r>
      <w:proofErr w:type="spellStart"/>
      <w:r>
        <w:t>IoT</w:t>
      </w:r>
      <w:proofErr w:type="spellEnd"/>
      <w:r>
        <w:t xml:space="preserve"> Central z zarejestrowanego urządzenia przy wykorzystaniu dowolnego protokołu wspieranego przez tę Usługę. </w:t>
      </w:r>
    </w:p>
    <w:p w14:paraId="78DCBCE7" w14:textId="13B58099" w:rsidR="00A33D05" w:rsidRPr="00EF7CF9" w:rsidRDefault="00A33D05" w:rsidP="000D38EE">
      <w:pPr>
        <w:pStyle w:val="ProductList-Body"/>
      </w:pPr>
      <w:r>
        <w:rPr>
          <w:b/>
          <w:color w:val="00188F"/>
        </w:rPr>
        <w:t>Przestój</w:t>
      </w:r>
      <w:r w:rsidRPr="0034704E">
        <w:rPr>
          <w:b/>
          <w:color w:val="00188F"/>
        </w:rPr>
        <w:t>:</w:t>
      </w:r>
      <w:r>
        <w:t xml:space="preserve"> to łączna liczba wszystkich Minut Wdrożenia dla wszystkich centrów </w:t>
      </w:r>
      <w:proofErr w:type="spellStart"/>
      <w:r>
        <w:t>IoT</w:t>
      </w:r>
      <w:proofErr w:type="spellEnd"/>
      <w:r>
        <w:t xml:space="preserve"> wdrożonych w ramach danej subskrypcji Microsoft </w:t>
      </w:r>
      <w:proofErr w:type="spellStart"/>
      <w:r>
        <w:t>Azure</w:t>
      </w:r>
      <w:proofErr w:type="spellEnd"/>
      <w:r>
        <w:t>, w</w:t>
      </w:r>
      <w:r w:rsidR="00C84B0F">
        <w:t> </w:t>
      </w:r>
      <w:r>
        <w:t xml:space="preserve">czasie których dane centrum </w:t>
      </w:r>
      <w:proofErr w:type="spellStart"/>
      <w:r>
        <w:t>IoT</w:t>
      </w:r>
      <w:proofErr w:type="spellEnd"/>
      <w:r>
        <w:t xml:space="preserve"> jest niedostępne. Minuta jest uznawana za minutę niedostępności dla danego Centrum </w:t>
      </w:r>
      <w:proofErr w:type="spellStart"/>
      <w:r>
        <w:t>IoT</w:t>
      </w:r>
      <w:proofErr w:type="spellEnd"/>
      <w:r>
        <w:t xml:space="preserve">, jeśli wszystkie nieprzerwane próby wysłania lub odebrania Wiadomości lub wykonania Operacji dotyczących Tożsamości Urządzenia w Centrum </w:t>
      </w:r>
      <w:proofErr w:type="spellStart"/>
      <w:r>
        <w:t>IoT</w:t>
      </w:r>
      <w:proofErr w:type="spellEnd"/>
      <w:r>
        <w:t xml:space="preserve"> w ciągu tej minuty zwrócą Kod Błędu lub nie zwrócą Kodu Sukcesu w ciągu pięciu minut.</w:t>
      </w:r>
    </w:p>
    <w:p w14:paraId="4747CF85" w14:textId="3DB7A133" w:rsidR="00A33D05" w:rsidRPr="00EF7CF9" w:rsidRDefault="00AC48A7" w:rsidP="00A33D05">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41A06B07" w14:textId="4D7FB1E6" w:rsidR="00A33D05" w:rsidRPr="00EF7CF9" w:rsidRDefault="00000000" w:rsidP="005D2B3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236CE39" w14:textId="77777777" w:rsidR="00A33D05" w:rsidRPr="00EF7CF9" w:rsidRDefault="00A33D05" w:rsidP="00A33D05">
      <w:pPr>
        <w:pStyle w:val="ProductList-Body"/>
      </w:pPr>
      <w:r>
        <w:rPr>
          <w:b/>
          <w:color w:val="00188F"/>
        </w:rPr>
        <w:t xml:space="preserve">Do używania przez Klienta Centrum </w:t>
      </w:r>
      <w:proofErr w:type="spellStart"/>
      <w:r>
        <w:rPr>
          <w:b/>
          <w:color w:val="00188F"/>
        </w:rPr>
        <w:t>IoT</w:t>
      </w:r>
      <w:proofErr w:type="spellEnd"/>
      <w:r>
        <w:rPr>
          <w:b/>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38669E71" w14:textId="77777777" w:rsidTr="00277097">
        <w:trPr>
          <w:tblHeader/>
        </w:trPr>
        <w:tc>
          <w:tcPr>
            <w:tcW w:w="5400" w:type="dxa"/>
            <w:shd w:val="clear" w:color="auto" w:fill="0072C6"/>
          </w:tcPr>
          <w:p w14:paraId="4B924303" w14:textId="48AFF06D" w:rsidR="00A33D05"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521AFEB" w14:textId="77777777" w:rsidR="00A33D05" w:rsidRPr="00EF7CF9" w:rsidRDefault="00A33D05" w:rsidP="000F31B4">
            <w:pPr>
              <w:pStyle w:val="ProductList-OfferingBody"/>
              <w:jc w:val="center"/>
              <w:rPr>
                <w:color w:val="FFFFFF" w:themeColor="background1"/>
              </w:rPr>
            </w:pPr>
            <w:r>
              <w:rPr>
                <w:color w:val="FFFFFF" w:themeColor="background1"/>
              </w:rPr>
              <w:t>Środki Serwisowe na Używanie Usług</w:t>
            </w:r>
          </w:p>
        </w:tc>
      </w:tr>
      <w:tr w:rsidR="00A33D05" w:rsidRPr="00B44CF9" w14:paraId="0306810C" w14:textId="77777777" w:rsidTr="00277097">
        <w:tc>
          <w:tcPr>
            <w:tcW w:w="5400" w:type="dxa"/>
          </w:tcPr>
          <w:p w14:paraId="53D9273F" w14:textId="77777777" w:rsidR="00A33D05" w:rsidRPr="00EF7CF9" w:rsidRDefault="00A33D05" w:rsidP="000F31B4">
            <w:pPr>
              <w:pStyle w:val="ProductList-OfferingBody"/>
              <w:jc w:val="center"/>
            </w:pPr>
            <w:r>
              <w:t>&lt; 99,9%</w:t>
            </w:r>
          </w:p>
        </w:tc>
        <w:tc>
          <w:tcPr>
            <w:tcW w:w="5400" w:type="dxa"/>
          </w:tcPr>
          <w:p w14:paraId="4CC37FB1" w14:textId="77777777" w:rsidR="00A33D05" w:rsidRPr="00EF7CF9" w:rsidRDefault="00A33D05" w:rsidP="000F31B4">
            <w:pPr>
              <w:pStyle w:val="ProductList-OfferingBody"/>
              <w:jc w:val="center"/>
            </w:pPr>
            <w:r>
              <w:t>10%</w:t>
            </w:r>
          </w:p>
        </w:tc>
      </w:tr>
      <w:tr w:rsidR="00A33D05" w:rsidRPr="00B44CF9" w14:paraId="66153CA0" w14:textId="77777777" w:rsidTr="00277097">
        <w:tc>
          <w:tcPr>
            <w:tcW w:w="5400" w:type="dxa"/>
          </w:tcPr>
          <w:p w14:paraId="2B91515F" w14:textId="77777777" w:rsidR="00A33D05" w:rsidRPr="00EF7CF9" w:rsidRDefault="00A33D05" w:rsidP="000F31B4">
            <w:pPr>
              <w:pStyle w:val="ProductList-OfferingBody"/>
              <w:jc w:val="center"/>
            </w:pPr>
            <w:r>
              <w:t>&lt; 99%</w:t>
            </w:r>
          </w:p>
        </w:tc>
        <w:tc>
          <w:tcPr>
            <w:tcW w:w="5400" w:type="dxa"/>
          </w:tcPr>
          <w:p w14:paraId="00EB8335" w14:textId="77777777" w:rsidR="00A33D05" w:rsidRPr="00EF7CF9" w:rsidRDefault="00A33D05" w:rsidP="000F31B4">
            <w:pPr>
              <w:pStyle w:val="ProductList-OfferingBody"/>
              <w:jc w:val="center"/>
            </w:pPr>
            <w:r>
              <w:t>25%</w:t>
            </w:r>
          </w:p>
        </w:tc>
      </w:tr>
    </w:tbl>
    <w:p w14:paraId="0C6B83DA" w14:textId="43F748DF" w:rsidR="00A33D05" w:rsidRDefault="00EE6E3C" w:rsidP="000D38EE">
      <w:pPr>
        <w:pStyle w:val="ProductList-Body"/>
        <w:spacing w:before="120"/>
        <w:rPr>
          <w:b/>
          <w:bCs/>
          <w:color w:val="00188F"/>
        </w:rPr>
      </w:pPr>
      <w:r>
        <w:rPr>
          <w:b/>
          <w:bCs/>
          <w:color w:val="00188F"/>
        </w:rPr>
        <w:t xml:space="preserve">Obliczanie Czasu Sprawnego Działania i Poziomy Usługi dla Usługi Device </w:t>
      </w:r>
      <w:proofErr w:type="spellStart"/>
      <w:r>
        <w:rPr>
          <w:b/>
          <w:bCs/>
          <w:color w:val="00188F"/>
        </w:rPr>
        <w:t>Provisioning</w:t>
      </w:r>
      <w:proofErr w:type="spellEnd"/>
      <w:r>
        <w:rPr>
          <w:b/>
          <w:bCs/>
          <w:color w:val="00188F"/>
        </w:rPr>
        <w:t xml:space="preserve"> Service Centrum</w:t>
      </w:r>
    </w:p>
    <w:p w14:paraId="13AE0CE7" w14:textId="77777777" w:rsidR="00A33D05" w:rsidRPr="00ED4527" w:rsidRDefault="00A33D05" w:rsidP="00A33D05">
      <w:pPr>
        <w:pStyle w:val="ProductList-Body"/>
        <w:rPr>
          <w:b/>
          <w:bCs/>
          <w:color w:val="00188F"/>
        </w:rPr>
      </w:pPr>
      <w:r>
        <w:rPr>
          <w:b/>
          <w:bCs/>
          <w:color w:val="00188F"/>
        </w:rPr>
        <w:t>Dodatkowe definicje:</w:t>
      </w:r>
    </w:p>
    <w:p w14:paraId="1731B111" w14:textId="5D143A20" w:rsidR="00A33D05" w:rsidRPr="00D64BCA" w:rsidRDefault="00A33D05" w:rsidP="00C84B0F">
      <w:pPr>
        <w:pStyle w:val="ProductList-Body"/>
        <w:rPr>
          <w:color w:val="000000" w:themeColor="text1"/>
        </w:rPr>
      </w:pPr>
      <w:r>
        <w:rPr>
          <w:color w:val="000000" w:themeColor="text1"/>
        </w:rPr>
        <w:t>„</w:t>
      </w:r>
      <w:r>
        <w:rPr>
          <w:b/>
          <w:bCs/>
          <w:color w:val="00188F"/>
        </w:rPr>
        <w:t>Maksymalna Liczba Dostępnych Minut</w:t>
      </w:r>
      <w:r w:rsidR="00C84B0F">
        <w:rPr>
          <w:color w:val="000000" w:themeColor="text1"/>
        </w:rPr>
        <w:t>”</w:t>
      </w:r>
      <w:r>
        <w:rPr>
          <w:color w:val="000000" w:themeColor="text1"/>
        </w:rPr>
        <w:t xml:space="preserve"> to łączna liczba minut dla danej Usługi Device </w:t>
      </w:r>
      <w:proofErr w:type="spellStart"/>
      <w:r>
        <w:rPr>
          <w:color w:val="000000" w:themeColor="text1"/>
        </w:rPr>
        <w:t>Provisioning</w:t>
      </w:r>
      <w:proofErr w:type="spellEnd"/>
      <w:r>
        <w:rPr>
          <w:color w:val="000000" w:themeColor="text1"/>
        </w:rPr>
        <w:t xml:space="preserve"> Service wdrożonych przez klienta w ramach subskrypcji Microsoft </w:t>
      </w:r>
      <w:proofErr w:type="spellStart"/>
      <w:r>
        <w:rPr>
          <w:color w:val="000000" w:themeColor="text1"/>
        </w:rPr>
        <w:t>Azure</w:t>
      </w:r>
      <w:proofErr w:type="spellEnd"/>
      <w:r>
        <w:rPr>
          <w:color w:val="000000" w:themeColor="text1"/>
        </w:rPr>
        <w:t xml:space="preserve"> we Właściwym Okresie.</w:t>
      </w:r>
    </w:p>
    <w:p w14:paraId="6862A706" w14:textId="77777777" w:rsidR="00A33D05" w:rsidRPr="00D64BCA" w:rsidRDefault="00A33D05" w:rsidP="00A33D05">
      <w:pPr>
        <w:pStyle w:val="ProductList-Body"/>
        <w:rPr>
          <w:color w:val="000000" w:themeColor="text1"/>
        </w:rPr>
      </w:pPr>
      <w:r>
        <w:rPr>
          <w:color w:val="000000" w:themeColor="text1"/>
        </w:rPr>
        <w:t>„</w:t>
      </w:r>
      <w:r>
        <w:rPr>
          <w:b/>
          <w:bCs/>
          <w:color w:val="00188F"/>
        </w:rPr>
        <w:t>Przestój</w:t>
      </w:r>
      <w:r>
        <w:rPr>
          <w:color w:val="000000" w:themeColor="text1"/>
        </w:rPr>
        <w:t xml:space="preserve">” to łączna liczba minut w ramach Maksymalnej Liczby Dostępnych Minut, w czasie których usługa Device </w:t>
      </w:r>
      <w:proofErr w:type="spellStart"/>
      <w:r>
        <w:rPr>
          <w:color w:val="000000" w:themeColor="text1"/>
        </w:rPr>
        <w:t>Provisioning</w:t>
      </w:r>
      <w:proofErr w:type="spellEnd"/>
      <w:r>
        <w:rPr>
          <w:color w:val="000000" w:themeColor="text1"/>
        </w:rPr>
        <w:t xml:space="preserve"> Service jest niedostępna. Minuta jest uznawana za minutę niedostępności dla danej Usługi Device </w:t>
      </w:r>
      <w:proofErr w:type="spellStart"/>
      <w:r>
        <w:rPr>
          <w:color w:val="000000" w:themeColor="text1"/>
        </w:rPr>
        <w:t>Provisioning</w:t>
      </w:r>
      <w:proofErr w:type="spellEnd"/>
      <w:r>
        <w:rPr>
          <w:color w:val="000000" w:themeColor="text1"/>
        </w:rPr>
        <w:t xml:space="preserve"> Service, jeśli wszystkie nieprzerwane próby zarejestrowania urządzenia lub wykonania operacji rejestrowania rekordów w Usłudze Device </w:t>
      </w:r>
      <w:proofErr w:type="spellStart"/>
      <w:r>
        <w:rPr>
          <w:color w:val="000000" w:themeColor="text1"/>
        </w:rPr>
        <w:t>Provisioning</w:t>
      </w:r>
      <w:proofErr w:type="spellEnd"/>
      <w:r>
        <w:rPr>
          <w:color w:val="000000" w:themeColor="text1"/>
        </w:rPr>
        <w:t xml:space="preserve"> Service w ciągu tej minuty zwrócą Kod Błędu lub nie zakończą się Kodem Sukcesu w ciągu dwóch minut.</w:t>
      </w:r>
    </w:p>
    <w:p w14:paraId="2BAE86D2" w14:textId="4E09E271" w:rsidR="00A33D05" w:rsidRPr="00D64BCA" w:rsidRDefault="00AC48A7" w:rsidP="00A33D05">
      <w:pPr>
        <w:pStyle w:val="ProductList-Body"/>
        <w:rPr>
          <w:color w:val="000000" w:themeColor="text1"/>
        </w:rPr>
      </w:pPr>
      <w:r>
        <w:rPr>
          <w:b/>
          <w:bCs/>
          <w:color w:val="00188F"/>
        </w:rPr>
        <w:t>Procent Czasu Sprawnego Działania</w:t>
      </w:r>
      <w:r w:rsidR="00E9029A">
        <w:rPr>
          <w:b/>
          <w:bCs/>
          <w:color w:val="00188F"/>
        </w:rPr>
        <w:t>:</w:t>
      </w:r>
      <w:r>
        <w:rPr>
          <w:color w:val="000000" w:themeColor="text1"/>
        </w:rPr>
        <w:t xml:space="preserve"> Procent Czasu Sprawnego Działania jest obliczany przy użyciu następującego wzoru:</w:t>
      </w:r>
    </w:p>
    <w:p w14:paraId="288FBA3D" w14:textId="36D8A523" w:rsidR="00A33D05" w:rsidRPr="00EF7CF9" w:rsidRDefault="00000000" w:rsidP="005D2B3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CE875ED" w14:textId="77777777" w:rsidR="00A33D05" w:rsidRPr="00ED4527" w:rsidRDefault="00A33D05" w:rsidP="00A33D05">
      <w:pPr>
        <w:pStyle w:val="ProductList-Body"/>
        <w:tabs>
          <w:tab w:val="clear" w:pos="360"/>
          <w:tab w:val="clear" w:pos="720"/>
          <w:tab w:val="clear" w:pos="1080"/>
        </w:tabs>
        <w:rPr>
          <w:b/>
          <w:bCs/>
          <w:color w:val="00188F"/>
        </w:rPr>
      </w:pPr>
      <w:r>
        <w:rPr>
          <w:b/>
          <w:bCs/>
          <w:color w:val="00188F"/>
        </w:rPr>
        <w:t xml:space="preserve">Do używania przez Klienta usługi </w:t>
      </w:r>
      <w:proofErr w:type="spellStart"/>
      <w:r>
        <w:rPr>
          <w:b/>
          <w:bCs/>
          <w:color w:val="00188F"/>
        </w:rPr>
        <w:t>IoT</w:t>
      </w:r>
      <w:proofErr w:type="spellEnd"/>
      <w:r>
        <w:rPr>
          <w:b/>
          <w:bCs/>
          <w:color w:val="00188F"/>
        </w:rPr>
        <w:t xml:space="preserve"> Hub Device </w:t>
      </w:r>
      <w:proofErr w:type="spellStart"/>
      <w:r>
        <w:rPr>
          <w:b/>
          <w:bCs/>
          <w:color w:val="00188F"/>
        </w:rPr>
        <w:t>Provisioning</w:t>
      </w:r>
      <w:proofErr w:type="spellEnd"/>
      <w:r>
        <w:rPr>
          <w:b/>
          <w:bCs/>
          <w:color w:val="00188F"/>
        </w:rPr>
        <w:t xml:space="preserve"> Service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33D05" w:rsidRPr="00B44CF9" w14:paraId="1B7B051D" w14:textId="77777777" w:rsidTr="00277097">
        <w:trPr>
          <w:tblHeader/>
        </w:trPr>
        <w:tc>
          <w:tcPr>
            <w:tcW w:w="5400" w:type="dxa"/>
            <w:shd w:val="clear" w:color="auto" w:fill="0072C6"/>
          </w:tcPr>
          <w:p w14:paraId="6D00CEAD" w14:textId="52728AC3" w:rsidR="00A33D05"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305AAEC" w14:textId="77777777" w:rsidR="00A33D05" w:rsidRPr="00EF7CF9" w:rsidRDefault="00A33D05" w:rsidP="000F31B4">
            <w:pPr>
              <w:pStyle w:val="ProductList-OfferingBody"/>
              <w:jc w:val="center"/>
              <w:rPr>
                <w:color w:val="FFFFFF" w:themeColor="background1"/>
              </w:rPr>
            </w:pPr>
            <w:r>
              <w:rPr>
                <w:color w:val="FFFFFF" w:themeColor="background1"/>
              </w:rPr>
              <w:t>Środki Serwisowe na Używanie Usług</w:t>
            </w:r>
          </w:p>
        </w:tc>
      </w:tr>
      <w:tr w:rsidR="00A33D05" w:rsidRPr="00B44CF9" w14:paraId="06A032B3" w14:textId="77777777" w:rsidTr="00277097">
        <w:tc>
          <w:tcPr>
            <w:tcW w:w="5400" w:type="dxa"/>
          </w:tcPr>
          <w:p w14:paraId="597FFA28" w14:textId="77777777" w:rsidR="00A33D05" w:rsidRPr="00EF7CF9" w:rsidRDefault="00A33D05" w:rsidP="000F31B4">
            <w:pPr>
              <w:pStyle w:val="ProductList-OfferingBody"/>
              <w:jc w:val="center"/>
            </w:pPr>
            <w:r>
              <w:t>&lt; 99,9%</w:t>
            </w:r>
          </w:p>
        </w:tc>
        <w:tc>
          <w:tcPr>
            <w:tcW w:w="5400" w:type="dxa"/>
          </w:tcPr>
          <w:p w14:paraId="1DACBB75" w14:textId="77777777" w:rsidR="00A33D05" w:rsidRPr="00EF7CF9" w:rsidRDefault="00A33D05" w:rsidP="000F31B4">
            <w:pPr>
              <w:pStyle w:val="ProductList-OfferingBody"/>
              <w:jc w:val="center"/>
            </w:pPr>
            <w:r>
              <w:t>10%</w:t>
            </w:r>
          </w:p>
        </w:tc>
      </w:tr>
      <w:tr w:rsidR="00A33D05" w:rsidRPr="00B44CF9" w14:paraId="1D776F64" w14:textId="77777777" w:rsidTr="00277097">
        <w:tc>
          <w:tcPr>
            <w:tcW w:w="5400" w:type="dxa"/>
          </w:tcPr>
          <w:p w14:paraId="4AC5C389" w14:textId="77777777" w:rsidR="00A33D05" w:rsidRPr="00EF7CF9" w:rsidRDefault="00A33D05" w:rsidP="000F31B4">
            <w:pPr>
              <w:pStyle w:val="ProductList-OfferingBody"/>
              <w:jc w:val="center"/>
            </w:pPr>
            <w:r>
              <w:t>&lt; 99%</w:t>
            </w:r>
          </w:p>
        </w:tc>
        <w:tc>
          <w:tcPr>
            <w:tcW w:w="5400" w:type="dxa"/>
          </w:tcPr>
          <w:p w14:paraId="1FEB35B0" w14:textId="77777777" w:rsidR="00A33D05" w:rsidRPr="00EF7CF9" w:rsidRDefault="00A33D05" w:rsidP="000F31B4">
            <w:pPr>
              <w:pStyle w:val="ProductList-OfferingBody"/>
              <w:jc w:val="center"/>
            </w:pPr>
            <w:r>
              <w:t>25%</w:t>
            </w:r>
          </w:p>
        </w:tc>
      </w:tr>
    </w:tbl>
    <w:p w14:paraId="09F909A0" w14:textId="197AA280" w:rsidR="00A33D05" w:rsidRPr="00EF7CF9" w:rsidRDefault="00C71F89" w:rsidP="00A33D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A156FCE" w14:textId="77777777" w:rsidR="00C46F26" w:rsidRPr="00EF7CF9" w:rsidRDefault="00C46F26" w:rsidP="00BC5957">
      <w:pPr>
        <w:pStyle w:val="ProductList-Offering2Heading"/>
        <w:keepNext/>
        <w:tabs>
          <w:tab w:val="clear" w:pos="360"/>
          <w:tab w:val="clear" w:pos="720"/>
          <w:tab w:val="clear" w:pos="1080"/>
        </w:tabs>
        <w:outlineLvl w:val="2"/>
      </w:pPr>
      <w:bookmarkStart w:id="301" w:name="_Toc457821554"/>
      <w:bookmarkStart w:id="302" w:name="_Toc52348961"/>
      <w:bookmarkStart w:id="303" w:name="_Toc239175026"/>
      <w:proofErr w:type="spellStart"/>
      <w:r>
        <w:t>Key</w:t>
      </w:r>
      <w:proofErr w:type="spellEnd"/>
      <w:r>
        <w:t xml:space="preserve"> </w:t>
      </w:r>
      <w:proofErr w:type="spellStart"/>
      <w:r>
        <w:t>Vault</w:t>
      </w:r>
      <w:bookmarkEnd w:id="301"/>
      <w:bookmarkEnd w:id="302"/>
      <w:bookmarkEnd w:id="303"/>
      <w:proofErr w:type="spellEnd"/>
    </w:p>
    <w:p w14:paraId="636EF3C5" w14:textId="77777777" w:rsidR="00C46F26" w:rsidRPr="00EF7CF9" w:rsidRDefault="00C46F26" w:rsidP="00BC5957">
      <w:pPr>
        <w:pStyle w:val="ProductList-Body"/>
        <w:keepNext/>
        <w:rPr>
          <w:b/>
          <w:color w:val="00188F"/>
        </w:rPr>
      </w:pPr>
      <w:r>
        <w:rPr>
          <w:b/>
          <w:color w:val="00188F"/>
        </w:rPr>
        <w:t>Dodatkowe definicje</w:t>
      </w:r>
      <w:r w:rsidRPr="0034704E">
        <w:rPr>
          <w:b/>
          <w:color w:val="00188F"/>
        </w:rPr>
        <w:t>:</w:t>
      </w:r>
    </w:p>
    <w:p w14:paraId="6ED67A0C" w14:textId="15F98F10" w:rsidR="00DB30AA" w:rsidRPr="004337D3" w:rsidRDefault="00C46F26" w:rsidP="005D2B3D">
      <w:pPr>
        <w:pStyle w:val="ProductList-Body"/>
        <w:rPr>
          <w:rFonts w:cstheme="minorHAnsi"/>
        </w:rPr>
      </w:pPr>
      <w:r>
        <w:t>„</w:t>
      </w:r>
      <w:r>
        <w:rPr>
          <w:b/>
          <w:color w:val="00188F"/>
        </w:rPr>
        <w:t>Minuty Wdrożenia</w:t>
      </w:r>
      <w:r>
        <w:t>”</w:t>
      </w:r>
      <w:r w:rsidR="00DB30AA" w:rsidRPr="004337D3">
        <w:rPr>
          <w:rFonts w:cstheme="minorHAnsi"/>
        </w:rPr>
        <w:t xml:space="preserve"> to łączna liczba minut, przez które dana Usługa </w:t>
      </w:r>
      <w:proofErr w:type="spellStart"/>
      <w:r w:rsidR="00DB30AA" w:rsidRPr="004337D3">
        <w:rPr>
          <w:rFonts w:cstheme="minorHAnsi"/>
        </w:rPr>
        <w:t>Key</w:t>
      </w:r>
      <w:proofErr w:type="spellEnd"/>
      <w:r w:rsidR="00DB30AA" w:rsidRPr="004337D3">
        <w:rPr>
          <w:rFonts w:cstheme="minorHAnsi"/>
        </w:rPr>
        <w:t xml:space="preserve"> </w:t>
      </w:r>
      <w:proofErr w:type="spellStart"/>
      <w:r w:rsidR="00DB30AA" w:rsidRPr="004337D3">
        <w:rPr>
          <w:rFonts w:cstheme="minorHAnsi"/>
        </w:rPr>
        <w:t>Vault</w:t>
      </w:r>
      <w:proofErr w:type="spellEnd"/>
      <w:r w:rsidR="00DB30AA" w:rsidRPr="004337D3">
        <w:rPr>
          <w:rFonts w:cstheme="minorHAnsi"/>
        </w:rPr>
        <w:t xml:space="preserve"> została wdrożona na platformie Microsoft </w:t>
      </w:r>
      <w:proofErr w:type="spellStart"/>
      <w:r w:rsidR="00DB30AA" w:rsidRPr="004337D3">
        <w:rPr>
          <w:rFonts w:cstheme="minorHAnsi"/>
        </w:rPr>
        <w:t>Azure</w:t>
      </w:r>
      <w:proofErr w:type="spellEnd"/>
      <w:r w:rsidR="00DB30AA" w:rsidRPr="004337D3">
        <w:rPr>
          <w:rFonts w:cstheme="minorHAnsi"/>
        </w:rPr>
        <w:t xml:space="preserve"> w miesiącu rozliczeniowym.</w:t>
      </w:r>
    </w:p>
    <w:p w14:paraId="35151186" w14:textId="77777777" w:rsidR="00DB30AA" w:rsidRPr="004337D3" w:rsidRDefault="00DB30AA" w:rsidP="005D2B3D">
      <w:pPr>
        <w:pStyle w:val="ProductList-Body"/>
        <w:rPr>
          <w:rFonts w:cstheme="minorHAnsi"/>
        </w:rPr>
      </w:pPr>
      <w:r w:rsidRPr="004337D3">
        <w:rPr>
          <w:rFonts w:cstheme="minorHAnsi"/>
        </w:rPr>
        <w:t>„</w:t>
      </w:r>
      <w:r w:rsidRPr="004337D3">
        <w:rPr>
          <w:rFonts w:cstheme="minorHAnsi"/>
          <w:b/>
          <w:color w:val="00188F"/>
        </w:rPr>
        <w:t>Transakcje Wyłączone</w:t>
      </w:r>
      <w:r w:rsidRPr="004337D3">
        <w:rPr>
          <w:rFonts w:cstheme="minorHAnsi"/>
        </w:rPr>
        <w:t>” to transakcje dotyczące tworzenia, aktualizowania lub usuwania magazynów kluczy, kluczy lub kluczy tajnych.</w:t>
      </w:r>
    </w:p>
    <w:p w14:paraId="044E2291" w14:textId="77777777" w:rsidR="00DB30AA" w:rsidRPr="004337D3" w:rsidRDefault="00DB30AA" w:rsidP="005D2B3D">
      <w:pPr>
        <w:pStyle w:val="ProductList-Body"/>
        <w:rPr>
          <w:rFonts w:cstheme="minorHAnsi"/>
        </w:rPr>
      </w:pPr>
      <w:r w:rsidRPr="004337D3">
        <w:rPr>
          <w:rFonts w:cstheme="minorHAnsi"/>
        </w:rPr>
        <w:t>„</w:t>
      </w:r>
      <w:r w:rsidRPr="004337D3">
        <w:rPr>
          <w:rFonts w:cstheme="minorHAnsi"/>
          <w:b/>
          <w:color w:val="00188F"/>
        </w:rPr>
        <w:t>Maksymalna Liczba Dostępnych Minut</w:t>
      </w:r>
      <w:r w:rsidRPr="004337D3">
        <w:rPr>
          <w:rFonts w:cstheme="minorHAnsi"/>
        </w:rPr>
        <w:t xml:space="preserve">” to suma wszystkich Minut Wdrożenia we wszystkich Usługach </w:t>
      </w:r>
      <w:proofErr w:type="spellStart"/>
      <w:r w:rsidRPr="004337D3">
        <w:rPr>
          <w:rFonts w:cstheme="minorHAnsi"/>
        </w:rPr>
        <w:t>Key</w:t>
      </w:r>
      <w:proofErr w:type="spellEnd"/>
      <w:r w:rsidRPr="004337D3">
        <w:rPr>
          <w:rFonts w:cstheme="minorHAnsi"/>
        </w:rPr>
        <w:t xml:space="preserve"> </w:t>
      </w:r>
      <w:proofErr w:type="spellStart"/>
      <w:r w:rsidRPr="004337D3">
        <w:rPr>
          <w:rFonts w:cstheme="minorHAnsi"/>
        </w:rPr>
        <w:t>Vault</w:t>
      </w:r>
      <w:proofErr w:type="spellEnd"/>
      <w:r w:rsidRPr="004337D3">
        <w:rPr>
          <w:rFonts w:cstheme="minorHAnsi"/>
        </w:rPr>
        <w:t xml:space="preserve"> wdrożonych przez użytkownika w ramach danej subskrypcji Microsoft </w:t>
      </w:r>
      <w:proofErr w:type="spellStart"/>
      <w:r w:rsidRPr="004337D3">
        <w:rPr>
          <w:rFonts w:cstheme="minorHAnsi"/>
        </w:rPr>
        <w:t>Azure</w:t>
      </w:r>
      <w:proofErr w:type="spellEnd"/>
      <w:r w:rsidRPr="004337D3">
        <w:rPr>
          <w:rFonts w:cstheme="minorHAnsi"/>
        </w:rPr>
        <w:t xml:space="preserve"> w miesiącu rozliczeniowym.</w:t>
      </w:r>
    </w:p>
    <w:p w14:paraId="3D63133A" w14:textId="4490C2D5" w:rsidR="00C46F26" w:rsidRPr="00EF7CF9" w:rsidRDefault="00C46F26" w:rsidP="005D2B3D">
      <w:pPr>
        <w:pStyle w:val="ProductList-Body"/>
        <w:jc w:val="both"/>
      </w:pPr>
      <w:r>
        <w:rPr>
          <w:b/>
          <w:color w:val="00188F"/>
        </w:rPr>
        <w:t>Przestój</w:t>
      </w:r>
      <w:r w:rsidRPr="0034704E">
        <w:rPr>
          <w:b/>
          <w:color w:val="00188F"/>
        </w:rPr>
        <w:t>:</w:t>
      </w:r>
      <w:r>
        <w:t xml:space="preserve"> to łączna liczba Minut Wdrożenia dla wszystkich magazynów kluczy wdrożonych przez Klienta w ramach danej subskrypcji Microsoft </w:t>
      </w:r>
      <w:proofErr w:type="spellStart"/>
      <w:r>
        <w:t>Azure</w:t>
      </w:r>
      <w:proofErr w:type="spellEnd"/>
      <w:r>
        <w:t>, w czasie których magazyn kluczy jest niedostępny. Minuta jest uznawana za minutę niedostępności dla danego magazynu kluczy, jeśli wszystkie kolejne próby wykonania transakcji, innych niż Transakcje Nieuwzględnione, na magazynie kluczy w ciągu tej minuty albo zwracają Kod</w:t>
      </w:r>
      <w:r w:rsidR="009A3C84">
        <w:t> </w:t>
      </w:r>
      <w:r>
        <w:t>Błędu, albo nie zwracają Kodu Sukcesu przed upływem pięciu (5) sekund od otrzymania przez Microsoft takiego żądania.</w:t>
      </w:r>
    </w:p>
    <w:p w14:paraId="1CE57103" w14:textId="7E1C1BAE" w:rsidR="00C46F26" w:rsidRPr="00EF7CF9" w:rsidRDefault="00AC48A7" w:rsidP="005D2B3D">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499E0B21" w14:textId="30440EBA" w:rsidR="00C46F26" w:rsidRPr="00EF7CF9" w:rsidRDefault="00000000" w:rsidP="005D2B3D">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F1DBAB8" w14:textId="674C09FA" w:rsidR="00C46F26" w:rsidRPr="00EF7CF9" w:rsidRDefault="00C46F26" w:rsidP="00C46F26">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46F26" w:rsidRPr="00B44CF9" w14:paraId="7FDC7624" w14:textId="77777777" w:rsidTr="00277097">
        <w:trPr>
          <w:tblHeader/>
        </w:trPr>
        <w:tc>
          <w:tcPr>
            <w:tcW w:w="5400" w:type="dxa"/>
            <w:shd w:val="clear" w:color="auto" w:fill="0072C6"/>
          </w:tcPr>
          <w:p w14:paraId="4290F47E" w14:textId="175EDE25" w:rsidR="00C46F2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E0062D5" w14:textId="77777777" w:rsidR="00C46F26" w:rsidRPr="00EF7CF9" w:rsidRDefault="00C46F26" w:rsidP="000F31B4">
            <w:pPr>
              <w:pStyle w:val="ProductList-OfferingBody"/>
              <w:jc w:val="center"/>
              <w:rPr>
                <w:color w:val="FFFFFF" w:themeColor="background1"/>
              </w:rPr>
            </w:pPr>
            <w:r>
              <w:rPr>
                <w:color w:val="FFFFFF" w:themeColor="background1"/>
              </w:rPr>
              <w:t>Środki Serwisowe na Używanie Usług</w:t>
            </w:r>
          </w:p>
        </w:tc>
      </w:tr>
      <w:tr w:rsidR="00C46F26" w:rsidRPr="00B44CF9" w14:paraId="0C3EB5BE" w14:textId="77777777" w:rsidTr="00277097">
        <w:tc>
          <w:tcPr>
            <w:tcW w:w="5400" w:type="dxa"/>
          </w:tcPr>
          <w:p w14:paraId="47AD5171" w14:textId="7C4B79AC" w:rsidR="00C46F26" w:rsidRPr="00EF7CF9" w:rsidRDefault="00C46F26" w:rsidP="000F31B4">
            <w:pPr>
              <w:pStyle w:val="ProductList-OfferingBody"/>
              <w:jc w:val="center"/>
            </w:pPr>
            <w:r>
              <w:t>&lt; 99,</w:t>
            </w:r>
            <w:r w:rsidR="00DB30AA">
              <w:t>9</w:t>
            </w:r>
            <w:r>
              <w:t>9%</w:t>
            </w:r>
          </w:p>
        </w:tc>
        <w:tc>
          <w:tcPr>
            <w:tcW w:w="5400" w:type="dxa"/>
          </w:tcPr>
          <w:p w14:paraId="5F1A3A62" w14:textId="77777777" w:rsidR="00C46F26" w:rsidRPr="00EF7CF9" w:rsidRDefault="00C46F26" w:rsidP="000F31B4">
            <w:pPr>
              <w:pStyle w:val="ProductList-OfferingBody"/>
              <w:jc w:val="center"/>
            </w:pPr>
            <w:r>
              <w:t>10%</w:t>
            </w:r>
          </w:p>
        </w:tc>
      </w:tr>
      <w:tr w:rsidR="00C46F26" w:rsidRPr="00B44CF9" w14:paraId="6C9B83FA" w14:textId="77777777" w:rsidTr="00277097">
        <w:tc>
          <w:tcPr>
            <w:tcW w:w="5400" w:type="dxa"/>
          </w:tcPr>
          <w:p w14:paraId="5CCF0254" w14:textId="77777777" w:rsidR="00C46F26" w:rsidRPr="00EF7CF9" w:rsidRDefault="00C46F26" w:rsidP="000F31B4">
            <w:pPr>
              <w:pStyle w:val="ProductList-OfferingBody"/>
              <w:jc w:val="center"/>
            </w:pPr>
            <w:r>
              <w:t>&lt; 99%</w:t>
            </w:r>
          </w:p>
        </w:tc>
        <w:tc>
          <w:tcPr>
            <w:tcW w:w="5400" w:type="dxa"/>
          </w:tcPr>
          <w:p w14:paraId="0C993539" w14:textId="77777777" w:rsidR="00C46F26" w:rsidRPr="00EF7CF9" w:rsidRDefault="00C46F26" w:rsidP="000F31B4">
            <w:pPr>
              <w:pStyle w:val="ProductList-OfferingBody"/>
              <w:jc w:val="center"/>
            </w:pPr>
            <w:r>
              <w:t>25%</w:t>
            </w:r>
          </w:p>
        </w:tc>
      </w:tr>
    </w:tbl>
    <w:bookmarkStart w:id="304" w:name="_Toc457821555"/>
    <w:bookmarkStart w:id="305" w:name="_Toc526859688"/>
    <w:bookmarkStart w:id="306" w:name="_Toc527039337"/>
    <w:bookmarkStart w:id="307" w:name="LogAnalytics"/>
    <w:p w14:paraId="2522F779" w14:textId="6C9FB33D" w:rsidR="00C46F26" w:rsidRPr="00EF7CF9" w:rsidRDefault="00C71F89" w:rsidP="00C46F26">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57EA7782" w14:textId="77777777" w:rsidR="00660E55" w:rsidRPr="00660E55" w:rsidRDefault="00660E55" w:rsidP="00660E55">
      <w:pPr>
        <w:pStyle w:val="ProductList-Offering2Heading"/>
        <w:keepNext/>
        <w:tabs>
          <w:tab w:val="clear" w:pos="360"/>
          <w:tab w:val="clear" w:pos="720"/>
          <w:tab w:val="clear" w:pos="1080"/>
        </w:tabs>
        <w:outlineLvl w:val="2"/>
      </w:pPr>
      <w:bookmarkStart w:id="308" w:name="_Toc239175027"/>
      <w:bookmarkEnd w:id="304"/>
      <w:bookmarkEnd w:id="305"/>
      <w:bookmarkEnd w:id="306"/>
      <w:bookmarkEnd w:id="307"/>
      <w:proofErr w:type="spellStart"/>
      <w:r>
        <w:t>Azure</w:t>
      </w:r>
      <w:proofErr w:type="spellEnd"/>
      <w:r>
        <w:t xml:space="preserve"> </w:t>
      </w:r>
      <w:proofErr w:type="spellStart"/>
      <w:r>
        <w:t>Key</w:t>
      </w:r>
      <w:proofErr w:type="spellEnd"/>
      <w:r>
        <w:t xml:space="preserve"> </w:t>
      </w:r>
      <w:proofErr w:type="spellStart"/>
      <w:r>
        <w:t>Vault</w:t>
      </w:r>
      <w:proofErr w:type="spellEnd"/>
      <w:r>
        <w:t xml:space="preserve"> </w:t>
      </w:r>
      <w:proofErr w:type="spellStart"/>
      <w:r>
        <w:t>Managed</w:t>
      </w:r>
      <w:proofErr w:type="spellEnd"/>
      <w:r>
        <w:t xml:space="preserve"> HSM</w:t>
      </w:r>
      <w:bookmarkEnd w:id="308"/>
    </w:p>
    <w:p w14:paraId="58F7AD23" w14:textId="2D7CF5B4" w:rsidR="00660E55" w:rsidRPr="00660E55" w:rsidRDefault="00EE6E3C" w:rsidP="00660E55">
      <w:pPr>
        <w:pStyle w:val="ProductList-Body"/>
        <w:rPr>
          <w:b/>
          <w:bCs/>
          <w:color w:val="00188F"/>
        </w:rPr>
      </w:pPr>
      <w:r>
        <w:rPr>
          <w:b/>
          <w:bCs/>
          <w:color w:val="00188F"/>
        </w:rPr>
        <w:t>Obliczanie Czasu Sprawnego Działania i Poziomy Usługi dla Zarządzanych Modułów HSM</w:t>
      </w:r>
    </w:p>
    <w:p w14:paraId="30B9FBAC" w14:textId="2DEAC013" w:rsidR="00660E55" w:rsidRDefault="00660E55" w:rsidP="00660E55">
      <w:pPr>
        <w:pStyle w:val="ProductList-Body"/>
      </w:pPr>
      <w:r>
        <w:t>„</w:t>
      </w:r>
      <w:r>
        <w:rPr>
          <w:b/>
          <w:bCs/>
          <w:color w:val="00188F"/>
        </w:rPr>
        <w:t>Minuty Wdrożenia</w:t>
      </w:r>
      <w:r>
        <w:t xml:space="preserve">” to łączna liczba minut, przez które dany Zarządzany Moduł HSM został wdrożony na platformie Microsoft </w:t>
      </w:r>
      <w:proofErr w:type="spellStart"/>
      <w:r>
        <w:t>Azure</w:t>
      </w:r>
      <w:proofErr w:type="spellEnd"/>
      <w:r>
        <w:t xml:space="preserve"> we Właściwym Okresie.</w:t>
      </w:r>
    </w:p>
    <w:p w14:paraId="053CE29C" w14:textId="21D76FE5" w:rsidR="00660E55" w:rsidRDefault="00660E55" w:rsidP="00660E55">
      <w:pPr>
        <w:pStyle w:val="ProductList-Body"/>
      </w:pPr>
      <w:r>
        <w:t>„</w:t>
      </w:r>
      <w:r>
        <w:rPr>
          <w:b/>
          <w:bCs/>
          <w:color w:val="00188F"/>
        </w:rPr>
        <w:t>Maksymalna Liczba Dostępnych Minut</w:t>
      </w:r>
      <w:r>
        <w:t xml:space="preserve">” to suma wszystkich Minut Wdrożenia we wszystkich Zarządzanych Modułach HSM wdrożonych przez użytkownika w ramach danej subskrypcji Microsoft </w:t>
      </w:r>
      <w:proofErr w:type="spellStart"/>
      <w:r>
        <w:t>Azure</w:t>
      </w:r>
      <w:proofErr w:type="spellEnd"/>
      <w:r>
        <w:t xml:space="preserve"> we Właściwym Okresie.</w:t>
      </w:r>
    </w:p>
    <w:p w14:paraId="7FE43870" w14:textId="77777777" w:rsidR="00660E55" w:rsidRDefault="00660E55" w:rsidP="00660E55">
      <w:pPr>
        <w:pStyle w:val="ProductList-Body"/>
      </w:pPr>
      <w:r>
        <w:t>„</w:t>
      </w:r>
      <w:r>
        <w:rPr>
          <w:b/>
          <w:bCs/>
          <w:color w:val="00188F"/>
        </w:rPr>
        <w:t>Transakcje Nieuwzględnione</w:t>
      </w:r>
      <w:r>
        <w:t xml:space="preserve">” to transakcje dotyczące tworzenia, aktualizowania lub usuwania zarządzanych modułów HSM, kluczy, </w:t>
      </w:r>
      <w:proofErr w:type="spellStart"/>
      <w:r>
        <w:t>przypisań</w:t>
      </w:r>
      <w:proofErr w:type="spellEnd"/>
      <w:r>
        <w:t xml:space="preserve"> ról, definicji ról oraz pobierania lub przesyłania domeny zabezpieczeń.</w:t>
      </w:r>
    </w:p>
    <w:p w14:paraId="10F6540B" w14:textId="77777777" w:rsidR="00660E55" w:rsidRDefault="00660E55" w:rsidP="00660E55">
      <w:pPr>
        <w:pStyle w:val="ProductList-Body"/>
      </w:pPr>
      <w:r>
        <w:t>„</w:t>
      </w:r>
      <w:r>
        <w:rPr>
          <w:b/>
          <w:bCs/>
          <w:color w:val="00188F"/>
        </w:rPr>
        <w:t>Przestój</w:t>
      </w:r>
      <w:r>
        <w:t xml:space="preserve">” to łączna zakumulowana liczba Minut Wdrożenia dla wszystkich zarządzanych modułów HSM wdrożonych przez Klienta w ramach danej subskrypcji Microsoft </w:t>
      </w:r>
      <w:proofErr w:type="spellStart"/>
      <w:r>
        <w:t>Azure</w:t>
      </w:r>
      <w:proofErr w:type="spellEnd"/>
      <w:r>
        <w:t>, podczas których zarządzany moduł HSM jest niedostępny. Minuta jest uznawana za minutę niedostępności dla danego zarządzanego modułu HSM, jeśli wszystkie kolejne próby wykonania transakcji, innych niż Transakcje Nieuwzględnione, na zarządzanym module HSM w ciągu tej minuty albo zwracają Kod Błędu, albo nie zwracają Kodu Sukcesu przed upływem pięciu (5) sekund od otrzymania przez Microsoft takiego żądania.</w:t>
      </w:r>
    </w:p>
    <w:p w14:paraId="28CE48E2" w14:textId="43C85E6F" w:rsidR="00660E55" w:rsidRDefault="00660E55" w:rsidP="00660E55">
      <w:pPr>
        <w:pStyle w:val="ProductList-Body"/>
      </w:pPr>
      <w:r>
        <w:t>„</w:t>
      </w:r>
      <w:r>
        <w:rPr>
          <w:b/>
          <w:bCs/>
          <w:color w:val="00188F"/>
        </w:rPr>
        <w:t>Procent Czasu Sprawnego Działania</w:t>
      </w:r>
      <w:r w:rsidR="00B41CC1" w:rsidRPr="00B41CC1">
        <w:t>”</w:t>
      </w:r>
      <w:r>
        <w:t xml:space="preserve"> dla Usługi Zarządzanych Modułów HSM to Maksymalna Liczba Dostępnych Minut pomniejszona o Przestój podzielona przez Maksymalną Liczbę Dostępnych Minut we Właściwym Okresie dla danej subskrypcji Microsoft </w:t>
      </w:r>
      <w:proofErr w:type="spellStart"/>
      <w:r>
        <w:t>Azure</w:t>
      </w:r>
      <w:proofErr w:type="spellEnd"/>
      <w:r>
        <w:t xml:space="preserve">. </w:t>
      </w:r>
    </w:p>
    <w:p w14:paraId="6A6FF732" w14:textId="4E4D019B" w:rsidR="00660E55" w:rsidRDefault="00AC48A7" w:rsidP="00660E55">
      <w:pPr>
        <w:pStyle w:val="ProductList-Body"/>
      </w:pPr>
      <w:r>
        <w:t>Procent Czasu Sprawnego Działania przedstawia się za pomocą następującego wzoru:</w:t>
      </w:r>
    </w:p>
    <w:p w14:paraId="2CB08560" w14:textId="3DF5B556" w:rsidR="00660E55" w:rsidRPr="00EF7CF9" w:rsidRDefault="00000000" w:rsidP="005D2B3D">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DACD42B" w14:textId="77777777" w:rsidR="00660E55" w:rsidRPr="00660E55" w:rsidRDefault="00660E55" w:rsidP="00CD60E6">
      <w:pPr>
        <w:pStyle w:val="ProductList-Body"/>
        <w:ind w:right="144"/>
        <w:rPr>
          <w:b/>
          <w:bCs/>
          <w:color w:val="00188F"/>
        </w:rPr>
      </w:pPr>
      <w:r>
        <w:rPr>
          <w:b/>
          <w:bCs/>
          <w:color w:val="00188F"/>
        </w:rPr>
        <w:t>Do używania przez Klienta Usługi Zarządzanych Modułów HSM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60E55" w:rsidRPr="00B44CF9" w14:paraId="17BE2F67" w14:textId="77777777" w:rsidTr="00277097">
        <w:trPr>
          <w:tblHeader/>
        </w:trPr>
        <w:tc>
          <w:tcPr>
            <w:tcW w:w="5400" w:type="dxa"/>
            <w:shd w:val="clear" w:color="auto" w:fill="0072C6"/>
          </w:tcPr>
          <w:p w14:paraId="54A3F914" w14:textId="7B4375F1" w:rsidR="00660E55"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1976303" w14:textId="77777777" w:rsidR="00660E55" w:rsidRPr="00EF7CF9" w:rsidRDefault="00660E55" w:rsidP="000F31B4">
            <w:pPr>
              <w:pStyle w:val="ProductList-OfferingBody"/>
              <w:jc w:val="center"/>
              <w:rPr>
                <w:color w:val="FFFFFF" w:themeColor="background1"/>
              </w:rPr>
            </w:pPr>
            <w:r>
              <w:rPr>
                <w:color w:val="FFFFFF" w:themeColor="background1"/>
              </w:rPr>
              <w:t>Środki Serwisowe na Używanie Usług</w:t>
            </w:r>
          </w:p>
        </w:tc>
      </w:tr>
      <w:tr w:rsidR="00660E55" w:rsidRPr="00B44CF9" w14:paraId="0F72A7C5" w14:textId="77777777" w:rsidTr="00277097">
        <w:tc>
          <w:tcPr>
            <w:tcW w:w="5400" w:type="dxa"/>
          </w:tcPr>
          <w:p w14:paraId="762D3691" w14:textId="77777777" w:rsidR="00660E55" w:rsidRPr="00EF7CF9" w:rsidRDefault="00660E55" w:rsidP="000F31B4">
            <w:pPr>
              <w:pStyle w:val="ProductList-OfferingBody"/>
              <w:jc w:val="center"/>
            </w:pPr>
            <w:r>
              <w:t>&lt; 99,9%</w:t>
            </w:r>
          </w:p>
        </w:tc>
        <w:tc>
          <w:tcPr>
            <w:tcW w:w="5400" w:type="dxa"/>
          </w:tcPr>
          <w:p w14:paraId="3F9342B3" w14:textId="77777777" w:rsidR="00660E55" w:rsidRPr="00EF7CF9" w:rsidRDefault="00660E55" w:rsidP="000F31B4">
            <w:pPr>
              <w:pStyle w:val="ProductList-OfferingBody"/>
              <w:jc w:val="center"/>
            </w:pPr>
            <w:r>
              <w:t>10%</w:t>
            </w:r>
          </w:p>
        </w:tc>
      </w:tr>
      <w:tr w:rsidR="00660E55" w:rsidRPr="00B44CF9" w14:paraId="4E55B05E" w14:textId="77777777" w:rsidTr="00277097">
        <w:tc>
          <w:tcPr>
            <w:tcW w:w="5400" w:type="dxa"/>
          </w:tcPr>
          <w:p w14:paraId="3C9AE2C5" w14:textId="77777777" w:rsidR="00660E55" w:rsidRPr="00EF7CF9" w:rsidRDefault="00660E55" w:rsidP="000F31B4">
            <w:pPr>
              <w:pStyle w:val="ProductList-OfferingBody"/>
              <w:jc w:val="center"/>
            </w:pPr>
            <w:r>
              <w:t>&lt; 99%</w:t>
            </w:r>
          </w:p>
        </w:tc>
        <w:tc>
          <w:tcPr>
            <w:tcW w:w="5400" w:type="dxa"/>
          </w:tcPr>
          <w:p w14:paraId="1CFA6DDE" w14:textId="77777777" w:rsidR="00660E55" w:rsidRPr="00EF7CF9" w:rsidRDefault="00660E55" w:rsidP="000F31B4">
            <w:pPr>
              <w:pStyle w:val="ProductList-OfferingBody"/>
              <w:jc w:val="center"/>
            </w:pPr>
            <w:r>
              <w:t>25%</w:t>
            </w:r>
          </w:p>
        </w:tc>
      </w:tr>
    </w:tbl>
    <w:p w14:paraId="71660FDF" w14:textId="77777777" w:rsidR="000A7ADE" w:rsidRPr="007664A7" w:rsidRDefault="000A7ADE" w:rsidP="000A7ADE">
      <w:pPr>
        <w:pStyle w:val="ProductList-Body"/>
        <w:spacing w:before="120"/>
        <w:rPr>
          <w:rFonts w:ascii="Calibri" w:hAnsi="Calibri" w:cs="Calibri"/>
          <w:b/>
          <w:bCs/>
          <w:color w:val="00188F"/>
        </w:rPr>
      </w:pPr>
      <w:r>
        <w:rPr>
          <w:rFonts w:ascii="Calibri" w:hAnsi="Calibri" w:cs="Calibri"/>
          <w:b/>
          <w:bCs/>
          <w:color w:val="00188F"/>
        </w:rPr>
        <w:t xml:space="preserve">W przypadku Usługi </w:t>
      </w:r>
      <w:proofErr w:type="spellStart"/>
      <w:r>
        <w:rPr>
          <w:rFonts w:ascii="Calibri" w:hAnsi="Calibri" w:cs="Calibri"/>
          <w:b/>
          <w:bCs/>
          <w:color w:val="00188F"/>
        </w:rPr>
        <w:t>Managed</w:t>
      </w:r>
      <w:proofErr w:type="spellEnd"/>
      <w:r>
        <w:rPr>
          <w:rFonts w:ascii="Calibri" w:hAnsi="Calibri" w:cs="Calibri"/>
          <w:b/>
          <w:bCs/>
          <w:color w:val="00188F"/>
        </w:rPr>
        <w:t xml:space="preserve"> HSM, w której zarządzana pula HSM jest replikowana w regionach świadczenia platformy </w:t>
      </w:r>
      <w:proofErr w:type="spellStart"/>
      <w:r>
        <w:rPr>
          <w:rFonts w:ascii="Calibri" w:hAnsi="Calibri" w:cs="Calibri"/>
          <w:b/>
          <w:bCs/>
          <w:color w:val="00188F"/>
        </w:rPr>
        <w:t>Azure</w:t>
      </w:r>
      <w:proofErr w:type="spellEnd"/>
      <w:r>
        <w:rPr>
          <w:rFonts w:ascii="Calibri" w:hAnsi="Calibri" w:cs="Calibri"/>
          <w:b/>
          <w:bCs/>
          <w:color w:val="00188F"/>
        </w:rPr>
        <w:t>, obowiązują następujące Poziomy Usług i odpowiadające im Środki na Używanie Usług (Procent Czasu Sprawnego Działania jest obliczany na podstawie łącznej dostępności podstawowej i replikowanej puli HSM):</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A7ADE" w:rsidRPr="00EF7CF9" w14:paraId="4B94F0BF" w14:textId="77777777" w:rsidTr="008367CC">
        <w:trPr>
          <w:trHeight w:val="245"/>
          <w:tblHeader/>
        </w:trPr>
        <w:tc>
          <w:tcPr>
            <w:tcW w:w="5400" w:type="dxa"/>
            <w:shd w:val="clear" w:color="auto" w:fill="0072C6"/>
          </w:tcPr>
          <w:p w14:paraId="737BD36C" w14:textId="77777777" w:rsidR="000A7ADE" w:rsidRPr="007664A7" w:rsidRDefault="000A7AD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706AC859" w14:textId="77777777" w:rsidR="000A7ADE" w:rsidRPr="007664A7" w:rsidRDefault="000A7ADE"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0A7ADE" w:rsidRPr="00EF7CF9" w14:paraId="7D4900DB" w14:textId="77777777" w:rsidTr="008367CC">
        <w:trPr>
          <w:trHeight w:val="245"/>
        </w:trPr>
        <w:tc>
          <w:tcPr>
            <w:tcW w:w="5400" w:type="dxa"/>
          </w:tcPr>
          <w:p w14:paraId="2BE4B750" w14:textId="77777777" w:rsidR="000A7ADE" w:rsidRPr="007664A7" w:rsidRDefault="000A7ADE"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00594F6F" w14:textId="77777777" w:rsidR="000A7ADE" w:rsidRPr="007664A7" w:rsidRDefault="000A7ADE" w:rsidP="008367CC">
            <w:pPr>
              <w:pStyle w:val="ProductList-OfferingBody"/>
              <w:jc w:val="center"/>
              <w:rPr>
                <w:rFonts w:ascii="Calibri" w:hAnsi="Calibri" w:cs="Calibri"/>
                <w:szCs w:val="16"/>
              </w:rPr>
            </w:pPr>
            <w:r>
              <w:rPr>
                <w:rFonts w:ascii="Calibri" w:hAnsi="Calibri" w:cs="Calibri"/>
                <w:szCs w:val="16"/>
              </w:rPr>
              <w:t>10%</w:t>
            </w:r>
          </w:p>
        </w:tc>
      </w:tr>
      <w:tr w:rsidR="000A7ADE" w:rsidRPr="00EF7CF9" w14:paraId="5900415B" w14:textId="77777777" w:rsidTr="008367CC">
        <w:trPr>
          <w:trHeight w:val="245"/>
        </w:trPr>
        <w:tc>
          <w:tcPr>
            <w:tcW w:w="5400" w:type="dxa"/>
          </w:tcPr>
          <w:p w14:paraId="74B2BFDA" w14:textId="77777777" w:rsidR="000A7ADE" w:rsidRPr="007664A7" w:rsidRDefault="000A7ADE"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087704CF" w14:textId="77777777" w:rsidR="000A7ADE" w:rsidRPr="007664A7" w:rsidRDefault="000A7ADE" w:rsidP="008367CC">
            <w:pPr>
              <w:pStyle w:val="ProductList-OfferingBody"/>
              <w:jc w:val="center"/>
              <w:rPr>
                <w:rFonts w:ascii="Calibri" w:hAnsi="Calibri" w:cs="Calibri"/>
                <w:szCs w:val="16"/>
              </w:rPr>
            </w:pPr>
            <w:r>
              <w:rPr>
                <w:rFonts w:ascii="Calibri" w:hAnsi="Calibri" w:cs="Calibri"/>
                <w:szCs w:val="16"/>
              </w:rPr>
              <w:t>25%</w:t>
            </w:r>
          </w:p>
        </w:tc>
      </w:tr>
    </w:tbl>
    <w:p w14:paraId="64245ECB" w14:textId="77777777" w:rsidR="000A7ADE" w:rsidRPr="00EF7CF9" w:rsidRDefault="000A7ADE" w:rsidP="000A7AD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87AFF7E" w14:textId="3A9B0343" w:rsidR="00F82DA2" w:rsidRPr="00F82DA2" w:rsidRDefault="00F82DA2" w:rsidP="00A82C3D">
      <w:pPr>
        <w:pStyle w:val="ProductList-Offering2Heading"/>
        <w:keepNext/>
        <w:tabs>
          <w:tab w:val="clear" w:pos="360"/>
          <w:tab w:val="clear" w:pos="720"/>
          <w:tab w:val="clear" w:pos="1080"/>
        </w:tabs>
        <w:outlineLvl w:val="2"/>
      </w:pPr>
      <w:bookmarkStart w:id="309" w:name="_Toc239175028"/>
      <w:proofErr w:type="spellStart"/>
      <w:r>
        <w:t>Azure</w:t>
      </w:r>
      <w:proofErr w:type="spellEnd"/>
      <w:r>
        <w:t xml:space="preserve"> </w:t>
      </w:r>
      <w:proofErr w:type="spellStart"/>
      <w:r>
        <w:t>Kubernetes</w:t>
      </w:r>
      <w:proofErr w:type="spellEnd"/>
      <w:r>
        <w:t xml:space="preserve"> Service (AKS)</w:t>
      </w:r>
      <w:bookmarkEnd w:id="309"/>
    </w:p>
    <w:p w14:paraId="61A85984" w14:textId="77777777" w:rsidR="00F82DA2" w:rsidRPr="005A1265" w:rsidRDefault="00F82DA2" w:rsidP="00F82DA2">
      <w:pPr>
        <w:pStyle w:val="ProductList-Body"/>
        <w:rPr>
          <w:b/>
          <w:bCs/>
          <w:color w:val="00188F"/>
        </w:rPr>
      </w:pPr>
      <w:r>
        <w:rPr>
          <w:b/>
          <w:bCs/>
          <w:color w:val="00188F"/>
        </w:rPr>
        <w:t>Dodatkowe definicje</w:t>
      </w:r>
    </w:p>
    <w:p w14:paraId="127F0781" w14:textId="77777777" w:rsidR="00F82DA2" w:rsidRDefault="00F82DA2" w:rsidP="00F82DA2">
      <w:pPr>
        <w:pStyle w:val="ProductList-Body"/>
      </w:pPr>
      <w:r w:rsidRPr="00B41CC1">
        <w:t>„</w:t>
      </w:r>
      <w:r>
        <w:rPr>
          <w:b/>
          <w:bCs/>
          <w:color w:val="00188F"/>
        </w:rPr>
        <w:t xml:space="preserve">Klaster </w:t>
      </w:r>
      <w:proofErr w:type="spellStart"/>
      <w:r>
        <w:rPr>
          <w:b/>
          <w:bCs/>
          <w:color w:val="00188F"/>
        </w:rPr>
        <w:t>Azure</w:t>
      </w:r>
      <w:proofErr w:type="spellEnd"/>
      <w:r>
        <w:rPr>
          <w:b/>
          <w:bCs/>
          <w:color w:val="00188F"/>
        </w:rPr>
        <w:t xml:space="preserve"> </w:t>
      </w:r>
      <w:proofErr w:type="spellStart"/>
      <w:r>
        <w:rPr>
          <w:b/>
          <w:bCs/>
          <w:color w:val="00188F"/>
        </w:rPr>
        <w:t>Kubernetes</w:t>
      </w:r>
      <w:proofErr w:type="spellEnd"/>
      <w:r>
        <w:rPr>
          <w:b/>
          <w:bCs/>
          <w:color w:val="00188F"/>
        </w:rPr>
        <w:t xml:space="preserve"> Service (AKS)</w:t>
      </w:r>
      <w:r w:rsidRPr="00B41CC1">
        <w:t>”</w:t>
      </w:r>
      <w:r>
        <w:t xml:space="preserve">. Na klaster </w:t>
      </w:r>
      <w:proofErr w:type="spellStart"/>
      <w:r>
        <w:t>Kubernetes</w:t>
      </w:r>
      <w:proofErr w:type="spellEnd"/>
      <w:r>
        <w:t xml:space="preserve"> składają się dwie części:</w:t>
      </w:r>
    </w:p>
    <w:p w14:paraId="3F836EE1" w14:textId="77777777" w:rsidR="00F82DA2" w:rsidRDefault="00F82DA2" w:rsidP="00DB4449">
      <w:pPr>
        <w:pStyle w:val="ProductList-Body"/>
        <w:numPr>
          <w:ilvl w:val="0"/>
          <w:numId w:val="11"/>
        </w:numPr>
      </w:pPr>
      <w:r>
        <w:t xml:space="preserve">Węzły płaszczyzny sterowania, która zapewnia podstawowe usługi </w:t>
      </w:r>
      <w:proofErr w:type="spellStart"/>
      <w:r>
        <w:t>Kubernetes</w:t>
      </w:r>
      <w:proofErr w:type="spellEnd"/>
      <w:r>
        <w:t xml:space="preserve"> oraz orkiestrację procesów aplikacji.</w:t>
      </w:r>
    </w:p>
    <w:p w14:paraId="304182C8" w14:textId="01A08E20" w:rsidR="00F82DA2" w:rsidRDefault="00F82DA2" w:rsidP="00DB4449">
      <w:pPr>
        <w:pStyle w:val="ProductList-Body"/>
        <w:numPr>
          <w:ilvl w:val="0"/>
          <w:numId w:val="11"/>
        </w:numPr>
      </w:pPr>
      <w:r>
        <w:t>Węzły, w których uruchamiane są procesy aplikacji.</w:t>
      </w:r>
    </w:p>
    <w:p w14:paraId="5C4312B7" w14:textId="5A35BD9C" w:rsidR="00F82DA2" w:rsidRDefault="00F82DA2" w:rsidP="00F82DA2">
      <w:pPr>
        <w:pStyle w:val="ProductList-Body"/>
      </w:pPr>
      <w:r w:rsidRPr="00B41CC1">
        <w:t>„</w:t>
      </w:r>
      <w:r>
        <w:rPr>
          <w:b/>
          <w:bCs/>
          <w:color w:val="00188F"/>
        </w:rPr>
        <w:t xml:space="preserve">Serwer API Usługi </w:t>
      </w:r>
      <w:proofErr w:type="spellStart"/>
      <w:r>
        <w:rPr>
          <w:b/>
          <w:bCs/>
          <w:color w:val="00188F"/>
        </w:rPr>
        <w:t>Kubernetes</w:t>
      </w:r>
      <w:proofErr w:type="spellEnd"/>
      <w:r w:rsidRPr="00B41CC1">
        <w:t>”</w:t>
      </w:r>
      <w:r>
        <w:t xml:space="preserve">. Po utworzeniu Klastra </w:t>
      </w:r>
      <w:proofErr w:type="spellStart"/>
      <w:r>
        <w:t>Azure</w:t>
      </w:r>
      <w:proofErr w:type="spellEnd"/>
      <w:r>
        <w:t xml:space="preserve"> </w:t>
      </w:r>
      <w:proofErr w:type="spellStart"/>
      <w:r>
        <w:t>Kubernetes</w:t>
      </w:r>
      <w:proofErr w:type="spellEnd"/>
      <w:r>
        <w:t xml:space="preserve"> Service (AKS) płaszczyzna sterowania zostaje automatycznie utworzona i</w:t>
      </w:r>
      <w:r w:rsidR="00DB69C8">
        <w:t> </w:t>
      </w:r>
      <w:r>
        <w:t xml:space="preserve">skonfigurowana. Płaszczyzna sterowania obejmuje Serwer API, który uwidacznia podstawowy interfejs API usługi </w:t>
      </w:r>
      <w:proofErr w:type="spellStart"/>
      <w:r>
        <w:t>Kubernetes</w:t>
      </w:r>
      <w:proofErr w:type="spellEnd"/>
      <w:r>
        <w:t>.</w:t>
      </w:r>
    </w:p>
    <w:p w14:paraId="55487483" w14:textId="77777777" w:rsidR="00F82DA2" w:rsidRDefault="00F82DA2" w:rsidP="00F82DA2">
      <w:pPr>
        <w:pStyle w:val="ProductList-Body"/>
      </w:pPr>
      <w:r>
        <w:t>„</w:t>
      </w:r>
      <w:r>
        <w:rPr>
          <w:b/>
          <w:bCs/>
          <w:color w:val="00188F"/>
        </w:rPr>
        <w:t>Strefa Dostępności</w:t>
      </w:r>
      <w:r>
        <w:t xml:space="preserve">” to bezawaryjny obszar w regionie </w:t>
      </w:r>
      <w:proofErr w:type="spellStart"/>
      <w:r>
        <w:t>Azure</w:t>
      </w:r>
      <w:proofErr w:type="spellEnd"/>
      <w:r>
        <w:t xml:space="preserve"> zapewniający nadmiarowe zasilanie, chłodzenie i funkcje sieciowe.</w:t>
      </w:r>
    </w:p>
    <w:p w14:paraId="57AAB2E9" w14:textId="77777777" w:rsidR="00F82DA2" w:rsidRDefault="00F82DA2" w:rsidP="00F82DA2">
      <w:pPr>
        <w:pStyle w:val="ProductList-Body"/>
      </w:pPr>
    </w:p>
    <w:p w14:paraId="4A9E6F02" w14:textId="2345EADD" w:rsidR="00F82DA2" w:rsidRPr="007E7727" w:rsidRDefault="00EE6E3C" w:rsidP="00F82DA2">
      <w:pPr>
        <w:pStyle w:val="ProductList-Body"/>
        <w:rPr>
          <w:b/>
          <w:bCs/>
          <w:color w:val="00188F"/>
        </w:rPr>
      </w:pPr>
      <w:r>
        <w:rPr>
          <w:b/>
          <w:bCs/>
          <w:color w:val="00188F"/>
        </w:rPr>
        <w:t>Obliczanie Czasu Sprawnego Działania i Poziomy Usługi Klastrów AKS, które korzystają ze Stref Dostępności</w:t>
      </w:r>
    </w:p>
    <w:p w14:paraId="3B157BD0" w14:textId="3EB103FF" w:rsidR="00F82DA2" w:rsidRDefault="00F82DA2" w:rsidP="00F82DA2">
      <w:pPr>
        <w:pStyle w:val="ProductList-Body"/>
      </w:pPr>
      <w:r>
        <w:t>„</w:t>
      </w:r>
      <w:r>
        <w:rPr>
          <w:b/>
          <w:bCs/>
          <w:color w:val="00188F"/>
        </w:rPr>
        <w:t>Maksymalna Liczb Dostępnych Minut</w:t>
      </w:r>
      <w:r w:rsidR="00B41CC1" w:rsidRPr="00B41CC1">
        <w:t>”</w:t>
      </w:r>
      <w:r>
        <w:t xml:space="preserve"> to łączna zakumulowana liczba minut od momentu włączenia Klastra AKS z włączoną Strefą Dostępności do</w:t>
      </w:r>
      <w:r w:rsidR="00053047">
        <w:t> </w:t>
      </w:r>
      <w:r>
        <w:t>momentu zainicjowania przez klienta działania, które spowoduje zatrzymanie lub usunięcie Klastra AKS we Właściwym Okresie.</w:t>
      </w:r>
    </w:p>
    <w:p w14:paraId="08E07572" w14:textId="7854E311" w:rsidR="00F82DA2" w:rsidRDefault="00B41CC1" w:rsidP="00F82DA2">
      <w:pPr>
        <w:pStyle w:val="ProductList-Body"/>
      </w:pPr>
      <w:r>
        <w:t>„</w:t>
      </w:r>
      <w:r w:rsidR="00F82DA2">
        <w:rPr>
          <w:b/>
          <w:bCs/>
          <w:color w:val="00188F"/>
        </w:rPr>
        <w:t>Przestój</w:t>
      </w:r>
      <w:r w:rsidRPr="00B41CC1">
        <w:t>”</w:t>
      </w:r>
      <w:r w:rsidR="00F82DA2">
        <w:t xml:space="preserve"> to łączna zakumulowana liczba minut stanowiących część Maksymalnej Liczby Dostępnych Minut, w czasie których nie ma łączności Serwera API </w:t>
      </w:r>
      <w:proofErr w:type="spellStart"/>
      <w:r w:rsidR="00F82DA2">
        <w:t>Kubernetes</w:t>
      </w:r>
      <w:proofErr w:type="spellEnd"/>
      <w:r w:rsidR="00F82DA2">
        <w:t xml:space="preserve"> z przydzielonym Klastrem AKS z włączoną Strefą Dostępności w danym regionie.</w:t>
      </w:r>
    </w:p>
    <w:p w14:paraId="5A3F2225" w14:textId="339503A5" w:rsidR="00F82DA2" w:rsidRDefault="00F82DA2" w:rsidP="00F82DA2">
      <w:pPr>
        <w:pStyle w:val="ProductList-Body"/>
      </w:pPr>
      <w:r>
        <w:t>„</w:t>
      </w:r>
      <w:r>
        <w:rPr>
          <w:b/>
          <w:bCs/>
          <w:color w:val="00188F"/>
        </w:rPr>
        <w:t>Procent Czasu Sprawnego Działania</w:t>
      </w:r>
      <w:r w:rsidR="00B41CC1" w:rsidRPr="00B41CC1">
        <w:t>”</w:t>
      </w:r>
      <w:r>
        <w:t xml:space="preserve"> dla Klastrów AKS z włączoną Strefą Dostępności to Maksymalna Liczba Dostępnych Minut pomniejszona o</w:t>
      </w:r>
      <w:r w:rsidR="00053047">
        <w:t> </w:t>
      </w:r>
      <w:r>
        <w:t xml:space="preserve">Przestój podzielona przez Maksymalną Liczbę Dostępnych Minut we Właściwym Okresie dla danej subskrypcji Microsoft </w:t>
      </w:r>
      <w:proofErr w:type="spellStart"/>
      <w:r>
        <w:t>Azure</w:t>
      </w:r>
      <w:proofErr w:type="spellEnd"/>
      <w:r>
        <w:t>. Procent Czasu Sprawnego Działania przedstawia się za pomocą następującego wzoru:</w:t>
      </w:r>
    </w:p>
    <w:p w14:paraId="656C265F" w14:textId="163A6DD3" w:rsidR="007E7727" w:rsidRPr="00EF7CF9" w:rsidRDefault="00000000" w:rsidP="003155C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26A7E8C" w14:textId="127E1362" w:rsidR="00F82DA2" w:rsidRPr="007E7727" w:rsidRDefault="00F82DA2" w:rsidP="00F82DA2">
      <w:pPr>
        <w:pStyle w:val="ProductList-Body"/>
        <w:rPr>
          <w:b/>
          <w:bCs/>
          <w:color w:val="00188F"/>
        </w:rPr>
      </w:pPr>
      <w:r>
        <w:rPr>
          <w:b/>
          <w:bCs/>
          <w:color w:val="00188F"/>
        </w:rPr>
        <w:t>Do używania przez Klienta Klastrów AKS, które mają włączone Strefy Dostępności w regionie mają zastosowanie następujące Poziomy Usługi i</w:t>
      </w:r>
      <w:r w:rsidR="0068418D">
        <w:rPr>
          <w:b/>
          <w:bCs/>
          <w:color w:val="00188F"/>
        </w:rPr>
        <w:t> </w:t>
      </w: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BE69D38" w14:textId="77777777" w:rsidTr="00277097">
        <w:trPr>
          <w:tblHeader/>
        </w:trPr>
        <w:tc>
          <w:tcPr>
            <w:tcW w:w="5400" w:type="dxa"/>
            <w:shd w:val="clear" w:color="auto" w:fill="0072C6"/>
          </w:tcPr>
          <w:p w14:paraId="316142F0" w14:textId="441AF06A" w:rsidR="007E7727"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B51CB06" w14:textId="77777777" w:rsidR="007E7727" w:rsidRPr="00EF7CF9" w:rsidRDefault="007E7727" w:rsidP="000F31B4">
            <w:pPr>
              <w:pStyle w:val="ProductList-OfferingBody"/>
              <w:jc w:val="center"/>
              <w:rPr>
                <w:color w:val="FFFFFF" w:themeColor="background1"/>
              </w:rPr>
            </w:pPr>
            <w:r>
              <w:rPr>
                <w:color w:val="FFFFFF" w:themeColor="background1"/>
              </w:rPr>
              <w:t>Środki Serwisowe na Używanie Usług</w:t>
            </w:r>
          </w:p>
        </w:tc>
      </w:tr>
      <w:tr w:rsidR="007E7727" w:rsidRPr="00B44CF9" w14:paraId="1FB7B432" w14:textId="77777777" w:rsidTr="00277097">
        <w:tc>
          <w:tcPr>
            <w:tcW w:w="5400" w:type="dxa"/>
          </w:tcPr>
          <w:p w14:paraId="292A2086" w14:textId="6461DC22" w:rsidR="007E7727" w:rsidRPr="00EF7CF9" w:rsidRDefault="007E7727" w:rsidP="000F31B4">
            <w:pPr>
              <w:pStyle w:val="ProductList-OfferingBody"/>
              <w:jc w:val="center"/>
            </w:pPr>
            <w:r>
              <w:t>&lt; 99,95%</w:t>
            </w:r>
          </w:p>
        </w:tc>
        <w:tc>
          <w:tcPr>
            <w:tcW w:w="5400" w:type="dxa"/>
          </w:tcPr>
          <w:p w14:paraId="502E6A7A" w14:textId="77777777" w:rsidR="007E7727" w:rsidRPr="00EF7CF9" w:rsidRDefault="007E7727" w:rsidP="000F31B4">
            <w:pPr>
              <w:pStyle w:val="ProductList-OfferingBody"/>
              <w:jc w:val="center"/>
            </w:pPr>
            <w:r>
              <w:t>10%</w:t>
            </w:r>
          </w:p>
        </w:tc>
      </w:tr>
      <w:tr w:rsidR="007E7727" w:rsidRPr="00B44CF9" w14:paraId="689983CA" w14:textId="77777777" w:rsidTr="00277097">
        <w:tc>
          <w:tcPr>
            <w:tcW w:w="5400" w:type="dxa"/>
          </w:tcPr>
          <w:p w14:paraId="6588AEE3" w14:textId="77777777" w:rsidR="007E7727" w:rsidRPr="00EF7CF9" w:rsidRDefault="007E7727" w:rsidP="000F31B4">
            <w:pPr>
              <w:pStyle w:val="ProductList-OfferingBody"/>
              <w:jc w:val="center"/>
            </w:pPr>
            <w:r>
              <w:t>&lt; 99%</w:t>
            </w:r>
          </w:p>
        </w:tc>
        <w:tc>
          <w:tcPr>
            <w:tcW w:w="5400" w:type="dxa"/>
          </w:tcPr>
          <w:p w14:paraId="47AA3AAB" w14:textId="77777777" w:rsidR="007E7727" w:rsidRPr="00EF7CF9" w:rsidRDefault="007E7727" w:rsidP="000F31B4">
            <w:pPr>
              <w:pStyle w:val="ProductList-OfferingBody"/>
              <w:jc w:val="center"/>
            </w:pPr>
            <w:r>
              <w:t>25%</w:t>
            </w:r>
          </w:p>
        </w:tc>
      </w:tr>
      <w:tr w:rsidR="007E7727" w:rsidRPr="00B44CF9" w14:paraId="7B81C26E" w14:textId="77777777" w:rsidTr="00277097">
        <w:tc>
          <w:tcPr>
            <w:tcW w:w="5400" w:type="dxa"/>
          </w:tcPr>
          <w:p w14:paraId="0443D951" w14:textId="38516087" w:rsidR="007E7727" w:rsidRPr="00EF7CF9" w:rsidRDefault="007E7727" w:rsidP="000F31B4">
            <w:pPr>
              <w:pStyle w:val="ProductList-OfferingBody"/>
              <w:jc w:val="center"/>
            </w:pPr>
            <w:r>
              <w:t>&lt; 95%</w:t>
            </w:r>
          </w:p>
        </w:tc>
        <w:tc>
          <w:tcPr>
            <w:tcW w:w="5400" w:type="dxa"/>
          </w:tcPr>
          <w:p w14:paraId="39F4B2F2" w14:textId="433C6D15" w:rsidR="007E7727" w:rsidRPr="00EF7CF9" w:rsidRDefault="007E7727" w:rsidP="000F31B4">
            <w:pPr>
              <w:pStyle w:val="ProductList-OfferingBody"/>
              <w:jc w:val="center"/>
            </w:pPr>
            <w:r>
              <w:t>100%</w:t>
            </w:r>
          </w:p>
        </w:tc>
      </w:tr>
    </w:tbl>
    <w:p w14:paraId="79783696" w14:textId="5885F0B1" w:rsidR="00F82DA2" w:rsidRPr="007E7727" w:rsidRDefault="00EE6E3C" w:rsidP="008D44F8">
      <w:pPr>
        <w:pStyle w:val="ProductList-Body"/>
        <w:spacing w:before="120"/>
        <w:rPr>
          <w:b/>
          <w:bCs/>
          <w:color w:val="00188F"/>
        </w:rPr>
      </w:pPr>
      <w:r>
        <w:rPr>
          <w:b/>
          <w:bCs/>
          <w:color w:val="00188F"/>
        </w:rPr>
        <w:t>Obliczanie Czasu Sprawnego Działania i Poziomy Usługi dla Klastrów AKS, które nie korzystają ze Stref Dostępności</w:t>
      </w:r>
    </w:p>
    <w:p w14:paraId="13D307EA" w14:textId="0B4D7F4B" w:rsidR="00F82DA2" w:rsidRDefault="00F82DA2" w:rsidP="00F82DA2">
      <w:pPr>
        <w:pStyle w:val="ProductList-Body"/>
      </w:pPr>
      <w:r>
        <w:t>„</w:t>
      </w:r>
      <w:r>
        <w:rPr>
          <w:b/>
          <w:bCs/>
          <w:color w:val="00188F"/>
        </w:rPr>
        <w:t>Maksymalna Liczb Dostępnych Minut</w:t>
      </w:r>
      <w:r w:rsidR="00B41CC1" w:rsidRPr="00B41CC1">
        <w:t>”</w:t>
      </w:r>
      <w:r>
        <w:t xml:space="preserve"> to łączna zakumulowana liczba minut od momentu przydzielenia Klastra AKS do momentu zainicjowania przez klienta działania, które spowoduje zatrzymanie lub usunięcie Klastra we Właściwym Okresie.</w:t>
      </w:r>
    </w:p>
    <w:p w14:paraId="290292FF" w14:textId="637C332F" w:rsidR="00F82DA2" w:rsidRDefault="00B41CC1" w:rsidP="00F82DA2">
      <w:pPr>
        <w:pStyle w:val="ProductList-Body"/>
      </w:pPr>
      <w:r>
        <w:t>„</w:t>
      </w:r>
      <w:r w:rsidR="00F82DA2">
        <w:rPr>
          <w:b/>
          <w:bCs/>
          <w:color w:val="00188F"/>
        </w:rPr>
        <w:t>Przestój</w:t>
      </w:r>
      <w:r w:rsidRPr="00B41CC1">
        <w:t>”</w:t>
      </w:r>
      <w:r w:rsidR="00F82DA2">
        <w:t xml:space="preserve"> to łączna zakumulowana liczba minut stanowiących część Maksymalnej Liczby Dostępnych Minut, w czasie których przydzielony Klaster AKS nie ma łączności z Serwerem AKS </w:t>
      </w:r>
      <w:proofErr w:type="spellStart"/>
      <w:r w:rsidR="00F82DA2">
        <w:t>Kubernetes</w:t>
      </w:r>
      <w:proofErr w:type="spellEnd"/>
      <w:r w:rsidR="00F82DA2">
        <w:t>.</w:t>
      </w:r>
    </w:p>
    <w:p w14:paraId="146AF392" w14:textId="438BDDBA" w:rsidR="00F82DA2" w:rsidRDefault="00B41CC1" w:rsidP="00F82DA2">
      <w:pPr>
        <w:pStyle w:val="ProductList-Body"/>
      </w:pPr>
      <w:r>
        <w:t>„</w:t>
      </w:r>
      <w:r w:rsidR="00F82DA2">
        <w:rPr>
          <w:b/>
          <w:bCs/>
          <w:color w:val="00188F"/>
        </w:rPr>
        <w:t>Procent Czasu Sprawnego Działania</w:t>
      </w:r>
      <w:r w:rsidRPr="00B41CC1">
        <w:t>”</w:t>
      </w:r>
      <w:r w:rsidR="00F82DA2">
        <w:t xml:space="preserve"> to Maksymalna Liczba Dostępnych Minut pomniejszona o Przestój podzielona przez Maksymalną Liczbę Dostępnych Minut we Właściwym Okresie dla danej subskrypcji Microsoft </w:t>
      </w:r>
      <w:proofErr w:type="spellStart"/>
      <w:r w:rsidR="00F82DA2">
        <w:t>Azure</w:t>
      </w:r>
      <w:proofErr w:type="spellEnd"/>
      <w:r w:rsidR="00F82DA2">
        <w:t>. Procent Czasu Sprawnego Działania przedstawia się za pomocą następującego wzoru:</w:t>
      </w:r>
    </w:p>
    <w:p w14:paraId="14845F17" w14:textId="5A93F95D" w:rsidR="007E7727" w:rsidRPr="00EF7CF9" w:rsidRDefault="00000000" w:rsidP="003155C2">
      <w:pPr>
        <w:pStyle w:val="ListParagraph"/>
        <w:spacing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04C1695" w14:textId="77777777" w:rsidR="00F82DA2" w:rsidRPr="007E7727" w:rsidRDefault="00F82DA2" w:rsidP="00F82DA2">
      <w:pPr>
        <w:pStyle w:val="ProductList-Body"/>
        <w:rPr>
          <w:b/>
          <w:bCs/>
          <w:color w:val="00188F"/>
        </w:rPr>
      </w:pPr>
      <w:r>
        <w:rPr>
          <w:b/>
          <w:bCs/>
          <w:color w:val="00188F"/>
        </w:rPr>
        <w:t>Do używania przez Klienta Klastrów AKS, które mają włączonych Stref Dostępności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7E7727" w:rsidRPr="00B44CF9" w14:paraId="0498F109" w14:textId="77777777" w:rsidTr="00277097">
        <w:trPr>
          <w:tblHeader/>
        </w:trPr>
        <w:tc>
          <w:tcPr>
            <w:tcW w:w="5400" w:type="dxa"/>
            <w:shd w:val="clear" w:color="auto" w:fill="0072C6"/>
          </w:tcPr>
          <w:p w14:paraId="5AB78BD3" w14:textId="5FE9353F" w:rsidR="007E7727"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E7BF5FE" w14:textId="77777777" w:rsidR="007E7727" w:rsidRPr="00EF7CF9" w:rsidRDefault="007E7727" w:rsidP="000F31B4">
            <w:pPr>
              <w:pStyle w:val="ProductList-OfferingBody"/>
              <w:jc w:val="center"/>
              <w:rPr>
                <w:color w:val="FFFFFF" w:themeColor="background1"/>
              </w:rPr>
            </w:pPr>
            <w:r>
              <w:rPr>
                <w:color w:val="FFFFFF" w:themeColor="background1"/>
              </w:rPr>
              <w:t>Środki Serwisowe na Używanie Usług</w:t>
            </w:r>
          </w:p>
        </w:tc>
      </w:tr>
      <w:tr w:rsidR="007E7727" w:rsidRPr="00B44CF9" w14:paraId="0E4C3B30" w14:textId="77777777" w:rsidTr="00277097">
        <w:tc>
          <w:tcPr>
            <w:tcW w:w="5400" w:type="dxa"/>
          </w:tcPr>
          <w:p w14:paraId="7A639EFD" w14:textId="5398B837" w:rsidR="007E7727" w:rsidRPr="00EF7CF9" w:rsidRDefault="007E7727" w:rsidP="000F31B4">
            <w:pPr>
              <w:pStyle w:val="ProductList-OfferingBody"/>
              <w:jc w:val="center"/>
            </w:pPr>
            <w:r>
              <w:t>&lt; 99,9%</w:t>
            </w:r>
          </w:p>
        </w:tc>
        <w:tc>
          <w:tcPr>
            <w:tcW w:w="5400" w:type="dxa"/>
          </w:tcPr>
          <w:p w14:paraId="5AD73D01" w14:textId="77777777" w:rsidR="007E7727" w:rsidRPr="00EF7CF9" w:rsidRDefault="007E7727" w:rsidP="000F31B4">
            <w:pPr>
              <w:pStyle w:val="ProductList-OfferingBody"/>
              <w:jc w:val="center"/>
            </w:pPr>
            <w:r>
              <w:t>10%</w:t>
            </w:r>
          </w:p>
        </w:tc>
      </w:tr>
      <w:tr w:rsidR="007E7727" w:rsidRPr="00B44CF9" w14:paraId="1B41DA48" w14:textId="77777777" w:rsidTr="00277097">
        <w:tc>
          <w:tcPr>
            <w:tcW w:w="5400" w:type="dxa"/>
          </w:tcPr>
          <w:p w14:paraId="1D876287" w14:textId="77777777" w:rsidR="007E7727" w:rsidRPr="00EF7CF9" w:rsidRDefault="007E7727" w:rsidP="000F31B4">
            <w:pPr>
              <w:pStyle w:val="ProductList-OfferingBody"/>
              <w:jc w:val="center"/>
            </w:pPr>
            <w:r>
              <w:t>&lt; 99%</w:t>
            </w:r>
          </w:p>
        </w:tc>
        <w:tc>
          <w:tcPr>
            <w:tcW w:w="5400" w:type="dxa"/>
          </w:tcPr>
          <w:p w14:paraId="6DDB9075" w14:textId="77777777" w:rsidR="007E7727" w:rsidRPr="00EF7CF9" w:rsidRDefault="007E7727" w:rsidP="000F31B4">
            <w:pPr>
              <w:pStyle w:val="ProductList-OfferingBody"/>
              <w:jc w:val="center"/>
            </w:pPr>
            <w:r>
              <w:t>25%</w:t>
            </w:r>
          </w:p>
        </w:tc>
      </w:tr>
      <w:tr w:rsidR="007E7727" w:rsidRPr="00B44CF9" w14:paraId="2E357365" w14:textId="77777777" w:rsidTr="00277097">
        <w:tc>
          <w:tcPr>
            <w:tcW w:w="5400" w:type="dxa"/>
          </w:tcPr>
          <w:p w14:paraId="485FC6B6" w14:textId="77777777" w:rsidR="007E7727" w:rsidRPr="00EF7CF9" w:rsidRDefault="007E7727" w:rsidP="000F31B4">
            <w:pPr>
              <w:pStyle w:val="ProductList-OfferingBody"/>
              <w:jc w:val="center"/>
            </w:pPr>
            <w:r>
              <w:t>&lt; 95%</w:t>
            </w:r>
          </w:p>
        </w:tc>
        <w:tc>
          <w:tcPr>
            <w:tcW w:w="5400" w:type="dxa"/>
          </w:tcPr>
          <w:p w14:paraId="1D5703B2" w14:textId="77777777" w:rsidR="007E7727" w:rsidRPr="00EF7CF9" w:rsidRDefault="007E7727" w:rsidP="000F31B4">
            <w:pPr>
              <w:pStyle w:val="ProductList-OfferingBody"/>
              <w:jc w:val="center"/>
            </w:pPr>
            <w:r>
              <w:t>100%</w:t>
            </w:r>
          </w:p>
        </w:tc>
      </w:tr>
    </w:tbl>
    <w:p w14:paraId="4011052A" w14:textId="1E36923F" w:rsidR="007E7727" w:rsidRPr="00EF7CF9" w:rsidRDefault="00C71F89" w:rsidP="007E772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79BDB8C" w14:textId="77777777" w:rsidR="000F4BDC" w:rsidRPr="000F4BDC" w:rsidRDefault="000F4BDC" w:rsidP="000F4BDC">
      <w:pPr>
        <w:pStyle w:val="ProductList-Offering2Heading"/>
        <w:tabs>
          <w:tab w:val="clear" w:pos="360"/>
          <w:tab w:val="clear" w:pos="720"/>
          <w:tab w:val="clear" w:pos="1080"/>
        </w:tabs>
        <w:outlineLvl w:val="2"/>
      </w:pPr>
      <w:bookmarkStart w:id="310" w:name="_Toc239175029"/>
      <w:bookmarkStart w:id="311" w:name="_Toc5018197"/>
      <w:bookmarkStart w:id="312" w:name="_Toc52348933"/>
      <w:bookmarkStart w:id="313" w:name="_Toc510793664"/>
      <w:bookmarkStart w:id="314" w:name="_Toc484160665"/>
      <w:bookmarkEnd w:id="280"/>
      <w:r w:rsidRPr="000F4BDC">
        <w:t xml:space="preserve">Klastry Automatyczne Usługi </w:t>
      </w:r>
      <w:proofErr w:type="spellStart"/>
      <w:r w:rsidRPr="000F4BDC">
        <w:t>Azure</w:t>
      </w:r>
      <w:proofErr w:type="spellEnd"/>
      <w:r w:rsidRPr="000F4BDC">
        <w:t xml:space="preserve"> </w:t>
      </w:r>
      <w:proofErr w:type="spellStart"/>
      <w:r w:rsidRPr="000F4BDC">
        <w:t>Kubernetes</w:t>
      </w:r>
      <w:proofErr w:type="spellEnd"/>
      <w:r w:rsidRPr="000F4BDC">
        <w:t xml:space="preserve"> (AKS)</w:t>
      </w:r>
      <w:bookmarkEnd w:id="310"/>
    </w:p>
    <w:p w14:paraId="51424FEB" w14:textId="77777777" w:rsidR="000F4BDC" w:rsidRPr="000F64F6" w:rsidRDefault="000F4BDC" w:rsidP="000F4BDC">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Dodatkowe definicje</w:t>
      </w:r>
      <w:r>
        <w:rPr>
          <w:rFonts w:ascii="Calibri" w:eastAsia="Calibri" w:hAnsi="Calibri" w:cs="Arial"/>
          <w:sz w:val="18"/>
        </w:rPr>
        <w:t>:</w:t>
      </w:r>
    </w:p>
    <w:p w14:paraId="7F6777DC"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Klaster Automatyczny Usługi </w:t>
      </w:r>
      <w:proofErr w:type="spellStart"/>
      <w:r>
        <w:rPr>
          <w:rFonts w:ascii="Calibri" w:eastAsia="Calibri" w:hAnsi="Calibri" w:cs="Calibri"/>
          <w:b/>
          <w:bCs/>
          <w:color w:val="00188F"/>
          <w:sz w:val="18"/>
          <w:szCs w:val="18"/>
        </w:rPr>
        <w:t>Azure</w:t>
      </w:r>
      <w:proofErr w:type="spellEnd"/>
      <w:r>
        <w:rPr>
          <w:rFonts w:ascii="Calibri" w:eastAsia="Calibri" w:hAnsi="Calibri" w:cs="Calibri"/>
          <w:b/>
          <w:bCs/>
          <w:color w:val="00188F"/>
          <w:sz w:val="18"/>
          <w:szCs w:val="18"/>
        </w:rPr>
        <w:t xml:space="preserve"> </w:t>
      </w:r>
      <w:proofErr w:type="spellStart"/>
      <w:r>
        <w:rPr>
          <w:rFonts w:ascii="Calibri" w:eastAsia="Calibri" w:hAnsi="Calibri" w:cs="Calibri"/>
          <w:b/>
          <w:bCs/>
          <w:color w:val="00188F"/>
          <w:sz w:val="18"/>
          <w:szCs w:val="18"/>
        </w:rPr>
        <w:t>Kubernetes</w:t>
      </w:r>
      <w:proofErr w:type="spellEnd"/>
      <w:r>
        <w:rPr>
          <w:rFonts w:ascii="Calibri" w:eastAsia="Calibri" w:hAnsi="Calibri" w:cs="Calibri"/>
          <w:b/>
          <w:bCs/>
          <w:color w:val="00188F"/>
          <w:sz w:val="18"/>
          <w:szCs w:val="18"/>
        </w:rPr>
        <w:t xml:space="preserve"> (AKS)</w:t>
      </w:r>
      <w:r>
        <w:rPr>
          <w:rFonts w:ascii="Calibri" w:eastAsia="Calibri" w:hAnsi="Calibri" w:cs="Calibri"/>
          <w:sz w:val="18"/>
          <w:szCs w:val="18"/>
        </w:rPr>
        <w:t xml:space="preserve">” lub „Klaster Automatyczny” Klaster typu „Automatyczny” usługi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obejmujący:</w:t>
      </w:r>
    </w:p>
    <w:p w14:paraId="3F6E3E24" w14:textId="77777777" w:rsidR="002B6142" w:rsidRPr="00BB7DD2" w:rsidRDefault="002B6142" w:rsidP="002B6142">
      <w:pPr>
        <w:numPr>
          <w:ilvl w:val="0"/>
          <w:numId w:val="39"/>
        </w:numPr>
        <w:spacing w:after="0" w:line="279" w:lineRule="auto"/>
        <w:contextualSpacing/>
        <w:rPr>
          <w:rFonts w:ascii="Calibri" w:eastAsia="Calibri" w:hAnsi="Calibri" w:cs="Calibri"/>
          <w:sz w:val="18"/>
          <w:szCs w:val="18"/>
        </w:rPr>
      </w:pPr>
      <w:r>
        <w:rPr>
          <w:rFonts w:ascii="Calibri" w:eastAsia="Calibri" w:hAnsi="Calibri" w:cs="Calibri"/>
          <w:sz w:val="18"/>
          <w:szCs w:val="18"/>
        </w:rPr>
        <w:t xml:space="preserve">Węzły płaszczyzny sterowania, która zapewnia podstawowe usługi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oraz orkiestrację procesów aplikacji; oraz</w:t>
      </w:r>
    </w:p>
    <w:p w14:paraId="0352B171" w14:textId="77777777" w:rsidR="002B6142" w:rsidRPr="00BB7DD2" w:rsidRDefault="002B6142" w:rsidP="002B6142">
      <w:pPr>
        <w:numPr>
          <w:ilvl w:val="0"/>
          <w:numId w:val="39"/>
        </w:numPr>
        <w:spacing w:after="0" w:line="279" w:lineRule="auto"/>
        <w:contextualSpacing/>
        <w:rPr>
          <w:rFonts w:ascii="Calibri" w:eastAsia="Calibri" w:hAnsi="Calibri" w:cs="Calibri"/>
          <w:sz w:val="18"/>
          <w:szCs w:val="18"/>
        </w:rPr>
      </w:pPr>
      <w:r>
        <w:rPr>
          <w:rFonts w:ascii="Calibri" w:eastAsia="Calibri" w:hAnsi="Calibri" w:cs="Calibri"/>
          <w:sz w:val="18"/>
          <w:szCs w:val="18"/>
        </w:rPr>
        <w:t>dynamiczna alokacja zasobów infrastruktury w oparciu o wymagania dotyczące obciążenia.</w:t>
      </w:r>
    </w:p>
    <w:p w14:paraId="166DDEAC" w14:textId="77777777" w:rsidR="002B614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Serwer API Usługi </w:t>
      </w:r>
      <w:proofErr w:type="spellStart"/>
      <w:r>
        <w:rPr>
          <w:rFonts w:ascii="Calibri" w:eastAsia="Calibri" w:hAnsi="Calibri" w:cs="Calibri"/>
          <w:b/>
          <w:bCs/>
          <w:color w:val="00188F"/>
          <w:sz w:val="18"/>
          <w:szCs w:val="18"/>
        </w:rPr>
        <w:t>Kubernetes</w:t>
      </w:r>
      <w:proofErr w:type="spellEnd"/>
      <w:r>
        <w:rPr>
          <w:rFonts w:ascii="Calibri" w:eastAsia="Calibri" w:hAnsi="Calibri" w:cs="Calibri"/>
          <w:sz w:val="18"/>
          <w:szCs w:val="18"/>
        </w:rPr>
        <w:t xml:space="preserve">”. Po utworzeniu klastra automatycznego płaszczyzna sterowania zostaje automatycznie utworzona i skonfigurowana. Płaszczyzna sterowania obejmuje Serwer API, który uwidacznia podstawowy interfejs API usługi </w:t>
      </w:r>
      <w:proofErr w:type="spellStart"/>
      <w:r>
        <w:rPr>
          <w:rFonts w:ascii="Calibri" w:eastAsia="Calibri" w:hAnsi="Calibri" w:cs="Calibri"/>
          <w:sz w:val="18"/>
          <w:szCs w:val="18"/>
        </w:rPr>
        <w:t>Kubernetes</w:t>
      </w:r>
      <w:proofErr w:type="spellEnd"/>
      <w:r>
        <w:rPr>
          <w:rFonts w:ascii="Calibri" w:eastAsia="Calibri" w:hAnsi="Calibri" w:cs="Calibri"/>
          <w:sz w:val="18"/>
          <w:szCs w:val="18"/>
        </w:rPr>
        <w:t>.</w:t>
      </w:r>
    </w:p>
    <w:p w14:paraId="10041CD2" w14:textId="77777777" w:rsidR="002B6142" w:rsidRPr="00BB7DD2" w:rsidRDefault="002B6142" w:rsidP="002B6142">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Składniki Zarządzanego Systemu</w:t>
      </w:r>
      <w:r>
        <w:rPr>
          <w:rFonts w:ascii="Calibri" w:eastAsia="Calibri" w:hAnsi="Calibri" w:cs="Calibri"/>
          <w:sz w:val="18"/>
          <w:szCs w:val="18"/>
        </w:rPr>
        <w:t xml:space="preserve">” Po utworzeniu Klastra Automatycznego pula węzłów Zarządzanego Systemu zostaje automatycznie utworzona i skonfigurowana. Płaszczyzna sterowania obejmuje Serwer API, który uwidacznia podstawowy interfejs API usługi </w:t>
      </w:r>
      <w:proofErr w:type="spellStart"/>
      <w:r>
        <w:rPr>
          <w:rFonts w:ascii="Calibri" w:eastAsia="Calibri" w:hAnsi="Calibri" w:cs="Calibri"/>
          <w:sz w:val="18"/>
          <w:szCs w:val="18"/>
        </w:rPr>
        <w:t>Kubernetes</w:t>
      </w:r>
      <w:proofErr w:type="spellEnd"/>
      <w:r>
        <w:rPr>
          <w:rFonts w:ascii="Calibri" w:eastAsia="Calibri" w:hAnsi="Calibri" w:cs="Calibri"/>
          <w:sz w:val="18"/>
          <w:szCs w:val="18"/>
        </w:rPr>
        <w:t>.</w:t>
      </w:r>
    </w:p>
    <w:p w14:paraId="08D24E7A" w14:textId="77777777" w:rsidR="002B6142" w:rsidRPr="00BB7DD2" w:rsidRDefault="002B6142" w:rsidP="002B6142">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Strefa Dostępności</w:t>
      </w:r>
      <w:r>
        <w:rPr>
          <w:rFonts w:ascii="Calibri" w:eastAsia="Calibri" w:hAnsi="Calibri" w:cs="Calibri"/>
          <w:sz w:val="18"/>
          <w:szCs w:val="18"/>
        </w:rPr>
        <w:t xml:space="preserve">” to bezawaryjny obszar w regionie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zapewniający nadmiarowe zasilanie, chłodzenie i funkcje sieciowe.</w:t>
      </w:r>
    </w:p>
    <w:p w14:paraId="07195BEA" w14:textId="77777777" w:rsidR="002B6142" w:rsidRPr="00BB7DD2" w:rsidRDefault="002B6142" w:rsidP="002B6142">
      <w:pPr>
        <w:spacing w:after="0"/>
        <w:rPr>
          <w:rFonts w:ascii="Calibri" w:eastAsia="Calibri" w:hAnsi="Calibri" w:cs="Arial"/>
        </w:rPr>
      </w:pPr>
      <w:r>
        <w:rPr>
          <w:rFonts w:ascii="Calibri" w:eastAsia="Calibri" w:hAnsi="Calibri" w:cs="Calibri"/>
          <w:b/>
          <w:bCs/>
          <w:color w:val="00188F"/>
          <w:sz w:val="18"/>
          <w:szCs w:val="18"/>
        </w:rPr>
        <w:t>Obliczanie Czasu Sprawnego Działania i Poziomów Usług dla Klastrów Automatycznych używających Stref Dostępności</w:t>
      </w:r>
    </w:p>
    <w:p w14:paraId="72E7DF52" w14:textId="77777777" w:rsidR="002B6142" w:rsidRPr="00BB7DD2" w:rsidRDefault="002B6142" w:rsidP="002B6142">
      <w:pPr>
        <w:spacing w:after="0"/>
        <w:rPr>
          <w:rFonts w:ascii="Calibri" w:eastAsia="Calibri" w:hAnsi="Calibri" w:cs="Arial"/>
        </w:rPr>
      </w:pPr>
      <w:r>
        <w:rPr>
          <w:rFonts w:ascii="Calibri" w:eastAsia="Calibri" w:hAnsi="Calibri" w:cs="Calibri"/>
          <w:sz w:val="18"/>
          <w:szCs w:val="18"/>
        </w:rPr>
        <w:t>„</w:t>
      </w:r>
      <w:r>
        <w:rPr>
          <w:rFonts w:ascii="Calibri" w:eastAsia="Calibri" w:hAnsi="Calibri" w:cs="Calibri"/>
          <w:b/>
          <w:bCs/>
          <w:color w:val="00188F"/>
          <w:sz w:val="18"/>
          <w:szCs w:val="18"/>
        </w:rPr>
        <w:t>Maksymalna Liczb Dostępnych Minut</w:t>
      </w:r>
      <w:r>
        <w:rPr>
          <w:rFonts w:ascii="Calibri" w:eastAsia="Calibri" w:hAnsi="Calibri" w:cs="Calibri"/>
          <w:sz w:val="18"/>
          <w:szCs w:val="18"/>
        </w:rPr>
        <w:t>” to łączna zakumulowana liczba minut od momentu włączenia Klastra Automatycznego z włączoną Strefą Dostępności do momentu zainicjowania przez Klienta działania, które spowoduje zatrzymanie lub usunięcie Klastra we Właściwym Okresie.</w:t>
      </w:r>
    </w:p>
    <w:p w14:paraId="446F3949" w14:textId="77777777" w:rsidR="002B614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 xml:space="preserve">Przestój (Serwer API </w:t>
      </w:r>
      <w:proofErr w:type="spellStart"/>
      <w:r>
        <w:rPr>
          <w:rFonts w:ascii="Calibri" w:eastAsia="Calibri" w:hAnsi="Calibri" w:cs="Calibri"/>
          <w:b/>
          <w:bCs/>
          <w:color w:val="00188F"/>
          <w:sz w:val="18"/>
          <w:szCs w:val="18"/>
        </w:rPr>
        <w:t>Kubernetes</w:t>
      </w:r>
      <w:proofErr w:type="spellEnd"/>
      <w:r>
        <w:rPr>
          <w:rFonts w:ascii="Calibri" w:eastAsia="Calibri" w:hAnsi="Calibri" w:cs="Calibri"/>
          <w:b/>
          <w:bCs/>
          <w:color w:val="00188F"/>
          <w:sz w:val="18"/>
          <w:szCs w:val="18"/>
        </w:rPr>
        <w:t>)</w:t>
      </w:r>
      <w:r>
        <w:rPr>
          <w:rFonts w:ascii="Calibri" w:eastAsia="Calibri" w:hAnsi="Calibri" w:cs="Calibri"/>
          <w:sz w:val="18"/>
          <w:szCs w:val="18"/>
        </w:rPr>
        <w:t xml:space="preserve">” to łączna zakumulowana liczba minut stanowiących część Maksymalnej Liczby Dostępnych Minut, w których czasie nie ma łączności Serwera API </w:t>
      </w:r>
      <w:proofErr w:type="spellStart"/>
      <w:r>
        <w:rPr>
          <w:rFonts w:ascii="Calibri" w:eastAsia="Calibri" w:hAnsi="Calibri" w:cs="Calibri"/>
          <w:sz w:val="18"/>
          <w:szCs w:val="18"/>
        </w:rPr>
        <w:t>Kubernetes</w:t>
      </w:r>
      <w:proofErr w:type="spellEnd"/>
      <w:r>
        <w:rPr>
          <w:rFonts w:ascii="Calibri" w:eastAsia="Calibri" w:hAnsi="Calibri" w:cs="Calibri"/>
          <w:sz w:val="18"/>
          <w:szCs w:val="18"/>
        </w:rPr>
        <w:t xml:space="preserve"> z przydzielonym Klastrem Automatycznym z włączoną Strefą Dostępności w danym regionie.</w:t>
      </w:r>
    </w:p>
    <w:p w14:paraId="79F57FF4" w14:textId="77777777" w:rsidR="002B614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Przestój (Składniki Zarządzanego Systemu)</w:t>
      </w:r>
      <w:r>
        <w:rPr>
          <w:rFonts w:ascii="Calibri" w:eastAsia="Calibri" w:hAnsi="Calibri" w:cs="Calibri"/>
          <w:sz w:val="18"/>
          <w:szCs w:val="18"/>
        </w:rPr>
        <w:t>” to łączna suma zakumulowanych minut stanowiących część Maksymalnej Liczby Dostępnych Minut w przypadku co najmniej jednego Składnika Zarządzanego Systemu, w którym nie jest uruchomiony żaden Kontener Systemu.</w:t>
      </w:r>
    </w:p>
    <w:p w14:paraId="5A3ABD0F"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Kontener Systemu</w:t>
      </w:r>
      <w:r>
        <w:rPr>
          <w:rFonts w:ascii="Calibri" w:eastAsia="Calibri" w:hAnsi="Calibri" w:cs="Calibri"/>
          <w:sz w:val="18"/>
          <w:szCs w:val="18"/>
        </w:rPr>
        <w:t>” to kontener, który jest uruchomiony w puli węzłów Zarządzanego Systemu jako część wdrożenia dla składnika systemu.</w:t>
      </w:r>
    </w:p>
    <w:p w14:paraId="1A73C763" w14:textId="77777777" w:rsidR="002B614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Procent Czasu Sprawnego Działania</w:t>
      </w:r>
      <w:r>
        <w:rPr>
          <w:rFonts w:ascii="Calibri" w:eastAsia="Calibri" w:hAnsi="Calibri" w:cs="Calibri"/>
          <w:sz w:val="18"/>
          <w:szCs w:val="18"/>
        </w:rPr>
        <w:t xml:space="preserve">” dla Klastrów Automatycznych z włączoną Strefą Dostępności to Maksymalna Liczba Dostępnych Minut pomniejszona o Przestój podzielona przez Maksymalną Liczbę Dostępnych Minut we Właściwym Okresie dla danej subskrypcji Microsoft </w:t>
      </w:r>
      <w:proofErr w:type="spellStart"/>
      <w:r>
        <w:rPr>
          <w:rFonts w:ascii="Calibri" w:eastAsia="Calibri" w:hAnsi="Calibri" w:cs="Calibri"/>
          <w:sz w:val="18"/>
          <w:szCs w:val="18"/>
        </w:rPr>
        <w:t>Azure</w:t>
      </w:r>
      <w:proofErr w:type="spellEnd"/>
      <w:r>
        <w:rPr>
          <w:rFonts w:ascii="Calibri" w:eastAsia="Calibri" w:hAnsi="Calibri" w:cs="Calibri"/>
          <w:sz w:val="18"/>
          <w:szCs w:val="18"/>
        </w:rPr>
        <w:t>. Procent Czasu Sprawnego Działania przedstawia się za pomocą następującego wzoru:</w:t>
      </w:r>
    </w:p>
    <w:p w14:paraId="66B4D9C2" w14:textId="77777777" w:rsidR="002B6142" w:rsidRPr="002149D5" w:rsidRDefault="00000000" w:rsidP="002B6142">
      <w:pPr>
        <w:spacing w:before="120" w:after="120" w:line="240" w:lineRule="auto"/>
        <w:rPr>
          <w:rFonts w:ascii="Cambria Math" w:eastAsia="Calibri" w:hAnsi="Cambria Math"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Maksimum Dostępny Minuty - Przestój (</m:t>
              </m:r>
              <w:proofErr w:type="spellStart"/>
              <m:r>
                <m:rPr>
                  <m:nor/>
                </m:rPr>
                <w:rPr>
                  <w:rFonts w:ascii="Cambria Math" w:eastAsia="Calibri" w:hAnsi="Cambria Math" w:cs="Calibri"/>
                  <w:i/>
                  <w:iCs/>
                  <w:sz w:val="18"/>
                  <w:szCs w:val="18"/>
                </w:rPr>
                <m:t>Kubernetes</m:t>
              </m:r>
              <w:proofErr w:type="spellEnd"/>
              <m:r>
                <m:rPr>
                  <m:nor/>
                </m:rPr>
                <w:rPr>
                  <w:rFonts w:ascii="Cambria Math" w:eastAsia="Calibri" w:hAnsi="Cambria Math" w:cs="Calibri"/>
                  <w:i/>
                  <w:iCs/>
                  <w:sz w:val="18"/>
                  <w:szCs w:val="18"/>
                </w:rPr>
                <m:t xml:space="preserve"> API Serwer)</m:t>
              </m:r>
            </m:num>
            <m:den>
              <m:r>
                <m:rPr>
                  <m:nor/>
                </m:rPr>
                <w:rPr>
                  <w:rFonts w:ascii="Cambria Math" w:eastAsia="Calibri" w:hAnsi="Cambria Math" w:cs="Calibri"/>
                  <w:i/>
                  <w:iCs/>
                  <w:sz w:val="18"/>
                  <w:szCs w:val="18"/>
                </w:rPr>
                <m:t>Maksimum Dostępny Minuty</m:t>
              </m:r>
            </m:den>
          </m:f>
          <m:r>
            <w:rPr>
              <w:rFonts w:ascii="Cambria Math" w:eastAsia="Calibri" w:hAnsi="Cambria Math" w:cs="Calibri"/>
              <w:sz w:val="18"/>
              <w:szCs w:val="18"/>
            </w:rPr>
            <m:t> x 100</m:t>
          </m:r>
          <m:r>
            <m:rPr>
              <m:sty m:val="p"/>
            </m:rPr>
            <w:rPr>
              <w:rFonts w:ascii="Cambria Math" w:eastAsia="Calibri" w:hAnsi="Cambria Math" w:cs="Calibri"/>
              <w:sz w:val="18"/>
              <w:szCs w:val="18"/>
            </w:rPr>
            <w:br/>
          </m:r>
        </m:oMath>
      </m:oMathPara>
    </w:p>
    <w:p w14:paraId="4312DB8A" w14:textId="77777777" w:rsidR="002B6142" w:rsidRPr="002149D5" w:rsidRDefault="00000000" w:rsidP="002B6142">
      <w:pPr>
        <w:spacing w:before="120" w:after="120" w:line="240" w:lineRule="auto"/>
        <w:rPr>
          <w:rFonts w:ascii="Cambria Math" w:eastAsia="Calibri" w:hAnsi="Cambria Math"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Maksimum Dostępny Minuty - Przestój (Składniki Zarządzanego Systemu)</m:t>
              </m:r>
            </m:num>
            <m:den>
              <m:r>
                <m:rPr>
                  <m:nor/>
                </m:rPr>
                <w:rPr>
                  <w:rFonts w:ascii="Cambria Math" w:eastAsia="Calibri" w:hAnsi="Cambria Math" w:cs="Calibri"/>
                  <w:i/>
                  <w:iCs/>
                  <w:sz w:val="18"/>
                  <w:szCs w:val="18"/>
                </w:rPr>
                <m:t>Maksimum Dostępny Minuty</m:t>
              </m:r>
            </m:den>
          </m:f>
          <m:r>
            <w:rPr>
              <w:rFonts w:ascii="Cambria Math" w:eastAsia="Calibri" w:hAnsi="Cambria Math" w:cs="Calibri"/>
              <w:sz w:val="18"/>
              <w:szCs w:val="18"/>
            </w:rPr>
            <m:t> x 100</m:t>
          </m:r>
        </m:oMath>
      </m:oMathPara>
    </w:p>
    <w:p w14:paraId="457D24D5" w14:textId="77777777" w:rsidR="002B6142" w:rsidRPr="00BB7DD2" w:rsidRDefault="002B6142" w:rsidP="002B6142">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 xml:space="preserve">Do używania przez Klienta Klastrów Automatycznych, które mają włączone Strefy Dostępności w danym regionie, mają zastosowanie następujące Poziomy Usługi i Środki na Używanie Usług: Procent Czasu Sprawnego Działania Serwera API Usługi </w:t>
      </w:r>
      <w:proofErr w:type="spellStart"/>
      <w:r>
        <w:rPr>
          <w:rFonts w:ascii="Calibri" w:eastAsia="Calibri" w:hAnsi="Calibri" w:cs="Calibri"/>
          <w:b/>
          <w:bCs/>
          <w:color w:val="00188F"/>
          <w:sz w:val="18"/>
          <w:szCs w:val="18"/>
        </w:rPr>
        <w:t>Kubernetes</w:t>
      </w:r>
      <w:proofErr w:type="spellEnd"/>
      <w:r>
        <w:rPr>
          <w:rFonts w:ascii="Calibri" w:eastAsia="Calibri" w:hAnsi="Calibri" w:cs="Calibri"/>
          <w:b/>
          <w:bCs/>
          <w:color w:val="00188F"/>
          <w:sz w:val="18"/>
          <w:szCs w:val="18"/>
        </w:rPr>
        <w:t>, Środki na Używanie Usług</w:t>
      </w:r>
    </w:p>
    <w:tbl>
      <w:tblPr>
        <w:tblW w:w="10790" w:type="dxa"/>
        <w:tblLayout w:type="fixed"/>
        <w:tblLook w:val="04A0" w:firstRow="1" w:lastRow="0" w:firstColumn="1" w:lastColumn="0" w:noHBand="0" w:noVBand="1"/>
      </w:tblPr>
      <w:tblGrid>
        <w:gridCol w:w="5390"/>
        <w:gridCol w:w="5400"/>
      </w:tblGrid>
      <w:tr w:rsidR="002B6142" w:rsidRPr="00BB7DD2" w14:paraId="68F22C1F" w14:textId="77777777" w:rsidTr="005E4ED6">
        <w:trPr>
          <w:trHeight w:val="258"/>
        </w:trPr>
        <w:tc>
          <w:tcPr>
            <w:tcW w:w="539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6CFAE833"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color w:val="FFFFFF"/>
                <w:sz w:val="16"/>
                <w:szCs w:val="16"/>
              </w:rPr>
              <w:t>Procent Czasu Sprawnego Działania</w:t>
            </w:r>
          </w:p>
        </w:tc>
        <w:tc>
          <w:tcPr>
            <w:tcW w:w="5400"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70AAF126"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color w:val="FFFFFF"/>
                <w:sz w:val="16"/>
                <w:szCs w:val="16"/>
              </w:rPr>
              <w:t>Środki na Używanie Usług</w:t>
            </w:r>
          </w:p>
        </w:tc>
      </w:tr>
      <w:tr w:rsidR="002B6142" w:rsidRPr="00BB7DD2" w14:paraId="59EF7D6E" w14:textId="77777777" w:rsidTr="005E4ED6">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2D93A211"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sz w:val="16"/>
                <w:szCs w:val="16"/>
              </w:rPr>
              <w:t>&lt;99,95%</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3BD22DF"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sz w:val="16"/>
                <w:szCs w:val="16"/>
              </w:rPr>
              <w:t>10%</w:t>
            </w:r>
          </w:p>
        </w:tc>
      </w:tr>
      <w:tr w:rsidR="002B6142" w:rsidRPr="00BB7DD2" w14:paraId="32AFEB6D" w14:textId="77777777" w:rsidTr="005E4ED6">
        <w:trPr>
          <w:trHeight w:val="258"/>
        </w:trPr>
        <w:tc>
          <w:tcPr>
            <w:tcW w:w="539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3ABDC8C"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sz w:val="16"/>
                <w:szCs w:val="16"/>
              </w:rPr>
              <w:t>&lt;99%</w:t>
            </w:r>
          </w:p>
        </w:tc>
        <w:tc>
          <w:tcPr>
            <w:tcW w:w="5400"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0338BCCE"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sz w:val="16"/>
                <w:szCs w:val="16"/>
              </w:rPr>
              <w:t>25%</w:t>
            </w:r>
          </w:p>
        </w:tc>
      </w:tr>
      <w:tr w:rsidR="002B6142" w:rsidRPr="00BB7DD2" w14:paraId="79D85EF1" w14:textId="77777777" w:rsidTr="005E4ED6">
        <w:trPr>
          <w:trHeight w:val="258"/>
        </w:trPr>
        <w:tc>
          <w:tcPr>
            <w:tcW w:w="539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1E77E1B"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sz w:val="16"/>
                <w:szCs w:val="16"/>
              </w:rPr>
              <w:t>&lt;95%</w:t>
            </w:r>
          </w:p>
        </w:tc>
        <w:tc>
          <w:tcPr>
            <w:tcW w:w="5400" w:type="dxa"/>
            <w:tcBorders>
              <w:top w:val="single" w:sz="8" w:space="0" w:color="000000"/>
              <w:left w:val="single" w:sz="8" w:space="0" w:color="000000"/>
              <w:bottom w:val="single" w:sz="8" w:space="0" w:color="auto"/>
              <w:right w:val="single" w:sz="8" w:space="0" w:color="000000"/>
            </w:tcBorders>
            <w:tcMar>
              <w:left w:w="108" w:type="dxa"/>
              <w:right w:w="108" w:type="dxa"/>
            </w:tcMar>
          </w:tcPr>
          <w:p w14:paraId="48DDA38E" w14:textId="77777777" w:rsidR="002B6142" w:rsidRPr="00BB7DD2" w:rsidRDefault="002B6142" w:rsidP="005E4ED6">
            <w:pPr>
              <w:spacing w:before="20" w:after="20"/>
              <w:ind w:left="-14" w:right="-101"/>
              <w:jc w:val="center"/>
              <w:rPr>
                <w:rFonts w:ascii="Calibri" w:eastAsia="Calibri" w:hAnsi="Calibri" w:cs="Arial"/>
              </w:rPr>
            </w:pPr>
            <w:r>
              <w:rPr>
                <w:rFonts w:ascii="Calibri" w:eastAsia="Calibri" w:hAnsi="Calibri" w:cs="Calibri"/>
                <w:sz w:val="16"/>
                <w:szCs w:val="16"/>
              </w:rPr>
              <w:t>100%</w:t>
            </w:r>
          </w:p>
        </w:tc>
      </w:tr>
    </w:tbl>
    <w:p w14:paraId="7CBF3404" w14:textId="77777777" w:rsidR="002B6142" w:rsidRPr="00BB7DD2" w:rsidRDefault="002B6142" w:rsidP="002B6142">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Do używania przez Klienta Klastrów Automatycznych, które mają włączone Strefy Dostępności w danym regionie, mają zastosowanie następujące Poziomy Usługi i Środki na Używanie Usług: Procent Czasu Sprawnego Działania Składników Zarządzanego Systemu, Środki na Używanie Usług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85"/>
        <w:gridCol w:w="5385"/>
      </w:tblGrid>
      <w:tr w:rsidR="002B6142" w:rsidRPr="00BB7DD2" w14:paraId="509AD58D" w14:textId="77777777" w:rsidTr="005E4ED6">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4E3B7005"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Procent Czasu Sprawnego Działania </w:t>
            </w:r>
          </w:p>
        </w:tc>
        <w:tc>
          <w:tcPr>
            <w:tcW w:w="5385" w:type="dxa"/>
            <w:tcBorders>
              <w:top w:val="single" w:sz="8" w:space="0" w:color="000000"/>
              <w:left w:val="single" w:sz="8" w:space="0" w:color="000000"/>
              <w:bottom w:val="single" w:sz="8" w:space="0" w:color="000000"/>
              <w:right w:val="single" w:sz="8" w:space="0" w:color="000000"/>
            </w:tcBorders>
            <w:shd w:val="clear" w:color="auto" w:fill="0072C6"/>
            <w:hideMark/>
          </w:tcPr>
          <w:p w14:paraId="59453F50"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Środki na Używanie Usług </w:t>
            </w:r>
          </w:p>
        </w:tc>
      </w:tr>
      <w:tr w:rsidR="002B6142" w:rsidRPr="00BB7DD2" w14:paraId="18D3EFEF" w14:textId="77777777" w:rsidTr="005E4ED6">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5EFF54DE" w14:textId="77777777" w:rsidR="002B6142" w:rsidRPr="00AC39A0" w:rsidRDefault="002B6142" w:rsidP="005E4ED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&lt;99,9%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0467AFE7" w14:textId="77777777" w:rsidR="002B6142" w:rsidRPr="00AC39A0" w:rsidRDefault="002B6142" w:rsidP="005E4ED6">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 </w:t>
            </w:r>
          </w:p>
        </w:tc>
      </w:tr>
      <w:tr w:rsidR="002B6142" w:rsidRPr="00BB7DD2" w14:paraId="53E6D8CC" w14:textId="77777777" w:rsidTr="005E4ED6">
        <w:trPr>
          <w:trHeight w:val="240"/>
        </w:trPr>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15A87473" w14:textId="77777777" w:rsidR="002B6142" w:rsidRPr="00AC39A0" w:rsidRDefault="002B6142" w:rsidP="005E4ED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&lt;99% </w:t>
            </w:r>
          </w:p>
        </w:tc>
        <w:tc>
          <w:tcPr>
            <w:tcW w:w="5385" w:type="dxa"/>
            <w:tcBorders>
              <w:top w:val="single" w:sz="8" w:space="0" w:color="000000"/>
              <w:left w:val="single" w:sz="8" w:space="0" w:color="000000"/>
              <w:bottom w:val="single" w:sz="8" w:space="0" w:color="000000"/>
              <w:right w:val="single" w:sz="8" w:space="0" w:color="000000"/>
            </w:tcBorders>
            <w:shd w:val="clear" w:color="auto" w:fill="FFFFFF"/>
            <w:hideMark/>
          </w:tcPr>
          <w:p w14:paraId="7A882455" w14:textId="77777777" w:rsidR="002B6142" w:rsidRPr="00AC39A0" w:rsidRDefault="002B6142" w:rsidP="005E4ED6">
            <w:pPr>
              <w:spacing w:before="20" w:after="20"/>
              <w:ind w:left="-14" w:right="-101"/>
              <w:jc w:val="center"/>
              <w:rPr>
                <w:rFonts w:ascii="Calibri" w:eastAsia="Calibri" w:hAnsi="Calibri" w:cs="Calibri"/>
                <w:sz w:val="16"/>
                <w:szCs w:val="16"/>
              </w:rPr>
            </w:pPr>
            <w:r>
              <w:rPr>
                <w:rFonts w:ascii="Calibri" w:eastAsia="Calibri" w:hAnsi="Calibri" w:cs="Calibri"/>
                <w:sz w:val="16"/>
                <w:szCs w:val="16"/>
              </w:rPr>
              <w:t>25% </w:t>
            </w:r>
          </w:p>
        </w:tc>
      </w:tr>
      <w:tr w:rsidR="002B6142" w:rsidRPr="00BB7DD2" w14:paraId="4D97D1AD" w14:textId="77777777" w:rsidTr="005E4ED6">
        <w:trPr>
          <w:trHeight w:val="240"/>
        </w:trPr>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5A17F721" w14:textId="77777777" w:rsidR="002B6142" w:rsidRPr="00AC39A0" w:rsidRDefault="002B6142" w:rsidP="005E4ED6">
            <w:pPr>
              <w:spacing w:before="20" w:after="20"/>
              <w:ind w:left="-14" w:right="-101"/>
              <w:jc w:val="center"/>
              <w:rPr>
                <w:rFonts w:ascii="Calibri" w:eastAsia="Calibri" w:hAnsi="Calibri" w:cs="Calibri"/>
                <w:sz w:val="16"/>
                <w:szCs w:val="16"/>
              </w:rPr>
            </w:pPr>
            <w:r>
              <w:rPr>
                <w:rFonts w:ascii="Calibri" w:eastAsia="Calibri" w:hAnsi="Calibri" w:cs="Calibri"/>
                <w:sz w:val="16"/>
                <w:szCs w:val="16"/>
              </w:rPr>
              <w:t>&lt;95% </w:t>
            </w:r>
          </w:p>
        </w:tc>
        <w:tc>
          <w:tcPr>
            <w:tcW w:w="5385" w:type="dxa"/>
            <w:tcBorders>
              <w:top w:val="single" w:sz="8" w:space="0" w:color="auto"/>
              <w:left w:val="single" w:sz="8" w:space="0" w:color="auto"/>
              <w:bottom w:val="single" w:sz="8" w:space="0" w:color="auto"/>
              <w:right w:val="single" w:sz="8" w:space="0" w:color="auto"/>
            </w:tcBorders>
            <w:shd w:val="clear" w:color="auto" w:fill="FFFFFF"/>
            <w:hideMark/>
          </w:tcPr>
          <w:p w14:paraId="647091D7" w14:textId="77777777" w:rsidR="002B6142" w:rsidRPr="00AC39A0" w:rsidRDefault="002B6142" w:rsidP="005E4ED6">
            <w:pPr>
              <w:spacing w:before="20" w:after="20"/>
              <w:ind w:left="-14" w:right="-101"/>
              <w:jc w:val="center"/>
              <w:rPr>
                <w:rFonts w:ascii="Calibri" w:eastAsia="Calibri" w:hAnsi="Calibri" w:cs="Calibri"/>
                <w:sz w:val="16"/>
                <w:szCs w:val="16"/>
              </w:rPr>
            </w:pPr>
            <w:r>
              <w:rPr>
                <w:rFonts w:ascii="Calibri" w:eastAsia="Calibri" w:hAnsi="Calibri" w:cs="Calibri"/>
                <w:sz w:val="16"/>
                <w:szCs w:val="16"/>
              </w:rPr>
              <w:t>100% </w:t>
            </w:r>
          </w:p>
        </w:tc>
      </w:tr>
    </w:tbl>
    <w:p w14:paraId="5453BB41" w14:textId="77777777" w:rsidR="002B6142" w:rsidRPr="00BB7DD2" w:rsidRDefault="002B6142" w:rsidP="002B6142">
      <w:pPr>
        <w:spacing w:before="120" w:after="0" w:line="240" w:lineRule="auto"/>
        <w:rPr>
          <w:rFonts w:ascii="Calibri" w:eastAsia="Calibri" w:hAnsi="Calibri" w:cs="Calibri"/>
          <w:b/>
          <w:bCs/>
          <w:color w:val="00188F"/>
          <w:sz w:val="18"/>
          <w:szCs w:val="18"/>
        </w:rPr>
      </w:pPr>
      <w:r>
        <w:rPr>
          <w:rFonts w:ascii="Calibri" w:eastAsia="Calibri" w:hAnsi="Calibri" w:cs="Calibri"/>
          <w:b/>
          <w:bCs/>
          <w:color w:val="00188F"/>
          <w:sz w:val="18"/>
          <w:szCs w:val="18"/>
        </w:rPr>
        <w:t>Obliczanie Czasu Gotowości i Poziomy Usługi dla Klastrów Automatycznych</w:t>
      </w:r>
    </w:p>
    <w:p w14:paraId="2B438B8D"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Właściwe Opłaty za Usługi</w:t>
      </w:r>
      <w:r>
        <w:rPr>
          <w:rFonts w:ascii="Calibri" w:eastAsia="Calibri" w:hAnsi="Calibri" w:cs="Calibri"/>
          <w:sz w:val="18"/>
          <w:szCs w:val="18"/>
        </w:rPr>
        <w:t>” oznaczają łączną kwotę dodatkowych opłat za usługi naliczanych za maszyny wirtualne w Klastrze Automatycznym we Właściwym Okresie, za który przysługują Środki na Używanie Usług, z wyłączeniem wszelkich opłat za same maszyny wirtualne.</w:t>
      </w:r>
    </w:p>
    <w:p w14:paraId="594D5904"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Właściwy Kontener</w:t>
      </w:r>
      <w:r>
        <w:rPr>
          <w:rFonts w:ascii="Calibri" w:eastAsia="Calibri" w:hAnsi="Calibri" w:cs="Calibri"/>
          <w:sz w:val="18"/>
          <w:szCs w:val="18"/>
        </w:rPr>
        <w:t xml:space="preserve">” jest definiowany jako kontener, który nie montuje woluminów ze źródeł innych niż sekrety, mapy konfiguracyjne, API typu </w:t>
      </w:r>
      <w:proofErr w:type="spellStart"/>
      <w:r>
        <w:rPr>
          <w:rFonts w:ascii="Calibri" w:eastAsia="Calibri" w:hAnsi="Calibri" w:cs="Calibri"/>
          <w:sz w:val="18"/>
          <w:szCs w:val="18"/>
        </w:rPr>
        <w:t>downward</w:t>
      </w:r>
      <w:proofErr w:type="spellEnd"/>
      <w:r>
        <w:rPr>
          <w:rFonts w:ascii="Calibri" w:eastAsia="Calibri" w:hAnsi="Calibri" w:cs="Calibri"/>
          <w:sz w:val="18"/>
          <w:szCs w:val="18"/>
        </w:rPr>
        <w:t xml:space="preserve"> i </w:t>
      </w:r>
      <w:proofErr w:type="spellStart"/>
      <w:r>
        <w:rPr>
          <w:rFonts w:ascii="Calibri" w:eastAsia="Calibri" w:hAnsi="Calibri" w:cs="Calibri"/>
          <w:sz w:val="18"/>
          <w:szCs w:val="18"/>
        </w:rPr>
        <w:t>emptyDir</w:t>
      </w:r>
      <w:proofErr w:type="spellEnd"/>
      <w:r>
        <w:rPr>
          <w:rFonts w:ascii="Calibri" w:eastAsia="Calibri" w:hAnsi="Calibri" w:cs="Calibri"/>
          <w:sz w:val="18"/>
          <w:szCs w:val="18"/>
        </w:rPr>
        <w:t xml:space="preserve"> oraz nie wymaga węzłów, w tym Windows, GPU, </w:t>
      </w:r>
      <w:proofErr w:type="spellStart"/>
      <w:r>
        <w:rPr>
          <w:rFonts w:ascii="Calibri" w:eastAsia="Calibri" w:hAnsi="Calibri" w:cs="Calibri"/>
          <w:sz w:val="18"/>
          <w:szCs w:val="18"/>
        </w:rPr>
        <w:t>Confidential</w:t>
      </w:r>
      <w:proofErr w:type="spellEnd"/>
      <w:r>
        <w:rPr>
          <w:rFonts w:ascii="Calibri" w:eastAsia="Calibri" w:hAnsi="Calibri" w:cs="Calibri"/>
          <w:sz w:val="18"/>
          <w:szCs w:val="18"/>
        </w:rPr>
        <w:t xml:space="preserve"> ani innych specjalistycznych jednostek SKU.</w:t>
      </w:r>
    </w:p>
    <w:p w14:paraId="075CE285"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Okno Wykluczone</w:t>
      </w:r>
      <w:r>
        <w:rPr>
          <w:rFonts w:ascii="Calibri" w:eastAsia="Calibri" w:hAnsi="Calibri" w:cs="Calibri"/>
          <w:sz w:val="18"/>
          <w:szCs w:val="18"/>
        </w:rPr>
        <w:t>” definiuje się jako dowolny 5-minutowy przedział czasu, w którym inicjowane są operacje średniej lub dużej skali (obejmujące 100 lub więcej węzłów) lub obserwowane są błędy związane z limitami/subskrypcjami w Klastrze Automatycznym.</w:t>
      </w:r>
    </w:p>
    <w:p w14:paraId="116AC9A8"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Łączna Liczba Operacji Związanych z Kontenerami</w:t>
      </w:r>
      <w:r>
        <w:rPr>
          <w:rFonts w:ascii="Calibri" w:eastAsia="Calibri" w:hAnsi="Calibri" w:cs="Calibri"/>
          <w:sz w:val="18"/>
          <w:szCs w:val="18"/>
        </w:rPr>
        <w:t>” to łączna liczba operacji związanych z tworzeniem Właściwych Kontenerów zainicjowanych przez klienta poza Oknami Wyłączonymi we Właściwym Okresie.</w:t>
      </w:r>
    </w:p>
    <w:p w14:paraId="48C6F47E" w14:textId="77777777" w:rsidR="002B6142" w:rsidRPr="00BB7DD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Opóźnione Operacje Związane z Kontenerami</w:t>
      </w:r>
      <w:r>
        <w:rPr>
          <w:rFonts w:ascii="Calibri" w:eastAsia="Calibri" w:hAnsi="Calibri" w:cs="Calibri"/>
          <w:sz w:val="18"/>
          <w:szCs w:val="18"/>
        </w:rPr>
        <w:t>” to łączna liczba operacji tworzenia Właściwych Kontenerów, w przypadku których kontenery Właściwych Kontenerów nie są zgłaszane jako uruchomione w ciągu pięciu minut, licząc od momentu utworzenia obiektu kontenera, z wyłączeniem czasu potrzebnego na pobranie obrazu i uruchomienie środowiskowe kontenera inicjującego.</w:t>
      </w:r>
    </w:p>
    <w:p w14:paraId="139E6409" w14:textId="77777777" w:rsidR="002B6142" w:rsidRDefault="002B6142" w:rsidP="002B6142">
      <w:pPr>
        <w:spacing w:after="0"/>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Procent Czasu Gotowości</w:t>
      </w:r>
      <w:r>
        <w:rPr>
          <w:rFonts w:ascii="Calibri" w:eastAsia="Calibri" w:hAnsi="Calibri" w:cs="Calibri"/>
          <w:sz w:val="18"/>
          <w:szCs w:val="18"/>
        </w:rPr>
        <w:t xml:space="preserve">” dla Klastrów Automatycznych jest obliczany jako Łączna Liczba Operacji Związanych z Kontenerami </w:t>
      </w:r>
      <w:bookmarkStart w:id="315" w:name="_Int_ycDxSw3p"/>
      <w:r>
        <w:rPr>
          <w:rFonts w:ascii="Calibri" w:eastAsia="Calibri" w:hAnsi="Calibri" w:cs="Calibri"/>
          <w:sz w:val="18"/>
          <w:szCs w:val="18"/>
        </w:rPr>
        <w:t>pomniejszona</w:t>
      </w:r>
      <w:bookmarkEnd w:id="315"/>
      <w:r>
        <w:rPr>
          <w:rFonts w:ascii="Calibri" w:eastAsia="Calibri" w:hAnsi="Calibri" w:cs="Calibri"/>
          <w:sz w:val="18"/>
          <w:szCs w:val="18"/>
        </w:rPr>
        <w:t xml:space="preserve"> o Opóźnione Operacje Związane z Kontenerami podzielona przez Łączną Liczbę Operacji Związanych z Kontenerami we Właściwym Okresie dla danej subskrypcji Microsoft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Procent Czasu Gotowości przedstawia się za pomocą następującego wzoru: </w:t>
      </w:r>
    </w:p>
    <w:p w14:paraId="3E707414" w14:textId="77777777" w:rsidR="002B6142" w:rsidRPr="00BB7DD2" w:rsidRDefault="00000000" w:rsidP="002B6142">
      <w:pPr>
        <w:spacing w:before="120" w:after="120" w:line="240" w:lineRule="auto"/>
        <w:rPr>
          <w:rFonts w:ascii="Calibri" w:eastAsia="Calibri" w:hAnsi="Calibri" w:cs="Calibri"/>
          <w:sz w:val="18"/>
          <w:szCs w:val="18"/>
        </w:rPr>
      </w:pPr>
      <m:oMathPara>
        <m:oMath>
          <m:f>
            <m:fPr>
              <m:ctrlPr>
                <w:rPr>
                  <w:rFonts w:ascii="Cambria Math" w:eastAsia="Calibri" w:hAnsi="Cambria Math" w:cs="Calibri"/>
                  <w:i/>
                  <w:iCs/>
                  <w:sz w:val="18"/>
                  <w:szCs w:val="18"/>
                </w:rPr>
              </m:ctrlPr>
            </m:fPr>
            <m:num>
              <m:r>
                <m:rPr>
                  <m:nor/>
                </m:rPr>
                <w:rPr>
                  <w:rFonts w:ascii="Cambria Math" w:eastAsia="Calibri" w:hAnsi="Cambria Math" w:cs="Calibri"/>
                  <w:i/>
                  <w:iCs/>
                  <w:sz w:val="18"/>
                  <w:szCs w:val="18"/>
                </w:rPr>
                <m:t>Całkowita Liczba Operacji Związanych z Kontenerami - Opóźnione Operacje Związane z Kontenerami</m:t>
              </m:r>
            </m:num>
            <m:den>
              <m:r>
                <m:rPr>
                  <m:nor/>
                </m:rPr>
                <w:rPr>
                  <w:rFonts w:ascii="Cambria Math" w:eastAsia="Calibri" w:hAnsi="Cambria Math" w:cs="Calibri"/>
                  <w:i/>
                  <w:iCs/>
                  <w:sz w:val="18"/>
                  <w:szCs w:val="18"/>
                </w:rPr>
                <m:t>Całkowita Liczba Operacji Związanych z Kontenerami</m:t>
              </m:r>
            </m:den>
          </m:f>
          <m:r>
            <w:rPr>
              <w:rFonts w:ascii="Cambria Math" w:eastAsia="Calibri" w:hAnsi="Cambria Math" w:cs="Calibri"/>
              <w:sz w:val="18"/>
              <w:szCs w:val="18"/>
            </w:rPr>
            <m:t> x 100</m:t>
          </m:r>
        </m:oMath>
      </m:oMathPara>
    </w:p>
    <w:p w14:paraId="7B21EFB0" w14:textId="77777777" w:rsidR="002B6142" w:rsidRPr="00BB7DD2" w:rsidRDefault="002B6142" w:rsidP="002B6142">
      <w:pPr>
        <w:spacing w:after="0"/>
        <w:rPr>
          <w:rFonts w:ascii="Calibri" w:eastAsia="Calibri" w:hAnsi="Calibri" w:cs="Calibri"/>
          <w:b/>
          <w:bCs/>
          <w:color w:val="00188F"/>
          <w:sz w:val="18"/>
          <w:szCs w:val="18"/>
        </w:rPr>
      </w:pPr>
      <w:r>
        <w:rPr>
          <w:rFonts w:ascii="Calibri" w:eastAsia="Calibri" w:hAnsi="Calibri" w:cs="Calibri"/>
          <w:b/>
          <w:bCs/>
          <w:color w:val="00188F"/>
          <w:sz w:val="18"/>
          <w:szCs w:val="18"/>
        </w:rPr>
        <w:t>Procent Czasu Gotowości, Środki na Używanie Usług</w:t>
      </w:r>
    </w:p>
    <w:tbl>
      <w:tblPr>
        <w:tblW w:w="10790" w:type="dxa"/>
        <w:tblLayout w:type="fixed"/>
        <w:tblLook w:val="04A0" w:firstRow="1" w:lastRow="0" w:firstColumn="1" w:lastColumn="0" w:noHBand="0" w:noVBand="1"/>
      </w:tblPr>
      <w:tblGrid>
        <w:gridCol w:w="5168"/>
        <w:gridCol w:w="5622"/>
      </w:tblGrid>
      <w:tr w:rsidR="002B6142" w:rsidRPr="00BB7DD2" w14:paraId="5E7C10B4" w14:textId="77777777" w:rsidTr="005E4ED6">
        <w:trPr>
          <w:trHeight w:val="245"/>
        </w:trPr>
        <w:tc>
          <w:tcPr>
            <w:tcW w:w="5168"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5FF53DA1"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Procent Czasu Gotowości</w:t>
            </w:r>
          </w:p>
        </w:tc>
        <w:tc>
          <w:tcPr>
            <w:tcW w:w="5622" w:type="dxa"/>
            <w:tcBorders>
              <w:top w:val="single" w:sz="8" w:space="0" w:color="000000"/>
              <w:left w:val="single" w:sz="8" w:space="0" w:color="000000"/>
              <w:bottom w:val="single" w:sz="8" w:space="0" w:color="000000"/>
              <w:right w:val="single" w:sz="8" w:space="0" w:color="000000"/>
            </w:tcBorders>
            <w:shd w:val="clear" w:color="auto" w:fill="0072C6"/>
            <w:tcMar>
              <w:left w:w="108" w:type="dxa"/>
              <w:right w:w="108" w:type="dxa"/>
            </w:tcMar>
          </w:tcPr>
          <w:p w14:paraId="5E4A2BB8" w14:textId="77777777" w:rsidR="002B6142" w:rsidRPr="00BB7DD2"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color w:val="FFFFFF"/>
                <w:sz w:val="16"/>
                <w:szCs w:val="16"/>
              </w:rPr>
              <w:t>Środki na Używanie Usług</w:t>
            </w:r>
          </w:p>
        </w:tc>
      </w:tr>
      <w:tr w:rsidR="002B6142" w:rsidRPr="00BB7DD2" w14:paraId="49F02B9A" w14:textId="77777777" w:rsidTr="005E4ED6">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5899A194"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&lt;99,9%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8D8A2F4"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10%</w:t>
            </w:r>
          </w:p>
        </w:tc>
      </w:tr>
      <w:tr w:rsidR="002B6142" w:rsidRPr="00BB7DD2" w14:paraId="6BC7A6AF" w14:textId="77777777" w:rsidTr="005E4ED6">
        <w:trPr>
          <w:trHeight w:val="245"/>
        </w:trPr>
        <w:tc>
          <w:tcPr>
            <w:tcW w:w="5168"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1DC59F4B"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&lt;99%</w:t>
            </w:r>
          </w:p>
        </w:tc>
        <w:tc>
          <w:tcPr>
            <w:tcW w:w="5622" w:type="dxa"/>
            <w:tcBorders>
              <w:top w:val="single" w:sz="8" w:space="0" w:color="000000"/>
              <w:left w:val="single" w:sz="8" w:space="0" w:color="000000"/>
              <w:bottom w:val="single" w:sz="8" w:space="0" w:color="000000"/>
              <w:right w:val="single" w:sz="8" w:space="0" w:color="000000"/>
            </w:tcBorders>
            <w:tcMar>
              <w:left w:w="108" w:type="dxa"/>
              <w:right w:w="108" w:type="dxa"/>
            </w:tcMar>
          </w:tcPr>
          <w:p w14:paraId="417CCCC0"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25%</w:t>
            </w:r>
          </w:p>
        </w:tc>
      </w:tr>
      <w:tr w:rsidR="002B6142" w:rsidRPr="00BB7DD2" w14:paraId="14EE54DA" w14:textId="77777777" w:rsidTr="005E4ED6">
        <w:trPr>
          <w:trHeight w:val="245"/>
        </w:trPr>
        <w:tc>
          <w:tcPr>
            <w:tcW w:w="5168" w:type="dxa"/>
            <w:tcBorders>
              <w:top w:val="single" w:sz="8" w:space="0" w:color="000000"/>
              <w:left w:val="single" w:sz="8" w:space="0" w:color="000000"/>
              <w:bottom w:val="single" w:sz="8" w:space="0" w:color="auto"/>
              <w:right w:val="single" w:sz="8" w:space="0" w:color="000000"/>
            </w:tcBorders>
            <w:tcMar>
              <w:left w:w="108" w:type="dxa"/>
              <w:right w:w="108" w:type="dxa"/>
            </w:tcMar>
          </w:tcPr>
          <w:p w14:paraId="6552659B"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&lt;95%</w:t>
            </w:r>
          </w:p>
        </w:tc>
        <w:tc>
          <w:tcPr>
            <w:tcW w:w="5622" w:type="dxa"/>
            <w:tcBorders>
              <w:top w:val="single" w:sz="8" w:space="0" w:color="000000"/>
              <w:left w:val="single" w:sz="8" w:space="0" w:color="000000"/>
              <w:bottom w:val="single" w:sz="8" w:space="0" w:color="auto"/>
              <w:right w:val="single" w:sz="8" w:space="0" w:color="000000"/>
            </w:tcBorders>
            <w:tcMar>
              <w:left w:w="108" w:type="dxa"/>
              <w:right w:w="108" w:type="dxa"/>
            </w:tcMar>
          </w:tcPr>
          <w:p w14:paraId="2510EA04" w14:textId="77777777" w:rsidR="002B6142" w:rsidRPr="00AC39A0" w:rsidRDefault="002B6142" w:rsidP="005E4ED6">
            <w:pPr>
              <w:spacing w:before="20" w:after="20"/>
              <w:ind w:left="-14" w:right="-101"/>
              <w:jc w:val="center"/>
              <w:rPr>
                <w:rFonts w:ascii="Calibri" w:eastAsia="Calibri" w:hAnsi="Calibri" w:cs="Calibri"/>
                <w:color w:val="FFFFFF"/>
                <w:sz w:val="16"/>
                <w:szCs w:val="16"/>
              </w:rPr>
            </w:pPr>
            <w:r>
              <w:rPr>
                <w:rFonts w:ascii="Calibri" w:eastAsia="Calibri" w:hAnsi="Calibri" w:cs="Calibri"/>
                <w:sz w:val="16"/>
                <w:szCs w:val="16"/>
              </w:rPr>
              <w:t>50%</w:t>
            </w:r>
          </w:p>
        </w:tc>
      </w:tr>
    </w:tbl>
    <w:p w14:paraId="2FF045CD" w14:textId="77777777" w:rsidR="000F4BDC" w:rsidRPr="00EF7CF9" w:rsidRDefault="000F4BDC" w:rsidP="000F4BD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DD97676" w14:textId="0A6BF67F" w:rsidR="004005AF" w:rsidRPr="00EF7CF9" w:rsidRDefault="004005AF" w:rsidP="009D4602">
      <w:pPr>
        <w:pStyle w:val="ProductList-Offering2Heading"/>
        <w:keepNext/>
        <w:pageBreakBefore/>
        <w:tabs>
          <w:tab w:val="clear" w:pos="360"/>
          <w:tab w:val="clear" w:pos="720"/>
          <w:tab w:val="clear" w:pos="1080"/>
        </w:tabs>
        <w:outlineLvl w:val="2"/>
      </w:pPr>
      <w:bookmarkStart w:id="316" w:name="_Toc239175030"/>
      <w:r>
        <w:t xml:space="preserve">Usługi </w:t>
      </w:r>
      <w:proofErr w:type="spellStart"/>
      <w:r>
        <w:t>Azure</w:t>
      </w:r>
      <w:proofErr w:type="spellEnd"/>
      <w:r>
        <w:t xml:space="preserve"> Lab</w:t>
      </w:r>
      <w:bookmarkEnd w:id="311"/>
      <w:bookmarkEnd w:id="312"/>
      <w:bookmarkEnd w:id="316"/>
    </w:p>
    <w:p w14:paraId="6AA23733" w14:textId="77777777" w:rsidR="004005AF" w:rsidRPr="00EF7CF9" w:rsidRDefault="004005AF" w:rsidP="004005AF">
      <w:pPr>
        <w:pStyle w:val="ProductList-Body"/>
      </w:pPr>
      <w:r>
        <w:rPr>
          <w:b/>
          <w:color w:val="00188F"/>
        </w:rPr>
        <w:t>Dodatkowe definicje</w:t>
      </w:r>
      <w:r w:rsidRPr="0034704E">
        <w:rPr>
          <w:b/>
          <w:color w:val="00188F"/>
        </w:rPr>
        <w:t>:</w:t>
      </w:r>
    </w:p>
    <w:p w14:paraId="6C2C916A"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Maszyna Wirtualna w Laboratorium</w:t>
      </w:r>
      <w:r>
        <w:rPr>
          <w:rFonts w:asciiTheme="minorHAnsi" w:eastAsiaTheme="minorHAnsi" w:hAnsiTheme="minorHAnsi" w:cstheme="minorBidi"/>
          <w:sz w:val="18"/>
          <w:szCs w:val="22"/>
        </w:rPr>
        <w:t xml:space="preserve">” to dowolna maszyna wirtualna przydzielona w laboratorium w ramach usług </w:t>
      </w:r>
      <w:proofErr w:type="spellStart"/>
      <w:r>
        <w:rPr>
          <w:rFonts w:asciiTheme="minorHAnsi" w:eastAsiaTheme="minorHAnsi" w:hAnsiTheme="minorHAnsi" w:cstheme="minorBidi"/>
          <w:sz w:val="18"/>
          <w:szCs w:val="22"/>
        </w:rPr>
        <w:t>Azure</w:t>
      </w:r>
      <w:proofErr w:type="spellEnd"/>
      <w:r>
        <w:rPr>
          <w:rFonts w:asciiTheme="minorHAnsi" w:eastAsiaTheme="minorHAnsi" w:hAnsiTheme="minorHAnsi" w:cstheme="minorBidi"/>
          <w:sz w:val="18"/>
          <w:szCs w:val="22"/>
        </w:rPr>
        <w:t xml:space="preserve"> Lab Services.</w:t>
      </w:r>
    </w:p>
    <w:p w14:paraId="04D39350" w14:textId="77777777" w:rsidR="004005AF" w:rsidRPr="00784894" w:rsidRDefault="004005AF" w:rsidP="004005AF">
      <w:pPr>
        <w:pStyle w:val="NormalWeb"/>
        <w:spacing w:before="0" w:beforeAutospacing="0" w:after="0" w:afterAutospacing="0"/>
        <w:rPr>
          <w:rFonts w:asciiTheme="minorHAnsi" w:eastAsiaTheme="minorHAnsi" w:hAnsiTheme="minorHAnsi" w:cstheme="minorBidi"/>
          <w:sz w:val="18"/>
          <w:szCs w:val="22"/>
        </w:rPr>
      </w:pPr>
      <w:r>
        <w:rPr>
          <w:rFonts w:asciiTheme="minorHAnsi" w:eastAsiaTheme="minorHAnsi" w:hAnsiTheme="minorHAnsi" w:cstheme="minorBidi"/>
          <w:sz w:val="18"/>
          <w:szCs w:val="22"/>
        </w:rPr>
        <w:t>„</w:t>
      </w:r>
      <w:r>
        <w:rPr>
          <w:rFonts w:asciiTheme="minorHAnsi" w:eastAsiaTheme="minorHAnsi" w:hAnsiTheme="minorHAnsi" w:cstheme="minorBidi"/>
          <w:b/>
          <w:color w:val="00188F"/>
          <w:sz w:val="18"/>
          <w:szCs w:val="22"/>
        </w:rPr>
        <w:t>Łączność z Maszyną Wirtualną w Laboratorium</w:t>
      </w:r>
      <w:r>
        <w:rPr>
          <w:rFonts w:asciiTheme="minorHAnsi" w:eastAsiaTheme="minorHAnsi" w:hAnsiTheme="minorHAnsi" w:cstheme="minorBidi"/>
          <w:sz w:val="18"/>
          <w:szCs w:val="22"/>
        </w:rPr>
        <w:t>”</w:t>
      </w:r>
      <w:r>
        <w:rPr>
          <w:color w:val="000000"/>
        </w:rPr>
        <w:t xml:space="preserve"> </w:t>
      </w:r>
      <w:r>
        <w:rPr>
          <w:rFonts w:asciiTheme="minorHAnsi" w:eastAsiaTheme="minorHAnsi" w:hAnsiTheme="minorHAnsi" w:cstheme="minorBidi"/>
          <w:sz w:val="18"/>
          <w:szCs w:val="22"/>
        </w:rPr>
        <w:t xml:space="preserve">to dwukierunkowy ruch danych w sieci między Maszyną Wirtualną w Laboratorium a innymi adresami IP realizowany za pośrednictwem protokołów sieciowych TCP lub UDP, w ramach których Maszyna Wirtualna w Laboratorium została skonfigurowana do obsługi dozwolonego ruchu. Adresy IP mogą być adresami IP w tej samej sieci wirtualnej co Maszyna Wirtualna w Laboratorium lub publicznymi, </w:t>
      </w:r>
      <w:proofErr w:type="spellStart"/>
      <w:r>
        <w:rPr>
          <w:rFonts w:asciiTheme="minorHAnsi" w:eastAsiaTheme="minorHAnsi" w:hAnsiTheme="minorHAnsi" w:cstheme="minorBidi"/>
          <w:sz w:val="18"/>
          <w:szCs w:val="22"/>
        </w:rPr>
        <w:t>rutowalnymi</w:t>
      </w:r>
      <w:proofErr w:type="spellEnd"/>
      <w:r>
        <w:rPr>
          <w:rFonts w:asciiTheme="minorHAnsi" w:eastAsiaTheme="minorHAnsi" w:hAnsiTheme="minorHAnsi" w:cstheme="minorBidi"/>
          <w:sz w:val="18"/>
          <w:szCs w:val="22"/>
        </w:rPr>
        <w:t xml:space="preserve"> adresami IP.</w:t>
      </w:r>
    </w:p>
    <w:p w14:paraId="450A7B65" w14:textId="10AC90AD" w:rsidR="004005AF" w:rsidRPr="00ED4527" w:rsidRDefault="00EE6E3C" w:rsidP="00A82C3D">
      <w:pPr>
        <w:spacing w:before="60" w:after="0" w:line="240" w:lineRule="auto"/>
        <w:rPr>
          <w:b/>
          <w:bCs/>
          <w:color w:val="00188F"/>
          <w:sz w:val="18"/>
        </w:rPr>
      </w:pPr>
      <w:r>
        <w:rPr>
          <w:b/>
          <w:bCs/>
          <w:color w:val="00188F"/>
          <w:sz w:val="18"/>
        </w:rPr>
        <w:t xml:space="preserve">Obliczanie Czasu Sprawnego Działania i Poziomy Usługi dla Usługi </w:t>
      </w:r>
      <w:proofErr w:type="spellStart"/>
      <w:r>
        <w:rPr>
          <w:b/>
          <w:bCs/>
          <w:color w:val="00188F"/>
          <w:sz w:val="18"/>
        </w:rPr>
        <w:t>Azure</w:t>
      </w:r>
      <w:proofErr w:type="spellEnd"/>
      <w:r>
        <w:rPr>
          <w:b/>
          <w:bCs/>
          <w:color w:val="00188F"/>
          <w:sz w:val="18"/>
        </w:rPr>
        <w:t xml:space="preserve"> Lab</w:t>
      </w:r>
    </w:p>
    <w:p w14:paraId="3E2CADC7" w14:textId="32AFF39E" w:rsidR="004005AF" w:rsidRDefault="004005AF" w:rsidP="004005AF">
      <w:pPr>
        <w:spacing w:after="0" w:line="240" w:lineRule="auto"/>
        <w:rPr>
          <w:sz w:val="18"/>
        </w:rPr>
      </w:pPr>
      <w:r>
        <w:rPr>
          <w:sz w:val="18"/>
        </w:rPr>
        <w:t>„</w:t>
      </w:r>
      <w:r>
        <w:rPr>
          <w:b/>
          <w:color w:val="00188F"/>
          <w:sz w:val="18"/>
        </w:rPr>
        <w:t>Liczba Minut we Właściwym Okresie</w:t>
      </w:r>
      <w:r>
        <w:rPr>
          <w:sz w:val="18"/>
        </w:rPr>
        <w:t>” to łączna liczba minut we Właściwym Okresie.</w:t>
      </w:r>
    </w:p>
    <w:p w14:paraId="53138E33" w14:textId="2321BDE8" w:rsidR="004005AF" w:rsidRPr="00EF7CF9" w:rsidRDefault="004005AF" w:rsidP="004005AF">
      <w:pPr>
        <w:spacing w:after="0" w:line="240" w:lineRule="auto"/>
        <w:rPr>
          <w:sz w:val="18"/>
        </w:rPr>
      </w:pPr>
      <w:r>
        <w:rPr>
          <w:sz w:val="18"/>
        </w:rPr>
        <w:t>„</w:t>
      </w:r>
      <w:r>
        <w:rPr>
          <w:b/>
          <w:color w:val="00188F"/>
          <w:sz w:val="18"/>
        </w:rPr>
        <w:t>Przestój</w:t>
      </w:r>
      <w:r>
        <w:rPr>
          <w:sz w:val="18"/>
        </w:rPr>
        <w:t>” to łączna skumulowana liczba minut wchodzących w skład Minut we Właściwym Okresie, podczas których nie ma Łączności z Maszyną Wirtualną w Laboratorium.</w:t>
      </w:r>
    </w:p>
    <w:p w14:paraId="30430B60" w14:textId="03B9FA68" w:rsidR="004005AF" w:rsidRDefault="004005AF" w:rsidP="004005AF">
      <w:pPr>
        <w:pStyle w:val="ProductList-Body"/>
      </w:pPr>
      <w:r w:rsidRPr="00B41CC1">
        <w:t>„</w:t>
      </w:r>
      <w:r>
        <w:rPr>
          <w:b/>
          <w:color w:val="00188F"/>
        </w:rPr>
        <w:t>Procent Czasu Sprawnego Działania</w:t>
      </w:r>
      <w:r>
        <w:t xml:space="preserve">” jest obliczany jako procent Minut we Właściwym Okresie dla danej subskrypcji Microsoft </w:t>
      </w:r>
      <w:proofErr w:type="spellStart"/>
      <w:r>
        <w:t>Azure</w:t>
      </w:r>
      <w:proofErr w:type="spellEnd"/>
      <w:r>
        <w:t>, w których dowolna Maszyna Wirtualna w Laboratorium miała Przestój.</w:t>
      </w:r>
    </w:p>
    <w:p w14:paraId="17183B58" w14:textId="10C81411" w:rsidR="004005AF" w:rsidRPr="00EF7CF9" w:rsidRDefault="004005AF" w:rsidP="004005AF">
      <w:pPr>
        <w:pStyle w:val="ProductList-Body"/>
      </w:pPr>
      <w:r>
        <w:t xml:space="preserve">Procent Czasu Sprawnego Działania jest obliczany przy użyciu następującego wzoru: </w:t>
      </w:r>
    </w:p>
    <w:p w14:paraId="551A791A" w14:textId="021FC0EE" w:rsidR="004005AF" w:rsidRPr="00A2017D" w:rsidRDefault="00000000" w:rsidP="0025192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Minuty we Właściwym Okresie - Przestój</m:t>
              </m:r>
            </m:num>
            <m:den>
              <m:r>
                <m:rPr>
                  <m:nor/>
                </m:rPr>
                <w:rPr>
                  <w:rFonts w:ascii="Cambria Math" w:hAnsi="Cambria Math" w:cs="Tahoma"/>
                  <w:i/>
                  <w:sz w:val="18"/>
                  <w:szCs w:val="18"/>
                </w:rPr>
                <m:t>Minuty we Właściwym Okresie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3A4CD28" w14:textId="77777777" w:rsidR="004005AF" w:rsidRPr="00EF7CF9" w:rsidRDefault="004005AF" w:rsidP="004005AF">
      <w:pPr>
        <w:pStyle w:val="ProductList-Body"/>
      </w:pPr>
      <w:r>
        <w:rPr>
          <w:b/>
          <w:color w:val="00188F"/>
        </w:rPr>
        <w:t>Do używania przez Klienta Maszyn Wirtualnych w Laboratorium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10668C17" w14:textId="77777777" w:rsidTr="00277097">
        <w:trPr>
          <w:tblHeader/>
        </w:trPr>
        <w:tc>
          <w:tcPr>
            <w:tcW w:w="5400" w:type="dxa"/>
            <w:shd w:val="clear" w:color="auto" w:fill="0072C6"/>
          </w:tcPr>
          <w:p w14:paraId="145F7B42" w14:textId="5229406C"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E08530B"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B7BD564" w14:textId="77777777" w:rsidTr="00277097">
        <w:tc>
          <w:tcPr>
            <w:tcW w:w="5400" w:type="dxa"/>
          </w:tcPr>
          <w:p w14:paraId="4918FF95" w14:textId="77777777" w:rsidR="004005AF" w:rsidRPr="00EF7CF9" w:rsidRDefault="004005AF" w:rsidP="000F31B4">
            <w:pPr>
              <w:pStyle w:val="ProductList-OfferingBody"/>
              <w:jc w:val="center"/>
            </w:pPr>
            <w:r>
              <w:t>&lt; 99,9%</w:t>
            </w:r>
          </w:p>
        </w:tc>
        <w:tc>
          <w:tcPr>
            <w:tcW w:w="5400" w:type="dxa"/>
          </w:tcPr>
          <w:p w14:paraId="5F11DDEE" w14:textId="77777777" w:rsidR="004005AF" w:rsidRPr="00EF7CF9" w:rsidRDefault="004005AF" w:rsidP="000F31B4">
            <w:pPr>
              <w:pStyle w:val="ProductList-OfferingBody"/>
              <w:jc w:val="center"/>
            </w:pPr>
            <w:r>
              <w:t>10%</w:t>
            </w:r>
          </w:p>
        </w:tc>
      </w:tr>
      <w:tr w:rsidR="004005AF" w:rsidRPr="00B44CF9" w14:paraId="3EA53C01" w14:textId="77777777" w:rsidTr="00277097">
        <w:tc>
          <w:tcPr>
            <w:tcW w:w="5400" w:type="dxa"/>
          </w:tcPr>
          <w:p w14:paraId="68B646AD" w14:textId="77777777" w:rsidR="004005AF" w:rsidRPr="00EF7CF9" w:rsidRDefault="004005AF" w:rsidP="000F31B4">
            <w:pPr>
              <w:pStyle w:val="ProductList-OfferingBody"/>
              <w:jc w:val="center"/>
            </w:pPr>
            <w:r>
              <w:t>&lt; 99%</w:t>
            </w:r>
          </w:p>
        </w:tc>
        <w:tc>
          <w:tcPr>
            <w:tcW w:w="5400" w:type="dxa"/>
          </w:tcPr>
          <w:p w14:paraId="33C24386" w14:textId="77777777" w:rsidR="004005AF" w:rsidRPr="00EF7CF9" w:rsidRDefault="004005AF" w:rsidP="000F31B4">
            <w:pPr>
              <w:pStyle w:val="ProductList-OfferingBody"/>
              <w:jc w:val="center"/>
            </w:pPr>
            <w:r>
              <w:t>25%</w:t>
            </w:r>
          </w:p>
        </w:tc>
      </w:tr>
    </w:tbl>
    <w:p w14:paraId="63FBC169" w14:textId="5FF751CF"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C37CB2F" w14:textId="77777777" w:rsidR="004005AF" w:rsidRDefault="004005AF" w:rsidP="004005AF">
      <w:pPr>
        <w:pStyle w:val="ProductList-Offering2Heading"/>
        <w:tabs>
          <w:tab w:val="clear" w:pos="360"/>
          <w:tab w:val="clear" w:pos="720"/>
          <w:tab w:val="clear" w:pos="1080"/>
        </w:tabs>
        <w:outlineLvl w:val="2"/>
      </w:pPr>
      <w:bookmarkStart w:id="317" w:name="_Toc52348934"/>
      <w:bookmarkStart w:id="318" w:name="_Toc239175031"/>
      <w:proofErr w:type="spellStart"/>
      <w:r>
        <w:t>Azure</w:t>
      </w:r>
      <w:proofErr w:type="spellEnd"/>
      <w:r>
        <w:t xml:space="preserve"> </w:t>
      </w:r>
      <w:proofErr w:type="spellStart"/>
      <w:r>
        <w:t>Load</w:t>
      </w:r>
      <w:proofErr w:type="spellEnd"/>
      <w:r>
        <w:t xml:space="preserve"> </w:t>
      </w:r>
      <w:proofErr w:type="spellStart"/>
      <w:r>
        <w:t>Balancer</w:t>
      </w:r>
      <w:bookmarkEnd w:id="313"/>
      <w:bookmarkEnd w:id="317"/>
      <w:bookmarkEnd w:id="318"/>
      <w:proofErr w:type="spellEnd"/>
    </w:p>
    <w:p w14:paraId="137AB573" w14:textId="77777777" w:rsidR="004005AF" w:rsidRPr="00911548" w:rsidRDefault="004005AF" w:rsidP="004005AF">
      <w:pPr>
        <w:pStyle w:val="ProductList-Body"/>
      </w:pPr>
      <w:r>
        <w:rPr>
          <w:b/>
          <w:color w:val="00188F"/>
        </w:rPr>
        <w:t>Dodatkowe definicje</w:t>
      </w:r>
      <w:r w:rsidRPr="0034704E">
        <w:rPr>
          <w:b/>
          <w:color w:val="00188F"/>
        </w:rPr>
        <w:t>:</w:t>
      </w:r>
    </w:p>
    <w:p w14:paraId="658FBB6A" w14:textId="77777777" w:rsidR="004005AF" w:rsidRPr="00EB0868" w:rsidRDefault="004005AF" w:rsidP="004005AF">
      <w:pPr>
        <w:spacing w:after="0" w:line="240" w:lineRule="auto"/>
        <w:rPr>
          <w:sz w:val="18"/>
        </w:rPr>
      </w:pPr>
      <w:r>
        <w:rPr>
          <w:sz w:val="18"/>
        </w:rPr>
        <w:t>„</w:t>
      </w:r>
      <w:r>
        <w:rPr>
          <w:b/>
          <w:color w:val="00188F"/>
          <w:sz w:val="18"/>
        </w:rPr>
        <w:t>Punkt Końcowy o Zrównoważonym Obciążeniu</w:t>
      </w:r>
      <w:r>
        <w:rPr>
          <w:sz w:val="18"/>
        </w:rPr>
        <w:t>” to adres IP oraz definicja powiązanego portu transportowego IP.</w:t>
      </w:r>
    </w:p>
    <w:p w14:paraId="5615CC04" w14:textId="77777777" w:rsidR="004005AF" w:rsidRPr="00EB0868" w:rsidRDefault="004005AF" w:rsidP="004005AF">
      <w:pPr>
        <w:spacing w:after="0" w:line="240" w:lineRule="auto"/>
        <w:rPr>
          <w:sz w:val="18"/>
        </w:rPr>
      </w:pPr>
      <w:r>
        <w:rPr>
          <w:sz w:val="18"/>
        </w:rPr>
        <w:t>„</w:t>
      </w:r>
      <w:r>
        <w:rPr>
          <w:b/>
          <w:color w:val="00188F"/>
          <w:sz w:val="18"/>
        </w:rPr>
        <w:t>Maszyna Wirtualna w Dobrej Kondycji</w:t>
      </w:r>
      <w:r>
        <w:rPr>
          <w:sz w:val="18"/>
        </w:rPr>
        <w:t xml:space="preserve">” to Maszyna Wirtualna, która zwraca Kod Sukcesu w odpowiedzi na działanie sondy kondycji wysłanej przez usługę </w:t>
      </w:r>
      <w:proofErr w:type="spellStart"/>
      <w:r>
        <w:rPr>
          <w:sz w:val="18"/>
        </w:rPr>
        <w:t>Azure</w:t>
      </w:r>
      <w:proofErr w:type="spellEnd"/>
      <w:r>
        <w:rPr>
          <w:sz w:val="18"/>
        </w:rPr>
        <w:t xml:space="preserve"> </w:t>
      </w:r>
      <w:proofErr w:type="spellStart"/>
      <w:r>
        <w:rPr>
          <w:sz w:val="18"/>
        </w:rPr>
        <w:t>Load</w:t>
      </w:r>
      <w:proofErr w:type="spellEnd"/>
      <w:r>
        <w:rPr>
          <w:sz w:val="18"/>
        </w:rPr>
        <w:t xml:space="preserve"> </w:t>
      </w:r>
      <w:proofErr w:type="spellStart"/>
      <w:r>
        <w:rPr>
          <w:sz w:val="18"/>
        </w:rPr>
        <w:t>Balancer</w:t>
      </w:r>
      <w:proofErr w:type="spellEnd"/>
      <w:r>
        <w:rPr>
          <w:sz w:val="18"/>
        </w:rPr>
        <w:t xml:space="preserve"> w warstwie Standardowa. Maszyna Wirtualna musi mieć skonfigurowane reguły Sieciowej Grupy Zabezpieczeń pozwalające na komunikację z portem o zrównoważonym obciążeniu.</w:t>
      </w:r>
    </w:p>
    <w:p w14:paraId="1D408E9F" w14:textId="208E985A" w:rsidR="004005AF" w:rsidRPr="00EB0868" w:rsidRDefault="004005AF" w:rsidP="004005AF">
      <w:pPr>
        <w:spacing w:after="0" w:line="240" w:lineRule="auto"/>
        <w:rPr>
          <w:sz w:val="18"/>
        </w:rPr>
      </w:pPr>
      <w:r>
        <w:rPr>
          <w:sz w:val="18"/>
        </w:rPr>
        <w:t>„</w:t>
      </w:r>
      <w:r>
        <w:rPr>
          <w:b/>
          <w:color w:val="00188F"/>
          <w:sz w:val="18"/>
        </w:rPr>
        <w:t>Łączność</w:t>
      </w:r>
      <w:r>
        <w:rPr>
          <w:sz w:val="18"/>
        </w:rPr>
        <w:t>” to dwukierunkowy ruch sieciowy w ramach obsługiwanych protokołów transportowych IP, który można zainicjować i przyjąć z</w:t>
      </w:r>
      <w:r w:rsidR="006C7B67">
        <w:rPr>
          <w:sz w:val="18"/>
        </w:rPr>
        <w:t> </w:t>
      </w:r>
      <w:r>
        <w:rPr>
          <w:sz w:val="18"/>
        </w:rPr>
        <w:t>dowolnego adresu IP skonfigurowanego tak, aby dopuszczać ruch.</w:t>
      </w:r>
    </w:p>
    <w:p w14:paraId="76CAB4BE" w14:textId="7D249216" w:rsidR="004005AF" w:rsidRPr="00ED4527" w:rsidRDefault="00EE6E3C" w:rsidP="0025192B">
      <w:pPr>
        <w:spacing w:before="40" w:after="0" w:line="240" w:lineRule="auto"/>
        <w:rPr>
          <w:b/>
          <w:bCs/>
          <w:color w:val="00188F"/>
          <w:sz w:val="18"/>
        </w:rPr>
      </w:pPr>
      <w:r>
        <w:rPr>
          <w:b/>
          <w:bCs/>
          <w:color w:val="00188F"/>
          <w:sz w:val="18"/>
        </w:rPr>
        <w:t xml:space="preserve">Obliczanie Czasu Sprawnego Działania i Poziomy Usługi dla Usługi </w:t>
      </w:r>
      <w:proofErr w:type="spellStart"/>
      <w:r>
        <w:rPr>
          <w:b/>
          <w:bCs/>
          <w:color w:val="00188F"/>
          <w:sz w:val="18"/>
        </w:rPr>
        <w:t>Azure</w:t>
      </w:r>
      <w:proofErr w:type="spellEnd"/>
      <w:r>
        <w:rPr>
          <w:b/>
          <w:bCs/>
          <w:color w:val="00188F"/>
          <w:sz w:val="18"/>
        </w:rPr>
        <w:t xml:space="preserve"> </w:t>
      </w:r>
      <w:proofErr w:type="spellStart"/>
      <w:r>
        <w:rPr>
          <w:b/>
          <w:bCs/>
          <w:color w:val="00188F"/>
          <w:sz w:val="18"/>
        </w:rPr>
        <w:t>Load</w:t>
      </w:r>
      <w:proofErr w:type="spellEnd"/>
      <w:r>
        <w:rPr>
          <w:b/>
          <w:bCs/>
          <w:color w:val="00188F"/>
          <w:sz w:val="18"/>
        </w:rPr>
        <w:t xml:space="preserve"> </w:t>
      </w:r>
      <w:proofErr w:type="spellStart"/>
      <w:r>
        <w:rPr>
          <w:b/>
          <w:bCs/>
          <w:color w:val="00188F"/>
          <w:sz w:val="18"/>
        </w:rPr>
        <w:t>Balancer</w:t>
      </w:r>
      <w:proofErr w:type="spellEnd"/>
    </w:p>
    <w:p w14:paraId="5984CE3D" w14:textId="7F0542DC" w:rsidR="004005AF" w:rsidRPr="006C1AC0" w:rsidRDefault="004005AF" w:rsidP="004005AF">
      <w:pPr>
        <w:spacing w:after="0" w:line="240" w:lineRule="auto"/>
        <w:rPr>
          <w:sz w:val="18"/>
        </w:rPr>
      </w:pPr>
      <w:r>
        <w:rPr>
          <w:sz w:val="18"/>
        </w:rPr>
        <w:t>„</w:t>
      </w:r>
      <w:r>
        <w:rPr>
          <w:b/>
          <w:color w:val="00188F"/>
          <w:sz w:val="18"/>
        </w:rPr>
        <w:t>Maksymalna Liczba Dostępnych Minut</w:t>
      </w:r>
      <w:r>
        <w:rPr>
          <w:sz w:val="18"/>
        </w:rPr>
        <w:t xml:space="preserve">” to łączna liczba minut, przez które dana Usługa </w:t>
      </w:r>
      <w:proofErr w:type="spellStart"/>
      <w:r>
        <w:rPr>
          <w:sz w:val="18"/>
        </w:rPr>
        <w:t>Azure</w:t>
      </w:r>
      <w:proofErr w:type="spellEnd"/>
      <w:r>
        <w:rPr>
          <w:sz w:val="18"/>
        </w:rPr>
        <w:t xml:space="preserve"> Standard </w:t>
      </w:r>
      <w:proofErr w:type="spellStart"/>
      <w:r>
        <w:rPr>
          <w:sz w:val="18"/>
        </w:rPr>
        <w:t>Load</w:t>
      </w:r>
      <w:proofErr w:type="spellEnd"/>
      <w:r>
        <w:rPr>
          <w:sz w:val="18"/>
        </w:rPr>
        <w:t xml:space="preserve"> </w:t>
      </w:r>
      <w:proofErr w:type="spellStart"/>
      <w:r>
        <w:rPr>
          <w:sz w:val="18"/>
        </w:rPr>
        <w:t>Balancer</w:t>
      </w:r>
      <w:proofErr w:type="spellEnd"/>
      <w:r>
        <w:rPr>
          <w:sz w:val="18"/>
        </w:rPr>
        <w:t xml:space="preserve"> (obsługująca co najmniej dwie Maszyny Wirtualne w Dobrej Kondycji) została wdrożona przez Klienta w ramach subskrypcji Microsoft </w:t>
      </w:r>
      <w:proofErr w:type="spellStart"/>
      <w:r>
        <w:rPr>
          <w:sz w:val="18"/>
        </w:rPr>
        <w:t>Azure</w:t>
      </w:r>
      <w:proofErr w:type="spellEnd"/>
      <w:r>
        <w:rPr>
          <w:sz w:val="18"/>
        </w:rPr>
        <w:t xml:space="preserve"> we Właściwym Okresie.</w:t>
      </w:r>
    </w:p>
    <w:p w14:paraId="56E8E5AE" w14:textId="77777777" w:rsidR="004005AF" w:rsidRPr="00CD60E6" w:rsidRDefault="004005AF" w:rsidP="004005AF">
      <w:pPr>
        <w:spacing w:after="0" w:line="240" w:lineRule="auto"/>
        <w:rPr>
          <w:spacing w:val="-2"/>
          <w:sz w:val="18"/>
        </w:rPr>
      </w:pPr>
      <w:r w:rsidRPr="00CD60E6">
        <w:rPr>
          <w:spacing w:val="-2"/>
          <w:sz w:val="18"/>
        </w:rPr>
        <w:t>„</w:t>
      </w:r>
      <w:r w:rsidRPr="00CD60E6">
        <w:rPr>
          <w:b/>
          <w:color w:val="00188F"/>
          <w:spacing w:val="-2"/>
          <w:sz w:val="18"/>
        </w:rPr>
        <w:t>Przestój</w:t>
      </w:r>
      <w:r w:rsidRPr="00CD60E6">
        <w:rPr>
          <w:spacing w:val="-2"/>
          <w:sz w:val="18"/>
        </w:rPr>
        <w:t xml:space="preserve">” to łączna liczba minut z Maksymalnej Liczby Dostępnych Minut, w ciągu których dana usługa </w:t>
      </w:r>
      <w:proofErr w:type="spellStart"/>
      <w:r w:rsidRPr="00CD60E6">
        <w:rPr>
          <w:spacing w:val="-2"/>
          <w:sz w:val="18"/>
        </w:rPr>
        <w:t>Azure</w:t>
      </w:r>
      <w:proofErr w:type="spellEnd"/>
      <w:r w:rsidRPr="00CD60E6">
        <w:rPr>
          <w:spacing w:val="-2"/>
          <w:sz w:val="18"/>
        </w:rPr>
        <w:t xml:space="preserve"> </w:t>
      </w:r>
      <w:proofErr w:type="spellStart"/>
      <w:r w:rsidRPr="00CD60E6">
        <w:rPr>
          <w:spacing w:val="-2"/>
          <w:sz w:val="18"/>
        </w:rPr>
        <w:t>Load</w:t>
      </w:r>
      <w:proofErr w:type="spellEnd"/>
      <w:r w:rsidRPr="00CD60E6">
        <w:rPr>
          <w:spacing w:val="-2"/>
          <w:sz w:val="18"/>
        </w:rPr>
        <w:t xml:space="preserve"> </w:t>
      </w:r>
      <w:proofErr w:type="spellStart"/>
      <w:r w:rsidRPr="00CD60E6">
        <w:rPr>
          <w:spacing w:val="-2"/>
          <w:sz w:val="18"/>
        </w:rPr>
        <w:t>Balancer</w:t>
      </w:r>
      <w:proofErr w:type="spellEnd"/>
      <w:r w:rsidRPr="00CD60E6">
        <w:rPr>
          <w:spacing w:val="-2"/>
          <w:sz w:val="18"/>
        </w:rPr>
        <w:t xml:space="preserve"> w warstwie Standardowa jest niedostępna. Minuta jest uznawana za minutę niedostępności, jeśli wszystkie Maszyny Wirtualne w Dobrej Kondycji nie mają Łączności za pośrednictwem Punktu Końcowego o Zrównoważonym Obciążeniu. Przestój nie obejmuje minut wynikających z wyczerpania portów SNAT.</w:t>
      </w:r>
    </w:p>
    <w:p w14:paraId="3FC03727" w14:textId="68555385" w:rsidR="004005AF" w:rsidRPr="00ED4527" w:rsidRDefault="004005AF" w:rsidP="004005AF">
      <w:pPr>
        <w:pStyle w:val="ProductList-Body"/>
        <w:rPr>
          <w:color w:val="000000" w:themeColor="text1"/>
        </w:rPr>
      </w:pPr>
      <w:r w:rsidRPr="00B41CC1">
        <w:t>„</w:t>
      </w:r>
      <w:r>
        <w:rPr>
          <w:b/>
          <w:bCs/>
          <w:color w:val="00188F"/>
        </w:rPr>
        <w:t>Procent Czasu Sprawnego Działania</w:t>
      </w:r>
      <w:r w:rsidR="00B41CC1" w:rsidRPr="00CD60E6">
        <w:rPr>
          <w:spacing w:val="-2"/>
        </w:rPr>
        <w:t>”</w:t>
      </w:r>
      <w:r>
        <w:rPr>
          <w:color w:val="000000" w:themeColor="text1"/>
        </w:rPr>
        <w:t xml:space="preserve"> Usługi </w:t>
      </w:r>
      <w:proofErr w:type="spellStart"/>
      <w:r>
        <w:rPr>
          <w:color w:val="000000" w:themeColor="text1"/>
        </w:rPr>
        <w:t>Azure</w:t>
      </w:r>
      <w:proofErr w:type="spellEnd"/>
      <w:r>
        <w:rPr>
          <w:color w:val="000000" w:themeColor="text1"/>
        </w:rPr>
        <w:t xml:space="preserve"> Standard </w:t>
      </w:r>
      <w:proofErr w:type="spellStart"/>
      <w:r>
        <w:rPr>
          <w:color w:val="000000" w:themeColor="text1"/>
        </w:rPr>
        <w:t>Load</w:t>
      </w:r>
      <w:proofErr w:type="spellEnd"/>
      <w:r>
        <w:rPr>
          <w:color w:val="000000" w:themeColor="text1"/>
        </w:rPr>
        <w:t xml:space="preserve"> </w:t>
      </w:r>
      <w:proofErr w:type="spellStart"/>
      <w:r>
        <w:rPr>
          <w:color w:val="000000" w:themeColor="text1"/>
        </w:rPr>
        <w:t>Balancer</w:t>
      </w:r>
      <w:proofErr w:type="spellEnd"/>
      <w:r>
        <w:rPr>
          <w:color w:val="000000" w:themeColor="text1"/>
        </w:rPr>
        <w:t xml:space="preserve"> jest obliczany jako Maksymalna Liczba Dostępnych Minut pomniejszona o Przestój podzielona przez Maksymalną Liczbę Dostępnych Minut pomnożona razy 100.</w:t>
      </w:r>
    </w:p>
    <w:p w14:paraId="4C109F12" w14:textId="7B357005" w:rsidR="004005AF" w:rsidRDefault="00AC48A7" w:rsidP="004005AF">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5DFBEDC7" w14:textId="17391FE3" w:rsidR="004005AF" w:rsidRPr="00434BE0" w:rsidRDefault="00000000" w:rsidP="0025192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4DDE6ED" w14:textId="77777777" w:rsidR="004005AF" w:rsidRDefault="004005AF" w:rsidP="004005AF">
      <w:pPr>
        <w:pStyle w:val="ProductList-Body"/>
      </w:pPr>
      <w:r>
        <w:rPr>
          <w:b/>
          <w:color w:val="00188F"/>
        </w:rPr>
        <w:t xml:space="preserve">Do używania przez Klienta usługi </w:t>
      </w:r>
      <w:proofErr w:type="spellStart"/>
      <w:r>
        <w:rPr>
          <w:b/>
          <w:color w:val="00188F"/>
        </w:rPr>
        <w:t>Azure</w:t>
      </w:r>
      <w:proofErr w:type="spellEnd"/>
      <w:r>
        <w:rPr>
          <w:b/>
          <w:color w:val="00188F"/>
        </w:rPr>
        <w:t xml:space="preserve"> </w:t>
      </w:r>
      <w:proofErr w:type="spellStart"/>
      <w:r>
        <w:rPr>
          <w:b/>
          <w:color w:val="00188F"/>
        </w:rPr>
        <w:t>Load</w:t>
      </w:r>
      <w:proofErr w:type="spellEnd"/>
      <w:r>
        <w:rPr>
          <w:b/>
          <w:color w:val="00188F"/>
        </w:rPr>
        <w:t xml:space="preserve"> </w:t>
      </w:r>
      <w:proofErr w:type="spellStart"/>
      <w:r>
        <w:rPr>
          <w:b/>
          <w:color w:val="00188F"/>
        </w:rPr>
        <w:t>Balancer</w:t>
      </w:r>
      <w:proofErr w:type="spellEnd"/>
      <w:r>
        <w:rPr>
          <w:b/>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2FBF0B7" w14:textId="77777777" w:rsidTr="00277097">
        <w:trPr>
          <w:tblHeader/>
        </w:trPr>
        <w:tc>
          <w:tcPr>
            <w:tcW w:w="5400" w:type="dxa"/>
            <w:shd w:val="clear" w:color="auto" w:fill="0072C6"/>
          </w:tcPr>
          <w:p w14:paraId="6FF0E0B2" w14:textId="4C177869"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6E8FB43"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DDF6E3A" w14:textId="77777777" w:rsidTr="00277097">
        <w:tc>
          <w:tcPr>
            <w:tcW w:w="5400" w:type="dxa"/>
          </w:tcPr>
          <w:p w14:paraId="064E58E0" w14:textId="77777777" w:rsidR="004005AF" w:rsidRPr="0076238C" w:rsidRDefault="004005AF" w:rsidP="000F31B4">
            <w:pPr>
              <w:pStyle w:val="ProductList-OfferingBody"/>
              <w:jc w:val="center"/>
            </w:pPr>
            <w:r>
              <w:t>&lt; 99,99%</w:t>
            </w:r>
          </w:p>
        </w:tc>
        <w:tc>
          <w:tcPr>
            <w:tcW w:w="5400" w:type="dxa"/>
          </w:tcPr>
          <w:p w14:paraId="06B44C4A" w14:textId="77777777" w:rsidR="004005AF" w:rsidRPr="0076238C" w:rsidRDefault="004005AF" w:rsidP="000F31B4">
            <w:pPr>
              <w:pStyle w:val="ProductList-OfferingBody"/>
              <w:jc w:val="center"/>
            </w:pPr>
            <w:r>
              <w:t>10%</w:t>
            </w:r>
          </w:p>
        </w:tc>
      </w:tr>
      <w:tr w:rsidR="004005AF" w:rsidRPr="00B44CF9" w14:paraId="6BA300AF" w14:textId="77777777" w:rsidTr="00277097">
        <w:tc>
          <w:tcPr>
            <w:tcW w:w="5400" w:type="dxa"/>
          </w:tcPr>
          <w:p w14:paraId="0F947B85" w14:textId="77777777" w:rsidR="004005AF" w:rsidRPr="0076238C" w:rsidRDefault="004005AF" w:rsidP="000F31B4">
            <w:pPr>
              <w:pStyle w:val="ProductList-OfferingBody"/>
              <w:jc w:val="center"/>
            </w:pPr>
            <w:r>
              <w:t>&lt; 99,9%</w:t>
            </w:r>
          </w:p>
        </w:tc>
        <w:tc>
          <w:tcPr>
            <w:tcW w:w="5400" w:type="dxa"/>
          </w:tcPr>
          <w:p w14:paraId="4E5345A1" w14:textId="77777777" w:rsidR="004005AF" w:rsidRPr="0076238C" w:rsidRDefault="004005AF" w:rsidP="000F31B4">
            <w:pPr>
              <w:pStyle w:val="ProductList-OfferingBody"/>
              <w:jc w:val="center"/>
            </w:pPr>
            <w:r>
              <w:t>25%</w:t>
            </w:r>
          </w:p>
        </w:tc>
      </w:tr>
    </w:tbl>
    <w:p w14:paraId="24D2B95B" w14:textId="77777777" w:rsidR="004005AF" w:rsidRDefault="004005AF" w:rsidP="004005AF">
      <w:pPr>
        <w:pStyle w:val="ProductList-Body"/>
      </w:pPr>
      <w:r>
        <w:rPr>
          <w:b/>
          <w:color w:val="00188F"/>
        </w:rPr>
        <w:t>Wyjątki dotyczące Poziomu Usługi</w:t>
      </w:r>
      <w:r>
        <w:t xml:space="preserve">. Umowa SLA nie jest zawierana w przypadku warstwy Podstawowa w usłudze </w:t>
      </w:r>
      <w:proofErr w:type="spellStart"/>
      <w:r>
        <w:t>Load</w:t>
      </w:r>
      <w:proofErr w:type="spellEnd"/>
      <w:r>
        <w:t xml:space="preserve"> </w:t>
      </w:r>
      <w:proofErr w:type="spellStart"/>
      <w:r>
        <w:t>Balancer</w:t>
      </w:r>
      <w:proofErr w:type="spellEnd"/>
      <w:r>
        <w:t>.</w:t>
      </w:r>
    </w:p>
    <w:bookmarkStart w:id="319" w:name="_Toc513395515"/>
    <w:bookmarkStart w:id="320" w:name="_Hlk513540130"/>
    <w:p w14:paraId="431D9773" w14:textId="33646973"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DF6C59B" w14:textId="77777777" w:rsidR="00BC2A9C" w:rsidRDefault="00BC2A9C" w:rsidP="00114959">
      <w:pPr>
        <w:pStyle w:val="ProductList-Offering2Heading"/>
        <w:keepNext/>
        <w:pageBreakBefore/>
        <w:tabs>
          <w:tab w:val="clear" w:pos="360"/>
        </w:tabs>
        <w:outlineLvl w:val="2"/>
      </w:pPr>
      <w:bookmarkStart w:id="321" w:name="_Toc239175032"/>
      <w:bookmarkStart w:id="322" w:name="_Toc457806469"/>
      <w:bookmarkStart w:id="323" w:name="_Toc457821556"/>
      <w:bookmarkStart w:id="324" w:name="_Toc52348963"/>
      <w:bookmarkStart w:id="325" w:name="_Toc52348935"/>
      <w:proofErr w:type="spellStart"/>
      <w:r>
        <w:t>Azure</w:t>
      </w:r>
      <w:proofErr w:type="spellEnd"/>
      <w:r>
        <w:t xml:space="preserve"> </w:t>
      </w:r>
      <w:proofErr w:type="spellStart"/>
      <w:r>
        <w:t>Load</w:t>
      </w:r>
      <w:proofErr w:type="spellEnd"/>
      <w:r>
        <w:t xml:space="preserve"> </w:t>
      </w:r>
      <w:proofErr w:type="spellStart"/>
      <w:r>
        <w:t>Testing</w:t>
      </w:r>
      <w:bookmarkEnd w:id="321"/>
      <w:proofErr w:type="spellEnd"/>
    </w:p>
    <w:p w14:paraId="3F07AB71" w14:textId="77777777" w:rsidR="00BC2A9C" w:rsidRPr="00B41CC1" w:rsidRDefault="00BC2A9C" w:rsidP="00BC2A9C">
      <w:pPr>
        <w:pStyle w:val="ProductList-Body"/>
        <w:rPr>
          <w:rFonts w:cstheme="minorHAnsi"/>
          <w:b/>
          <w:color w:val="00188F"/>
          <w:szCs w:val="18"/>
        </w:rPr>
      </w:pPr>
      <w:r w:rsidRPr="00B41CC1">
        <w:rPr>
          <w:rFonts w:cstheme="minorHAnsi"/>
          <w:b/>
          <w:color w:val="00188F"/>
          <w:szCs w:val="18"/>
        </w:rPr>
        <w:t>Dodatkowe definicje</w:t>
      </w:r>
    </w:p>
    <w:p w14:paraId="2448E99D" w14:textId="0B86BBD6" w:rsidR="00BC2A9C" w:rsidRPr="00B41CC1"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HAnsi"/>
          <w:sz w:val="18"/>
          <w:szCs w:val="18"/>
        </w:rPr>
      </w:pPr>
      <w:r w:rsidRPr="00B41CC1">
        <w:rPr>
          <w:rFonts w:asciiTheme="minorHAnsi" w:eastAsiaTheme="minorHAnsi" w:hAnsiTheme="minorHAnsi" w:cstheme="minorHAnsi"/>
          <w:sz w:val="18"/>
          <w:szCs w:val="18"/>
        </w:rPr>
        <w:t>„</w:t>
      </w:r>
      <w:r w:rsidRPr="00B41CC1">
        <w:rPr>
          <w:rFonts w:asciiTheme="minorHAnsi" w:eastAsiaTheme="minorHAnsi" w:hAnsiTheme="minorHAnsi" w:cstheme="minorHAnsi"/>
          <w:b/>
          <w:bCs/>
          <w:color w:val="00188F"/>
          <w:sz w:val="18"/>
          <w:szCs w:val="18"/>
        </w:rPr>
        <w:t>Minuty Wdrożenia</w:t>
      </w:r>
      <w:r w:rsidR="00B41CC1" w:rsidRPr="00B41CC1">
        <w:rPr>
          <w:rFonts w:asciiTheme="minorHAnsi" w:hAnsiTheme="minorHAnsi" w:cstheme="minorHAnsi"/>
          <w:spacing w:val="-2"/>
          <w:sz w:val="18"/>
          <w:szCs w:val="18"/>
        </w:rPr>
        <w:t>”</w:t>
      </w:r>
      <w:r w:rsidRPr="00B41CC1">
        <w:rPr>
          <w:rFonts w:asciiTheme="minorHAnsi" w:eastAsiaTheme="minorHAnsi" w:hAnsiTheme="minorHAnsi" w:cstheme="minorHAnsi"/>
          <w:sz w:val="18"/>
          <w:szCs w:val="18"/>
        </w:rPr>
        <w:t xml:space="preserve"> łączna liczba minut, przez które Zasobów Usługi </w:t>
      </w:r>
      <w:proofErr w:type="spellStart"/>
      <w:r w:rsidRPr="00B41CC1">
        <w:rPr>
          <w:rFonts w:asciiTheme="minorHAnsi" w:eastAsiaTheme="minorHAnsi" w:hAnsiTheme="minorHAnsi" w:cstheme="minorHAnsi"/>
          <w:sz w:val="18"/>
          <w:szCs w:val="18"/>
        </w:rPr>
        <w:t>Azure</w:t>
      </w:r>
      <w:proofErr w:type="spellEnd"/>
      <w:r w:rsidRPr="00B41CC1">
        <w:rPr>
          <w:rFonts w:asciiTheme="minorHAnsi" w:eastAsiaTheme="minorHAnsi" w:hAnsiTheme="minorHAnsi" w:cstheme="minorHAnsi"/>
          <w:sz w:val="18"/>
          <w:szCs w:val="18"/>
        </w:rPr>
        <w:t xml:space="preserve"> </w:t>
      </w:r>
      <w:proofErr w:type="spellStart"/>
      <w:r w:rsidRPr="00B41CC1">
        <w:rPr>
          <w:rFonts w:asciiTheme="minorHAnsi" w:eastAsiaTheme="minorHAnsi" w:hAnsiTheme="minorHAnsi" w:cstheme="minorHAnsi"/>
          <w:sz w:val="18"/>
          <w:szCs w:val="18"/>
        </w:rPr>
        <w:t>Load</w:t>
      </w:r>
      <w:proofErr w:type="spellEnd"/>
      <w:r w:rsidRPr="00B41CC1">
        <w:rPr>
          <w:rFonts w:asciiTheme="minorHAnsi" w:eastAsiaTheme="minorHAnsi" w:hAnsiTheme="minorHAnsi" w:cstheme="minorHAnsi"/>
          <w:sz w:val="18"/>
          <w:szCs w:val="18"/>
        </w:rPr>
        <w:t xml:space="preserve"> </w:t>
      </w:r>
      <w:proofErr w:type="spellStart"/>
      <w:r w:rsidRPr="00B41CC1">
        <w:rPr>
          <w:rFonts w:asciiTheme="minorHAnsi" w:eastAsiaTheme="minorHAnsi" w:hAnsiTheme="minorHAnsi" w:cstheme="minorHAnsi"/>
          <w:sz w:val="18"/>
          <w:szCs w:val="18"/>
        </w:rPr>
        <w:t>Testing</w:t>
      </w:r>
      <w:proofErr w:type="spellEnd"/>
      <w:r w:rsidRPr="00B41CC1">
        <w:rPr>
          <w:rFonts w:asciiTheme="minorHAnsi" w:eastAsiaTheme="minorHAnsi" w:hAnsiTheme="minorHAnsi" w:cstheme="minorHAnsi"/>
          <w:sz w:val="18"/>
          <w:szCs w:val="18"/>
        </w:rPr>
        <w:t xml:space="preserve"> Service został wdrożony na platformie Microsoft </w:t>
      </w:r>
      <w:proofErr w:type="spellStart"/>
      <w:r w:rsidRPr="00B41CC1">
        <w:rPr>
          <w:rFonts w:asciiTheme="minorHAnsi" w:eastAsiaTheme="minorHAnsi" w:hAnsiTheme="minorHAnsi" w:cstheme="minorHAnsi"/>
          <w:sz w:val="18"/>
          <w:szCs w:val="18"/>
        </w:rPr>
        <w:t>Azure</w:t>
      </w:r>
      <w:proofErr w:type="spellEnd"/>
      <w:r w:rsidRPr="00B41CC1">
        <w:rPr>
          <w:rFonts w:asciiTheme="minorHAnsi" w:eastAsiaTheme="minorHAnsi" w:hAnsiTheme="minorHAnsi" w:cstheme="minorHAnsi"/>
          <w:sz w:val="18"/>
          <w:szCs w:val="18"/>
        </w:rPr>
        <w:t xml:space="preserve"> we Właściwy Okresie. </w:t>
      </w:r>
    </w:p>
    <w:p w14:paraId="1C370487" w14:textId="2CC9E288" w:rsidR="00BC2A9C" w:rsidRPr="00B41CC1" w:rsidRDefault="00BC2A9C" w:rsidP="00BC2A9C">
      <w:pPr>
        <w:pStyle w:val="paragraph"/>
        <w:shd w:val="clear" w:color="auto" w:fill="FFFFFF"/>
        <w:spacing w:before="0" w:beforeAutospacing="0" w:after="0" w:afterAutospacing="0"/>
        <w:textAlignment w:val="baseline"/>
        <w:rPr>
          <w:rFonts w:asciiTheme="minorHAnsi" w:eastAsiaTheme="minorHAnsi" w:hAnsiTheme="minorHAnsi" w:cstheme="minorHAnsi"/>
          <w:sz w:val="18"/>
          <w:szCs w:val="18"/>
        </w:rPr>
      </w:pPr>
      <w:r w:rsidRPr="00B41CC1">
        <w:rPr>
          <w:rFonts w:asciiTheme="minorHAnsi" w:eastAsiaTheme="minorHAnsi" w:hAnsiTheme="minorHAnsi" w:cstheme="minorHAnsi"/>
          <w:sz w:val="18"/>
          <w:szCs w:val="18"/>
        </w:rPr>
        <w:t>„</w:t>
      </w:r>
      <w:r w:rsidRPr="00B41CC1">
        <w:rPr>
          <w:rFonts w:asciiTheme="minorHAnsi" w:eastAsiaTheme="minorHAnsi" w:hAnsiTheme="minorHAnsi" w:cstheme="minorHAnsi"/>
          <w:b/>
          <w:bCs/>
          <w:color w:val="00188F"/>
          <w:sz w:val="18"/>
          <w:szCs w:val="18"/>
        </w:rPr>
        <w:t>Maksymalna Liczba Dostępnych Minut</w:t>
      </w:r>
      <w:r w:rsidR="00B41CC1" w:rsidRPr="00B41CC1">
        <w:rPr>
          <w:rFonts w:asciiTheme="minorHAnsi" w:hAnsiTheme="minorHAnsi" w:cstheme="minorHAnsi"/>
          <w:spacing w:val="-2"/>
          <w:sz w:val="18"/>
          <w:szCs w:val="18"/>
        </w:rPr>
        <w:t>”</w:t>
      </w:r>
      <w:r w:rsidRPr="00B41CC1">
        <w:rPr>
          <w:rFonts w:asciiTheme="minorHAnsi" w:eastAsiaTheme="minorHAnsi" w:hAnsiTheme="minorHAnsi" w:cstheme="minorHAnsi"/>
          <w:sz w:val="18"/>
          <w:szCs w:val="18"/>
        </w:rPr>
        <w:t xml:space="preserve"> suma wszystkich Minut Wdrożenia we wszystkich Zasobach Usługi </w:t>
      </w:r>
      <w:proofErr w:type="spellStart"/>
      <w:r w:rsidRPr="00B41CC1">
        <w:rPr>
          <w:rFonts w:asciiTheme="minorHAnsi" w:eastAsiaTheme="minorHAnsi" w:hAnsiTheme="minorHAnsi" w:cstheme="minorHAnsi"/>
          <w:sz w:val="18"/>
          <w:szCs w:val="18"/>
        </w:rPr>
        <w:t>Azure</w:t>
      </w:r>
      <w:proofErr w:type="spellEnd"/>
      <w:r w:rsidRPr="00B41CC1">
        <w:rPr>
          <w:rFonts w:asciiTheme="minorHAnsi" w:eastAsiaTheme="minorHAnsi" w:hAnsiTheme="minorHAnsi" w:cstheme="minorHAnsi"/>
          <w:sz w:val="18"/>
          <w:szCs w:val="18"/>
        </w:rPr>
        <w:t xml:space="preserve"> </w:t>
      </w:r>
      <w:proofErr w:type="spellStart"/>
      <w:r w:rsidRPr="00B41CC1">
        <w:rPr>
          <w:rFonts w:asciiTheme="minorHAnsi" w:eastAsiaTheme="minorHAnsi" w:hAnsiTheme="minorHAnsi" w:cstheme="minorHAnsi"/>
          <w:sz w:val="18"/>
          <w:szCs w:val="18"/>
        </w:rPr>
        <w:t>Load</w:t>
      </w:r>
      <w:proofErr w:type="spellEnd"/>
      <w:r w:rsidRPr="00B41CC1">
        <w:rPr>
          <w:rFonts w:asciiTheme="minorHAnsi" w:eastAsiaTheme="minorHAnsi" w:hAnsiTheme="minorHAnsi" w:cstheme="minorHAnsi"/>
          <w:sz w:val="18"/>
          <w:szCs w:val="18"/>
        </w:rPr>
        <w:t xml:space="preserve"> </w:t>
      </w:r>
      <w:proofErr w:type="spellStart"/>
      <w:r w:rsidRPr="00B41CC1">
        <w:rPr>
          <w:rFonts w:asciiTheme="minorHAnsi" w:eastAsiaTheme="minorHAnsi" w:hAnsiTheme="minorHAnsi" w:cstheme="minorHAnsi"/>
          <w:sz w:val="18"/>
          <w:szCs w:val="18"/>
        </w:rPr>
        <w:t>Testing</w:t>
      </w:r>
      <w:proofErr w:type="spellEnd"/>
      <w:r w:rsidRPr="00B41CC1">
        <w:rPr>
          <w:rFonts w:asciiTheme="minorHAnsi" w:eastAsiaTheme="minorHAnsi" w:hAnsiTheme="minorHAnsi" w:cstheme="minorHAnsi"/>
          <w:sz w:val="18"/>
          <w:szCs w:val="18"/>
        </w:rPr>
        <w:t xml:space="preserve"> wdrożonych przez użytkownika w ramach danej subskrypcji Microsoft </w:t>
      </w:r>
      <w:proofErr w:type="spellStart"/>
      <w:r w:rsidRPr="00B41CC1">
        <w:rPr>
          <w:rFonts w:asciiTheme="minorHAnsi" w:eastAsiaTheme="minorHAnsi" w:hAnsiTheme="minorHAnsi" w:cstheme="minorHAnsi"/>
          <w:sz w:val="18"/>
          <w:szCs w:val="18"/>
        </w:rPr>
        <w:t>Azure</w:t>
      </w:r>
      <w:proofErr w:type="spellEnd"/>
      <w:r w:rsidRPr="00B41CC1">
        <w:rPr>
          <w:rFonts w:asciiTheme="minorHAnsi" w:eastAsiaTheme="minorHAnsi" w:hAnsiTheme="minorHAnsi" w:cstheme="minorHAnsi"/>
          <w:sz w:val="18"/>
          <w:szCs w:val="18"/>
        </w:rPr>
        <w:t xml:space="preserve"> we Właściwym Okresie. </w:t>
      </w:r>
    </w:p>
    <w:p w14:paraId="05B57661" w14:textId="1A04AE29" w:rsidR="00BC2A9C" w:rsidRPr="00B41CC1" w:rsidRDefault="00B41CC1" w:rsidP="00BC2A9C">
      <w:pPr>
        <w:pStyle w:val="paragraph"/>
        <w:shd w:val="clear" w:color="auto" w:fill="FFFFFF"/>
        <w:spacing w:before="0" w:beforeAutospacing="0" w:after="0" w:afterAutospacing="0"/>
        <w:textAlignment w:val="baseline"/>
        <w:rPr>
          <w:rFonts w:asciiTheme="minorHAnsi" w:eastAsiaTheme="minorHAnsi" w:hAnsiTheme="minorHAnsi" w:cstheme="minorHAnsi"/>
          <w:sz w:val="18"/>
          <w:szCs w:val="18"/>
        </w:rPr>
      </w:pPr>
      <w:r w:rsidRPr="00B41CC1">
        <w:rPr>
          <w:rFonts w:asciiTheme="minorHAnsi" w:eastAsiaTheme="minorHAnsi" w:hAnsiTheme="minorHAnsi" w:cstheme="minorHAnsi"/>
          <w:sz w:val="18"/>
          <w:szCs w:val="18"/>
        </w:rPr>
        <w:t>„</w:t>
      </w:r>
      <w:r w:rsidR="00BC2A9C" w:rsidRPr="00B41CC1">
        <w:rPr>
          <w:rFonts w:asciiTheme="minorHAnsi" w:eastAsiaTheme="minorHAnsi" w:hAnsiTheme="minorHAnsi" w:cstheme="minorHAnsi"/>
          <w:b/>
          <w:bCs/>
          <w:color w:val="00188F"/>
          <w:sz w:val="18"/>
          <w:szCs w:val="18"/>
        </w:rPr>
        <w:t>Przestój</w:t>
      </w:r>
      <w:r w:rsidRPr="00B41CC1">
        <w:rPr>
          <w:rFonts w:asciiTheme="minorHAnsi" w:hAnsiTheme="minorHAnsi" w:cstheme="minorHAnsi"/>
          <w:spacing w:val="-2"/>
          <w:sz w:val="18"/>
          <w:szCs w:val="18"/>
        </w:rPr>
        <w:t>”</w:t>
      </w:r>
      <w:r w:rsidR="00BC2A9C" w:rsidRPr="00B41CC1">
        <w:rPr>
          <w:rFonts w:asciiTheme="minorHAnsi" w:eastAsiaTheme="minorHAnsi" w:hAnsiTheme="minorHAnsi" w:cstheme="minorHAnsi"/>
          <w:sz w:val="18"/>
          <w:szCs w:val="18"/>
        </w:rPr>
        <w:t xml:space="preserve"> to suma wszystkich Minut Wdrożenia , we wszystkich Zasobach Usługi </w:t>
      </w:r>
      <w:proofErr w:type="spellStart"/>
      <w:r w:rsidR="00BC2A9C" w:rsidRPr="00B41CC1">
        <w:rPr>
          <w:rFonts w:asciiTheme="minorHAnsi" w:eastAsiaTheme="minorHAnsi" w:hAnsiTheme="minorHAnsi" w:cstheme="minorHAnsi"/>
          <w:sz w:val="18"/>
          <w:szCs w:val="18"/>
        </w:rPr>
        <w:t>Azure</w:t>
      </w:r>
      <w:proofErr w:type="spellEnd"/>
      <w:r w:rsidR="00BC2A9C" w:rsidRPr="00B41CC1">
        <w:rPr>
          <w:rFonts w:asciiTheme="minorHAnsi" w:eastAsiaTheme="minorHAnsi" w:hAnsiTheme="minorHAnsi" w:cstheme="minorHAnsi"/>
          <w:sz w:val="18"/>
          <w:szCs w:val="18"/>
        </w:rPr>
        <w:t xml:space="preserve"> </w:t>
      </w:r>
      <w:proofErr w:type="spellStart"/>
      <w:r w:rsidR="00BC2A9C" w:rsidRPr="00B41CC1">
        <w:rPr>
          <w:rFonts w:asciiTheme="minorHAnsi" w:eastAsiaTheme="minorHAnsi" w:hAnsiTheme="minorHAnsi" w:cstheme="minorHAnsi"/>
          <w:sz w:val="18"/>
          <w:szCs w:val="18"/>
        </w:rPr>
        <w:t>Load</w:t>
      </w:r>
      <w:proofErr w:type="spellEnd"/>
      <w:r w:rsidR="00BC2A9C" w:rsidRPr="00B41CC1">
        <w:rPr>
          <w:rFonts w:asciiTheme="minorHAnsi" w:eastAsiaTheme="minorHAnsi" w:hAnsiTheme="minorHAnsi" w:cstheme="minorHAnsi"/>
          <w:sz w:val="18"/>
          <w:szCs w:val="18"/>
        </w:rPr>
        <w:t xml:space="preserve"> </w:t>
      </w:r>
      <w:proofErr w:type="spellStart"/>
      <w:r w:rsidR="00BC2A9C" w:rsidRPr="00B41CC1">
        <w:rPr>
          <w:rFonts w:asciiTheme="minorHAnsi" w:eastAsiaTheme="minorHAnsi" w:hAnsiTheme="minorHAnsi" w:cstheme="minorHAnsi"/>
          <w:sz w:val="18"/>
          <w:szCs w:val="18"/>
        </w:rPr>
        <w:t>Testing</w:t>
      </w:r>
      <w:proofErr w:type="spellEnd"/>
      <w:r w:rsidR="00BC2A9C" w:rsidRPr="00B41CC1">
        <w:rPr>
          <w:rFonts w:asciiTheme="minorHAnsi" w:eastAsiaTheme="minorHAnsi" w:hAnsiTheme="minorHAnsi" w:cstheme="minorHAnsi"/>
          <w:sz w:val="18"/>
          <w:szCs w:val="18"/>
        </w:rPr>
        <w:t xml:space="preserve"> wdrożonych przez użytkownika w ramach danej subskrypcji Microsoft </w:t>
      </w:r>
      <w:proofErr w:type="spellStart"/>
      <w:r w:rsidR="00BC2A9C" w:rsidRPr="00B41CC1">
        <w:rPr>
          <w:rFonts w:asciiTheme="minorHAnsi" w:eastAsiaTheme="minorHAnsi" w:hAnsiTheme="minorHAnsi" w:cstheme="minorHAnsi"/>
          <w:sz w:val="18"/>
          <w:szCs w:val="18"/>
        </w:rPr>
        <w:t>Azure</w:t>
      </w:r>
      <w:proofErr w:type="spellEnd"/>
      <w:r w:rsidR="00BC2A9C" w:rsidRPr="00B41CC1">
        <w:rPr>
          <w:rFonts w:asciiTheme="minorHAnsi" w:eastAsiaTheme="minorHAnsi" w:hAnsiTheme="minorHAnsi" w:cstheme="minorHAnsi"/>
          <w:sz w:val="18"/>
          <w:szCs w:val="18"/>
        </w:rPr>
        <w:t xml:space="preserve"> we Właściwym Okresie, gdy Zasób </w:t>
      </w:r>
      <w:proofErr w:type="spellStart"/>
      <w:r w:rsidR="00BC2A9C" w:rsidRPr="00B41CC1">
        <w:rPr>
          <w:rFonts w:asciiTheme="minorHAnsi" w:eastAsiaTheme="minorHAnsi" w:hAnsiTheme="minorHAnsi" w:cstheme="minorHAnsi"/>
          <w:sz w:val="18"/>
          <w:szCs w:val="18"/>
        </w:rPr>
        <w:t>Load</w:t>
      </w:r>
      <w:proofErr w:type="spellEnd"/>
      <w:r w:rsidR="00BC2A9C" w:rsidRPr="00B41CC1">
        <w:rPr>
          <w:rFonts w:asciiTheme="minorHAnsi" w:eastAsiaTheme="minorHAnsi" w:hAnsiTheme="minorHAnsi" w:cstheme="minorHAnsi"/>
          <w:sz w:val="18"/>
          <w:szCs w:val="18"/>
        </w:rPr>
        <w:t xml:space="preserve"> </w:t>
      </w:r>
      <w:proofErr w:type="spellStart"/>
      <w:r w:rsidR="00BC2A9C" w:rsidRPr="00B41CC1">
        <w:rPr>
          <w:rFonts w:asciiTheme="minorHAnsi" w:eastAsiaTheme="minorHAnsi" w:hAnsiTheme="minorHAnsi" w:cstheme="minorHAnsi"/>
          <w:sz w:val="18"/>
          <w:szCs w:val="18"/>
        </w:rPr>
        <w:t>Testing</w:t>
      </w:r>
      <w:proofErr w:type="spellEnd"/>
      <w:r w:rsidR="00BC2A9C" w:rsidRPr="00B41CC1">
        <w:rPr>
          <w:rFonts w:asciiTheme="minorHAnsi" w:eastAsiaTheme="minorHAnsi" w:hAnsiTheme="minorHAnsi" w:cstheme="minorHAnsi"/>
          <w:sz w:val="18"/>
          <w:szCs w:val="18"/>
        </w:rPr>
        <w:t xml:space="preserve"> jest niedostępny. Minuta jest uznawana za minutę niedostępności dla danej Usługi, jeśli wszystkie zainicjowane w ciągu tej minuty kolejne żądania HTTP przesłane w celu wykonania operacji zwracają Kod Błędu albo nie zwracają żadnej odpowiedzi w czasie 5 minut.  </w:t>
      </w:r>
    </w:p>
    <w:p w14:paraId="1D8B17B8" w14:textId="21167287" w:rsidR="00BC2A9C" w:rsidRDefault="00BC2A9C" w:rsidP="00CD60E6">
      <w:pPr>
        <w:pStyle w:val="ProductList-Body"/>
        <w:keepNext/>
        <w:keepLines/>
      </w:pPr>
      <w:r>
        <w:t>„</w:t>
      </w:r>
      <w:r>
        <w:rPr>
          <w:b/>
          <w:bCs/>
          <w:color w:val="00188F"/>
        </w:rPr>
        <w:t>Procent Czasu Sprawnego Działania</w:t>
      </w:r>
      <w:r>
        <w:t>” jest obliczany przy użyciu następującego wzoru:</w:t>
      </w:r>
    </w:p>
    <w:p w14:paraId="014E15EF" w14:textId="05890E81" w:rsidR="00BC2A9C" w:rsidRDefault="00000000" w:rsidP="0025192B">
      <w:pPr>
        <w:pStyle w:val="ListParagraph"/>
        <w:keepNext/>
        <w:keepLines/>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BAC3124" w14:textId="77777777" w:rsidR="00BC2A9C" w:rsidRDefault="00BC2A9C" w:rsidP="00BC2A9C">
      <w:pPr>
        <w:pStyle w:val="ProductList-Body"/>
        <w:keepNext/>
        <w:rPr>
          <w:b/>
          <w:bCs/>
          <w:color w:val="00188F"/>
        </w:rPr>
      </w:pPr>
      <w:r>
        <w:rPr>
          <w:b/>
          <w:bCs/>
          <w:color w:val="00188F"/>
        </w:rPr>
        <w:t xml:space="preserve">Do używania przez Klienta usługi </w:t>
      </w:r>
      <w:proofErr w:type="spellStart"/>
      <w:r>
        <w:rPr>
          <w:b/>
          <w:bCs/>
          <w:color w:val="00188F"/>
        </w:rPr>
        <w:t>Azure</w:t>
      </w:r>
      <w:proofErr w:type="spellEnd"/>
      <w:r>
        <w:rPr>
          <w:b/>
          <w:bCs/>
          <w:color w:val="00188F"/>
        </w:rPr>
        <w:t xml:space="preserve"> </w:t>
      </w:r>
      <w:proofErr w:type="spellStart"/>
      <w:r>
        <w:rPr>
          <w:b/>
          <w:bCs/>
          <w:color w:val="00188F"/>
        </w:rPr>
        <w:t>Load</w:t>
      </w:r>
      <w:proofErr w:type="spellEnd"/>
      <w:r>
        <w:rPr>
          <w:b/>
          <w:bCs/>
          <w:color w:val="00188F"/>
        </w:rPr>
        <w:t xml:space="preserve"> </w:t>
      </w:r>
      <w:proofErr w:type="spellStart"/>
      <w:r>
        <w:rPr>
          <w:b/>
          <w:bCs/>
          <w:color w:val="00188F"/>
        </w:rPr>
        <w:t>Testing</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12F7DA4B"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7E5F837" w14:textId="75345CF0" w:rsidR="00BC2A9C" w:rsidRDefault="00AC48A7">
            <w:pPr>
              <w:pStyle w:val="ProductList-OfferingBody"/>
              <w:spacing w:line="254" w:lineRule="auto"/>
              <w:jc w:val="center"/>
              <w:rPr>
                <w:color w:val="FFFFFF" w:themeColor="background1"/>
              </w:rPr>
            </w:pPr>
            <w:r>
              <w:rPr>
                <w:color w:val="FFFFFF" w:themeColor="background1"/>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1C70158F" w14:textId="77777777" w:rsidR="00BC2A9C" w:rsidRDefault="00BC2A9C">
            <w:pPr>
              <w:pStyle w:val="ProductList-OfferingBody"/>
              <w:spacing w:line="254" w:lineRule="auto"/>
              <w:jc w:val="center"/>
              <w:rPr>
                <w:color w:val="FFFFFF" w:themeColor="background1"/>
              </w:rPr>
            </w:pPr>
            <w:r>
              <w:rPr>
                <w:color w:val="FFFFFF" w:themeColor="background1"/>
              </w:rPr>
              <w:t>Środki Serwisowe na Używanie Usług</w:t>
            </w:r>
          </w:p>
        </w:tc>
      </w:tr>
      <w:tr w:rsidR="00BC2A9C" w14:paraId="7B31F845"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E281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46BA3" w14:textId="77777777" w:rsidR="00BC2A9C" w:rsidRDefault="00BC2A9C">
            <w:pPr>
              <w:pStyle w:val="ProductList-OfferingBody"/>
              <w:spacing w:line="254" w:lineRule="auto"/>
              <w:jc w:val="center"/>
            </w:pPr>
            <w:r>
              <w:t>10%</w:t>
            </w:r>
          </w:p>
        </w:tc>
      </w:tr>
      <w:tr w:rsidR="00BC2A9C" w14:paraId="124C5DDB"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E67C7"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B008C0" w14:textId="77777777" w:rsidR="00BC2A9C" w:rsidRDefault="00BC2A9C">
            <w:pPr>
              <w:pStyle w:val="ProductList-OfferingBody"/>
              <w:spacing w:line="254" w:lineRule="auto"/>
              <w:jc w:val="center"/>
            </w:pPr>
            <w:r>
              <w:t>25%</w:t>
            </w:r>
          </w:p>
        </w:tc>
      </w:tr>
    </w:tbl>
    <w:p w14:paraId="12BBC670" w14:textId="21530DA8" w:rsidR="00BC2A9C" w:rsidRPr="00EF7CF9" w:rsidRDefault="00C71F89"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4CC165B" w14:textId="42FA7992" w:rsidR="00C215C5" w:rsidRDefault="00C215C5" w:rsidP="00444DA8">
      <w:pPr>
        <w:pStyle w:val="ProductList-Offering2Heading"/>
        <w:keepNext/>
        <w:tabs>
          <w:tab w:val="clear" w:pos="360"/>
        </w:tabs>
        <w:outlineLvl w:val="2"/>
      </w:pPr>
      <w:bookmarkStart w:id="326" w:name="_Toc52348962"/>
      <w:bookmarkStart w:id="327" w:name="_Toc239175033"/>
      <w:r>
        <w:t>Log Analytics (umowa SLA dotycząca Dostępności Zapytań)</w:t>
      </w:r>
      <w:bookmarkEnd w:id="326"/>
      <w:bookmarkEnd w:id="327"/>
    </w:p>
    <w:p w14:paraId="448258F5" w14:textId="77777777" w:rsidR="00C215C5" w:rsidRPr="00B41CC1" w:rsidRDefault="00C215C5" w:rsidP="00C215C5">
      <w:pPr>
        <w:pStyle w:val="ProductList-Body"/>
        <w:rPr>
          <w:szCs w:val="18"/>
        </w:rPr>
      </w:pPr>
      <w:r w:rsidRPr="00B41CC1">
        <w:rPr>
          <w:b/>
          <w:color w:val="00188F"/>
          <w:szCs w:val="18"/>
        </w:rPr>
        <w:t>Dodatkowe definicje:</w:t>
      </w:r>
    </w:p>
    <w:p w14:paraId="579B75CF" w14:textId="1B93D931" w:rsidR="00C215C5" w:rsidRPr="00B41CC1" w:rsidRDefault="00B41CC1" w:rsidP="00C215C5">
      <w:pPr>
        <w:pStyle w:val="ProductList-Body"/>
        <w:rPr>
          <w:szCs w:val="18"/>
        </w:rPr>
      </w:pPr>
      <w:r w:rsidRPr="00B41CC1">
        <w:rPr>
          <w:rFonts w:cstheme="minorHAnsi"/>
          <w:szCs w:val="18"/>
        </w:rPr>
        <w:t>„</w:t>
      </w:r>
      <w:r w:rsidR="00C215C5" w:rsidRPr="00B41CC1">
        <w:rPr>
          <w:b/>
          <w:color w:val="00188F"/>
          <w:szCs w:val="18"/>
        </w:rPr>
        <w:t>Maksymalna Liczba Dostępnych Minut</w:t>
      </w:r>
      <w:r>
        <w:t>”</w:t>
      </w:r>
      <w:r w:rsidR="00C215C5" w:rsidRPr="00B41CC1">
        <w:rPr>
          <w:szCs w:val="18"/>
        </w:rPr>
        <w:t xml:space="preserve"> to łączna liczba minut, przez które dany Obszar Roboczy Usługi Log Analytics został wdrożony przez klienta w ramach subskrypcji Microsoft </w:t>
      </w:r>
      <w:proofErr w:type="spellStart"/>
      <w:r w:rsidR="00C215C5" w:rsidRPr="00B41CC1">
        <w:rPr>
          <w:szCs w:val="18"/>
        </w:rPr>
        <w:t>Azure</w:t>
      </w:r>
      <w:proofErr w:type="spellEnd"/>
      <w:r w:rsidR="00C215C5" w:rsidRPr="00B41CC1">
        <w:rPr>
          <w:szCs w:val="18"/>
        </w:rPr>
        <w:t xml:space="preserve"> we Właściwym Okresie.</w:t>
      </w:r>
    </w:p>
    <w:p w14:paraId="020378FE" w14:textId="24342876" w:rsidR="00C215C5" w:rsidRPr="00B41CC1" w:rsidRDefault="00C215C5" w:rsidP="00C215C5">
      <w:pPr>
        <w:pStyle w:val="ProductList-Body"/>
        <w:rPr>
          <w:szCs w:val="18"/>
        </w:rPr>
      </w:pPr>
      <w:r w:rsidRPr="00B41CC1">
        <w:rPr>
          <w:szCs w:val="18"/>
        </w:rPr>
        <w:t>„</w:t>
      </w:r>
      <w:r w:rsidRPr="00B41CC1">
        <w:rPr>
          <w:b/>
          <w:color w:val="00188F"/>
          <w:szCs w:val="18"/>
        </w:rPr>
        <w:t>Przestój</w:t>
      </w:r>
      <w:r w:rsidR="00B41CC1">
        <w:t>”</w:t>
      </w:r>
      <w:r w:rsidRPr="00B41CC1">
        <w:rPr>
          <w:szCs w:val="18"/>
        </w:rPr>
        <w:t xml:space="preserve"> to łączna liczba minut w ramach Maksymalnej Liczby Minut Dostępności, w czasie których dane z Obszaru Roboczego Usługi Log Analytics są niedostępne. Minuta jest uznawana za minutę niedostępności dla danego Obszaru Roboczego Usługi Log Analytics, jeśli w tym czasie nie ma operacji HTTP zakończonych Kodem Sukcesu. </w:t>
      </w:r>
    </w:p>
    <w:p w14:paraId="5A45663D" w14:textId="1C7BBE14" w:rsidR="00C215C5" w:rsidRPr="00B41CC1" w:rsidRDefault="00C215C5" w:rsidP="00C215C5">
      <w:pPr>
        <w:pStyle w:val="ProductList-Body"/>
        <w:rPr>
          <w:szCs w:val="18"/>
        </w:rPr>
      </w:pPr>
      <w:r w:rsidRPr="00B41CC1">
        <w:t>„</w:t>
      </w:r>
      <w:r w:rsidRPr="00B41CC1">
        <w:rPr>
          <w:b/>
          <w:color w:val="00188F"/>
          <w:szCs w:val="18"/>
        </w:rPr>
        <w:t>Procent Dostępności Zapytań</w:t>
      </w:r>
      <w:r w:rsidR="00B41CC1">
        <w:t>”</w:t>
      </w:r>
      <w:r w:rsidRPr="00B41CC1">
        <w:rPr>
          <w:szCs w:val="18"/>
        </w:rPr>
        <w:t xml:space="preserve"> dla danego Obszaru Roboczego Usługi Log Analytics jest obliczany jako Maksymalna Liczba Dostępnych Minut pomniejszona o Przestój podzielona przez Maksymalną Liczbę Dostępnych Minut pomnożoną przez 100.</w:t>
      </w:r>
    </w:p>
    <w:p w14:paraId="6DC85651" w14:textId="202902D0" w:rsidR="00C215C5" w:rsidRPr="00B41CC1" w:rsidRDefault="00C215C5" w:rsidP="00C215C5">
      <w:pPr>
        <w:pStyle w:val="ProductList-Body"/>
        <w:rPr>
          <w:szCs w:val="18"/>
        </w:rPr>
      </w:pPr>
      <w:r w:rsidRPr="00B41CC1">
        <w:rPr>
          <w:b/>
          <w:color w:val="00188F"/>
          <w:szCs w:val="18"/>
        </w:rPr>
        <w:t>Procent Dostępności Zapytań:</w:t>
      </w:r>
      <w:r w:rsidRPr="00B41CC1">
        <w:rPr>
          <w:szCs w:val="18"/>
        </w:rPr>
        <w:t xml:space="preserve"> Procent Dostępności Zapytań jest obliczany przy użyciu następującego wzoru:</w:t>
      </w:r>
    </w:p>
    <w:p w14:paraId="71453A9D" w14:textId="07AE28E0" w:rsidR="00C215C5" w:rsidRDefault="00000000" w:rsidP="0025192B">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7E68AC8" w14:textId="77777777" w:rsidR="00C215C5" w:rsidRDefault="00C215C5" w:rsidP="003308C7">
      <w:pPr>
        <w:pStyle w:val="ProductList-ClauseHeading"/>
        <w:keepNext/>
      </w:pPr>
      <w:r>
        <w:t>Środki Serwisowe na Używanie Usług</w:t>
      </w:r>
      <w:r w:rsidRPr="0034704E">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215C5" w14:paraId="2EB13E71" w14:textId="77777777" w:rsidTr="00C215C5">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266C3F1" w14:textId="605DB9B5" w:rsidR="00C215C5" w:rsidRDefault="00C215C5">
            <w:pPr>
              <w:pStyle w:val="ProductList-OfferingBody"/>
              <w:spacing w:line="256" w:lineRule="auto"/>
              <w:jc w:val="center"/>
              <w:rPr>
                <w:color w:val="FFFFFF" w:themeColor="background1"/>
              </w:rPr>
            </w:pPr>
            <w:r>
              <w:rPr>
                <w:color w:val="FFFFFF" w:themeColor="background1"/>
              </w:rPr>
              <w:t>Procent Dostępności Zapytań</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B77D19D" w14:textId="77777777" w:rsidR="00C215C5" w:rsidRDefault="00C215C5">
            <w:pPr>
              <w:pStyle w:val="ProductList-OfferingBody"/>
              <w:spacing w:line="256" w:lineRule="auto"/>
              <w:jc w:val="center"/>
              <w:rPr>
                <w:color w:val="FFFFFF" w:themeColor="background1"/>
              </w:rPr>
            </w:pPr>
            <w:r>
              <w:rPr>
                <w:color w:val="FFFFFF" w:themeColor="background1"/>
              </w:rPr>
              <w:t>Środki Serwisowe na Używanie Usług</w:t>
            </w:r>
          </w:p>
        </w:tc>
      </w:tr>
      <w:tr w:rsidR="00C215C5" w14:paraId="4CB23734"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B536B0" w14:textId="77777777" w:rsidR="00C215C5" w:rsidRDefault="00C215C5">
            <w:pPr>
              <w:pStyle w:val="ProductList-OfferingBody"/>
              <w:spacing w:line="256"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DC46" w14:textId="77777777" w:rsidR="00C215C5" w:rsidRDefault="00C215C5">
            <w:pPr>
              <w:pStyle w:val="ProductList-OfferingBody"/>
              <w:spacing w:line="256" w:lineRule="auto"/>
              <w:jc w:val="center"/>
            </w:pPr>
            <w:r>
              <w:t>10%</w:t>
            </w:r>
          </w:p>
        </w:tc>
      </w:tr>
      <w:tr w:rsidR="00C215C5" w14:paraId="3517034E" w14:textId="77777777" w:rsidTr="00C215C5">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FCB48F" w14:textId="77777777" w:rsidR="00C215C5" w:rsidRDefault="00C215C5">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A7B6A7" w14:textId="77777777" w:rsidR="00C215C5" w:rsidRDefault="00C215C5">
            <w:pPr>
              <w:pStyle w:val="ProductList-OfferingBody"/>
              <w:spacing w:line="256" w:lineRule="auto"/>
              <w:jc w:val="center"/>
            </w:pPr>
            <w:r>
              <w:t>25%</w:t>
            </w:r>
          </w:p>
        </w:tc>
      </w:tr>
    </w:tbl>
    <w:p w14:paraId="40809F90" w14:textId="5BC820DF" w:rsidR="00C215C5" w:rsidRPr="00EF7CF9" w:rsidRDefault="00C71F89" w:rsidP="00C215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28F3FBF" w14:textId="77777777" w:rsidR="0018185B" w:rsidRPr="00EF7CF9" w:rsidRDefault="0018185B" w:rsidP="003A3076">
      <w:pPr>
        <w:pStyle w:val="ProductList-Offering2Heading"/>
        <w:keepNext/>
        <w:tabs>
          <w:tab w:val="clear" w:pos="360"/>
          <w:tab w:val="clear" w:pos="720"/>
          <w:tab w:val="clear" w:pos="1080"/>
        </w:tabs>
        <w:outlineLvl w:val="2"/>
      </w:pPr>
      <w:bookmarkStart w:id="328" w:name="_Toc239175034"/>
      <w:r>
        <w:t>Aplikacje Logiki</w:t>
      </w:r>
      <w:bookmarkEnd w:id="322"/>
      <w:bookmarkEnd w:id="323"/>
      <w:bookmarkEnd w:id="324"/>
      <w:bookmarkEnd w:id="328"/>
    </w:p>
    <w:p w14:paraId="1C8D405B" w14:textId="77777777" w:rsidR="0018185B" w:rsidRPr="00B41CC1" w:rsidRDefault="0018185B" w:rsidP="0018185B">
      <w:pPr>
        <w:pStyle w:val="ProductList-Body"/>
        <w:keepNext/>
        <w:rPr>
          <w:szCs w:val="18"/>
        </w:rPr>
      </w:pPr>
      <w:r w:rsidRPr="00B41CC1">
        <w:rPr>
          <w:b/>
          <w:color w:val="00188F"/>
          <w:szCs w:val="18"/>
        </w:rPr>
        <w:t>Dodatkowe definicje:</w:t>
      </w:r>
    </w:p>
    <w:p w14:paraId="71EA9ED9" w14:textId="06AA2DEC" w:rsidR="0018185B" w:rsidRPr="00B41CC1" w:rsidRDefault="0018185B" w:rsidP="0018185B">
      <w:pPr>
        <w:pStyle w:val="ProductList-Body"/>
        <w:rPr>
          <w:szCs w:val="18"/>
        </w:rPr>
      </w:pPr>
      <w:r w:rsidRPr="00B41CC1">
        <w:rPr>
          <w:szCs w:val="18"/>
        </w:rPr>
        <w:t>„</w:t>
      </w:r>
      <w:r w:rsidRPr="00B41CC1">
        <w:rPr>
          <w:b/>
          <w:color w:val="00188F"/>
          <w:szCs w:val="18"/>
        </w:rPr>
        <w:t>Minuty Wdrożenia</w:t>
      </w:r>
      <w:r w:rsidRPr="00B41CC1">
        <w:rPr>
          <w:szCs w:val="18"/>
        </w:rPr>
        <w:t xml:space="preserve">” to łączna liczba minut, przez które dana Aplikacja Logiki była skonfigurowana do uruchomienia na platformie Microsoft </w:t>
      </w:r>
      <w:proofErr w:type="spellStart"/>
      <w:r w:rsidRPr="00B41CC1">
        <w:rPr>
          <w:szCs w:val="18"/>
        </w:rPr>
        <w:t>Azure</w:t>
      </w:r>
      <w:proofErr w:type="spellEnd"/>
      <w:r w:rsidRPr="00B41CC1">
        <w:rPr>
          <w:szCs w:val="18"/>
        </w:rPr>
        <w:t xml:space="preserve"> we Właściwym Okresie. Minuty Wdrożenia są mierzone od momentu utworzenia Aplikacji Logiki albo zainicjowania przez Klienta działania, które spowoduje uruchomienie Aplikacji Logiki, do momentu, w którym Klient zainicjuje działanie, które spowoduje zatrzymanie albo usunięcie Aplikacji Logiki. </w:t>
      </w:r>
    </w:p>
    <w:p w14:paraId="50DCE916" w14:textId="5D7ECAF0" w:rsidR="0018185B" w:rsidRPr="00B41CC1" w:rsidRDefault="0018185B" w:rsidP="00C84B0F">
      <w:pPr>
        <w:spacing w:after="0" w:line="240" w:lineRule="auto"/>
        <w:rPr>
          <w:sz w:val="18"/>
          <w:szCs w:val="18"/>
        </w:rPr>
      </w:pPr>
      <w:r w:rsidRPr="00B41CC1">
        <w:rPr>
          <w:sz w:val="18"/>
          <w:szCs w:val="18"/>
        </w:rPr>
        <w:t>„</w:t>
      </w:r>
      <w:r w:rsidRPr="00B41CC1">
        <w:rPr>
          <w:b/>
          <w:color w:val="00188F"/>
          <w:sz w:val="18"/>
          <w:szCs w:val="18"/>
        </w:rPr>
        <w:t>Maksymalna Liczba Dostępnych Minut</w:t>
      </w:r>
      <w:r w:rsidRPr="00B41CC1">
        <w:rPr>
          <w:sz w:val="18"/>
          <w:szCs w:val="18"/>
        </w:rPr>
        <w:t>” to suma wszystkich Minut Wdrożenia we wszystkich Aplikacjach Logiki wdrożonych przez użytkownika w</w:t>
      </w:r>
      <w:r w:rsidR="00C84B0F">
        <w:rPr>
          <w:sz w:val="18"/>
          <w:szCs w:val="18"/>
        </w:rPr>
        <w:t> </w:t>
      </w:r>
      <w:r w:rsidRPr="00B41CC1">
        <w:rPr>
          <w:sz w:val="18"/>
          <w:szCs w:val="18"/>
        </w:rPr>
        <w:t xml:space="preserve">ramach danej subskrypcji Microsoft </w:t>
      </w:r>
      <w:proofErr w:type="spellStart"/>
      <w:r w:rsidRPr="00B41CC1">
        <w:rPr>
          <w:sz w:val="18"/>
          <w:szCs w:val="18"/>
        </w:rPr>
        <w:t>Azure</w:t>
      </w:r>
      <w:proofErr w:type="spellEnd"/>
      <w:r w:rsidRPr="00B41CC1">
        <w:rPr>
          <w:sz w:val="18"/>
          <w:szCs w:val="18"/>
        </w:rPr>
        <w:t xml:space="preserve"> we Właściwym Okresie.</w:t>
      </w:r>
    </w:p>
    <w:p w14:paraId="45E6CD61" w14:textId="77777777" w:rsidR="0018185B" w:rsidRPr="00B41CC1" w:rsidRDefault="0018185B" w:rsidP="0018185B">
      <w:pPr>
        <w:pStyle w:val="ProductList-Body"/>
        <w:rPr>
          <w:szCs w:val="18"/>
        </w:rPr>
      </w:pPr>
      <w:r w:rsidRPr="00B41CC1">
        <w:rPr>
          <w:szCs w:val="18"/>
        </w:rPr>
        <w:t>„</w:t>
      </w:r>
      <w:r w:rsidRPr="00B41CC1">
        <w:rPr>
          <w:b/>
          <w:color w:val="00188F"/>
          <w:szCs w:val="18"/>
        </w:rPr>
        <w:t>Przestój</w:t>
      </w:r>
      <w:r w:rsidRPr="00B41CC1">
        <w:rPr>
          <w:szCs w:val="18"/>
        </w:rPr>
        <w:t>”</w:t>
      </w:r>
      <w:r w:rsidRPr="00B41CC1">
        <w:rPr>
          <w:b/>
          <w:color w:val="00188F"/>
          <w:szCs w:val="18"/>
        </w:rPr>
        <w:t xml:space="preserve"> </w:t>
      </w:r>
      <w:r w:rsidRPr="00B41CC1">
        <w:rPr>
          <w:szCs w:val="18"/>
        </w:rPr>
        <w:t xml:space="preserve">to zakumulowana łączna liczba Minut Wdrożenia dla wszystkich Aplikacji Logiki wdrożonych przez Klienta w ramach określonej subskrypcji Microsoft </w:t>
      </w:r>
      <w:proofErr w:type="spellStart"/>
      <w:r w:rsidRPr="00B41CC1">
        <w:rPr>
          <w:szCs w:val="18"/>
        </w:rPr>
        <w:t>Azure</w:t>
      </w:r>
      <w:proofErr w:type="spellEnd"/>
      <w:r w:rsidRPr="00B41CC1">
        <w:rPr>
          <w:szCs w:val="18"/>
        </w:rPr>
        <w:t>, w czasie których Aplikacja Logiki jest niedostępna. Minuta niedostępności dla danej Aplikacji Logiki oznacza brak łączności pomiędzy Aplikacją Logiki a bramą internetową Microsoft.</w:t>
      </w:r>
    </w:p>
    <w:p w14:paraId="4261DAA7" w14:textId="558012BE" w:rsidR="0018185B" w:rsidRPr="00B41CC1" w:rsidRDefault="00AC48A7" w:rsidP="0018185B">
      <w:pPr>
        <w:pStyle w:val="ProductList-Body"/>
        <w:rPr>
          <w:szCs w:val="18"/>
        </w:rPr>
      </w:pPr>
      <w:r w:rsidRPr="00B41CC1">
        <w:rPr>
          <w:b/>
          <w:color w:val="00188F"/>
          <w:szCs w:val="18"/>
        </w:rPr>
        <w:t>Procent Czasu Sprawnego Działania:</w:t>
      </w:r>
      <w:r w:rsidRPr="00B41CC1">
        <w:rPr>
          <w:szCs w:val="18"/>
        </w:rPr>
        <w:t xml:space="preserve"> Procent Czasu Sprawnego Działania jest obliczany przy użyciu następującego wzoru:</w:t>
      </w:r>
    </w:p>
    <w:p w14:paraId="1BD740A8" w14:textId="311C9C2A" w:rsidR="0018185B" w:rsidRPr="00EF7CF9" w:rsidRDefault="00000000" w:rsidP="0025192B">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BD83424" w14:textId="77777777" w:rsidR="0018185B" w:rsidRPr="00EF7CF9" w:rsidRDefault="0018185B" w:rsidP="0018185B">
      <w:pPr>
        <w:pStyle w:val="ProductList-Body"/>
        <w:rPr>
          <w:szCs w:val="18"/>
        </w:rPr>
      </w:pPr>
      <w:r>
        <w:rPr>
          <w:b/>
          <w:color w:val="00188F"/>
          <w:szCs w:val="18"/>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8185B" w:rsidRPr="00B44CF9" w14:paraId="4E0B8343" w14:textId="77777777" w:rsidTr="00277097">
        <w:trPr>
          <w:tblHeader/>
        </w:trPr>
        <w:tc>
          <w:tcPr>
            <w:tcW w:w="5400" w:type="dxa"/>
            <w:shd w:val="clear" w:color="auto" w:fill="0072C6"/>
          </w:tcPr>
          <w:p w14:paraId="20550B04" w14:textId="2D5BEE79" w:rsidR="0018185B"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9946C4B" w14:textId="77777777" w:rsidR="0018185B" w:rsidRPr="00EF7CF9" w:rsidRDefault="0018185B" w:rsidP="000F31B4">
            <w:pPr>
              <w:pStyle w:val="ProductList-OfferingBody"/>
              <w:jc w:val="center"/>
              <w:rPr>
                <w:color w:val="FFFFFF" w:themeColor="background1"/>
              </w:rPr>
            </w:pPr>
            <w:r>
              <w:rPr>
                <w:color w:val="FFFFFF" w:themeColor="background1"/>
              </w:rPr>
              <w:t>Środki Serwisowe na Używanie Usług</w:t>
            </w:r>
          </w:p>
        </w:tc>
      </w:tr>
      <w:tr w:rsidR="0018185B" w:rsidRPr="00B44CF9" w14:paraId="5DAB5130" w14:textId="77777777" w:rsidTr="00277097">
        <w:tc>
          <w:tcPr>
            <w:tcW w:w="5400" w:type="dxa"/>
          </w:tcPr>
          <w:p w14:paraId="2AB791A9" w14:textId="77777777" w:rsidR="0018185B" w:rsidRPr="00EF7CF9" w:rsidRDefault="0018185B" w:rsidP="000F31B4">
            <w:pPr>
              <w:pStyle w:val="ProductList-OfferingBody"/>
              <w:jc w:val="center"/>
            </w:pPr>
            <w:r>
              <w:t>&lt; 99,9%</w:t>
            </w:r>
          </w:p>
        </w:tc>
        <w:tc>
          <w:tcPr>
            <w:tcW w:w="5400" w:type="dxa"/>
          </w:tcPr>
          <w:p w14:paraId="5F5BBE95" w14:textId="77777777" w:rsidR="0018185B" w:rsidRPr="00EF7CF9" w:rsidRDefault="0018185B" w:rsidP="000F31B4">
            <w:pPr>
              <w:pStyle w:val="ProductList-OfferingBody"/>
              <w:jc w:val="center"/>
            </w:pPr>
            <w:r>
              <w:t>10%</w:t>
            </w:r>
          </w:p>
        </w:tc>
      </w:tr>
      <w:tr w:rsidR="0018185B" w:rsidRPr="00B44CF9" w14:paraId="66C92E85" w14:textId="77777777" w:rsidTr="00277097">
        <w:tc>
          <w:tcPr>
            <w:tcW w:w="5400" w:type="dxa"/>
          </w:tcPr>
          <w:p w14:paraId="10569055" w14:textId="77777777" w:rsidR="0018185B" w:rsidRPr="00EF7CF9" w:rsidRDefault="0018185B" w:rsidP="00AD6527">
            <w:pPr>
              <w:pStyle w:val="ProductList-OfferingBody"/>
              <w:jc w:val="center"/>
            </w:pPr>
            <w:r>
              <w:t>&lt; 99%</w:t>
            </w:r>
          </w:p>
        </w:tc>
        <w:tc>
          <w:tcPr>
            <w:tcW w:w="5400" w:type="dxa"/>
          </w:tcPr>
          <w:p w14:paraId="63EBC3F3" w14:textId="77777777" w:rsidR="0018185B" w:rsidRPr="00EF7CF9" w:rsidRDefault="0018185B" w:rsidP="00AD6527">
            <w:pPr>
              <w:pStyle w:val="ProductList-OfferingBody"/>
              <w:jc w:val="center"/>
            </w:pPr>
            <w:r>
              <w:t>25%</w:t>
            </w:r>
          </w:p>
        </w:tc>
      </w:tr>
    </w:tbl>
    <w:p w14:paraId="443621FC" w14:textId="77777777" w:rsidR="00E60816" w:rsidRDefault="00E60816" w:rsidP="0025192B">
      <w:pPr>
        <w:keepNext/>
        <w:spacing w:before="120" w:after="0" w:line="240" w:lineRule="auto"/>
        <w:rPr>
          <w:rFonts w:ascii="Calibri" w:hAnsi="Calibri" w:cs="Calibri"/>
          <w:sz w:val="18"/>
          <w:szCs w:val="18"/>
        </w:rPr>
      </w:pPr>
      <w:r>
        <w:rPr>
          <w:rFonts w:ascii="Calibri" w:hAnsi="Calibri" w:cs="Calibri"/>
          <w:sz w:val="18"/>
          <w:szCs w:val="18"/>
        </w:rPr>
        <w:t>Od 1 września 2024 r. środowisko usług integracyjnych jest wycofaną funkcją Usługi, a jego okno wsparcia wygasa. Aplikacje Logiczne wdrożone w Środowiskach Usług Integracyjnych nie zapewniają już żadnych gwarancji poziomu usług ani, co za tym idzie, Środków Serwisowych na Używanie Usług w przypadku problemów z wydajnością lub dostępnością związanych z Aplikacjami Logicznymi działającymi w Środowiskach Usług Integracyjnych.</w:t>
      </w:r>
    </w:p>
    <w:p w14:paraId="422D4BC9" w14:textId="77777777" w:rsidR="00E60816" w:rsidRPr="00EF7CF9" w:rsidRDefault="00E60816" w:rsidP="00E608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16F48B3" w14:textId="77777777" w:rsidR="00AD6527" w:rsidRPr="00AD6527" w:rsidRDefault="00AD6527" w:rsidP="00AD6527">
      <w:pPr>
        <w:pStyle w:val="ProductList-Offering2Heading"/>
        <w:keepNext/>
        <w:tabs>
          <w:tab w:val="clear" w:pos="360"/>
          <w:tab w:val="clear" w:pos="720"/>
          <w:tab w:val="clear" w:pos="1080"/>
        </w:tabs>
        <w:outlineLvl w:val="2"/>
      </w:pPr>
      <w:bookmarkStart w:id="329" w:name="_Toc239175035"/>
      <w:proofErr w:type="spellStart"/>
      <w:r>
        <w:t>Azure</w:t>
      </w:r>
      <w:proofErr w:type="spellEnd"/>
      <w:r>
        <w:t xml:space="preserve"> Machine Learning</w:t>
      </w:r>
      <w:bookmarkEnd w:id="329"/>
    </w:p>
    <w:p w14:paraId="0544D758" w14:textId="3AD85D91" w:rsidR="00AD6527" w:rsidRPr="00AD6527" w:rsidRDefault="00EE6E3C" w:rsidP="00AD6527">
      <w:pPr>
        <w:pStyle w:val="ProductList-Body"/>
        <w:rPr>
          <w:b/>
          <w:bCs/>
          <w:color w:val="00188F"/>
        </w:rPr>
      </w:pPr>
      <w:r>
        <w:rPr>
          <w:b/>
          <w:bCs/>
          <w:color w:val="00188F"/>
        </w:rPr>
        <w:t xml:space="preserve">Obliczanie Czasu Sprawnego Działania i Poziomy Usługi dla Usługi Machine Learning Real Time </w:t>
      </w:r>
      <w:proofErr w:type="spellStart"/>
      <w:r>
        <w:rPr>
          <w:b/>
          <w:bCs/>
          <w:color w:val="00188F"/>
        </w:rPr>
        <w:t>Scoring</w:t>
      </w:r>
      <w:proofErr w:type="spellEnd"/>
    </w:p>
    <w:p w14:paraId="3D05F60E" w14:textId="11DD7AAD" w:rsidR="00AD6527" w:rsidRDefault="00AD6527" w:rsidP="00AD6527">
      <w:pPr>
        <w:pStyle w:val="ProductList-Body"/>
      </w:pPr>
      <w:r>
        <w:t>„</w:t>
      </w:r>
      <w:r>
        <w:rPr>
          <w:b/>
          <w:bCs/>
          <w:color w:val="00188F"/>
        </w:rPr>
        <w:t>Łączna Liczba Prób Transakcji</w:t>
      </w:r>
      <w:r w:rsidR="00781AEE">
        <w:t>”</w:t>
      </w:r>
      <w:r>
        <w:t xml:space="preserve"> to łączna liczba żądań interfejsu API klienta we Właściwym Okresie dla danej subskrypcji Microsoft </w:t>
      </w:r>
      <w:proofErr w:type="spellStart"/>
      <w:r>
        <w:t>Azure</w:t>
      </w:r>
      <w:proofErr w:type="spellEnd"/>
      <w:r>
        <w:t>.</w:t>
      </w:r>
    </w:p>
    <w:p w14:paraId="7EA32AA0" w14:textId="77777777" w:rsidR="00AD6527" w:rsidRDefault="00AD6527" w:rsidP="00AD6527">
      <w:pPr>
        <w:pStyle w:val="ProductList-Body"/>
      </w:pPr>
      <w:r>
        <w:t>„</w:t>
      </w:r>
      <w:r>
        <w:rPr>
          <w:b/>
          <w:bCs/>
          <w:color w:val="00188F"/>
        </w:rPr>
        <w:t>Transakcje Zakończone Niepowodzeniem</w:t>
      </w:r>
      <w:r>
        <w:t>” to zbiór wszystkich żądań w ramach Łącznej Liczby Prób Transakcji, które zwracają Kod Błędu albo kod stanu HTTP 4xx albo nie zwracają Kodu Sukcesu w ciągu 600 sekund.</w:t>
      </w:r>
    </w:p>
    <w:p w14:paraId="2C7AAE71" w14:textId="141C8E34" w:rsidR="00AD6527" w:rsidRDefault="00AD6527" w:rsidP="00AD6527">
      <w:pPr>
        <w:pStyle w:val="ProductList-Body"/>
      </w:pPr>
      <w:r>
        <w:t>„</w:t>
      </w:r>
      <w:r>
        <w:rPr>
          <w:b/>
          <w:bCs/>
          <w:color w:val="00188F"/>
        </w:rPr>
        <w:t>Procent Czasu Sprawnego Działania</w:t>
      </w:r>
      <w:r>
        <w:t xml:space="preserve">” jest obliczany jako Łączna Liczba Prób Transakcji pomniejszona o Transakcje Zakończone Niepowodzeniem podzielona przez Łączną Liczbę Prób Transakcji we Właściwym Okresie dla danej subskrypcji Microsoft </w:t>
      </w:r>
      <w:proofErr w:type="spellStart"/>
      <w:r>
        <w:t>Azure</w:t>
      </w:r>
      <w:proofErr w:type="spellEnd"/>
      <w:r>
        <w:t>. Procent Czasu Sprawnego Działania przedstawia się za pomocą następującego wzoru:</w:t>
      </w:r>
    </w:p>
    <w:p w14:paraId="4A63CAC2" w14:textId="4255B70F" w:rsidR="00AD6527" w:rsidRPr="00EF7CF9" w:rsidRDefault="00000000" w:rsidP="0025192B">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Prób Transakcji – Nieudane Transakcje</m:t>
              </m:r>
            </m:num>
            <m:den>
              <m:r>
                <m:rPr>
                  <m:nor/>
                </m:rPr>
                <w:rPr>
                  <w:rFonts w:ascii="Cambria Math" w:hAnsi="Cambria Math" w:cs="Tahoma"/>
                  <w:i/>
                  <w:sz w:val="18"/>
                  <w:szCs w:val="18"/>
                </w:rPr>
                <m:t>Łączna Liczba Prób Transakcji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788050A1" w14:textId="77777777" w:rsidR="00AD6527" w:rsidRPr="00A63636" w:rsidRDefault="00AD6527" w:rsidP="00AD6527">
      <w:pPr>
        <w:pStyle w:val="ProductList-Body"/>
        <w:rPr>
          <w:b/>
          <w:bCs/>
          <w:color w:val="00188F"/>
        </w:rPr>
      </w:pPr>
      <w:r>
        <w:rPr>
          <w:b/>
          <w:bCs/>
          <w:color w:val="00188F"/>
        </w:rPr>
        <w:t xml:space="preserve">Do używania przez Klienta Usługi Machine Learning Real Time </w:t>
      </w:r>
      <w:proofErr w:type="spellStart"/>
      <w:r>
        <w:rPr>
          <w:b/>
          <w:bCs/>
          <w:color w:val="00188F"/>
        </w:rPr>
        <w:t>Scoring</w:t>
      </w:r>
      <w:proofErr w:type="spellEnd"/>
      <w:r>
        <w:rPr>
          <w:b/>
          <w:bCs/>
          <w:color w:val="00188F"/>
        </w:rPr>
        <w:t xml:space="preserve">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11BFA7F9" w14:textId="77777777" w:rsidTr="00277097">
        <w:trPr>
          <w:tblHeader/>
        </w:trPr>
        <w:tc>
          <w:tcPr>
            <w:tcW w:w="5400" w:type="dxa"/>
            <w:shd w:val="clear" w:color="auto" w:fill="0072C6"/>
          </w:tcPr>
          <w:p w14:paraId="047B6D39" w14:textId="26881B57" w:rsidR="00A6363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E19E054" w14:textId="77777777" w:rsidR="00A63636" w:rsidRPr="00EF7CF9" w:rsidRDefault="00A63636" w:rsidP="000F31B4">
            <w:pPr>
              <w:pStyle w:val="ProductList-OfferingBody"/>
              <w:jc w:val="center"/>
              <w:rPr>
                <w:color w:val="FFFFFF" w:themeColor="background1"/>
              </w:rPr>
            </w:pPr>
            <w:r>
              <w:rPr>
                <w:color w:val="FFFFFF" w:themeColor="background1"/>
              </w:rPr>
              <w:t>Środki Serwisowe na Używanie Usług</w:t>
            </w:r>
          </w:p>
        </w:tc>
      </w:tr>
      <w:tr w:rsidR="00A63636" w:rsidRPr="00B44CF9" w14:paraId="17078817" w14:textId="77777777" w:rsidTr="00277097">
        <w:tc>
          <w:tcPr>
            <w:tcW w:w="5400" w:type="dxa"/>
          </w:tcPr>
          <w:p w14:paraId="009BAA71" w14:textId="77777777" w:rsidR="00A63636" w:rsidRPr="00EF7CF9" w:rsidRDefault="00A63636" w:rsidP="000F31B4">
            <w:pPr>
              <w:pStyle w:val="ProductList-OfferingBody"/>
              <w:jc w:val="center"/>
            </w:pPr>
            <w:r>
              <w:t>&lt; 99,9%</w:t>
            </w:r>
          </w:p>
        </w:tc>
        <w:tc>
          <w:tcPr>
            <w:tcW w:w="5400" w:type="dxa"/>
          </w:tcPr>
          <w:p w14:paraId="6EE66041" w14:textId="77777777" w:rsidR="00A63636" w:rsidRPr="00EF7CF9" w:rsidRDefault="00A63636" w:rsidP="000F31B4">
            <w:pPr>
              <w:pStyle w:val="ProductList-OfferingBody"/>
              <w:jc w:val="center"/>
            </w:pPr>
            <w:r>
              <w:t>10%</w:t>
            </w:r>
          </w:p>
        </w:tc>
      </w:tr>
      <w:tr w:rsidR="00A63636" w:rsidRPr="00B44CF9" w14:paraId="2410DAEF" w14:textId="77777777" w:rsidTr="00277097">
        <w:tc>
          <w:tcPr>
            <w:tcW w:w="5400" w:type="dxa"/>
          </w:tcPr>
          <w:p w14:paraId="16FC9DB8" w14:textId="77777777" w:rsidR="00A63636" w:rsidRPr="00EF7CF9" w:rsidRDefault="00A63636" w:rsidP="000F31B4">
            <w:pPr>
              <w:pStyle w:val="ProductList-OfferingBody"/>
              <w:jc w:val="center"/>
            </w:pPr>
            <w:r>
              <w:t>&lt; 99%</w:t>
            </w:r>
          </w:p>
        </w:tc>
        <w:tc>
          <w:tcPr>
            <w:tcW w:w="5400" w:type="dxa"/>
          </w:tcPr>
          <w:p w14:paraId="743B5AA1" w14:textId="77777777" w:rsidR="00A63636" w:rsidRPr="00EF7CF9" w:rsidRDefault="00A63636" w:rsidP="000F31B4">
            <w:pPr>
              <w:pStyle w:val="ProductList-OfferingBody"/>
              <w:jc w:val="center"/>
            </w:pPr>
            <w:r>
              <w:t>25%</w:t>
            </w:r>
          </w:p>
        </w:tc>
      </w:tr>
    </w:tbl>
    <w:p w14:paraId="084EC24C" w14:textId="4E8D96CC" w:rsidR="00AD6527" w:rsidRPr="00A63636" w:rsidRDefault="00EE6E3C" w:rsidP="00D17641">
      <w:pPr>
        <w:pStyle w:val="ProductList-Body"/>
        <w:spacing w:before="120"/>
        <w:rPr>
          <w:b/>
          <w:bCs/>
          <w:color w:val="00188F"/>
        </w:rPr>
      </w:pPr>
      <w:r>
        <w:rPr>
          <w:b/>
          <w:bCs/>
          <w:color w:val="00188F"/>
        </w:rPr>
        <w:t>Obliczanie Czasu Sprawnego Działania i Poziomy Usługi dla zarządzania mocą obliczeniową w ramach Usługi Machine Learning</w:t>
      </w:r>
    </w:p>
    <w:p w14:paraId="508098E1" w14:textId="448D43AD" w:rsidR="00AD6527" w:rsidRDefault="00AD6527" w:rsidP="00AD6527">
      <w:pPr>
        <w:pStyle w:val="ProductList-Body"/>
      </w:pPr>
      <w:r>
        <w:t>„</w:t>
      </w:r>
      <w:r>
        <w:rPr>
          <w:b/>
          <w:bCs/>
          <w:color w:val="00188F"/>
        </w:rPr>
        <w:t>Łączna Liczba Prób Transakcji</w:t>
      </w:r>
      <w:r w:rsidR="00781AEE">
        <w:t>”</w:t>
      </w:r>
      <w:r>
        <w:t xml:space="preserve"> to łączna liczba żądań interfejsu API klienta we Właściwym Okresie dla danej subskrypcji Microsoft </w:t>
      </w:r>
      <w:proofErr w:type="spellStart"/>
      <w:r>
        <w:t>Azure</w:t>
      </w:r>
      <w:proofErr w:type="spellEnd"/>
      <w:r>
        <w:t>.</w:t>
      </w:r>
    </w:p>
    <w:p w14:paraId="6FE8B9C6" w14:textId="77777777" w:rsidR="00AD6527" w:rsidRDefault="00AD6527" w:rsidP="00AD6527">
      <w:pPr>
        <w:pStyle w:val="ProductList-Body"/>
      </w:pPr>
      <w:r>
        <w:t>„</w:t>
      </w:r>
      <w:r>
        <w:rPr>
          <w:b/>
          <w:bCs/>
          <w:color w:val="00188F"/>
        </w:rPr>
        <w:t>Transakcje Zakończone Niepowodzeniem</w:t>
      </w:r>
      <w:r>
        <w:t>” to zbiór wszystkich żądań w ramach Łącznej Liczby Żądań, które zwracają Kod Błędu albo kodu stanu HTTP o numerze 408 albo nie zwracają Kodu Sukcesu w ciągu 30 sekund.</w:t>
      </w:r>
    </w:p>
    <w:p w14:paraId="02C4F9FC" w14:textId="6E386C9B" w:rsidR="00AD6527" w:rsidRDefault="00AD6527" w:rsidP="00AD6527">
      <w:pPr>
        <w:pStyle w:val="ProductList-Body"/>
      </w:pPr>
      <w:r>
        <w:t>„</w:t>
      </w:r>
      <w:r>
        <w:rPr>
          <w:b/>
          <w:bCs/>
          <w:color w:val="00188F"/>
        </w:rPr>
        <w:t>Procent Czasu Sprawnego Działania</w:t>
      </w:r>
      <w:r>
        <w:t xml:space="preserve">” jest obliczany jako Łączna Liczba Prób Transakcji pomniejszona o Transakcje Zakończone Niepowodzeniem podzielona przez Łączną Liczbę Prób Transakcji we Właściwym Okresie dla danej subskrypcji Microsoft </w:t>
      </w:r>
      <w:proofErr w:type="spellStart"/>
      <w:r>
        <w:t>Azure</w:t>
      </w:r>
      <w:proofErr w:type="spellEnd"/>
      <w:r>
        <w:t>. Procent Czasu Sprawnego Działania przedstawia się za pomocą następującego wzoru:</w:t>
      </w:r>
    </w:p>
    <w:p w14:paraId="4A36D646" w14:textId="6026AEF5" w:rsidR="00A63636" w:rsidRPr="00EF7CF9" w:rsidRDefault="00000000" w:rsidP="008D44F8">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Prób Transakcji – Nieudane Transakcje</m:t>
              </m:r>
            </m:num>
            <m:den>
              <m:r>
                <m:rPr>
                  <m:nor/>
                </m:rPr>
                <w:rPr>
                  <w:rFonts w:ascii="Cambria Math" w:hAnsi="Cambria Math" w:cs="Tahoma"/>
                  <w:i/>
                  <w:sz w:val="18"/>
                  <w:szCs w:val="18"/>
                </w:rPr>
                <m:t>Łączna Liczba Prób Transakcji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C2D80CE" w14:textId="52637F9D" w:rsidR="00AD6527" w:rsidRPr="00A63636" w:rsidRDefault="00AD6527" w:rsidP="00AD6527">
      <w:pPr>
        <w:pStyle w:val="ProductList-Body"/>
        <w:rPr>
          <w:b/>
          <w:bCs/>
          <w:color w:val="00188F"/>
        </w:rPr>
      </w:pPr>
      <w:r>
        <w:rPr>
          <w:b/>
          <w:bCs/>
          <w:color w:val="00188F"/>
        </w:rPr>
        <w:t xml:space="preserve">Do używania przez Klienta Usługi Usług Machine Learning Management </w:t>
      </w:r>
      <w:proofErr w:type="spellStart"/>
      <w:r>
        <w:rPr>
          <w:b/>
          <w:bCs/>
          <w:color w:val="00188F"/>
        </w:rPr>
        <w:t>Plane</w:t>
      </w:r>
      <w:proofErr w:type="spellEnd"/>
      <w:r>
        <w:rPr>
          <w:b/>
          <w:bCs/>
          <w:color w:val="00188F"/>
        </w:rPr>
        <w:t xml:space="preserve"> Operations mają zastosowanie następujące Poziomy Usługi i</w:t>
      </w:r>
      <w:r w:rsidR="00467389">
        <w:rPr>
          <w:b/>
          <w:bCs/>
          <w:color w:val="00188F"/>
        </w:rPr>
        <w:t> </w:t>
      </w: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3636" w:rsidRPr="00B44CF9" w14:paraId="680D6889" w14:textId="77777777" w:rsidTr="00277097">
        <w:trPr>
          <w:tblHeader/>
        </w:trPr>
        <w:tc>
          <w:tcPr>
            <w:tcW w:w="5400" w:type="dxa"/>
            <w:shd w:val="clear" w:color="auto" w:fill="0072C6"/>
          </w:tcPr>
          <w:p w14:paraId="1F7A8735" w14:textId="05AB7012" w:rsidR="00A6363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AA1B0EE" w14:textId="77777777" w:rsidR="00A63636" w:rsidRPr="00EF7CF9" w:rsidRDefault="00A63636" w:rsidP="000F31B4">
            <w:pPr>
              <w:pStyle w:val="ProductList-OfferingBody"/>
              <w:jc w:val="center"/>
              <w:rPr>
                <w:color w:val="FFFFFF" w:themeColor="background1"/>
              </w:rPr>
            </w:pPr>
            <w:r>
              <w:rPr>
                <w:color w:val="FFFFFF" w:themeColor="background1"/>
              </w:rPr>
              <w:t>Środki Serwisowe na Używanie Usług</w:t>
            </w:r>
          </w:p>
        </w:tc>
      </w:tr>
      <w:tr w:rsidR="00A63636" w:rsidRPr="00B44CF9" w14:paraId="52F67945" w14:textId="77777777" w:rsidTr="00277097">
        <w:tc>
          <w:tcPr>
            <w:tcW w:w="5400" w:type="dxa"/>
          </w:tcPr>
          <w:p w14:paraId="657033F2" w14:textId="77777777" w:rsidR="00A63636" w:rsidRPr="00EF7CF9" w:rsidRDefault="00A63636" w:rsidP="000F31B4">
            <w:pPr>
              <w:pStyle w:val="ProductList-OfferingBody"/>
              <w:jc w:val="center"/>
            </w:pPr>
            <w:r>
              <w:t>&lt; 99,9%</w:t>
            </w:r>
          </w:p>
        </w:tc>
        <w:tc>
          <w:tcPr>
            <w:tcW w:w="5400" w:type="dxa"/>
          </w:tcPr>
          <w:p w14:paraId="1C85C580" w14:textId="77777777" w:rsidR="00A63636" w:rsidRPr="00EF7CF9" w:rsidRDefault="00A63636" w:rsidP="000F31B4">
            <w:pPr>
              <w:pStyle w:val="ProductList-OfferingBody"/>
              <w:jc w:val="center"/>
            </w:pPr>
            <w:r>
              <w:t>10%</w:t>
            </w:r>
          </w:p>
        </w:tc>
      </w:tr>
      <w:tr w:rsidR="00A63636" w:rsidRPr="00B44CF9" w14:paraId="0FE91B85" w14:textId="77777777" w:rsidTr="00277097">
        <w:tc>
          <w:tcPr>
            <w:tcW w:w="5400" w:type="dxa"/>
          </w:tcPr>
          <w:p w14:paraId="549727A1" w14:textId="77777777" w:rsidR="00A63636" w:rsidRPr="00EF7CF9" w:rsidRDefault="00A63636" w:rsidP="000F31B4">
            <w:pPr>
              <w:pStyle w:val="ProductList-OfferingBody"/>
              <w:jc w:val="center"/>
            </w:pPr>
            <w:r>
              <w:t>&lt; 99%</w:t>
            </w:r>
          </w:p>
        </w:tc>
        <w:tc>
          <w:tcPr>
            <w:tcW w:w="5400" w:type="dxa"/>
          </w:tcPr>
          <w:p w14:paraId="45D823FB" w14:textId="77777777" w:rsidR="00A63636" w:rsidRPr="00EF7CF9" w:rsidRDefault="00A63636" w:rsidP="000F31B4">
            <w:pPr>
              <w:pStyle w:val="ProductList-OfferingBody"/>
              <w:jc w:val="center"/>
            </w:pPr>
            <w:r>
              <w:t>25%</w:t>
            </w:r>
          </w:p>
        </w:tc>
      </w:tr>
    </w:tbl>
    <w:p w14:paraId="5DCD3F32" w14:textId="0D63632C" w:rsidR="00A63636" w:rsidRPr="00EF7CF9" w:rsidRDefault="00C71F89" w:rsidP="00A6363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F2AE185" w14:textId="6A4FFADF" w:rsidR="00B32146" w:rsidRDefault="00B32146" w:rsidP="00B22605">
      <w:pPr>
        <w:pStyle w:val="ProductList-Offering2Heading"/>
        <w:tabs>
          <w:tab w:val="clear" w:pos="360"/>
        </w:tabs>
        <w:outlineLvl w:val="2"/>
      </w:pPr>
      <w:bookmarkStart w:id="330" w:name="_Toc239175036"/>
      <w:bookmarkStart w:id="331" w:name="_Toc136456117"/>
      <w:proofErr w:type="spellStart"/>
      <w:r>
        <w:t>Azure</w:t>
      </w:r>
      <w:proofErr w:type="spellEnd"/>
      <w:r>
        <w:t xml:space="preserve"> </w:t>
      </w:r>
      <w:proofErr w:type="spellStart"/>
      <w:r>
        <w:t>Managed</w:t>
      </w:r>
      <w:proofErr w:type="spellEnd"/>
      <w:r>
        <w:t xml:space="preserve"> </w:t>
      </w:r>
      <w:proofErr w:type="spellStart"/>
      <w:r>
        <w:t>Grafana</w:t>
      </w:r>
      <w:bookmarkEnd w:id="330"/>
      <w:proofErr w:type="spellEnd"/>
    </w:p>
    <w:p w14:paraId="68F68565" w14:textId="77777777" w:rsidR="00366DF7" w:rsidRPr="009F364A" w:rsidRDefault="00366DF7" w:rsidP="00366DF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Dodatkowe definicje</w:t>
      </w:r>
      <w:r w:rsidRPr="009432EC">
        <w:rPr>
          <w:rFonts w:ascii="Calibri" w:eastAsia="Calibri" w:hAnsi="Calibri" w:cs="Arial"/>
          <w:b/>
          <w:bCs/>
          <w:sz w:val="18"/>
        </w:rPr>
        <w:t>:</w:t>
      </w:r>
    </w:p>
    <w:p w14:paraId="54686ECC" w14:textId="77777777" w:rsidR="00366DF7" w:rsidRPr="009F364A" w:rsidRDefault="00366DF7" w:rsidP="00366DF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Obszar Roboczy</w:t>
      </w:r>
      <w:r>
        <w:rPr>
          <w:rFonts w:ascii="Calibri" w:eastAsia="Calibri" w:hAnsi="Calibri" w:cs="Arial"/>
          <w:sz w:val="18"/>
        </w:rPr>
        <w:t xml:space="preserve">” to wdrożenie jednego lub większej liczby serwerów </w:t>
      </w:r>
      <w:proofErr w:type="spellStart"/>
      <w:r>
        <w:rPr>
          <w:rFonts w:ascii="Calibri" w:eastAsia="Calibri" w:hAnsi="Calibri" w:cs="Arial"/>
          <w:sz w:val="18"/>
        </w:rPr>
        <w:t>Grafana</w:t>
      </w:r>
      <w:proofErr w:type="spellEnd"/>
      <w:r>
        <w:rPr>
          <w:rFonts w:ascii="Calibri" w:eastAsia="Calibri" w:hAnsi="Calibri" w:cs="Arial"/>
          <w:sz w:val="18"/>
        </w:rPr>
        <w:t>.</w:t>
      </w:r>
    </w:p>
    <w:p w14:paraId="456F72A8" w14:textId="77777777" w:rsidR="00366DF7" w:rsidRPr="009F364A" w:rsidRDefault="00366DF7" w:rsidP="00366DF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Obliczanie Czasu Sprawnego Działania w Miesiącu i Poziomy Usługi dla usługi </w:t>
      </w:r>
      <w:proofErr w:type="spellStart"/>
      <w:r>
        <w:rPr>
          <w:rFonts w:ascii="Calibri" w:eastAsia="Calibri" w:hAnsi="Calibri" w:cs="Arial"/>
          <w:sz w:val="18"/>
        </w:rPr>
        <w:t>Azure</w:t>
      </w:r>
      <w:proofErr w:type="spellEnd"/>
      <w:r>
        <w:rPr>
          <w:rFonts w:ascii="Calibri" w:eastAsia="Calibri" w:hAnsi="Calibri" w:cs="Arial"/>
          <w:sz w:val="18"/>
        </w:rPr>
        <w:t xml:space="preserve"> </w:t>
      </w:r>
      <w:proofErr w:type="spellStart"/>
      <w:r>
        <w:rPr>
          <w:rFonts w:ascii="Calibri" w:eastAsia="Calibri" w:hAnsi="Calibri" w:cs="Arial"/>
          <w:sz w:val="18"/>
        </w:rPr>
        <w:t>Managed</w:t>
      </w:r>
      <w:proofErr w:type="spellEnd"/>
      <w:r>
        <w:rPr>
          <w:rFonts w:ascii="Calibri" w:eastAsia="Calibri" w:hAnsi="Calibri" w:cs="Arial"/>
          <w:sz w:val="18"/>
        </w:rPr>
        <w:t xml:space="preserve"> </w:t>
      </w:r>
      <w:proofErr w:type="spellStart"/>
      <w:r>
        <w:rPr>
          <w:rFonts w:ascii="Calibri" w:eastAsia="Calibri" w:hAnsi="Calibri" w:cs="Arial"/>
          <w:sz w:val="18"/>
        </w:rPr>
        <w:t>Grafana</w:t>
      </w:r>
      <w:proofErr w:type="spellEnd"/>
    </w:p>
    <w:p w14:paraId="5F8E7C1C" w14:textId="77777777" w:rsidR="00366DF7" w:rsidRPr="00E53A2C" w:rsidRDefault="00366DF7" w:rsidP="00366DF7">
      <w:pPr>
        <w:tabs>
          <w:tab w:val="left" w:pos="360"/>
          <w:tab w:val="left" w:pos="720"/>
          <w:tab w:val="left" w:pos="1080"/>
        </w:tabs>
        <w:spacing w:after="0" w:line="240" w:lineRule="auto"/>
        <w:rPr>
          <w:rFonts w:ascii="Calibri" w:eastAsia="Calibri" w:hAnsi="Calibri" w:cs="Calibri"/>
          <w:sz w:val="18"/>
          <w:szCs w:val="18"/>
        </w:rPr>
      </w:pPr>
      <w:r w:rsidRPr="00E53A2C">
        <w:rPr>
          <w:rFonts w:ascii="Calibri" w:hAnsi="Calibri" w:cs="Calibri"/>
          <w:sz w:val="18"/>
          <w:szCs w:val="18"/>
        </w:rPr>
        <w:t>„</w:t>
      </w:r>
      <w:r w:rsidRPr="00E53A2C">
        <w:rPr>
          <w:rFonts w:ascii="Calibri" w:eastAsia="Calibri" w:hAnsi="Calibri" w:cs="Calibri"/>
          <w:b/>
          <w:color w:val="00188F"/>
          <w:sz w:val="18"/>
          <w:szCs w:val="18"/>
        </w:rPr>
        <w:t>Minuty Wdrożenia</w:t>
      </w:r>
      <w:r w:rsidRPr="00E53A2C">
        <w:rPr>
          <w:rFonts w:ascii="Calibri" w:eastAsia="Calibri" w:hAnsi="Calibri" w:cs="Calibri"/>
          <w:sz w:val="18"/>
          <w:szCs w:val="18"/>
        </w:rPr>
        <w:t xml:space="preserve">” to łączna liczba minut, przez które dany Obszar Roboczy został wdrożony na platformie Microsoft </w:t>
      </w:r>
      <w:proofErr w:type="spellStart"/>
      <w:r w:rsidRPr="00E53A2C">
        <w:rPr>
          <w:rFonts w:ascii="Calibri" w:eastAsia="Calibri" w:hAnsi="Calibri" w:cs="Calibri"/>
          <w:sz w:val="18"/>
          <w:szCs w:val="18"/>
        </w:rPr>
        <w:t>Azure</w:t>
      </w:r>
      <w:proofErr w:type="spellEnd"/>
      <w:r w:rsidRPr="00E53A2C">
        <w:rPr>
          <w:rFonts w:ascii="Calibri" w:eastAsia="Calibri" w:hAnsi="Calibri" w:cs="Calibri"/>
          <w:sz w:val="18"/>
          <w:szCs w:val="18"/>
        </w:rPr>
        <w:t xml:space="preserve"> w miesiącu rozliczeniowym.</w:t>
      </w:r>
    </w:p>
    <w:p w14:paraId="783C1948" w14:textId="77777777" w:rsidR="00366DF7" w:rsidRPr="00975892" w:rsidRDefault="00366DF7" w:rsidP="00366DF7">
      <w:pPr>
        <w:tabs>
          <w:tab w:val="left" w:pos="360"/>
          <w:tab w:val="left" w:pos="720"/>
          <w:tab w:val="left" w:pos="1080"/>
        </w:tabs>
        <w:spacing w:after="0" w:line="240" w:lineRule="auto"/>
        <w:rPr>
          <w:rFonts w:ascii="Calibri" w:eastAsia="Calibri" w:hAnsi="Calibri" w:cs="Calibri"/>
          <w:sz w:val="18"/>
          <w:szCs w:val="18"/>
        </w:rPr>
      </w:pPr>
      <w:r w:rsidRPr="00975892">
        <w:rPr>
          <w:rFonts w:ascii="Calibri" w:hAnsi="Calibri" w:cs="Calibri"/>
          <w:sz w:val="18"/>
          <w:szCs w:val="18"/>
        </w:rPr>
        <w:t>„</w:t>
      </w:r>
      <w:r w:rsidRPr="00975892">
        <w:rPr>
          <w:rFonts w:ascii="Calibri" w:eastAsia="Calibri" w:hAnsi="Calibri" w:cs="Calibri"/>
          <w:b/>
          <w:color w:val="00188F"/>
          <w:sz w:val="18"/>
          <w:szCs w:val="18"/>
        </w:rPr>
        <w:t>Maksymalna Liczba Dostępnych Minut</w:t>
      </w:r>
      <w:r w:rsidRPr="00975892">
        <w:rPr>
          <w:rFonts w:ascii="Calibri" w:eastAsia="Calibri" w:hAnsi="Calibri" w:cs="Calibri"/>
          <w:sz w:val="18"/>
          <w:szCs w:val="18"/>
        </w:rPr>
        <w:t xml:space="preserve">” to suma wszystkich Minut Wdrożenia we wszystkich Obszarach Roboczych wdrożonych przez użytkownika w ramach danej subskrypcji Microsoft </w:t>
      </w:r>
      <w:proofErr w:type="spellStart"/>
      <w:r w:rsidRPr="00975892">
        <w:rPr>
          <w:rFonts w:ascii="Calibri" w:eastAsia="Calibri" w:hAnsi="Calibri" w:cs="Calibri"/>
          <w:sz w:val="18"/>
          <w:szCs w:val="18"/>
        </w:rPr>
        <w:t>Azure</w:t>
      </w:r>
      <w:proofErr w:type="spellEnd"/>
      <w:r w:rsidRPr="00975892">
        <w:rPr>
          <w:rFonts w:ascii="Calibri" w:eastAsia="Calibri" w:hAnsi="Calibri" w:cs="Calibri"/>
          <w:sz w:val="18"/>
          <w:szCs w:val="18"/>
        </w:rPr>
        <w:t xml:space="preserve"> w miesiącu rozliczeniowym.</w:t>
      </w:r>
    </w:p>
    <w:p w14:paraId="34A2DA90" w14:textId="77777777" w:rsidR="00366DF7" w:rsidRPr="00975892" w:rsidRDefault="00366DF7" w:rsidP="00366DF7">
      <w:pPr>
        <w:tabs>
          <w:tab w:val="left" w:pos="360"/>
          <w:tab w:val="left" w:pos="720"/>
          <w:tab w:val="left" w:pos="1080"/>
        </w:tabs>
        <w:spacing w:after="0" w:line="240" w:lineRule="auto"/>
        <w:rPr>
          <w:rFonts w:ascii="Calibri" w:eastAsia="Calibri" w:hAnsi="Calibri" w:cs="Calibri"/>
          <w:sz w:val="18"/>
          <w:szCs w:val="18"/>
        </w:rPr>
      </w:pPr>
      <w:r w:rsidRPr="00975892">
        <w:rPr>
          <w:rFonts w:ascii="Calibri" w:hAnsi="Calibri" w:cs="Calibri"/>
          <w:sz w:val="18"/>
          <w:szCs w:val="18"/>
        </w:rPr>
        <w:t>„</w:t>
      </w:r>
      <w:proofErr w:type="spellStart"/>
      <w:r w:rsidRPr="00975892">
        <w:rPr>
          <w:rFonts w:ascii="Calibri" w:eastAsia="Calibri" w:hAnsi="Calibri" w:cs="Calibri"/>
          <w:b/>
          <w:color w:val="00188F"/>
          <w:sz w:val="18"/>
          <w:szCs w:val="18"/>
        </w:rPr>
        <w:t>Downtime</w:t>
      </w:r>
      <w:proofErr w:type="spellEnd"/>
      <w:r w:rsidRPr="00975892">
        <w:rPr>
          <w:rFonts w:ascii="Calibri" w:eastAsia="Calibri" w:hAnsi="Calibri" w:cs="Calibri"/>
          <w:sz w:val="18"/>
          <w:szCs w:val="18"/>
        </w:rPr>
        <w:t xml:space="preserve">” to suma wszystkich Minut Wdrożenia dla wszystkich Obszarów Roboczych wdrożonych przez Klienta w ramach danej subskrypcji Microsoft </w:t>
      </w:r>
      <w:proofErr w:type="spellStart"/>
      <w:r w:rsidRPr="00975892">
        <w:rPr>
          <w:rFonts w:ascii="Calibri" w:eastAsia="Calibri" w:hAnsi="Calibri" w:cs="Calibri"/>
          <w:sz w:val="18"/>
          <w:szCs w:val="18"/>
        </w:rPr>
        <w:t>Azure</w:t>
      </w:r>
      <w:proofErr w:type="spellEnd"/>
      <w:r w:rsidRPr="00975892">
        <w:rPr>
          <w:rFonts w:ascii="Calibri" w:eastAsia="Calibri" w:hAnsi="Calibri" w:cs="Calibri"/>
          <w:sz w:val="18"/>
          <w:szCs w:val="18"/>
        </w:rPr>
        <w:t xml:space="preserve"> w miesiącu rozliczeniowym, w czasie których dany Obszar Roboczy jest niedostępny. Minuta jest uznawana za minutę niedostępności dla danego Obszaru Roboczego, jeśli wszystkie zainicjowane w ciągu tej minuty kolejne żądania HTTP przesłane w celu wykonania operacji zwracają Kod Błędu albo nie zwracają żadnej odpowiedzi.</w:t>
      </w:r>
    </w:p>
    <w:p w14:paraId="66A7A672" w14:textId="77777777" w:rsidR="00366DF7" w:rsidRPr="00975892" w:rsidRDefault="00366DF7" w:rsidP="00366DF7">
      <w:pPr>
        <w:tabs>
          <w:tab w:val="left" w:pos="360"/>
          <w:tab w:val="left" w:pos="720"/>
          <w:tab w:val="left" w:pos="1080"/>
        </w:tabs>
        <w:spacing w:after="0" w:line="240" w:lineRule="auto"/>
        <w:rPr>
          <w:rFonts w:ascii="Calibri" w:eastAsia="Calibri" w:hAnsi="Calibri" w:cs="Calibri"/>
          <w:sz w:val="18"/>
          <w:szCs w:val="18"/>
        </w:rPr>
      </w:pPr>
      <w:r w:rsidRPr="00975892">
        <w:rPr>
          <w:rFonts w:ascii="Calibri" w:eastAsia="Calibri" w:hAnsi="Calibri" w:cs="Calibri"/>
          <w:sz w:val="18"/>
          <w:szCs w:val="18"/>
        </w:rPr>
        <w:t>„</w:t>
      </w:r>
      <w:r w:rsidRPr="00975892">
        <w:rPr>
          <w:rFonts w:ascii="Calibri" w:eastAsia="Calibri" w:hAnsi="Calibri" w:cs="Calibri"/>
          <w:b/>
          <w:color w:val="00188F"/>
          <w:sz w:val="18"/>
          <w:szCs w:val="18"/>
        </w:rPr>
        <w:t>Procent Czasu Sprawnego Działania w Miesiącu</w:t>
      </w:r>
      <w:r w:rsidRPr="00975892">
        <w:rPr>
          <w:rFonts w:ascii="Calibri" w:eastAsia="Calibri" w:hAnsi="Calibri" w:cs="Calibri"/>
          <w:sz w:val="18"/>
          <w:szCs w:val="18"/>
        </w:rPr>
        <w:t xml:space="preserve">” dla usługi </w:t>
      </w:r>
      <w:proofErr w:type="spellStart"/>
      <w:r w:rsidRPr="00975892">
        <w:rPr>
          <w:rFonts w:ascii="Calibri" w:eastAsia="Calibri" w:hAnsi="Calibri" w:cs="Calibri"/>
          <w:sz w:val="18"/>
          <w:szCs w:val="18"/>
        </w:rPr>
        <w:t>Azure</w:t>
      </w:r>
      <w:proofErr w:type="spellEnd"/>
      <w:r w:rsidRPr="00975892">
        <w:rPr>
          <w:rFonts w:ascii="Calibri" w:eastAsia="Calibri" w:hAnsi="Calibri" w:cs="Calibri"/>
          <w:sz w:val="18"/>
          <w:szCs w:val="18"/>
        </w:rPr>
        <w:t xml:space="preserve"> </w:t>
      </w:r>
      <w:proofErr w:type="spellStart"/>
      <w:r w:rsidRPr="00975892">
        <w:rPr>
          <w:rFonts w:ascii="Calibri" w:eastAsia="Calibri" w:hAnsi="Calibri" w:cs="Calibri"/>
          <w:sz w:val="18"/>
          <w:szCs w:val="18"/>
        </w:rPr>
        <w:t>Managed</w:t>
      </w:r>
      <w:proofErr w:type="spellEnd"/>
      <w:r w:rsidRPr="00975892">
        <w:rPr>
          <w:rFonts w:ascii="Calibri" w:eastAsia="Calibri" w:hAnsi="Calibri" w:cs="Calibri"/>
          <w:sz w:val="18"/>
          <w:szCs w:val="18"/>
        </w:rPr>
        <w:t xml:space="preserve"> </w:t>
      </w:r>
      <w:proofErr w:type="spellStart"/>
      <w:r w:rsidRPr="00975892">
        <w:rPr>
          <w:rFonts w:ascii="Calibri" w:eastAsia="Calibri" w:hAnsi="Calibri" w:cs="Calibri"/>
          <w:sz w:val="18"/>
          <w:szCs w:val="18"/>
        </w:rPr>
        <w:t>Grafana</w:t>
      </w:r>
      <w:proofErr w:type="spellEnd"/>
      <w:r w:rsidRPr="00975892">
        <w:rPr>
          <w:rFonts w:ascii="Calibri" w:eastAsia="Calibri" w:hAnsi="Calibri" w:cs="Calibri"/>
          <w:sz w:val="18"/>
          <w:szCs w:val="18"/>
        </w:rPr>
        <w:t xml:space="preserve"> to Maksymalna Liczba Dostępnych Minut pomniejszona o Przestój podzielona przez Maksymalną Liczbę Dostępnych Minut. Procent Czasu Sprawnego Działania w Miesiącu oblicza się według poniższego wzoru:</w:t>
      </w:r>
    </w:p>
    <w:p w14:paraId="1FE1D550" w14:textId="77777777" w:rsidR="00366DF7" w:rsidRPr="009F364A" w:rsidRDefault="00000000" w:rsidP="000F21C1">
      <w:pPr>
        <w:spacing w:after="120" w:line="240" w:lineRule="auto"/>
        <w:ind w:left="720"/>
        <w:rPr>
          <w:rFonts w:ascii="Cambria Math" w:eastAsia="Calibri" w:hAnsi="Cambria Math" w:cs="Tahoma"/>
          <w:i/>
          <w:sz w:val="12"/>
          <w:szCs w:val="12"/>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Maksymalna Liczba Minut Dostępności - Przestój</m:t>
              </m:r>
            </m:num>
            <m:den>
              <m:r>
                <m:rPr>
                  <m:nor/>
                </m:rPr>
                <w:rPr>
                  <w:rFonts w:ascii="Cambria Math" w:eastAsia="Calibri" w:hAnsi="Cambria Math" w:cs="Tahoma"/>
                  <w:i/>
                  <w:sz w:val="18"/>
                  <w:szCs w:val="18"/>
                </w:rPr>
                <m:t>Maksymalna Liczba Dostępnych Minut</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4DC46A88" w14:textId="596A6BB2" w:rsidR="00366DF7" w:rsidRPr="00366DF7" w:rsidRDefault="00366DF7" w:rsidP="00366DF7">
      <w:pPr>
        <w:tabs>
          <w:tab w:val="left" w:pos="360"/>
          <w:tab w:val="left" w:pos="720"/>
          <w:tab w:val="left" w:pos="1080"/>
        </w:tabs>
        <w:spacing w:after="0" w:line="240" w:lineRule="auto"/>
        <w:rPr>
          <w:b/>
          <w:color w:val="00188F"/>
          <w:sz w:val="18"/>
        </w:rPr>
      </w:pPr>
      <w:r w:rsidRPr="00366DF7">
        <w:rPr>
          <w:b/>
          <w:color w:val="00188F"/>
          <w:sz w:val="18"/>
        </w:rPr>
        <w:t xml:space="preserve">Następujące Poziomy Usługi i Środki Serwisowe na Używanie Usług mają zastosowanie do używania przez Klienta usługi </w:t>
      </w:r>
      <w:proofErr w:type="spellStart"/>
      <w:r w:rsidRPr="00366DF7">
        <w:rPr>
          <w:b/>
          <w:color w:val="00188F"/>
          <w:sz w:val="18"/>
        </w:rPr>
        <w:t>Azure</w:t>
      </w:r>
      <w:proofErr w:type="spellEnd"/>
      <w:r w:rsidRPr="00366DF7">
        <w:rPr>
          <w:b/>
          <w:color w:val="00188F"/>
          <w:sz w:val="18"/>
        </w:rPr>
        <w:t xml:space="preserve"> </w:t>
      </w:r>
      <w:proofErr w:type="spellStart"/>
      <w:r w:rsidRPr="00366DF7">
        <w:rPr>
          <w:b/>
          <w:color w:val="00188F"/>
          <w:sz w:val="18"/>
        </w:rPr>
        <w:t>Managed</w:t>
      </w:r>
      <w:proofErr w:type="spellEnd"/>
      <w:r w:rsidRPr="00366DF7">
        <w:rPr>
          <w:b/>
          <w:color w:val="00188F"/>
          <w:sz w:val="18"/>
        </w:rPr>
        <w:t xml:space="preserve"> </w:t>
      </w:r>
      <w:proofErr w:type="spellStart"/>
      <w:r w:rsidRPr="00366DF7">
        <w:rPr>
          <w:b/>
          <w:color w:val="00188F"/>
          <w:sz w:val="18"/>
        </w:rPr>
        <w:t>Grafana</w:t>
      </w:r>
      <w:proofErr w:type="spellEnd"/>
      <w:r w:rsidRPr="00366DF7">
        <w:rPr>
          <w:b/>
          <w:color w:val="00188F"/>
          <w:sz w:val="18"/>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5"/>
        <w:gridCol w:w="5395"/>
      </w:tblGrid>
      <w:tr w:rsidR="00366DF7" w:rsidRPr="009F364A" w14:paraId="73C11725" w14:textId="77777777" w:rsidTr="00B7121A">
        <w:trPr>
          <w:tblHeader/>
        </w:trPr>
        <w:tc>
          <w:tcPr>
            <w:tcW w:w="2500" w:type="pct"/>
            <w:shd w:val="clear" w:color="auto" w:fill="0072C6"/>
          </w:tcPr>
          <w:p w14:paraId="0337D141" w14:textId="77777777" w:rsidR="00366DF7" w:rsidRPr="009F364A" w:rsidRDefault="00366DF7"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 w Miesiącu</w:t>
            </w:r>
          </w:p>
        </w:tc>
        <w:tc>
          <w:tcPr>
            <w:tcW w:w="2500" w:type="pct"/>
            <w:shd w:val="clear" w:color="auto" w:fill="0072C6"/>
          </w:tcPr>
          <w:p w14:paraId="0F636908" w14:textId="77777777" w:rsidR="00366DF7" w:rsidRPr="009F364A" w:rsidRDefault="00366DF7" w:rsidP="00B7121A">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366DF7" w:rsidRPr="009F364A" w14:paraId="27E0F086" w14:textId="77777777" w:rsidTr="00B7121A">
        <w:tc>
          <w:tcPr>
            <w:tcW w:w="2500" w:type="pct"/>
          </w:tcPr>
          <w:p w14:paraId="51A1E2F9" w14:textId="77777777" w:rsidR="00366DF7" w:rsidRPr="009F364A" w:rsidRDefault="00366DF7"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99,9%</w:t>
            </w:r>
          </w:p>
        </w:tc>
        <w:tc>
          <w:tcPr>
            <w:tcW w:w="2500" w:type="pct"/>
          </w:tcPr>
          <w:p w14:paraId="4A8D401A" w14:textId="77777777" w:rsidR="00366DF7" w:rsidRPr="009F364A" w:rsidRDefault="00366DF7"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66DF7" w:rsidRPr="009F364A" w14:paraId="30748815" w14:textId="77777777" w:rsidTr="00B7121A">
        <w:tc>
          <w:tcPr>
            <w:tcW w:w="2500" w:type="pct"/>
          </w:tcPr>
          <w:p w14:paraId="7B781EAA" w14:textId="77777777" w:rsidR="00366DF7" w:rsidRPr="009F364A" w:rsidRDefault="00366DF7"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2500" w:type="pct"/>
          </w:tcPr>
          <w:p w14:paraId="4A3D65BB" w14:textId="77777777" w:rsidR="00366DF7" w:rsidRPr="009F364A" w:rsidRDefault="00366DF7" w:rsidP="00B7121A">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6BED5F32" w14:textId="77777777" w:rsidR="00366DF7" w:rsidRPr="00EF7CF9" w:rsidRDefault="00366DF7" w:rsidP="00366DF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8630501" w14:textId="67DED6FA" w:rsidR="00B22605" w:rsidRPr="0096559A" w:rsidRDefault="00B22605" w:rsidP="00B22605">
      <w:pPr>
        <w:pStyle w:val="ProductList-Offering2Heading"/>
        <w:tabs>
          <w:tab w:val="clear" w:pos="360"/>
        </w:tabs>
        <w:outlineLvl w:val="2"/>
        <w:rPr>
          <w:lang w:val="en-US"/>
        </w:rPr>
      </w:pPr>
      <w:bookmarkStart w:id="332" w:name="_Toc239175037"/>
      <w:r w:rsidRPr="0096559A">
        <w:rPr>
          <w:lang w:val="en-US"/>
        </w:rPr>
        <w:t>Azure Managed Instance for Apache Cassandra</w:t>
      </w:r>
      <w:bookmarkEnd w:id="331"/>
      <w:bookmarkEnd w:id="332"/>
    </w:p>
    <w:p w14:paraId="19C3C8E3" w14:textId="77777777" w:rsidR="00B22605" w:rsidRDefault="00B22605" w:rsidP="00B22605">
      <w:pPr>
        <w:pStyle w:val="ProductList-Body"/>
      </w:pPr>
      <w:r>
        <w:rPr>
          <w:b/>
          <w:color w:val="00188F"/>
        </w:rPr>
        <w:t>Dodatkowe definicje</w:t>
      </w:r>
      <w:r w:rsidRPr="0034704E">
        <w:rPr>
          <w:b/>
          <w:color w:val="00188F"/>
        </w:rPr>
        <w:t>:</w:t>
      </w:r>
    </w:p>
    <w:p w14:paraId="06FE77EC" w14:textId="77777777" w:rsidR="00B22605" w:rsidRDefault="00B22605" w:rsidP="00B22605">
      <w:pPr>
        <w:pStyle w:val="ProductList-Body"/>
      </w:pPr>
      <w:r>
        <w:t>„</w:t>
      </w:r>
      <w:r>
        <w:rPr>
          <w:b/>
          <w:color w:val="00188F"/>
        </w:rPr>
        <w:t>Strefa Dostępności</w:t>
      </w:r>
      <w:r>
        <w:t xml:space="preserve">” to bezawaryjny obszar w regionie </w:t>
      </w:r>
      <w:proofErr w:type="spellStart"/>
      <w:r>
        <w:t>Azure</w:t>
      </w:r>
      <w:proofErr w:type="spellEnd"/>
      <w:r>
        <w:t xml:space="preserve"> zapewniający nadmiarowe zasilanie, chłodzenie i funkcje sieciowe.</w:t>
      </w:r>
    </w:p>
    <w:p w14:paraId="6B4B48D6" w14:textId="77777777" w:rsidR="00B22605" w:rsidRDefault="00B22605" w:rsidP="00B22605">
      <w:pPr>
        <w:pStyle w:val="ProductList-Body"/>
      </w:pPr>
      <w:r>
        <w:t>„</w:t>
      </w:r>
      <w:r>
        <w:rPr>
          <w:b/>
          <w:color w:val="00188F"/>
        </w:rPr>
        <w:t xml:space="preserve">Centrum Przetwarzania Danych </w:t>
      </w:r>
      <w:proofErr w:type="spellStart"/>
      <w:r>
        <w:rPr>
          <w:b/>
          <w:color w:val="00188F"/>
        </w:rPr>
        <w:t>Cassandra</w:t>
      </w:r>
      <w:proofErr w:type="spellEnd"/>
      <w:r>
        <w:t xml:space="preserve">” to co najmniej trzy Węzły o typowej konfiguracji i nazwie „Centrum Przetwarzania Danych </w:t>
      </w:r>
      <w:proofErr w:type="spellStart"/>
      <w:r>
        <w:t>Cassandra</w:t>
      </w:r>
      <w:proofErr w:type="spellEnd"/>
      <w:r>
        <w:t xml:space="preserve">”, które wdrożono w regionie przy użyciu usługi </w:t>
      </w:r>
      <w:proofErr w:type="spellStart"/>
      <w:r>
        <w:t>Azure</w:t>
      </w:r>
      <w:proofErr w:type="spellEnd"/>
      <w:r>
        <w:t xml:space="preserve"> </w:t>
      </w:r>
      <w:proofErr w:type="spellStart"/>
      <w:r>
        <w:t>Managed</w:t>
      </w:r>
      <w:proofErr w:type="spellEnd"/>
      <w:r>
        <w:t xml:space="preserve"> </w:t>
      </w:r>
      <w:proofErr w:type="spellStart"/>
      <w:r>
        <w:t>Instance</w:t>
      </w:r>
      <w:proofErr w:type="spellEnd"/>
      <w:r>
        <w:t xml:space="preserve"> for Apache </w:t>
      </w:r>
      <w:proofErr w:type="spellStart"/>
      <w:r>
        <w:t>Cassandra</w:t>
      </w:r>
      <w:proofErr w:type="spellEnd"/>
      <w:r>
        <w:t>.</w:t>
      </w:r>
    </w:p>
    <w:p w14:paraId="42362B1C" w14:textId="77777777" w:rsidR="00B22605" w:rsidRDefault="00B22605" w:rsidP="00B22605">
      <w:pPr>
        <w:pStyle w:val="ProductList-Body"/>
      </w:pPr>
      <w:r>
        <w:t>„</w:t>
      </w:r>
      <w:r>
        <w:rPr>
          <w:b/>
          <w:color w:val="00188F"/>
        </w:rPr>
        <w:t>Węzeł</w:t>
      </w:r>
      <w:r>
        <w:t xml:space="preserve">” to pojedyncza maszyna wirtualna wdrożona w regionie przy użyciu usługi </w:t>
      </w:r>
      <w:proofErr w:type="spellStart"/>
      <w:r>
        <w:t>Azure</w:t>
      </w:r>
      <w:proofErr w:type="spellEnd"/>
      <w:r>
        <w:t xml:space="preserve"> </w:t>
      </w:r>
      <w:proofErr w:type="spellStart"/>
      <w:r>
        <w:t>Managed</w:t>
      </w:r>
      <w:proofErr w:type="spellEnd"/>
      <w:r>
        <w:t xml:space="preserve"> </w:t>
      </w:r>
      <w:proofErr w:type="spellStart"/>
      <w:r>
        <w:t>Instance</w:t>
      </w:r>
      <w:proofErr w:type="spellEnd"/>
      <w:r>
        <w:t xml:space="preserve"> for Apache </w:t>
      </w:r>
      <w:proofErr w:type="spellStart"/>
      <w:r>
        <w:t>Cassandra</w:t>
      </w:r>
      <w:proofErr w:type="spellEnd"/>
      <w:r>
        <w:t>.</w:t>
      </w:r>
    </w:p>
    <w:p w14:paraId="3320A445" w14:textId="77777777" w:rsidR="00B22605" w:rsidRDefault="00B22605" w:rsidP="00B22605">
      <w:pPr>
        <w:pStyle w:val="ProductList-Body"/>
      </w:pPr>
      <w:r>
        <w:t>„</w:t>
      </w:r>
      <w:r>
        <w:rPr>
          <w:b/>
          <w:color w:val="00188F"/>
        </w:rPr>
        <w:t>Zgodna Konfiguracja Sieci</w:t>
      </w:r>
      <w:r>
        <w:t xml:space="preserve">” to pełen zestaw wymaganych konfiguracji Sieci Wirtualnej Microsoft </w:t>
      </w:r>
      <w:proofErr w:type="spellStart"/>
      <w:r>
        <w:t>Azure</w:t>
      </w:r>
      <w:proofErr w:type="spellEnd"/>
      <w:r>
        <w:t xml:space="preserve"> hostującej Centrum Przetwarzania Danych </w:t>
      </w:r>
      <w:proofErr w:type="spellStart"/>
      <w:r>
        <w:t>Cassandra</w:t>
      </w:r>
      <w:proofErr w:type="spellEnd"/>
      <w:r>
        <w:t xml:space="preserve">, w tym reguły zabezpieczeń ruchu przychodzącego zapewniane przez Grupę Zabezpieczeń Sieci Wirtualnej Microsoft </w:t>
      </w:r>
      <w:proofErr w:type="spellStart"/>
      <w:r>
        <w:t>Azure</w:t>
      </w:r>
      <w:proofErr w:type="spellEnd"/>
      <w:r>
        <w:t xml:space="preserve"> oraz obowiązkowe Zdefiniowane przez Użytkownika Microsoft </w:t>
      </w:r>
      <w:proofErr w:type="spellStart"/>
      <w:r>
        <w:t>Azure</w:t>
      </w:r>
      <w:proofErr w:type="spellEnd"/>
      <w:r>
        <w:t xml:space="preserve"> Trasy dla Podsieci Sieci Wirtualnej Microsoft </w:t>
      </w:r>
      <w:proofErr w:type="spellStart"/>
      <w:r>
        <w:t>Azure</w:t>
      </w:r>
      <w:proofErr w:type="spellEnd"/>
      <w:r>
        <w:t xml:space="preserve"> hostującej Centrum Przetwarzania Danych </w:t>
      </w:r>
      <w:proofErr w:type="spellStart"/>
      <w:r>
        <w:t>Cassandra</w:t>
      </w:r>
      <w:proofErr w:type="spellEnd"/>
      <w:r>
        <w:t xml:space="preserve">, zezwalający na nieprzerwany ruch zarządzający oraz na przesyłanie danych do dedykowanej bramy znajdującej się w Podsieci Sieci Wirtualnej Microsoft </w:t>
      </w:r>
      <w:proofErr w:type="spellStart"/>
      <w:r>
        <w:t>Azure</w:t>
      </w:r>
      <w:proofErr w:type="spellEnd"/>
      <w:r>
        <w:t xml:space="preserve"> hostującej Centrum Przetwarzania Danych </w:t>
      </w:r>
      <w:proofErr w:type="spellStart"/>
      <w:r>
        <w:t>Cassandra</w:t>
      </w:r>
      <w:proofErr w:type="spellEnd"/>
      <w:r>
        <w:t>.</w:t>
      </w:r>
    </w:p>
    <w:p w14:paraId="064AAF68" w14:textId="77777777" w:rsidR="00B22605" w:rsidRPr="00D17641" w:rsidRDefault="00B22605" w:rsidP="00B22605">
      <w:pPr>
        <w:pStyle w:val="ProductList-Body"/>
        <w:rPr>
          <w:sz w:val="12"/>
          <w:szCs w:val="12"/>
        </w:rPr>
      </w:pPr>
    </w:p>
    <w:p w14:paraId="7A37CF11" w14:textId="1F91BE2E" w:rsidR="00B22605" w:rsidRPr="00FC0DFA" w:rsidRDefault="00B22605" w:rsidP="00B22605">
      <w:pPr>
        <w:pStyle w:val="ProductList-Body"/>
        <w:rPr>
          <w:b/>
          <w:color w:val="00188F"/>
        </w:rPr>
      </w:pPr>
      <w:r>
        <w:rPr>
          <w:b/>
          <w:color w:val="00188F"/>
        </w:rPr>
        <w:t xml:space="preserve">Obliczanie Czasu Sprawnego Działania i Poziomy Usługi dla Centrów Przetwarzania Danych </w:t>
      </w:r>
      <w:proofErr w:type="spellStart"/>
      <w:r>
        <w:rPr>
          <w:b/>
          <w:color w:val="00188F"/>
        </w:rPr>
        <w:t>Cassandra</w:t>
      </w:r>
      <w:proofErr w:type="spellEnd"/>
    </w:p>
    <w:p w14:paraId="4A0FB869" w14:textId="77777777" w:rsidR="00B22605" w:rsidRDefault="00B22605" w:rsidP="00B22605">
      <w:pPr>
        <w:pStyle w:val="ProductList-Body"/>
      </w:pPr>
      <w:r>
        <w:t>„</w:t>
      </w:r>
      <w:r>
        <w:rPr>
          <w:b/>
          <w:color w:val="00188F"/>
        </w:rPr>
        <w:t>Maksymalna Liczba Dostępnych Minut</w:t>
      </w:r>
      <w:r>
        <w:t xml:space="preserve">” to łączna zakumulowana liczba minut w trakcie miesiąca rozliczeniowego dla wszystkich Centrów Przetwarzania Danych </w:t>
      </w:r>
      <w:proofErr w:type="spellStart"/>
      <w:r>
        <w:t>Cassandra</w:t>
      </w:r>
      <w:proofErr w:type="spellEnd"/>
      <w:r>
        <w:t xml:space="preserve">, które mają wdrożone co najmniej trzy Węzły. Maksymalna Liczba Dostępnych Minut jest mierzona od momentu uruchomienia co najmniej trzech Węzłów w tym samym Centrum Przetwarzania Danych </w:t>
      </w:r>
      <w:proofErr w:type="spellStart"/>
      <w:r>
        <w:t>Cassandra</w:t>
      </w:r>
      <w:proofErr w:type="spellEnd"/>
      <w:r>
        <w:t xml:space="preserve"> w wyniku działania zainicjowanego przez Klienta do momentu, gdy Klient zainicjuje działanie, które spowoduje zatrzymanie albo usunięcie danego Centrum Przetwarzania Danych </w:t>
      </w:r>
      <w:proofErr w:type="spellStart"/>
      <w:r>
        <w:t>Cassandra</w:t>
      </w:r>
      <w:proofErr w:type="spellEnd"/>
      <w:r>
        <w:t>.</w:t>
      </w:r>
    </w:p>
    <w:p w14:paraId="58226A16" w14:textId="77777777" w:rsidR="00B22605" w:rsidRDefault="00B22605" w:rsidP="00B22605">
      <w:pPr>
        <w:pStyle w:val="ProductList-Body"/>
      </w:pPr>
      <w:r>
        <w:t>„</w:t>
      </w:r>
      <w:r>
        <w:rPr>
          <w:b/>
          <w:color w:val="00188F"/>
        </w:rPr>
        <w:t>Przestój</w:t>
      </w:r>
      <w:r>
        <w:t xml:space="preserve">” to łączna zakumulowana liczba minut stanowiących część Maksymalnej Liczby Dostępnych Minut, w czasie których nie ma stałej łączności z kworum Węzłów z Centrum Przetwarzania Danych </w:t>
      </w:r>
      <w:proofErr w:type="spellStart"/>
      <w:r>
        <w:t>Cassandra</w:t>
      </w:r>
      <w:proofErr w:type="spellEnd"/>
      <w:r>
        <w:t xml:space="preserve"> w danym regionie.</w:t>
      </w:r>
    </w:p>
    <w:p w14:paraId="3B4CB4F2" w14:textId="517D0727" w:rsidR="00B22605" w:rsidRDefault="00B22605" w:rsidP="00B22605">
      <w:pPr>
        <w:pStyle w:val="ProductList-Body"/>
      </w:pPr>
      <w:r>
        <w:t>„</w:t>
      </w:r>
      <w:r>
        <w:rPr>
          <w:b/>
          <w:color w:val="00188F"/>
        </w:rPr>
        <w:t>Procent Czasu Sprawnego Działania</w:t>
      </w:r>
      <w:r w:rsidR="00781AEE">
        <w:t>”</w:t>
      </w:r>
      <w:r>
        <w:t xml:space="preserve"> dla Centrów Przetwarzania Danych </w:t>
      </w:r>
      <w:proofErr w:type="spellStart"/>
      <w:r>
        <w:t>Cassandra</w:t>
      </w:r>
      <w:proofErr w:type="spellEnd"/>
      <w:r>
        <w:t xml:space="preserve"> to Maksymalna Liczba Minut Dostępności pomniejszona o Przestój podzielona przez Maksymalną Liczbę Minut Dostępności we Właściwym Okresie dla danej subskrypcji Microsoft </w:t>
      </w:r>
      <w:proofErr w:type="spellStart"/>
      <w:r>
        <w:t>Azure</w:t>
      </w:r>
      <w:proofErr w:type="spellEnd"/>
      <w:r>
        <w:t>. Procent Czasu Sprawnego Działania przedstawia się za pomocą następującego wzoru:</w:t>
      </w:r>
    </w:p>
    <w:p w14:paraId="3FF9F6FA" w14:textId="1BFA66F7" w:rsidR="00B22605" w:rsidRPr="005D67E8" w:rsidRDefault="00000000" w:rsidP="00261A34">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683402B" w14:textId="77777777" w:rsidR="00B22605" w:rsidRPr="00FC0DFA" w:rsidRDefault="00B22605" w:rsidP="00B22605">
      <w:pPr>
        <w:pStyle w:val="ProductList-Body"/>
        <w:rPr>
          <w:b/>
          <w:color w:val="00188F"/>
        </w:rPr>
      </w:pPr>
      <w:r>
        <w:rPr>
          <w:b/>
          <w:color w:val="00188F"/>
        </w:rPr>
        <w:t xml:space="preserve">Do używania przez Klienta Centrum Przetwarzania Danych </w:t>
      </w:r>
      <w:proofErr w:type="spellStart"/>
      <w:r>
        <w:rPr>
          <w:b/>
          <w:color w:val="00188F"/>
        </w:rPr>
        <w:t>Cassandra</w:t>
      </w:r>
      <w:proofErr w:type="spellEnd"/>
      <w:r>
        <w:rPr>
          <w:b/>
          <w:color w:val="00188F"/>
        </w:rPr>
        <w:t xml:space="preserve"> ze Zgodną Konfiguracją Sieci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12C8B635" w14:textId="77777777" w:rsidTr="00963F40">
        <w:trPr>
          <w:tblHeader/>
        </w:trPr>
        <w:tc>
          <w:tcPr>
            <w:tcW w:w="5400" w:type="dxa"/>
            <w:shd w:val="clear" w:color="auto" w:fill="0072C6"/>
          </w:tcPr>
          <w:p w14:paraId="34417DF9" w14:textId="15D21924" w:rsidR="00B22605" w:rsidRPr="00EF7CF9" w:rsidRDefault="00B22605" w:rsidP="00963F40">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F8A96D1" w14:textId="77777777" w:rsidR="00B22605" w:rsidRPr="00EF7CF9" w:rsidRDefault="00B22605" w:rsidP="00963F40">
            <w:pPr>
              <w:pStyle w:val="ProductList-OfferingBody"/>
              <w:jc w:val="center"/>
              <w:rPr>
                <w:color w:val="FFFFFF" w:themeColor="background1"/>
              </w:rPr>
            </w:pPr>
            <w:r>
              <w:rPr>
                <w:color w:val="FFFFFF" w:themeColor="background1"/>
              </w:rPr>
              <w:t>Środki Serwisowe na Używanie Usług</w:t>
            </w:r>
          </w:p>
        </w:tc>
      </w:tr>
      <w:tr w:rsidR="00B22605" w:rsidRPr="00B44CF9" w14:paraId="38C1AE17" w14:textId="77777777" w:rsidTr="00963F40">
        <w:tc>
          <w:tcPr>
            <w:tcW w:w="5400" w:type="dxa"/>
          </w:tcPr>
          <w:p w14:paraId="3902C068" w14:textId="77777777" w:rsidR="00B22605" w:rsidRPr="00EF7CF9" w:rsidRDefault="00B22605" w:rsidP="00963F40">
            <w:pPr>
              <w:pStyle w:val="ProductList-OfferingBody"/>
              <w:jc w:val="center"/>
            </w:pPr>
            <w:r>
              <w:t>&lt; 99,95%</w:t>
            </w:r>
          </w:p>
        </w:tc>
        <w:tc>
          <w:tcPr>
            <w:tcW w:w="5400" w:type="dxa"/>
          </w:tcPr>
          <w:p w14:paraId="399C359E" w14:textId="77777777" w:rsidR="00B22605" w:rsidRPr="00EF7CF9" w:rsidRDefault="00B22605" w:rsidP="00963F40">
            <w:pPr>
              <w:pStyle w:val="ProductList-OfferingBody"/>
              <w:jc w:val="center"/>
            </w:pPr>
            <w:r>
              <w:t>10%</w:t>
            </w:r>
          </w:p>
        </w:tc>
      </w:tr>
      <w:tr w:rsidR="00B22605" w:rsidRPr="00B44CF9" w14:paraId="3DA37607" w14:textId="77777777" w:rsidTr="00963F40">
        <w:tc>
          <w:tcPr>
            <w:tcW w:w="5400" w:type="dxa"/>
          </w:tcPr>
          <w:p w14:paraId="79406AF7" w14:textId="77777777" w:rsidR="00B22605" w:rsidRPr="00EF7CF9" w:rsidRDefault="00B22605" w:rsidP="00963F40">
            <w:pPr>
              <w:pStyle w:val="ProductList-OfferingBody"/>
              <w:jc w:val="center"/>
            </w:pPr>
            <w:r>
              <w:t>&lt; 99%</w:t>
            </w:r>
          </w:p>
        </w:tc>
        <w:tc>
          <w:tcPr>
            <w:tcW w:w="5400" w:type="dxa"/>
          </w:tcPr>
          <w:p w14:paraId="375471EE" w14:textId="77777777" w:rsidR="00B22605" w:rsidRPr="00EF7CF9" w:rsidRDefault="00B22605" w:rsidP="00963F40">
            <w:pPr>
              <w:pStyle w:val="ProductList-OfferingBody"/>
              <w:jc w:val="center"/>
            </w:pPr>
            <w:r>
              <w:t>25%</w:t>
            </w:r>
          </w:p>
        </w:tc>
      </w:tr>
    </w:tbl>
    <w:p w14:paraId="1ADBEB22" w14:textId="77777777" w:rsidR="00B22605" w:rsidRDefault="00B22605" w:rsidP="00AE545A">
      <w:pPr>
        <w:pStyle w:val="ProductList-Body"/>
        <w:keepNext/>
        <w:keepLines/>
        <w:spacing w:before="120"/>
        <w:rPr>
          <w:b/>
          <w:color w:val="00188F"/>
        </w:rPr>
      </w:pPr>
      <w:r>
        <w:rPr>
          <w:b/>
          <w:color w:val="00188F"/>
        </w:rPr>
        <w:t xml:space="preserve">W przypadku każdego Centrum Przetwarzania Danych </w:t>
      </w:r>
      <w:proofErr w:type="spellStart"/>
      <w:r>
        <w:rPr>
          <w:b/>
          <w:color w:val="00188F"/>
        </w:rPr>
        <w:t>Cassandra</w:t>
      </w:r>
      <w:proofErr w:type="spellEnd"/>
      <w:r>
        <w:rPr>
          <w:b/>
          <w:color w:val="00188F"/>
        </w:rPr>
        <w:t xml:space="preserve"> z włączoną obsługą Stref Dostępności w regionie </w:t>
      </w:r>
      <w:proofErr w:type="spellStart"/>
      <w:r>
        <w:rPr>
          <w:b/>
          <w:color w:val="00188F"/>
        </w:rPr>
        <w:t>Azure</w:t>
      </w:r>
      <w:proofErr w:type="spellEnd"/>
      <w:r>
        <w:rPr>
          <w:b/>
          <w:color w:val="00188F"/>
        </w:rPr>
        <w:t xml:space="preserve">, który zapewnia obsługę Stref Dostępności, do używania przez Klienta danego Centrum Przetwarzania Danych </w:t>
      </w:r>
      <w:proofErr w:type="spellStart"/>
      <w:r>
        <w:rPr>
          <w:b/>
          <w:color w:val="00188F"/>
        </w:rPr>
        <w:t>Cassandra</w:t>
      </w:r>
      <w:proofErr w:type="spellEnd"/>
      <w:r>
        <w:rPr>
          <w:b/>
          <w:color w:val="00188F"/>
        </w:rPr>
        <w:t xml:space="preserve"> ze Zgodną Konfiguracją Sieci mają zastosowanie następujące Poziomy Usług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22605" w:rsidRPr="00B44CF9" w14:paraId="6A6CE358" w14:textId="77777777" w:rsidTr="00963F40">
        <w:trPr>
          <w:tblHeader/>
        </w:trPr>
        <w:tc>
          <w:tcPr>
            <w:tcW w:w="5400" w:type="dxa"/>
            <w:shd w:val="clear" w:color="auto" w:fill="0072C6"/>
          </w:tcPr>
          <w:p w14:paraId="01D8304D" w14:textId="381B2A68" w:rsidR="00B22605" w:rsidRPr="00EF7CF9" w:rsidRDefault="00B22605" w:rsidP="00CD60E6">
            <w:pPr>
              <w:pStyle w:val="ProductList-OfferingBody"/>
              <w:keepNext/>
              <w:keepLines/>
              <w:jc w:val="center"/>
              <w:rPr>
                <w:color w:val="FFFFFF" w:themeColor="background1"/>
              </w:rPr>
            </w:pPr>
            <w:r>
              <w:rPr>
                <w:color w:val="FFFFFF" w:themeColor="background1"/>
              </w:rPr>
              <w:t>Procent Czasu Sprawnego Działania</w:t>
            </w:r>
          </w:p>
        </w:tc>
        <w:tc>
          <w:tcPr>
            <w:tcW w:w="5400" w:type="dxa"/>
            <w:shd w:val="clear" w:color="auto" w:fill="0072C6"/>
          </w:tcPr>
          <w:p w14:paraId="5DC1AF3F" w14:textId="77777777" w:rsidR="00B22605" w:rsidRPr="00EF7CF9" w:rsidRDefault="00B22605" w:rsidP="00CD60E6">
            <w:pPr>
              <w:pStyle w:val="ProductList-OfferingBody"/>
              <w:keepNext/>
              <w:keepLines/>
              <w:jc w:val="center"/>
              <w:rPr>
                <w:color w:val="FFFFFF" w:themeColor="background1"/>
              </w:rPr>
            </w:pPr>
            <w:r>
              <w:rPr>
                <w:color w:val="FFFFFF" w:themeColor="background1"/>
              </w:rPr>
              <w:t>Środki Serwisowe na Używanie Usług</w:t>
            </w:r>
          </w:p>
        </w:tc>
      </w:tr>
      <w:tr w:rsidR="00B22605" w:rsidRPr="00B44CF9" w14:paraId="25A15BF3" w14:textId="77777777" w:rsidTr="00963F40">
        <w:tc>
          <w:tcPr>
            <w:tcW w:w="5400" w:type="dxa"/>
          </w:tcPr>
          <w:p w14:paraId="6E5AA78B" w14:textId="77777777" w:rsidR="00B22605" w:rsidRPr="00EF7CF9" w:rsidRDefault="00B22605" w:rsidP="00CD60E6">
            <w:pPr>
              <w:pStyle w:val="ProductList-OfferingBody"/>
              <w:keepNext/>
              <w:keepLines/>
              <w:jc w:val="center"/>
            </w:pPr>
            <w:r>
              <w:t>&lt; 99,99%</w:t>
            </w:r>
          </w:p>
        </w:tc>
        <w:tc>
          <w:tcPr>
            <w:tcW w:w="5400" w:type="dxa"/>
          </w:tcPr>
          <w:p w14:paraId="26DA7403" w14:textId="77777777" w:rsidR="00B22605" w:rsidRPr="00EF7CF9" w:rsidRDefault="00B22605" w:rsidP="00CD60E6">
            <w:pPr>
              <w:pStyle w:val="ProductList-OfferingBody"/>
              <w:keepNext/>
              <w:keepLines/>
              <w:jc w:val="center"/>
            </w:pPr>
            <w:r>
              <w:t>10%</w:t>
            </w:r>
          </w:p>
        </w:tc>
      </w:tr>
      <w:tr w:rsidR="00B22605" w:rsidRPr="00B44CF9" w14:paraId="5340A779" w14:textId="77777777" w:rsidTr="00963F40">
        <w:tc>
          <w:tcPr>
            <w:tcW w:w="5400" w:type="dxa"/>
          </w:tcPr>
          <w:p w14:paraId="3A515058" w14:textId="77777777" w:rsidR="00B22605" w:rsidRPr="00EF7CF9" w:rsidRDefault="00B22605" w:rsidP="00963F40">
            <w:pPr>
              <w:pStyle w:val="ProductList-OfferingBody"/>
              <w:jc w:val="center"/>
            </w:pPr>
            <w:r>
              <w:t>&lt; 99%</w:t>
            </w:r>
          </w:p>
        </w:tc>
        <w:tc>
          <w:tcPr>
            <w:tcW w:w="5400" w:type="dxa"/>
          </w:tcPr>
          <w:p w14:paraId="5C841C5B" w14:textId="77777777" w:rsidR="00B22605" w:rsidRPr="00EF7CF9" w:rsidRDefault="00B22605" w:rsidP="00963F40">
            <w:pPr>
              <w:pStyle w:val="ProductList-OfferingBody"/>
              <w:jc w:val="center"/>
            </w:pPr>
            <w:r>
              <w:t>25%</w:t>
            </w:r>
          </w:p>
        </w:tc>
      </w:tr>
    </w:tbl>
    <w:p w14:paraId="1A0005BE" w14:textId="2B594208" w:rsidR="00214D9C" w:rsidRPr="009A3360" w:rsidRDefault="00214D9C" w:rsidP="00AE545A">
      <w:pPr>
        <w:pStyle w:val="ProductList-Body"/>
        <w:spacing w:before="120"/>
        <w:rPr>
          <w:rFonts w:ascii="Calibri" w:hAnsi="Calibri" w:cs="Calibri"/>
          <w:b/>
          <w:bCs/>
          <w:color w:val="00188F"/>
        </w:rPr>
      </w:pPr>
      <w:r>
        <w:rPr>
          <w:rFonts w:ascii="Calibri" w:hAnsi="Calibri" w:cs="Calibri"/>
          <w:b/>
          <w:bCs/>
          <w:color w:val="00188F"/>
        </w:rPr>
        <w:t xml:space="preserve">W przypadku klastra </w:t>
      </w:r>
      <w:proofErr w:type="spellStart"/>
      <w:r>
        <w:rPr>
          <w:rFonts w:ascii="Calibri" w:hAnsi="Calibri" w:cs="Calibri"/>
          <w:b/>
          <w:bCs/>
          <w:color w:val="00188F"/>
        </w:rPr>
        <w:t>Cassandra</w:t>
      </w:r>
      <w:proofErr w:type="spellEnd"/>
      <w:r>
        <w:rPr>
          <w:rFonts w:ascii="Calibri" w:hAnsi="Calibri" w:cs="Calibri"/>
          <w:b/>
          <w:bCs/>
          <w:color w:val="00188F"/>
        </w:rPr>
        <w:t xml:space="preserve"> wdrożonego w centrach danych w wielu regionach i przy włączonej obsłudze Strefy Dostępności w regionie świadczenia usługi </w:t>
      </w:r>
      <w:proofErr w:type="spellStart"/>
      <w:r>
        <w:rPr>
          <w:rFonts w:ascii="Calibri" w:hAnsi="Calibri" w:cs="Calibri"/>
          <w:b/>
          <w:bCs/>
          <w:color w:val="00188F"/>
        </w:rPr>
        <w:t>Azure</w:t>
      </w:r>
      <w:proofErr w:type="spellEnd"/>
      <w:r>
        <w:rPr>
          <w:rFonts w:ascii="Calibri" w:hAnsi="Calibri" w:cs="Calibri"/>
          <w:b/>
          <w:bCs/>
          <w:color w:val="00188F"/>
        </w:rPr>
        <w:t xml:space="preserve"> obsługującym Strefy Dostępności, Klient może korzystać z następujących Poziomów Usług i Środków Serwisowych na Używanie Usług w z Centrum Danych </w:t>
      </w:r>
      <w:proofErr w:type="spellStart"/>
      <w:r>
        <w:rPr>
          <w:rFonts w:ascii="Calibri" w:hAnsi="Calibri" w:cs="Calibri"/>
          <w:b/>
          <w:bCs/>
          <w:color w:val="00188F"/>
        </w:rPr>
        <w:t>Cassandra</w:t>
      </w:r>
      <w:proofErr w:type="spellEnd"/>
      <w:r>
        <w:rPr>
          <w:rFonts w:ascii="Calibri" w:hAnsi="Calibri" w:cs="Calibri"/>
          <w:b/>
          <w:bCs/>
          <w:color w:val="00188F"/>
        </w:rPr>
        <w:t xml:space="preserve"> ze Zgodną Konfiguracją Sieci: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34"/>
        <w:gridCol w:w="5566"/>
      </w:tblGrid>
      <w:tr w:rsidR="00214D9C" w:rsidRPr="006B307B" w14:paraId="74F98D08" w14:textId="77777777" w:rsidTr="001A179B">
        <w:trPr>
          <w:trHeight w:val="265"/>
          <w:tblHeader/>
        </w:trPr>
        <w:tc>
          <w:tcPr>
            <w:tcW w:w="5234" w:type="dxa"/>
            <w:shd w:val="clear" w:color="auto" w:fill="0072C6"/>
          </w:tcPr>
          <w:p w14:paraId="0DE906A5" w14:textId="77777777" w:rsidR="00214D9C" w:rsidRPr="00762BE9" w:rsidRDefault="00214D9C" w:rsidP="001A179B">
            <w:pPr>
              <w:pStyle w:val="ProductList-OfferingBody"/>
              <w:jc w:val="center"/>
              <w:rPr>
                <w:rFonts w:ascii="Calibri" w:hAnsi="Calibri" w:cs="Calibri"/>
                <w:color w:val="FFFFFF" w:themeColor="background1"/>
              </w:rPr>
            </w:pPr>
            <w:r>
              <w:rPr>
                <w:rFonts w:ascii="Calibri" w:hAnsi="Calibri" w:cs="Calibri"/>
                <w:color w:val="FFFFFF" w:themeColor="background1"/>
              </w:rPr>
              <w:t>Procent Dostępności Zapisu w Wielu Lokalizacjach</w:t>
            </w:r>
          </w:p>
        </w:tc>
        <w:tc>
          <w:tcPr>
            <w:tcW w:w="5566" w:type="dxa"/>
            <w:shd w:val="clear" w:color="auto" w:fill="0072C6"/>
          </w:tcPr>
          <w:p w14:paraId="3FB09965" w14:textId="77777777" w:rsidR="00214D9C" w:rsidRPr="00762BE9" w:rsidRDefault="00214D9C" w:rsidP="001A179B">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214D9C" w:rsidRPr="006B307B" w14:paraId="25FA46D5" w14:textId="77777777" w:rsidTr="001A179B">
        <w:trPr>
          <w:trHeight w:val="284"/>
        </w:trPr>
        <w:tc>
          <w:tcPr>
            <w:tcW w:w="5234" w:type="dxa"/>
          </w:tcPr>
          <w:p w14:paraId="24A467D7" w14:textId="77777777" w:rsidR="00214D9C" w:rsidRPr="00762BE9" w:rsidRDefault="00214D9C" w:rsidP="001A179B">
            <w:pPr>
              <w:pStyle w:val="ProductList-OfferingBody"/>
              <w:jc w:val="center"/>
              <w:rPr>
                <w:rFonts w:ascii="Calibri" w:hAnsi="Calibri" w:cs="Calibri"/>
              </w:rPr>
            </w:pPr>
            <w:r>
              <w:rPr>
                <w:rFonts w:ascii="Calibri" w:hAnsi="Calibri" w:cs="Calibri"/>
              </w:rPr>
              <w:t>&lt; 99,999%</w:t>
            </w:r>
          </w:p>
        </w:tc>
        <w:tc>
          <w:tcPr>
            <w:tcW w:w="5566" w:type="dxa"/>
          </w:tcPr>
          <w:p w14:paraId="5230675D" w14:textId="77777777" w:rsidR="00214D9C" w:rsidRPr="00762BE9" w:rsidRDefault="00214D9C" w:rsidP="001A179B">
            <w:pPr>
              <w:pStyle w:val="ProductList-OfferingBody"/>
              <w:jc w:val="center"/>
              <w:rPr>
                <w:rFonts w:ascii="Calibri" w:hAnsi="Calibri" w:cs="Calibri"/>
              </w:rPr>
            </w:pPr>
            <w:r>
              <w:rPr>
                <w:rFonts w:ascii="Calibri" w:hAnsi="Calibri" w:cs="Calibri"/>
              </w:rPr>
              <w:t>10%</w:t>
            </w:r>
          </w:p>
        </w:tc>
      </w:tr>
      <w:tr w:rsidR="00214D9C" w:rsidRPr="006B307B" w14:paraId="0E7D6400" w14:textId="77777777" w:rsidTr="001A179B">
        <w:trPr>
          <w:trHeight w:val="265"/>
        </w:trPr>
        <w:tc>
          <w:tcPr>
            <w:tcW w:w="5234" w:type="dxa"/>
          </w:tcPr>
          <w:p w14:paraId="0D7C3060" w14:textId="77777777" w:rsidR="00214D9C" w:rsidRPr="00762BE9" w:rsidRDefault="00214D9C" w:rsidP="001A179B">
            <w:pPr>
              <w:pStyle w:val="ProductList-OfferingBody"/>
              <w:jc w:val="center"/>
              <w:rPr>
                <w:rFonts w:ascii="Calibri" w:hAnsi="Calibri" w:cs="Calibri"/>
              </w:rPr>
            </w:pPr>
            <w:r>
              <w:rPr>
                <w:rFonts w:ascii="Calibri" w:hAnsi="Calibri" w:cs="Calibri"/>
              </w:rPr>
              <w:t>&lt; 99%</w:t>
            </w:r>
          </w:p>
        </w:tc>
        <w:tc>
          <w:tcPr>
            <w:tcW w:w="5566" w:type="dxa"/>
          </w:tcPr>
          <w:p w14:paraId="705881ED" w14:textId="77777777" w:rsidR="00214D9C" w:rsidRPr="00762BE9" w:rsidRDefault="00214D9C" w:rsidP="001A179B">
            <w:pPr>
              <w:pStyle w:val="ProductList-OfferingBody"/>
              <w:jc w:val="center"/>
              <w:rPr>
                <w:rFonts w:ascii="Calibri" w:hAnsi="Calibri" w:cs="Calibri"/>
              </w:rPr>
            </w:pPr>
            <w:r>
              <w:rPr>
                <w:rFonts w:ascii="Calibri" w:hAnsi="Calibri" w:cs="Calibri"/>
              </w:rPr>
              <w:t>25%</w:t>
            </w:r>
          </w:p>
        </w:tc>
      </w:tr>
    </w:tbl>
    <w:p w14:paraId="62788F43" w14:textId="77777777" w:rsidR="00214D9C" w:rsidRPr="009A3360" w:rsidRDefault="00214D9C" w:rsidP="00AE545A">
      <w:pPr>
        <w:pStyle w:val="ProductList-Body"/>
        <w:keepNext/>
        <w:spacing w:before="120"/>
        <w:rPr>
          <w:rFonts w:ascii="Calibri" w:hAnsi="Calibri" w:cs="Calibri"/>
          <w:color w:val="0072C6"/>
        </w:rPr>
      </w:pPr>
      <w:r>
        <w:rPr>
          <w:rFonts w:ascii="Calibri" w:hAnsi="Calibri" w:cs="Calibri"/>
          <w:b/>
          <w:color w:val="00188F"/>
        </w:rPr>
        <w:t xml:space="preserve">Dla Centrum Danych </w:t>
      </w:r>
      <w:proofErr w:type="spellStart"/>
      <w:r>
        <w:rPr>
          <w:rFonts w:ascii="Calibri" w:hAnsi="Calibri" w:cs="Calibri"/>
          <w:b/>
          <w:color w:val="00188F"/>
        </w:rPr>
        <w:t>Casandra</w:t>
      </w:r>
      <w:proofErr w:type="spellEnd"/>
      <w:r>
        <w:rPr>
          <w:rFonts w:ascii="Calibri" w:hAnsi="Calibri" w:cs="Calibri"/>
          <w:b/>
          <w:color w:val="00188F"/>
        </w:rPr>
        <w:t xml:space="preserve"> wdrożonym w Pojedynczym Regionie i przy NIE włączonej Strefie Dostępności</w:t>
      </w:r>
      <w:r>
        <w:rPr>
          <w:rFonts w:ascii="Calibri" w:hAnsi="Calibri" w:cs="Calibri"/>
          <w:b/>
          <w:color w:val="0072C6"/>
        </w:rPr>
        <w:t xml:space="preserve">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214D9C" w:rsidRPr="006B307B" w14:paraId="1BC8A913" w14:textId="77777777" w:rsidTr="001A179B">
        <w:trPr>
          <w:tblHeader/>
        </w:trPr>
        <w:tc>
          <w:tcPr>
            <w:tcW w:w="5220" w:type="dxa"/>
            <w:shd w:val="clear" w:color="auto" w:fill="0072C6"/>
          </w:tcPr>
          <w:p w14:paraId="461CFB72" w14:textId="77777777" w:rsidR="00214D9C" w:rsidRPr="00762BE9" w:rsidRDefault="00214D9C" w:rsidP="001A179B">
            <w:pPr>
              <w:pStyle w:val="ProductList-OfferingBody"/>
              <w:jc w:val="center"/>
              <w:rPr>
                <w:rFonts w:ascii="Calibri" w:hAnsi="Calibri" w:cs="Calibri"/>
                <w:color w:val="FFFFFF" w:themeColor="background1"/>
              </w:rPr>
            </w:pPr>
            <w:r>
              <w:rPr>
                <w:rFonts w:ascii="Calibri" w:hAnsi="Calibri" w:cs="Calibri"/>
                <w:color w:val="FFFFFF" w:themeColor="background1"/>
              </w:rPr>
              <w:t>Procent Czasu Dostępności</w:t>
            </w:r>
          </w:p>
        </w:tc>
        <w:tc>
          <w:tcPr>
            <w:tcW w:w="5579" w:type="dxa"/>
            <w:shd w:val="clear" w:color="auto" w:fill="0072C6"/>
          </w:tcPr>
          <w:p w14:paraId="60E712CA" w14:textId="77777777" w:rsidR="00214D9C" w:rsidRPr="00762BE9" w:rsidRDefault="00214D9C" w:rsidP="001A179B">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214D9C" w:rsidRPr="006B307B" w14:paraId="44AF7162" w14:textId="77777777" w:rsidTr="001A179B">
        <w:tc>
          <w:tcPr>
            <w:tcW w:w="5220" w:type="dxa"/>
          </w:tcPr>
          <w:p w14:paraId="7C0B01A2" w14:textId="77777777" w:rsidR="00214D9C" w:rsidRPr="00762BE9" w:rsidRDefault="00214D9C" w:rsidP="001A179B">
            <w:pPr>
              <w:pStyle w:val="ProductList-OfferingBody"/>
              <w:jc w:val="center"/>
              <w:rPr>
                <w:rFonts w:ascii="Calibri" w:hAnsi="Calibri" w:cs="Calibri"/>
              </w:rPr>
            </w:pPr>
            <w:r>
              <w:rPr>
                <w:rFonts w:ascii="Calibri" w:hAnsi="Calibri" w:cs="Calibri"/>
              </w:rPr>
              <w:t>&lt; 99,995%</w:t>
            </w:r>
          </w:p>
        </w:tc>
        <w:tc>
          <w:tcPr>
            <w:tcW w:w="5579" w:type="dxa"/>
          </w:tcPr>
          <w:p w14:paraId="4D4AABD9" w14:textId="77777777" w:rsidR="00214D9C" w:rsidRPr="00762BE9" w:rsidRDefault="00214D9C" w:rsidP="001A179B">
            <w:pPr>
              <w:pStyle w:val="ProductList-OfferingBody"/>
              <w:jc w:val="center"/>
              <w:rPr>
                <w:rFonts w:ascii="Calibri" w:hAnsi="Calibri" w:cs="Calibri"/>
              </w:rPr>
            </w:pPr>
            <w:r>
              <w:rPr>
                <w:rFonts w:ascii="Calibri" w:hAnsi="Calibri" w:cs="Calibri"/>
              </w:rPr>
              <w:t>10%</w:t>
            </w:r>
          </w:p>
        </w:tc>
      </w:tr>
      <w:tr w:rsidR="00214D9C" w:rsidRPr="006B307B" w14:paraId="4FA9AEB5" w14:textId="77777777" w:rsidTr="001A179B">
        <w:tc>
          <w:tcPr>
            <w:tcW w:w="5220" w:type="dxa"/>
          </w:tcPr>
          <w:p w14:paraId="199D965E" w14:textId="77777777" w:rsidR="00214D9C" w:rsidRPr="00762BE9" w:rsidRDefault="00214D9C" w:rsidP="001A179B">
            <w:pPr>
              <w:pStyle w:val="ProductList-OfferingBody"/>
              <w:jc w:val="center"/>
              <w:rPr>
                <w:rFonts w:ascii="Calibri" w:hAnsi="Calibri" w:cs="Calibri"/>
              </w:rPr>
            </w:pPr>
            <w:r>
              <w:rPr>
                <w:rFonts w:ascii="Calibri" w:hAnsi="Calibri" w:cs="Calibri"/>
              </w:rPr>
              <w:t>&lt; 99%</w:t>
            </w:r>
          </w:p>
        </w:tc>
        <w:tc>
          <w:tcPr>
            <w:tcW w:w="5579" w:type="dxa"/>
          </w:tcPr>
          <w:p w14:paraId="4D9E5EDA" w14:textId="77777777" w:rsidR="00214D9C" w:rsidRPr="00762BE9" w:rsidRDefault="00214D9C" w:rsidP="001A179B">
            <w:pPr>
              <w:pStyle w:val="ProductList-OfferingBody"/>
              <w:jc w:val="center"/>
              <w:rPr>
                <w:rFonts w:ascii="Calibri" w:hAnsi="Calibri" w:cs="Calibri"/>
              </w:rPr>
            </w:pPr>
            <w:r>
              <w:rPr>
                <w:rFonts w:ascii="Calibri" w:hAnsi="Calibri" w:cs="Calibri"/>
              </w:rPr>
              <w:t>25%</w:t>
            </w:r>
          </w:p>
        </w:tc>
      </w:tr>
    </w:tbl>
    <w:p w14:paraId="0982C096" w14:textId="77777777" w:rsidR="00214D9C" w:rsidRPr="00762BE9" w:rsidRDefault="00214D9C" w:rsidP="00AE545A">
      <w:pPr>
        <w:pStyle w:val="ProductList-Body"/>
        <w:keepNext/>
        <w:spacing w:before="120"/>
        <w:rPr>
          <w:rFonts w:ascii="Calibri" w:hAnsi="Calibri" w:cs="Calibri"/>
          <w:color w:val="0072C6"/>
        </w:rPr>
      </w:pPr>
      <w:r>
        <w:rPr>
          <w:rFonts w:ascii="Calibri" w:hAnsi="Calibri" w:cs="Calibri"/>
          <w:b/>
          <w:color w:val="00188F"/>
        </w:rPr>
        <w:t xml:space="preserve">Dla Centrum Danych </w:t>
      </w:r>
      <w:proofErr w:type="spellStart"/>
      <w:r>
        <w:rPr>
          <w:rFonts w:ascii="Calibri" w:hAnsi="Calibri" w:cs="Calibri"/>
          <w:b/>
          <w:color w:val="00188F"/>
        </w:rPr>
        <w:t>Casandra</w:t>
      </w:r>
      <w:proofErr w:type="spellEnd"/>
      <w:r>
        <w:rPr>
          <w:rFonts w:ascii="Calibri" w:hAnsi="Calibri" w:cs="Calibri"/>
          <w:b/>
          <w:color w:val="00188F"/>
        </w:rPr>
        <w:t xml:space="preserve"> wdrożonym w Pojedynczym Regionie z włączoną Strefą Dostępności </w:t>
      </w:r>
    </w:p>
    <w:tbl>
      <w:tblPr>
        <w:tblW w:w="10799" w:type="dxa"/>
        <w:tblInd w:w="-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79"/>
      </w:tblGrid>
      <w:tr w:rsidR="00214D9C" w:rsidRPr="006B307B" w14:paraId="1BBAB6C1" w14:textId="77777777" w:rsidTr="001A179B">
        <w:trPr>
          <w:tblHeader/>
        </w:trPr>
        <w:tc>
          <w:tcPr>
            <w:tcW w:w="5220" w:type="dxa"/>
            <w:shd w:val="clear" w:color="auto" w:fill="0072C6"/>
          </w:tcPr>
          <w:p w14:paraId="7822F4B5" w14:textId="77777777" w:rsidR="00214D9C" w:rsidRPr="00762BE9" w:rsidRDefault="00214D9C" w:rsidP="001A179B">
            <w:pPr>
              <w:pStyle w:val="ProductList-OfferingBody"/>
              <w:jc w:val="center"/>
              <w:rPr>
                <w:rFonts w:ascii="Calibri" w:hAnsi="Calibri" w:cs="Calibri"/>
                <w:color w:val="FFFFFF" w:themeColor="background1"/>
              </w:rPr>
            </w:pPr>
            <w:r>
              <w:rPr>
                <w:rFonts w:ascii="Calibri" w:hAnsi="Calibri" w:cs="Calibri"/>
                <w:color w:val="FFFFFF" w:themeColor="background1"/>
              </w:rPr>
              <w:t>Procent Czasu Dostępności (SR-AZ)</w:t>
            </w:r>
          </w:p>
        </w:tc>
        <w:tc>
          <w:tcPr>
            <w:tcW w:w="5579" w:type="dxa"/>
            <w:shd w:val="clear" w:color="auto" w:fill="0072C6"/>
          </w:tcPr>
          <w:p w14:paraId="7012C920" w14:textId="77777777" w:rsidR="00214D9C" w:rsidRPr="00762BE9" w:rsidRDefault="00214D9C" w:rsidP="001A179B">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214D9C" w:rsidRPr="006B307B" w14:paraId="553E5311" w14:textId="77777777" w:rsidTr="001A179B">
        <w:tc>
          <w:tcPr>
            <w:tcW w:w="5220" w:type="dxa"/>
          </w:tcPr>
          <w:p w14:paraId="6501D3C4" w14:textId="77777777" w:rsidR="00214D9C" w:rsidRPr="00762BE9" w:rsidRDefault="00214D9C" w:rsidP="001A179B">
            <w:pPr>
              <w:pStyle w:val="ProductList-OfferingBody"/>
              <w:jc w:val="center"/>
              <w:rPr>
                <w:rFonts w:ascii="Calibri" w:hAnsi="Calibri" w:cs="Calibri"/>
              </w:rPr>
            </w:pPr>
            <w:r>
              <w:rPr>
                <w:rFonts w:ascii="Calibri" w:hAnsi="Calibri" w:cs="Calibri"/>
              </w:rPr>
              <w:t>&lt; 99,995%</w:t>
            </w:r>
          </w:p>
        </w:tc>
        <w:tc>
          <w:tcPr>
            <w:tcW w:w="5579" w:type="dxa"/>
          </w:tcPr>
          <w:p w14:paraId="1225F540" w14:textId="77777777" w:rsidR="00214D9C" w:rsidRPr="00762BE9" w:rsidRDefault="00214D9C" w:rsidP="001A179B">
            <w:pPr>
              <w:pStyle w:val="ProductList-OfferingBody"/>
              <w:jc w:val="center"/>
              <w:rPr>
                <w:rFonts w:ascii="Calibri" w:hAnsi="Calibri" w:cs="Calibri"/>
              </w:rPr>
            </w:pPr>
            <w:r>
              <w:rPr>
                <w:rFonts w:ascii="Calibri" w:hAnsi="Calibri" w:cs="Calibri"/>
              </w:rPr>
              <w:t>10%</w:t>
            </w:r>
          </w:p>
        </w:tc>
      </w:tr>
      <w:tr w:rsidR="00214D9C" w:rsidRPr="00B44CF9" w14:paraId="1112BA1B" w14:textId="77777777" w:rsidTr="001A179B">
        <w:tc>
          <w:tcPr>
            <w:tcW w:w="5220" w:type="dxa"/>
          </w:tcPr>
          <w:p w14:paraId="5305A391" w14:textId="77777777" w:rsidR="00214D9C" w:rsidRPr="00762BE9" w:rsidRDefault="00214D9C" w:rsidP="001A179B">
            <w:pPr>
              <w:pStyle w:val="ProductList-OfferingBody"/>
              <w:jc w:val="center"/>
              <w:rPr>
                <w:rFonts w:ascii="Calibri" w:hAnsi="Calibri" w:cs="Calibri"/>
              </w:rPr>
            </w:pPr>
            <w:r>
              <w:rPr>
                <w:rFonts w:ascii="Calibri" w:hAnsi="Calibri" w:cs="Calibri"/>
              </w:rPr>
              <w:t>&lt; 99%</w:t>
            </w:r>
          </w:p>
        </w:tc>
        <w:tc>
          <w:tcPr>
            <w:tcW w:w="5579" w:type="dxa"/>
          </w:tcPr>
          <w:p w14:paraId="1A60DD33" w14:textId="77777777" w:rsidR="00214D9C" w:rsidRPr="00762BE9" w:rsidRDefault="00214D9C" w:rsidP="001A179B">
            <w:pPr>
              <w:pStyle w:val="ProductList-OfferingBody"/>
              <w:jc w:val="center"/>
              <w:rPr>
                <w:rFonts w:ascii="Calibri" w:hAnsi="Calibri" w:cs="Calibri"/>
              </w:rPr>
            </w:pPr>
            <w:r>
              <w:rPr>
                <w:rFonts w:ascii="Calibri" w:hAnsi="Calibri" w:cs="Calibri"/>
              </w:rPr>
              <w:t>25%</w:t>
            </w:r>
          </w:p>
        </w:tc>
      </w:tr>
    </w:tbl>
    <w:p w14:paraId="7265B3AE" w14:textId="7147E631" w:rsidR="00B22605" w:rsidRPr="00EF7CF9" w:rsidRDefault="00C71F89" w:rsidP="00B2260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147E3E0" w14:textId="08506889" w:rsidR="004005AF" w:rsidRDefault="004005AF" w:rsidP="004005AF">
      <w:pPr>
        <w:pStyle w:val="ProductList-Offering2Heading"/>
        <w:tabs>
          <w:tab w:val="clear" w:pos="360"/>
          <w:tab w:val="clear" w:pos="720"/>
          <w:tab w:val="clear" w:pos="1080"/>
        </w:tabs>
        <w:outlineLvl w:val="2"/>
      </w:pPr>
      <w:bookmarkStart w:id="333" w:name="_Toc239175038"/>
      <w:proofErr w:type="spellStart"/>
      <w:r>
        <w:t>Azure</w:t>
      </w:r>
      <w:proofErr w:type="spellEnd"/>
      <w:r>
        <w:t xml:space="preserve"> </w:t>
      </w:r>
      <w:proofErr w:type="spellStart"/>
      <w:r>
        <w:t>Maps</w:t>
      </w:r>
      <w:bookmarkEnd w:id="319"/>
      <w:bookmarkEnd w:id="325"/>
      <w:bookmarkEnd w:id="333"/>
      <w:proofErr w:type="spellEnd"/>
    </w:p>
    <w:p w14:paraId="1DFE050F" w14:textId="77777777" w:rsidR="004005AF" w:rsidRPr="00781AEE" w:rsidRDefault="004005AF" w:rsidP="004005AF">
      <w:pPr>
        <w:pStyle w:val="ProductList-Body"/>
        <w:rPr>
          <w:szCs w:val="18"/>
        </w:rPr>
      </w:pPr>
      <w:r w:rsidRPr="00781AEE">
        <w:rPr>
          <w:b/>
          <w:color w:val="00188F"/>
          <w:szCs w:val="18"/>
        </w:rPr>
        <w:t>Dodatkowe definicje:</w:t>
      </w:r>
    </w:p>
    <w:p w14:paraId="3514CD84" w14:textId="16A45D08" w:rsidR="004005AF" w:rsidRPr="00781AEE" w:rsidRDefault="004005AF" w:rsidP="004005AF">
      <w:pPr>
        <w:spacing w:after="0" w:line="240" w:lineRule="auto"/>
        <w:rPr>
          <w:sz w:val="18"/>
          <w:szCs w:val="18"/>
        </w:rPr>
      </w:pPr>
      <w:r w:rsidRPr="00781AEE">
        <w:rPr>
          <w:sz w:val="18"/>
          <w:szCs w:val="18"/>
        </w:rPr>
        <w:t>„</w:t>
      </w:r>
      <w:r w:rsidRPr="00781AEE">
        <w:rPr>
          <w:b/>
          <w:color w:val="00188F"/>
          <w:sz w:val="18"/>
          <w:szCs w:val="18"/>
        </w:rPr>
        <w:t>Łączna Liczba Prób Transakcji</w:t>
      </w:r>
      <w:r w:rsidRPr="00781AEE">
        <w:rPr>
          <w:sz w:val="18"/>
          <w:szCs w:val="18"/>
        </w:rPr>
        <w:t>”</w:t>
      </w:r>
      <w:r w:rsidRPr="00781AEE">
        <w:rPr>
          <w:rFonts w:eastAsiaTheme="minorEastAsia"/>
          <w:sz w:val="18"/>
          <w:szCs w:val="18"/>
        </w:rPr>
        <w:t xml:space="preserve"> </w:t>
      </w:r>
      <w:r w:rsidRPr="00781AEE">
        <w:rPr>
          <w:sz w:val="18"/>
          <w:szCs w:val="18"/>
        </w:rPr>
        <w:t xml:space="preserve">to łączna liczba żądań uwierzytelnionych interfejsu API ze strony klienta we Właściwym Okresie dla danego interfejsu API usługi </w:t>
      </w:r>
      <w:proofErr w:type="spellStart"/>
      <w:r w:rsidRPr="00781AEE">
        <w:rPr>
          <w:sz w:val="18"/>
          <w:szCs w:val="18"/>
        </w:rPr>
        <w:t>Azure</w:t>
      </w:r>
      <w:proofErr w:type="spellEnd"/>
      <w:r w:rsidRPr="00781AEE">
        <w:rPr>
          <w:sz w:val="18"/>
          <w:szCs w:val="18"/>
        </w:rPr>
        <w:t xml:space="preserve"> Map w ramach danej subskrypcji Microsoft </w:t>
      </w:r>
      <w:proofErr w:type="spellStart"/>
      <w:r w:rsidRPr="00781AEE">
        <w:rPr>
          <w:sz w:val="18"/>
          <w:szCs w:val="18"/>
        </w:rPr>
        <w:t>Azure</w:t>
      </w:r>
      <w:proofErr w:type="spellEnd"/>
      <w:r w:rsidRPr="00781AEE">
        <w:rPr>
          <w:sz w:val="18"/>
          <w:szCs w:val="18"/>
        </w:rPr>
        <w:t>. Łączna Liczba Prób Transakcji nie obejmuje żądań interfejsu API, które</w:t>
      </w:r>
      <w:r w:rsidR="00D03F3C">
        <w:rPr>
          <w:sz w:val="18"/>
          <w:szCs w:val="18"/>
        </w:rPr>
        <w:t> </w:t>
      </w:r>
      <w:r w:rsidRPr="00781AEE">
        <w:rPr>
          <w:sz w:val="18"/>
          <w:szCs w:val="18"/>
        </w:rPr>
        <w:t>zwracają Kod Błędu i które są kolejno powtarzane w ciągu pięciu minut po zwróceniu pierwszego Kodu Błędu.</w:t>
      </w:r>
    </w:p>
    <w:p w14:paraId="7A1D1C36" w14:textId="050097C4" w:rsidR="004005AF" w:rsidRPr="00781AEE" w:rsidRDefault="004005AF" w:rsidP="004005AF">
      <w:pPr>
        <w:spacing w:after="0" w:line="240" w:lineRule="auto"/>
        <w:rPr>
          <w:sz w:val="18"/>
          <w:szCs w:val="18"/>
        </w:rPr>
      </w:pPr>
      <w:r w:rsidRPr="00781AEE">
        <w:rPr>
          <w:sz w:val="18"/>
          <w:szCs w:val="18"/>
        </w:rPr>
        <w:t>„</w:t>
      </w:r>
      <w:r w:rsidRPr="00781AEE">
        <w:rPr>
          <w:b/>
          <w:color w:val="00188F"/>
          <w:sz w:val="18"/>
          <w:szCs w:val="18"/>
        </w:rPr>
        <w:t>Transakcje Zakończone Niepowodzeniem</w:t>
      </w:r>
      <w:r w:rsidRPr="00781AEE">
        <w:rPr>
          <w:sz w:val="18"/>
          <w:szCs w:val="18"/>
        </w:rPr>
        <w:t>”</w:t>
      </w:r>
      <w:r w:rsidRPr="00781AEE">
        <w:rPr>
          <w:rFonts w:eastAsiaTheme="minorEastAsia"/>
          <w:sz w:val="18"/>
          <w:szCs w:val="18"/>
        </w:rPr>
        <w:t xml:space="preserve"> </w:t>
      </w:r>
      <w:r w:rsidRPr="00781AEE">
        <w:rPr>
          <w:sz w:val="18"/>
          <w:szCs w:val="18"/>
        </w:rPr>
        <w:t>to zbiór wszystkich żądań w ramach Łącznej Liczby Prób Transakcji, które zwracają Kod Błędu albo</w:t>
      </w:r>
      <w:r w:rsidR="00D03F3C">
        <w:rPr>
          <w:sz w:val="18"/>
          <w:szCs w:val="18"/>
        </w:rPr>
        <w:t> </w:t>
      </w:r>
      <w:r w:rsidRPr="00781AEE">
        <w:rPr>
          <w:sz w:val="18"/>
          <w:szCs w:val="18"/>
        </w:rPr>
        <w:t>nie</w:t>
      </w:r>
      <w:r w:rsidR="00D03F3C">
        <w:rPr>
          <w:sz w:val="18"/>
          <w:szCs w:val="18"/>
        </w:rPr>
        <w:t> </w:t>
      </w:r>
      <w:r w:rsidRPr="00781AEE">
        <w:rPr>
          <w:sz w:val="18"/>
          <w:szCs w:val="18"/>
        </w:rPr>
        <w:t>zwracają Kodu Sukcesu w ciągu 60 sekund od ich otrzymania przez Usługę.</w:t>
      </w:r>
    </w:p>
    <w:p w14:paraId="49D04CF6" w14:textId="5DDA113A" w:rsidR="004005AF" w:rsidRPr="00781AEE" w:rsidRDefault="004005AF" w:rsidP="004005AF">
      <w:pPr>
        <w:pStyle w:val="ProductList-Body"/>
        <w:rPr>
          <w:szCs w:val="18"/>
        </w:rPr>
      </w:pPr>
      <w:r w:rsidRPr="00781AEE">
        <w:t>„</w:t>
      </w:r>
      <w:r w:rsidRPr="00781AEE">
        <w:rPr>
          <w:b/>
          <w:color w:val="00188F"/>
          <w:szCs w:val="18"/>
        </w:rPr>
        <w:t>Procent Czasu Sprawnego Działania</w:t>
      </w:r>
      <w:r w:rsidRPr="00781AEE">
        <w:t xml:space="preserve">” </w:t>
      </w:r>
      <w:r w:rsidRPr="00781AEE">
        <w:rPr>
          <w:szCs w:val="18"/>
        </w:rPr>
        <w:t xml:space="preserve">dla danej usługi </w:t>
      </w:r>
      <w:proofErr w:type="spellStart"/>
      <w:r w:rsidRPr="00781AEE">
        <w:rPr>
          <w:szCs w:val="18"/>
        </w:rPr>
        <w:t>Azure</w:t>
      </w:r>
      <w:proofErr w:type="spellEnd"/>
      <w:r w:rsidRPr="00781AEE">
        <w:rPr>
          <w:szCs w:val="18"/>
        </w:rPr>
        <w:t xml:space="preserve"> Map API jest obliczany jako Łączna Liczba Prób Transakcji pomniejszona o</w:t>
      </w:r>
      <w:r w:rsidR="00D03F3C">
        <w:rPr>
          <w:szCs w:val="18"/>
        </w:rPr>
        <w:t> </w:t>
      </w:r>
      <w:r w:rsidRPr="00781AEE">
        <w:rPr>
          <w:szCs w:val="18"/>
        </w:rPr>
        <w:t>Transakcje</w:t>
      </w:r>
      <w:r w:rsidR="00D03F3C">
        <w:rPr>
          <w:szCs w:val="18"/>
        </w:rPr>
        <w:t> </w:t>
      </w:r>
      <w:r w:rsidRPr="00781AEE">
        <w:rPr>
          <w:szCs w:val="18"/>
        </w:rPr>
        <w:t>Zakończone Niepowodzeniem, podzielona przez Łączną Liczbę Prób Transakcji pomnożoną przez 100.</w:t>
      </w:r>
    </w:p>
    <w:p w14:paraId="57255142" w14:textId="53D0E6DB" w:rsidR="004005AF" w:rsidRPr="00781AEE" w:rsidRDefault="004005AF" w:rsidP="004005AF">
      <w:pPr>
        <w:pStyle w:val="ProductList-Body"/>
        <w:rPr>
          <w:szCs w:val="18"/>
        </w:rPr>
      </w:pPr>
      <w:r w:rsidRPr="00781AEE">
        <w:rPr>
          <w:szCs w:val="18"/>
        </w:rPr>
        <w:t>Procent Czasu Sprawnego Działania jest obliczany przy użyciu następującego wzoru:</w:t>
      </w:r>
    </w:p>
    <w:p w14:paraId="3AF54155" w14:textId="4E9C4070" w:rsidR="004005AF" w:rsidRPr="005D67E8" w:rsidRDefault="00000000" w:rsidP="00214D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Prób Transakcji – Nieudane Transakcje</m:t>
              </m:r>
            </m:num>
            <m:den>
              <m:r>
                <m:rPr>
                  <m:nor/>
                </m:rPr>
                <w:rPr>
                  <w:rFonts w:ascii="Cambria Math" w:hAnsi="Cambria Math" w:cs="Tahoma"/>
                  <w:i/>
                  <w:sz w:val="18"/>
                  <w:szCs w:val="18"/>
                </w:rPr>
                <m:t>Łączna Liczba Prób Transakcji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DD81E5C" w14:textId="77777777" w:rsidR="004005AF" w:rsidRDefault="004005AF" w:rsidP="0005465C">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w:t>
      </w:r>
      <w:proofErr w:type="spellStart"/>
      <w:r>
        <w:rPr>
          <w:b/>
          <w:color w:val="00188F"/>
        </w:rPr>
        <w:t>Maps</w:t>
      </w:r>
      <w:proofErr w:type="spellEnd"/>
      <w:r>
        <w:rPr>
          <w:b/>
          <w:color w:val="00188F"/>
        </w:rPr>
        <w:t xml:space="preserve"> API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78839446" w14:textId="77777777" w:rsidTr="00277097">
        <w:trPr>
          <w:tblHeader/>
        </w:trPr>
        <w:tc>
          <w:tcPr>
            <w:tcW w:w="5400" w:type="dxa"/>
            <w:shd w:val="clear" w:color="auto" w:fill="0072C6"/>
          </w:tcPr>
          <w:p w14:paraId="1711B060" w14:textId="10354C22" w:rsidR="004005AF" w:rsidRPr="001A0074" w:rsidRDefault="00AC48A7" w:rsidP="0005465C">
            <w:pPr>
              <w:pStyle w:val="ProductList-OfferingBody"/>
              <w:keepNext/>
              <w:jc w:val="center"/>
              <w:rPr>
                <w:color w:val="FFFFFF" w:themeColor="background1"/>
              </w:rPr>
            </w:pPr>
            <w:r>
              <w:rPr>
                <w:color w:val="FFFFFF" w:themeColor="background1"/>
              </w:rPr>
              <w:t>Procent Czasu Sprawnego Działania</w:t>
            </w:r>
          </w:p>
        </w:tc>
        <w:tc>
          <w:tcPr>
            <w:tcW w:w="5400" w:type="dxa"/>
            <w:shd w:val="clear" w:color="auto" w:fill="0072C6"/>
          </w:tcPr>
          <w:p w14:paraId="1CA81D95" w14:textId="77777777" w:rsidR="004005AF" w:rsidRPr="001A0074" w:rsidRDefault="004005AF" w:rsidP="0005465C">
            <w:pPr>
              <w:pStyle w:val="ProductList-OfferingBody"/>
              <w:keepNext/>
              <w:jc w:val="center"/>
              <w:rPr>
                <w:color w:val="FFFFFF" w:themeColor="background1"/>
              </w:rPr>
            </w:pPr>
            <w:r>
              <w:rPr>
                <w:color w:val="FFFFFF" w:themeColor="background1"/>
              </w:rPr>
              <w:t>Środki Serwisowe na Używanie Usług</w:t>
            </w:r>
          </w:p>
        </w:tc>
      </w:tr>
      <w:tr w:rsidR="004005AF" w:rsidRPr="00B44CF9" w14:paraId="0F176083" w14:textId="77777777" w:rsidTr="00277097">
        <w:tc>
          <w:tcPr>
            <w:tcW w:w="5400" w:type="dxa"/>
          </w:tcPr>
          <w:p w14:paraId="6ADC35A4" w14:textId="77777777" w:rsidR="004005AF" w:rsidRPr="0076238C" w:rsidRDefault="004005AF" w:rsidP="0005465C">
            <w:pPr>
              <w:pStyle w:val="ProductList-OfferingBody"/>
              <w:keepNext/>
              <w:jc w:val="center"/>
            </w:pPr>
            <w:r>
              <w:t>&lt; 99,9%</w:t>
            </w:r>
          </w:p>
        </w:tc>
        <w:tc>
          <w:tcPr>
            <w:tcW w:w="5400" w:type="dxa"/>
          </w:tcPr>
          <w:p w14:paraId="1D02CA4B" w14:textId="77777777" w:rsidR="004005AF" w:rsidRPr="0076238C" w:rsidRDefault="004005AF" w:rsidP="0005465C">
            <w:pPr>
              <w:pStyle w:val="ProductList-OfferingBody"/>
              <w:keepNext/>
              <w:jc w:val="center"/>
            </w:pPr>
            <w:r>
              <w:t>10%</w:t>
            </w:r>
          </w:p>
        </w:tc>
      </w:tr>
      <w:tr w:rsidR="004005AF" w:rsidRPr="00B44CF9" w14:paraId="13970687" w14:textId="77777777" w:rsidTr="00277097">
        <w:tc>
          <w:tcPr>
            <w:tcW w:w="5400" w:type="dxa"/>
          </w:tcPr>
          <w:p w14:paraId="0EDE3D16" w14:textId="77777777" w:rsidR="004005AF" w:rsidRPr="0076238C" w:rsidRDefault="004005AF" w:rsidP="0005465C">
            <w:pPr>
              <w:pStyle w:val="ProductList-OfferingBody"/>
              <w:keepNext/>
              <w:jc w:val="center"/>
            </w:pPr>
            <w:r>
              <w:t>&lt; 99%</w:t>
            </w:r>
          </w:p>
        </w:tc>
        <w:tc>
          <w:tcPr>
            <w:tcW w:w="5400" w:type="dxa"/>
          </w:tcPr>
          <w:p w14:paraId="7EDA3102" w14:textId="77777777" w:rsidR="004005AF" w:rsidRPr="0076238C" w:rsidRDefault="004005AF" w:rsidP="0005465C">
            <w:pPr>
              <w:pStyle w:val="ProductList-OfferingBody"/>
              <w:keepNext/>
              <w:jc w:val="center"/>
            </w:pPr>
            <w:r>
              <w:t>25%</w:t>
            </w:r>
          </w:p>
        </w:tc>
      </w:tr>
    </w:tbl>
    <w:bookmarkEnd w:id="320"/>
    <w:p w14:paraId="23E212A1" w14:textId="73E20D4C"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7C5B20CC" w14:textId="77777777" w:rsidR="00366DF7" w:rsidRPr="00EF7CF9" w:rsidRDefault="00366DF7" w:rsidP="00366DF7">
      <w:pPr>
        <w:pStyle w:val="ProductList-Offering2Heading"/>
        <w:tabs>
          <w:tab w:val="clear" w:pos="360"/>
          <w:tab w:val="clear" w:pos="720"/>
          <w:tab w:val="clear" w:pos="1080"/>
        </w:tabs>
        <w:outlineLvl w:val="2"/>
      </w:pPr>
      <w:bookmarkStart w:id="334" w:name="_Toc239175039"/>
      <w:bookmarkStart w:id="335" w:name="_Toc457821559"/>
      <w:bookmarkStart w:id="336" w:name="_Toc52348966"/>
      <w:bookmarkStart w:id="337" w:name="_Toc52348936"/>
      <w:r>
        <w:t>Media Services</w:t>
      </w:r>
      <w:bookmarkEnd w:id="334"/>
    </w:p>
    <w:p w14:paraId="4F063CF3" w14:textId="77777777" w:rsidR="00366DF7" w:rsidRPr="00EF7CF9" w:rsidRDefault="00366DF7" w:rsidP="00366DF7">
      <w:pPr>
        <w:pStyle w:val="ProductList-Body"/>
      </w:pPr>
      <w:r>
        <w:rPr>
          <w:b/>
          <w:color w:val="00188F"/>
        </w:rPr>
        <w:t>Dodatkowe definicje</w:t>
      </w:r>
      <w:r w:rsidRPr="0034704E">
        <w:rPr>
          <w:b/>
          <w:color w:val="00188F"/>
        </w:rPr>
        <w:t>:</w:t>
      </w:r>
    </w:p>
    <w:p w14:paraId="3D5D2672" w14:textId="77777777" w:rsidR="00366DF7" w:rsidRPr="00ED4527" w:rsidRDefault="00366DF7" w:rsidP="00366DF7">
      <w:pPr>
        <w:pStyle w:val="ProductList-Body"/>
        <w:rPr>
          <w:color w:val="000000" w:themeColor="text1"/>
        </w:rPr>
      </w:pPr>
      <w:r>
        <w:rPr>
          <w:color w:val="000000" w:themeColor="text1"/>
        </w:rPr>
        <w:t>„</w:t>
      </w:r>
      <w:r>
        <w:rPr>
          <w:b/>
          <w:bCs/>
          <w:color w:val="00188F"/>
        </w:rPr>
        <w:t>Przydzielona Przepustowość dla Ruchu Wychodzącego</w:t>
      </w:r>
      <w:r>
        <w:rPr>
          <w:color w:val="000000" w:themeColor="text1"/>
        </w:rPr>
        <w:t>” to wartość przepustowości skonfigurowana przez Klienta w Portalu Zarządzania dla usługi Media Service. Przydzielona Przepustowość dla Ruchu Wychodzącego może być oznaczona w Portalu Zarządzania jako „Jednostki Przesyłania Strumieniowego” lub w podobny sposób.</w:t>
      </w:r>
    </w:p>
    <w:p w14:paraId="3998BA08" w14:textId="77777777" w:rsidR="00366DF7" w:rsidRPr="00EF7CF9" w:rsidRDefault="00366DF7" w:rsidP="00366DF7">
      <w:pPr>
        <w:pStyle w:val="ProductList-Body"/>
      </w:pPr>
      <w:r>
        <w:t>„</w:t>
      </w:r>
      <w:r>
        <w:rPr>
          <w:b/>
          <w:color w:val="00188F"/>
        </w:rPr>
        <w:t>Kanał</w:t>
      </w:r>
      <w:r>
        <w:t xml:space="preserve">” to punkt końcowy w ramach Usługi Media Service skonfigurowany do odbioru treści multimedialnych. </w:t>
      </w:r>
    </w:p>
    <w:p w14:paraId="33259DD9" w14:textId="77777777" w:rsidR="00366DF7" w:rsidRPr="00EF7CF9" w:rsidRDefault="00366DF7" w:rsidP="00366DF7">
      <w:pPr>
        <w:pStyle w:val="ProductList-Body"/>
      </w:pPr>
      <w:r>
        <w:t>„</w:t>
      </w:r>
      <w:r>
        <w:rPr>
          <w:b/>
          <w:color w:val="00188F"/>
        </w:rPr>
        <w:t>Kodowanie</w:t>
      </w:r>
      <w:r>
        <w:t>” to przetwarzanie plików multimedialnych dla subskrypcji zgodnie z konfiguracją Zadań usług Media Services.</w:t>
      </w:r>
    </w:p>
    <w:p w14:paraId="4525589C" w14:textId="77777777" w:rsidR="00366DF7" w:rsidRDefault="00366DF7" w:rsidP="00366DF7">
      <w:pPr>
        <w:pStyle w:val="ProductList-Body"/>
      </w:pPr>
      <w:r>
        <w:t>„</w:t>
      </w:r>
      <w:r>
        <w:rPr>
          <w:b/>
          <w:color w:val="00188F"/>
        </w:rPr>
        <w:t xml:space="preserve">Zadanie </w:t>
      </w:r>
      <w:proofErr w:type="spellStart"/>
      <w:r>
        <w:rPr>
          <w:b/>
          <w:color w:val="00188F"/>
        </w:rPr>
        <w:t>Indeksatora</w:t>
      </w:r>
      <w:proofErr w:type="spellEnd"/>
      <w:r>
        <w:t>” to Zadanie usług Media Services skonfigurowane tak, aby wyodrębnić treść mówioną z wejściowego pliku MP3 trwającą co najmniej pięć minut.</w:t>
      </w:r>
    </w:p>
    <w:p w14:paraId="44C53D27" w14:textId="77777777" w:rsidR="00366DF7" w:rsidRDefault="00366DF7" w:rsidP="00366DF7">
      <w:pPr>
        <w:pStyle w:val="ProductList-Body"/>
      </w:pPr>
      <w:r>
        <w:t>„</w:t>
      </w:r>
      <w:r>
        <w:rPr>
          <w:b/>
          <w:bCs/>
          <w:color w:val="00188F"/>
        </w:rPr>
        <w:t>Rezerwowana Jednostka Usług Media Services</w:t>
      </w:r>
      <w:r>
        <w:t>”</w:t>
      </w:r>
      <w:r>
        <w:rPr>
          <w:color w:val="00188F"/>
        </w:rPr>
        <w:t xml:space="preserve"> </w:t>
      </w:r>
      <w:r>
        <w:t xml:space="preserve">to rezerwowana jednostka zakupiona przez Klienta w ramach konta </w:t>
      </w:r>
      <w:proofErr w:type="spellStart"/>
      <w:r>
        <w:t>Azure</w:t>
      </w:r>
      <w:proofErr w:type="spellEnd"/>
      <w:r>
        <w:t xml:space="preserve"> Media Services.</w:t>
      </w:r>
    </w:p>
    <w:p w14:paraId="5DC7CAE5" w14:textId="77777777" w:rsidR="00366DF7" w:rsidRPr="00EF7CF9" w:rsidRDefault="00366DF7" w:rsidP="00366DF7">
      <w:pPr>
        <w:pStyle w:val="ProductList-Body"/>
      </w:pPr>
      <w:r>
        <w:t>„</w:t>
      </w:r>
      <w:r>
        <w:rPr>
          <w:b/>
          <w:color w:val="00188F"/>
        </w:rPr>
        <w:t>Usługa Media Service</w:t>
      </w:r>
      <w:r>
        <w:t xml:space="preserve">” to konto </w:t>
      </w:r>
      <w:proofErr w:type="spellStart"/>
      <w:r>
        <w:t>Azure</w:t>
      </w:r>
      <w:proofErr w:type="spellEnd"/>
      <w:r>
        <w:t xml:space="preserve"> Media Services utworzone w Portalu Zarządzania i powiązane z subskrypcją Microsoft </w:t>
      </w:r>
      <w:proofErr w:type="spellStart"/>
      <w:r>
        <w:t>Azure</w:t>
      </w:r>
      <w:proofErr w:type="spellEnd"/>
      <w:r>
        <w:t xml:space="preserve"> Klienta. Każda subskrypcja Microsoft </w:t>
      </w:r>
      <w:proofErr w:type="spellStart"/>
      <w:r>
        <w:t>Azure</w:t>
      </w:r>
      <w:proofErr w:type="spellEnd"/>
      <w:r>
        <w:t xml:space="preserve"> może mieć więcej niż jedną powiązaną Usługę Media Service.</w:t>
      </w:r>
    </w:p>
    <w:p w14:paraId="54BFA934" w14:textId="77777777" w:rsidR="00366DF7" w:rsidRPr="00EF7CF9" w:rsidRDefault="00366DF7" w:rsidP="00366DF7">
      <w:pPr>
        <w:pStyle w:val="ProductList-Body"/>
      </w:pPr>
      <w:r>
        <w:t>„</w:t>
      </w:r>
      <w:r>
        <w:rPr>
          <w:b/>
          <w:color w:val="00188F"/>
        </w:rPr>
        <w:t>Żądanie dla Usługi Media Service</w:t>
      </w:r>
      <w:r>
        <w:t>” to żądanie wysłane do Usługi Media Service Klienta.</w:t>
      </w:r>
    </w:p>
    <w:p w14:paraId="57CB0CF3" w14:textId="77777777" w:rsidR="00366DF7" w:rsidRPr="00EF7CF9" w:rsidRDefault="00366DF7" w:rsidP="00366DF7">
      <w:pPr>
        <w:pStyle w:val="ProductList-Body"/>
      </w:pPr>
      <w:r>
        <w:t>„</w:t>
      </w:r>
      <w:r>
        <w:rPr>
          <w:b/>
          <w:color w:val="00188F"/>
        </w:rPr>
        <w:t>Zadanie usług Media Services</w:t>
      </w:r>
      <w:r>
        <w:t>” to operacja przetwarzania multimediów zgodnie z konfiguracją Klienta. Operacje przetwarzania multimediów obejmują kodowanie i konwertowanie plików multimedialnych.</w:t>
      </w:r>
    </w:p>
    <w:p w14:paraId="23BCB70C" w14:textId="77777777" w:rsidR="00366DF7" w:rsidRPr="00EF7CF9" w:rsidRDefault="00366DF7" w:rsidP="00366DF7">
      <w:pPr>
        <w:pStyle w:val="ProductList-Body"/>
      </w:pPr>
      <w:r>
        <w:t>„</w:t>
      </w:r>
      <w:r>
        <w:rPr>
          <w:b/>
          <w:color w:val="00188F"/>
        </w:rPr>
        <w:t>Jednostka Przesyłania Strumieniowego</w:t>
      </w:r>
      <w:r>
        <w:t>” to zakupiona przez Klienta dla Usługi Media Service jednostka rezerwowanej pojemności ruchu wychodzącego.</w:t>
      </w:r>
    </w:p>
    <w:p w14:paraId="19C70900" w14:textId="77777777" w:rsidR="00366DF7" w:rsidRPr="00EF7CF9" w:rsidRDefault="00366DF7" w:rsidP="00366DF7">
      <w:pPr>
        <w:pStyle w:val="ProductList-Body"/>
      </w:pPr>
      <w:r>
        <w:rPr>
          <w:iCs/>
        </w:rPr>
        <w:t>„</w:t>
      </w:r>
      <w:r>
        <w:rPr>
          <w:b/>
          <w:iCs/>
          <w:color w:val="00188F"/>
        </w:rPr>
        <w:t>Ważne Żądania dla Klucza</w:t>
      </w:r>
      <w:r>
        <w:rPr>
          <w:iCs/>
        </w:rPr>
        <w:t>”</w:t>
      </w:r>
      <w:r>
        <w:t xml:space="preserve"> to wszystkie żądania przesłane w ramach usługi Content </w:t>
      </w:r>
      <w:proofErr w:type="spellStart"/>
      <w:r>
        <w:t>Protection</w:t>
      </w:r>
      <w:proofErr w:type="spellEnd"/>
      <w:r>
        <w:t xml:space="preserve"> dotyczące istniejących kluczy zawartości w ramach Usługi Media Service Klienta.</w:t>
      </w:r>
    </w:p>
    <w:p w14:paraId="03B0FCFA" w14:textId="77777777" w:rsidR="00366DF7" w:rsidRPr="00EF7CF9" w:rsidRDefault="00366DF7" w:rsidP="00366DF7">
      <w:pPr>
        <w:pStyle w:val="ProductList-Body"/>
      </w:pPr>
      <w:r>
        <w:t>„</w:t>
      </w:r>
      <w:r>
        <w:rPr>
          <w:b/>
          <w:color w:val="00188F"/>
        </w:rPr>
        <w:t>Ważne Żądania dla Usług Media Services</w:t>
      </w:r>
      <w:r>
        <w:t xml:space="preserve">” to wszystkie kwalifikujące Żądania Usług Media Services dla treści multimedialnych istniejących na koncie Microsoft </w:t>
      </w:r>
      <w:proofErr w:type="spellStart"/>
      <w:r>
        <w:t>Azure</w:t>
      </w:r>
      <w:proofErr w:type="spellEnd"/>
      <w:r>
        <w:t xml:space="preserve"> Storage Klienta, powiązanych z jego Usługą Media Service, gdy dla takiej Usługi Media Service została zakupiona i zaalokowana co najmniej jedna Jednostka Przesyłania Strumieniowego. Ważne Żądania dla Usług Media Services nie obejmują Żądań dla Usługi Media Service, dla których łączna przepustowość przekracza 80% Alokowanej Przepustowości.</w:t>
      </w:r>
    </w:p>
    <w:p w14:paraId="6C973BFB" w14:textId="77777777" w:rsidR="00366DF7" w:rsidRPr="00ED4527" w:rsidRDefault="00366DF7" w:rsidP="00366DF7">
      <w:pPr>
        <w:pStyle w:val="ProductList-Body"/>
        <w:keepNext/>
        <w:keepLines/>
        <w:spacing w:before="120"/>
        <w:rPr>
          <w:b/>
          <w:bCs/>
          <w:color w:val="00188F"/>
        </w:rPr>
      </w:pPr>
      <w:r>
        <w:rPr>
          <w:b/>
          <w:bCs/>
          <w:color w:val="00188F"/>
        </w:rPr>
        <w:t>Obliczanie Czasu Sprawnego Działania i Poziomy Usługi dla Usługi Kodowania</w:t>
      </w:r>
    </w:p>
    <w:p w14:paraId="00E50306" w14:textId="77777777" w:rsidR="00366DF7" w:rsidRPr="00EF7CF9" w:rsidRDefault="00366DF7" w:rsidP="00366DF7">
      <w:pPr>
        <w:pStyle w:val="ProductList-Body"/>
        <w:keepNext/>
        <w:keepLines/>
      </w:pPr>
      <w:r>
        <w:t>„</w:t>
      </w:r>
      <w:r>
        <w:rPr>
          <w:b/>
          <w:color w:val="00188F"/>
        </w:rPr>
        <w:t>Łączna Liczba Prób Transakcji</w:t>
      </w:r>
      <w:r>
        <w:t>” to łączna liczba uwierzytelnionych żądań interfejsu API REST dotyczących Usługi Media Service, wykonanych przez Klienta w trakcie Właściwego Okresu dla danej subskrypcji. Łączna Liczba Prób Transakcji nie obejmuje żądań interfejsu REST API zwracających Kod Błędu, które są stale powtarzane w ciągu pięciu minut od otrzymania pierwszego Kodu Błędu.</w:t>
      </w:r>
    </w:p>
    <w:p w14:paraId="6CB1B3F3" w14:textId="77777777" w:rsidR="00366DF7" w:rsidRPr="00EF7CF9" w:rsidRDefault="00366DF7" w:rsidP="00366DF7">
      <w:pPr>
        <w:pStyle w:val="ProductList-Body"/>
      </w:pPr>
      <w:r>
        <w:t>„</w:t>
      </w:r>
      <w:r>
        <w:rPr>
          <w:b/>
          <w:color w:val="00188F"/>
        </w:rPr>
        <w:t>Transakcje Zakończone Niepowodzeniem</w:t>
      </w:r>
      <w:r>
        <w:t>” to zbiór wszystkich żądań w ramach Łącznej Liczby Prób Transakcji, które nie zwracają Kodu Sukcesu w ciągu 30 sekund od otrzymania żądania przez Microsoft.</w:t>
      </w:r>
    </w:p>
    <w:p w14:paraId="78516903" w14:textId="77777777" w:rsidR="00366DF7" w:rsidRPr="00ED4527" w:rsidRDefault="00366DF7" w:rsidP="00366DF7">
      <w:pPr>
        <w:pStyle w:val="ProductList-Body"/>
        <w:ind w:right="126"/>
        <w:rPr>
          <w:color w:val="000000" w:themeColor="text1"/>
        </w:rPr>
      </w:pPr>
      <w:r>
        <w:t>„</w:t>
      </w:r>
      <w:r>
        <w:rPr>
          <w:b/>
          <w:color w:val="00188F"/>
        </w:rPr>
        <w:t xml:space="preserve">Procent Czasu Sprawnego </w:t>
      </w:r>
      <w:proofErr w:type="spellStart"/>
      <w:r>
        <w:rPr>
          <w:b/>
          <w:color w:val="00188F"/>
        </w:rPr>
        <w:t>Działania</w:t>
      </w:r>
      <w:r>
        <w:t>”</w:t>
      </w:r>
      <w:r>
        <w:rPr>
          <w:color w:val="000000" w:themeColor="text1"/>
        </w:rPr>
        <w:t>dla</w:t>
      </w:r>
      <w:proofErr w:type="spellEnd"/>
      <w:r>
        <w:rPr>
          <w:color w:val="000000" w:themeColor="text1"/>
        </w:rPr>
        <w:t xml:space="preserve"> Usługi Kodowania w ramach usługi </w:t>
      </w:r>
      <w:proofErr w:type="spellStart"/>
      <w:r>
        <w:rPr>
          <w:color w:val="000000" w:themeColor="text1"/>
        </w:rPr>
        <w:t>Azure</w:t>
      </w:r>
      <w:proofErr w:type="spellEnd"/>
      <w:r>
        <w:rPr>
          <w:color w:val="000000" w:themeColor="text1"/>
        </w:rPr>
        <w:t xml:space="preserve"> Media Services to Łączna Liczba Prób Transakcji pomniejszona o Transakcje Zakończone Niepowodzeniem i podzielona przez Łączną Liczbę Prób Transakcji we Właściwym Okresie dla danej subskrypcji Microsoft </w:t>
      </w:r>
      <w:proofErr w:type="spellStart"/>
      <w:r>
        <w:rPr>
          <w:color w:val="000000" w:themeColor="text1"/>
        </w:rPr>
        <w:t>Azure</w:t>
      </w:r>
      <w:proofErr w:type="spellEnd"/>
      <w:r>
        <w:rPr>
          <w:color w:val="000000" w:themeColor="text1"/>
        </w:rPr>
        <w:t>.</w:t>
      </w:r>
    </w:p>
    <w:p w14:paraId="66368782" w14:textId="77777777" w:rsidR="00366DF7" w:rsidRPr="00EF7CF9" w:rsidRDefault="00366DF7" w:rsidP="00366DF7">
      <w:pPr>
        <w:pStyle w:val="ProductList-Body"/>
      </w:pPr>
      <w:r>
        <w:t>Procent Czasu Sprawnego Działania jest obliczany przy użyciu następującego wzoru:</w:t>
      </w:r>
    </w:p>
    <w:bookmarkEnd w:id="335"/>
    <w:bookmarkEnd w:id="336"/>
    <w:p w14:paraId="7B112C6F" w14:textId="77777777" w:rsidR="0005465C" w:rsidRPr="00EF7CF9" w:rsidRDefault="0005465C" w:rsidP="0005465C">
      <w:pPr>
        <w:pStyle w:val="ProductList-Body"/>
      </w:pPr>
    </w:p>
    <w:p w14:paraId="5CE29E4D" w14:textId="60340664" w:rsidR="0005465C" w:rsidRPr="00EF7CF9" w:rsidRDefault="00000000" w:rsidP="0005465C">
      <w:pPr>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7CDFD319" w14:textId="77777777" w:rsidR="0005465C" w:rsidRPr="00EF7CF9" w:rsidRDefault="0005465C" w:rsidP="0005465C">
      <w:pPr>
        <w:keepNext/>
        <w:spacing w:after="0"/>
      </w:pPr>
      <w:r>
        <w:rPr>
          <w:b/>
          <w:color w:val="00188F"/>
          <w:sz w:val="18"/>
        </w:rPr>
        <w:t xml:space="preserve">Do używania przez Klienta Usługi Kodowania w ramach usługi </w:t>
      </w:r>
      <w:proofErr w:type="spellStart"/>
      <w:r>
        <w:rPr>
          <w:b/>
          <w:color w:val="00188F"/>
          <w:sz w:val="18"/>
        </w:rPr>
        <w:t>Azure</w:t>
      </w:r>
      <w:proofErr w:type="spellEnd"/>
      <w:r>
        <w:rPr>
          <w:b/>
          <w:color w:val="00188F"/>
          <w:sz w:val="18"/>
        </w:rPr>
        <w:t xml:space="preserve"> Media Services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auto"/>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4BA3458C" w14:textId="77777777" w:rsidTr="00277097">
        <w:trPr>
          <w:tblHeader/>
        </w:trPr>
        <w:tc>
          <w:tcPr>
            <w:tcW w:w="5400" w:type="dxa"/>
            <w:shd w:val="clear" w:color="auto" w:fill="0072C6"/>
          </w:tcPr>
          <w:p w14:paraId="31B27233" w14:textId="71533B8C" w:rsidR="0005465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5D3DBC8" w14:textId="77777777" w:rsidR="0005465C" w:rsidRPr="00EF7CF9" w:rsidRDefault="0005465C" w:rsidP="000F31B4">
            <w:pPr>
              <w:pStyle w:val="ProductList-OfferingBody"/>
              <w:jc w:val="center"/>
              <w:rPr>
                <w:color w:val="FFFFFF" w:themeColor="background1"/>
              </w:rPr>
            </w:pPr>
            <w:r>
              <w:rPr>
                <w:color w:val="FFFFFF" w:themeColor="background1"/>
              </w:rPr>
              <w:t>Środki Serwisowe na Używanie Usług</w:t>
            </w:r>
          </w:p>
        </w:tc>
      </w:tr>
      <w:tr w:rsidR="0005465C" w:rsidRPr="00B44CF9" w14:paraId="76057F72" w14:textId="77777777" w:rsidTr="00277097">
        <w:tc>
          <w:tcPr>
            <w:tcW w:w="5400" w:type="dxa"/>
          </w:tcPr>
          <w:p w14:paraId="51AFE70C" w14:textId="77777777" w:rsidR="0005465C" w:rsidRPr="00EF7CF9" w:rsidRDefault="0005465C" w:rsidP="000F31B4">
            <w:pPr>
              <w:pStyle w:val="ProductList-OfferingBody"/>
              <w:jc w:val="center"/>
            </w:pPr>
            <w:r>
              <w:t>&lt; 99,9%</w:t>
            </w:r>
          </w:p>
        </w:tc>
        <w:tc>
          <w:tcPr>
            <w:tcW w:w="5400" w:type="dxa"/>
          </w:tcPr>
          <w:p w14:paraId="643F935F" w14:textId="77777777" w:rsidR="0005465C" w:rsidRPr="00EF7CF9" w:rsidRDefault="0005465C" w:rsidP="000F31B4">
            <w:pPr>
              <w:pStyle w:val="ProductList-OfferingBody"/>
              <w:jc w:val="center"/>
            </w:pPr>
            <w:r>
              <w:t>10%</w:t>
            </w:r>
          </w:p>
        </w:tc>
      </w:tr>
      <w:tr w:rsidR="0005465C" w:rsidRPr="00B44CF9" w14:paraId="53C383C7" w14:textId="77777777" w:rsidTr="00277097">
        <w:tc>
          <w:tcPr>
            <w:tcW w:w="5400" w:type="dxa"/>
          </w:tcPr>
          <w:p w14:paraId="4BF733BF" w14:textId="77777777" w:rsidR="0005465C" w:rsidRPr="00EF7CF9" w:rsidRDefault="0005465C" w:rsidP="000F31B4">
            <w:pPr>
              <w:pStyle w:val="ProductList-OfferingBody"/>
              <w:jc w:val="center"/>
            </w:pPr>
            <w:r>
              <w:t>&lt; 99%</w:t>
            </w:r>
          </w:p>
        </w:tc>
        <w:tc>
          <w:tcPr>
            <w:tcW w:w="5400" w:type="dxa"/>
          </w:tcPr>
          <w:p w14:paraId="6588FFA0" w14:textId="77777777" w:rsidR="0005465C" w:rsidRPr="00EF7CF9" w:rsidRDefault="0005465C" w:rsidP="000F31B4">
            <w:pPr>
              <w:pStyle w:val="ProductList-OfferingBody"/>
              <w:jc w:val="center"/>
            </w:pPr>
            <w:r>
              <w:t>25%</w:t>
            </w:r>
          </w:p>
        </w:tc>
      </w:tr>
    </w:tbl>
    <w:p w14:paraId="0EA33D4A" w14:textId="21205708" w:rsidR="0005465C" w:rsidRDefault="00EE6E3C" w:rsidP="0005465C">
      <w:pPr>
        <w:pStyle w:val="ProductList-Body"/>
        <w:keepNext/>
        <w:spacing w:before="120"/>
        <w:rPr>
          <w:b/>
          <w:bCs/>
          <w:color w:val="00188F"/>
        </w:rPr>
      </w:pPr>
      <w:r>
        <w:rPr>
          <w:b/>
          <w:bCs/>
          <w:color w:val="00188F"/>
        </w:rPr>
        <w:t xml:space="preserve">Obliczanie Czasu Sprawnego Działania i Poziomy Usługi dla Usługi Media </w:t>
      </w:r>
      <w:proofErr w:type="spellStart"/>
      <w:r>
        <w:rPr>
          <w:b/>
          <w:bCs/>
          <w:color w:val="00188F"/>
        </w:rPr>
        <w:t>Indexer</w:t>
      </w:r>
      <w:proofErr w:type="spellEnd"/>
    </w:p>
    <w:p w14:paraId="27730B1D" w14:textId="77777777" w:rsidR="0005465C" w:rsidRPr="00ED4527" w:rsidRDefault="0005465C" w:rsidP="0005465C">
      <w:pPr>
        <w:pStyle w:val="ProductList-Body"/>
        <w:rPr>
          <w:b/>
          <w:bCs/>
          <w:color w:val="00188F"/>
        </w:rPr>
      </w:pPr>
      <w:r>
        <w:rPr>
          <w:b/>
          <w:bCs/>
          <w:color w:val="00188F"/>
        </w:rPr>
        <w:t>Dodatkowe definicje:</w:t>
      </w:r>
    </w:p>
    <w:p w14:paraId="037E191A" w14:textId="70B79A68" w:rsidR="0005465C" w:rsidRDefault="0005465C" w:rsidP="0005465C">
      <w:pPr>
        <w:pStyle w:val="ProductList-Body"/>
      </w:pPr>
      <w:r>
        <w:t>„</w:t>
      </w:r>
      <w:r>
        <w:rPr>
          <w:b/>
          <w:color w:val="00188F"/>
        </w:rPr>
        <w:t>Łączna Liczba Prób Transakcji</w:t>
      </w:r>
      <w:r>
        <w:t xml:space="preserve">” to łączna liczba Zadań </w:t>
      </w:r>
      <w:proofErr w:type="spellStart"/>
      <w:r>
        <w:t>Indeksatora</w:t>
      </w:r>
      <w:proofErr w:type="spellEnd"/>
      <w:r>
        <w:t>, które mają zostać wykonane przez Klienta przy użyciu dostępnej Rezerwowanej Jednostki Usług Media Services we Właściwym Okresie dla danej subskrypcji.</w:t>
      </w:r>
    </w:p>
    <w:p w14:paraId="1795AB74" w14:textId="4488439A" w:rsidR="0005465C" w:rsidRDefault="0005465C" w:rsidP="0005465C">
      <w:pPr>
        <w:pStyle w:val="ProductList-Body"/>
      </w:pPr>
      <w:r>
        <w:t>„</w:t>
      </w:r>
      <w:r>
        <w:rPr>
          <w:b/>
          <w:color w:val="00188F"/>
        </w:rPr>
        <w:t>Transakcje Zakończone Niepowodzeniem</w:t>
      </w:r>
      <w:r>
        <w:t>”</w:t>
      </w:r>
      <w:r w:rsidR="00781AEE">
        <w:t xml:space="preserve"> </w:t>
      </w:r>
      <w:r>
        <w:t xml:space="preserve">to zbiór wszystkich Zadań </w:t>
      </w:r>
      <w:proofErr w:type="spellStart"/>
      <w:r>
        <w:t>Indeksatora</w:t>
      </w:r>
      <w:proofErr w:type="spellEnd"/>
      <w:r>
        <w:t xml:space="preserve"> w ramach Łącznej Liczby Prób Transakcji, które: a) nie zostały zakończone w okresie stanowiącym 3-krotność czasu trwania pliku wejściowego, lub b) nie rozpoczynają się w ciągu 5 minut od czasu, kiedy Rezerwowana Jednostka Usług Media Services staje się dostępna dla Zadania </w:t>
      </w:r>
      <w:proofErr w:type="spellStart"/>
      <w:r>
        <w:t>Indeksatora</w:t>
      </w:r>
      <w:proofErr w:type="spellEnd"/>
      <w:r>
        <w:t xml:space="preserve">. </w:t>
      </w:r>
    </w:p>
    <w:p w14:paraId="63DF2CAC" w14:textId="7CA3F3CD" w:rsidR="0005465C" w:rsidRPr="00ED4527" w:rsidRDefault="00781AEE" w:rsidP="0005465C">
      <w:pPr>
        <w:pStyle w:val="ProductList-Body"/>
        <w:rPr>
          <w:color w:val="000000" w:themeColor="text1"/>
        </w:rPr>
      </w:pPr>
      <w:r>
        <w:t>„</w:t>
      </w:r>
      <w:r w:rsidR="0005465C">
        <w:rPr>
          <w:b/>
          <w:color w:val="00188F"/>
        </w:rPr>
        <w:t>Procent Czasu Sprawnego Działania</w:t>
      </w:r>
      <w:r w:rsidR="0005465C">
        <w:t xml:space="preserve">” </w:t>
      </w:r>
      <w:r w:rsidR="0005465C">
        <w:rPr>
          <w:color w:val="000000" w:themeColor="text1"/>
        </w:rPr>
        <w:t xml:space="preserve">dla Usługi Media </w:t>
      </w:r>
      <w:proofErr w:type="spellStart"/>
      <w:r w:rsidR="0005465C">
        <w:rPr>
          <w:color w:val="000000" w:themeColor="text1"/>
        </w:rPr>
        <w:t>Indexer</w:t>
      </w:r>
      <w:proofErr w:type="spellEnd"/>
      <w:r w:rsidR="0005465C">
        <w:rPr>
          <w:color w:val="000000" w:themeColor="text1"/>
        </w:rPr>
        <w:t xml:space="preserve"> to Łączna Liczba Prób Transakcji pomniejszona o Transakcje Zakończone Niepowodzeniem podzielona przez Łączną Liczbę Prób Transakcji we Właściwym Okresie dla danej subskrypcji Microsoft </w:t>
      </w:r>
      <w:proofErr w:type="spellStart"/>
      <w:r w:rsidR="0005465C">
        <w:rPr>
          <w:color w:val="000000" w:themeColor="text1"/>
        </w:rPr>
        <w:t>Azure</w:t>
      </w:r>
      <w:proofErr w:type="spellEnd"/>
      <w:r w:rsidR="0005465C">
        <w:rPr>
          <w:color w:val="000000" w:themeColor="text1"/>
        </w:rPr>
        <w:t xml:space="preserve">. </w:t>
      </w:r>
    </w:p>
    <w:p w14:paraId="03C1B0C8" w14:textId="2E4C5AF4" w:rsidR="0005465C" w:rsidRPr="00EF7CF9" w:rsidRDefault="0005465C" w:rsidP="0005465C">
      <w:pPr>
        <w:pStyle w:val="ProductList-Body"/>
      </w:pPr>
      <w:r>
        <w:t>Procent Czasu Sprawnego Działania jest obliczany przy użyciu następującego wzoru:</w:t>
      </w:r>
    </w:p>
    <w:p w14:paraId="13457D32" w14:textId="3EB6BC28" w:rsidR="0005465C" w:rsidRPr="00EF7CF9" w:rsidRDefault="00000000" w:rsidP="00261A34">
      <w:pPr>
        <w:spacing w:before="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6BE0A893" w14:textId="77777777" w:rsidR="0005465C" w:rsidRPr="00EF7CF9" w:rsidRDefault="0005465C" w:rsidP="0005465C">
      <w:pPr>
        <w:pStyle w:val="ProductList-Body"/>
      </w:pPr>
      <w:r>
        <w:rPr>
          <w:b/>
          <w:color w:val="00188F"/>
        </w:rPr>
        <w:t xml:space="preserve">Do używania przez Klienta usługi Media </w:t>
      </w:r>
      <w:proofErr w:type="spellStart"/>
      <w:r>
        <w:rPr>
          <w:b/>
          <w:color w:val="00188F"/>
        </w:rPr>
        <w:t>Indexer</w:t>
      </w:r>
      <w:proofErr w:type="spellEnd"/>
      <w:r>
        <w:rPr>
          <w:b/>
          <w:color w:val="00188F"/>
        </w:rPr>
        <w:t xml:space="preserve">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74FEA684" w14:textId="77777777" w:rsidTr="00277097">
        <w:trPr>
          <w:tblHeader/>
        </w:trPr>
        <w:tc>
          <w:tcPr>
            <w:tcW w:w="5400" w:type="dxa"/>
            <w:shd w:val="clear" w:color="auto" w:fill="0072C6"/>
          </w:tcPr>
          <w:p w14:paraId="24AFFF33" w14:textId="2BDDDE47" w:rsidR="0005465C" w:rsidRPr="00EF7CF9" w:rsidRDefault="00AC48A7" w:rsidP="00FA7CDD">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EDDFB4E" w14:textId="77777777" w:rsidR="0005465C" w:rsidRPr="00EF7CF9" w:rsidRDefault="0005465C" w:rsidP="00FA7CDD">
            <w:pPr>
              <w:pStyle w:val="ProductList-OfferingBody"/>
              <w:jc w:val="center"/>
              <w:rPr>
                <w:color w:val="FFFFFF" w:themeColor="background1"/>
              </w:rPr>
            </w:pPr>
            <w:r>
              <w:rPr>
                <w:color w:val="FFFFFF" w:themeColor="background1"/>
              </w:rPr>
              <w:t>Środki Serwisowe na Używanie Usług</w:t>
            </w:r>
          </w:p>
        </w:tc>
      </w:tr>
      <w:tr w:rsidR="0005465C" w:rsidRPr="00B44CF9" w14:paraId="26B1DEDD" w14:textId="77777777" w:rsidTr="00277097">
        <w:tc>
          <w:tcPr>
            <w:tcW w:w="5400" w:type="dxa"/>
          </w:tcPr>
          <w:p w14:paraId="68470538" w14:textId="77777777" w:rsidR="0005465C" w:rsidRPr="00EF7CF9" w:rsidRDefault="0005465C" w:rsidP="00FA7CDD">
            <w:pPr>
              <w:pStyle w:val="ProductList-OfferingBody"/>
              <w:jc w:val="center"/>
            </w:pPr>
            <w:r>
              <w:t>&lt; 99,9%</w:t>
            </w:r>
          </w:p>
        </w:tc>
        <w:tc>
          <w:tcPr>
            <w:tcW w:w="5400" w:type="dxa"/>
          </w:tcPr>
          <w:p w14:paraId="07A02B82" w14:textId="77777777" w:rsidR="0005465C" w:rsidRPr="00EF7CF9" w:rsidRDefault="0005465C" w:rsidP="00FA7CDD">
            <w:pPr>
              <w:pStyle w:val="ProductList-OfferingBody"/>
              <w:jc w:val="center"/>
            </w:pPr>
            <w:r>
              <w:t>10%</w:t>
            </w:r>
          </w:p>
        </w:tc>
      </w:tr>
      <w:tr w:rsidR="0005465C" w:rsidRPr="00B44CF9" w14:paraId="6EFA9E8C" w14:textId="77777777" w:rsidTr="00277097">
        <w:tc>
          <w:tcPr>
            <w:tcW w:w="5400" w:type="dxa"/>
          </w:tcPr>
          <w:p w14:paraId="10BF8673" w14:textId="77777777" w:rsidR="0005465C" w:rsidRPr="00EF7CF9" w:rsidRDefault="0005465C" w:rsidP="00FA7CDD">
            <w:pPr>
              <w:pStyle w:val="ProductList-OfferingBody"/>
              <w:jc w:val="center"/>
            </w:pPr>
            <w:r>
              <w:t>&lt; 99%</w:t>
            </w:r>
          </w:p>
        </w:tc>
        <w:tc>
          <w:tcPr>
            <w:tcW w:w="5400" w:type="dxa"/>
          </w:tcPr>
          <w:p w14:paraId="1E95AC2B" w14:textId="77777777" w:rsidR="0005465C" w:rsidRPr="00EF7CF9" w:rsidRDefault="0005465C" w:rsidP="00FA7CDD">
            <w:pPr>
              <w:pStyle w:val="ProductList-OfferingBody"/>
              <w:jc w:val="center"/>
            </w:pPr>
            <w:r>
              <w:t>25%</w:t>
            </w:r>
          </w:p>
        </w:tc>
      </w:tr>
    </w:tbl>
    <w:p w14:paraId="1FA15227" w14:textId="79A50EA6" w:rsidR="0005465C" w:rsidRDefault="00EE6E3C" w:rsidP="00D17641">
      <w:pPr>
        <w:pStyle w:val="ProductList-Body"/>
        <w:spacing w:before="120"/>
        <w:rPr>
          <w:b/>
          <w:bCs/>
          <w:color w:val="00188F"/>
        </w:rPr>
      </w:pPr>
      <w:r>
        <w:rPr>
          <w:b/>
          <w:bCs/>
          <w:color w:val="00188F"/>
        </w:rPr>
        <w:t>Obliczanie Czasu Sprawnego Działania i Poziomy Usługi dla Usługi Przesyłania Strumieniowego</w:t>
      </w:r>
    </w:p>
    <w:p w14:paraId="0AD96E39" w14:textId="77777777" w:rsidR="0005465C" w:rsidRDefault="0005465C" w:rsidP="0005465C">
      <w:pPr>
        <w:pStyle w:val="ProductList-Body"/>
        <w:rPr>
          <w:b/>
          <w:bCs/>
          <w:color w:val="00188F"/>
        </w:rPr>
      </w:pPr>
      <w:r>
        <w:rPr>
          <w:b/>
          <w:bCs/>
          <w:color w:val="00188F"/>
        </w:rPr>
        <w:t>Dodatkowe definicje:</w:t>
      </w:r>
    </w:p>
    <w:p w14:paraId="52664232" w14:textId="4C2FF3BC" w:rsidR="0005465C" w:rsidRPr="00EF7CF9" w:rsidRDefault="0005465C" w:rsidP="0005465C">
      <w:pPr>
        <w:pStyle w:val="ProductList-Body"/>
      </w:pPr>
      <w:r>
        <w:t>„</w:t>
      </w:r>
      <w:r>
        <w:rPr>
          <w:b/>
          <w:color w:val="00188F"/>
        </w:rPr>
        <w:t>Minuty Wdrożenia</w:t>
      </w:r>
      <w:r>
        <w:t>” to łączna liczba minut, przez którą dana Jednostka Przesyłania Strumieniowego została zakupiona i zaalokowana do Usługi Media Service we Właściwym Okresie.</w:t>
      </w:r>
    </w:p>
    <w:p w14:paraId="38064890" w14:textId="66A64FD5" w:rsidR="0005465C" w:rsidRPr="00EF7CF9" w:rsidRDefault="0005465C" w:rsidP="0005465C">
      <w:pPr>
        <w:pStyle w:val="ProductList-Body"/>
      </w:pPr>
      <w:r>
        <w:t>„</w:t>
      </w:r>
      <w:r>
        <w:rPr>
          <w:b/>
          <w:color w:val="00188F"/>
        </w:rPr>
        <w:t>Maksymalna Liczba Dostępnych Minut</w:t>
      </w:r>
      <w:r>
        <w:t>” to suma wszystkich Minut Wdrożenia dla wszystkich Jednostek Przesyłania Strumieniowego, które zostały zakupione i przydzielone do Usługi Media Service we Właściwym Okresie.</w:t>
      </w:r>
    </w:p>
    <w:p w14:paraId="641A9254" w14:textId="77777777" w:rsidR="0005465C" w:rsidRPr="00EF7CF9" w:rsidRDefault="0005465C" w:rsidP="0005465C">
      <w:pPr>
        <w:pStyle w:val="ProductList-Body"/>
      </w:pPr>
      <w:r>
        <w:rPr>
          <w:b/>
          <w:color w:val="00188F"/>
        </w:rPr>
        <w:t>Przestój</w:t>
      </w:r>
      <w:r w:rsidRPr="0034704E">
        <w:rPr>
          <w:b/>
          <w:color w:val="00188F"/>
        </w:rPr>
        <w:t>:</w:t>
      </w:r>
      <w:r>
        <w:t xml:space="preserve"> to łączna zakumulowana liczba Minut Wdrożenia, podczas których usługa Przesyłania Strumieniowego jest niedostępna. Minuta jest uznawana za minutę niedostępności dla danej Jednostki Przesyłania Strumieniowego, jeśli wszystkie nieprzerwanie następujące po sobie Ważne Żądania dla Usługi Media Service przesłane do Jednostki Przesyłania Strumieniowego w ciągu minuty zwracają Kod Błędu.</w:t>
      </w:r>
    </w:p>
    <w:p w14:paraId="6A6C8E6F" w14:textId="78857DEF" w:rsidR="0005465C" w:rsidRDefault="0005465C" w:rsidP="0005465C">
      <w:pPr>
        <w:pStyle w:val="ProductList-Body"/>
      </w:pPr>
      <w:r>
        <w:t>„</w:t>
      </w:r>
      <w:r>
        <w:rPr>
          <w:b/>
          <w:color w:val="00188F"/>
        </w:rPr>
        <w:t>Procent Czasu Sprawnego Działania</w:t>
      </w:r>
      <w:r w:rsidR="00781AEE">
        <w:t>”</w:t>
      </w:r>
      <w:r>
        <w:t xml:space="preserve"> dla Usługi Przesyłania Strumieniowego </w:t>
      </w:r>
      <w:proofErr w:type="spellStart"/>
      <w:r>
        <w:t>Azure</w:t>
      </w:r>
      <w:proofErr w:type="spellEnd"/>
      <w:r>
        <w:t xml:space="preserve"> to Maksymalna Liczba Dostępnych Minut pomniejszona o</w:t>
      </w:r>
      <w:r w:rsidR="00781AEE">
        <w:t> </w:t>
      </w:r>
      <w:r>
        <w:t xml:space="preserve">Przestój podzielona przez Maksymalną Liczbę Dostępnych Minut we Właściwym Okresie dla danej subskrypcji Microsoft </w:t>
      </w:r>
      <w:proofErr w:type="spellStart"/>
      <w:r>
        <w:t>Azure</w:t>
      </w:r>
      <w:proofErr w:type="spellEnd"/>
      <w:r>
        <w:t>.</w:t>
      </w:r>
    </w:p>
    <w:p w14:paraId="61A12412" w14:textId="72445C95" w:rsidR="0005465C" w:rsidRPr="00EF7CF9" w:rsidRDefault="0005465C" w:rsidP="0005465C">
      <w:pPr>
        <w:pStyle w:val="ProductList-Body"/>
      </w:pPr>
      <w:r>
        <w:t>Procent Czasu Sprawnego Działania jest obliczany przy użyciu następującego wzoru:</w:t>
      </w:r>
    </w:p>
    <w:p w14:paraId="3AC7ADB8" w14:textId="7A457471" w:rsidR="0005465C" w:rsidRPr="00EF7CF9" w:rsidRDefault="00000000" w:rsidP="00214D9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96046E2" w14:textId="77777777" w:rsidR="0005465C" w:rsidRPr="00EF7CF9" w:rsidRDefault="0005465C" w:rsidP="00FA7CDD">
      <w:pPr>
        <w:pStyle w:val="ProductList-Body"/>
        <w:keepNext/>
        <w:keepLines/>
      </w:pPr>
      <w:r>
        <w:rPr>
          <w:b/>
          <w:color w:val="00188F"/>
        </w:rPr>
        <w:t xml:space="preserve">Do używania przez Klienta Usługi Przesyłania Strumieniowego na Żądanie w ramach usługi </w:t>
      </w:r>
      <w:proofErr w:type="spellStart"/>
      <w:r>
        <w:rPr>
          <w:b/>
          <w:color w:val="00188F"/>
        </w:rPr>
        <w:t>Azure</w:t>
      </w:r>
      <w:proofErr w:type="spellEnd"/>
      <w:r>
        <w:rPr>
          <w:b/>
          <w:color w:val="00188F"/>
        </w:rPr>
        <w:t xml:space="preserve"> Media Services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63815343" w14:textId="77777777" w:rsidTr="00277097">
        <w:trPr>
          <w:tblHeader/>
        </w:trPr>
        <w:tc>
          <w:tcPr>
            <w:tcW w:w="5400" w:type="dxa"/>
            <w:shd w:val="clear" w:color="auto" w:fill="0072C6"/>
          </w:tcPr>
          <w:p w14:paraId="1D8C1A2E" w14:textId="43A0A68E" w:rsidR="0005465C" w:rsidRPr="00EF7CF9" w:rsidRDefault="00AC48A7" w:rsidP="00FA7CDD">
            <w:pPr>
              <w:pStyle w:val="ProductList-OfferingBody"/>
              <w:keepNext/>
              <w:keepLines/>
              <w:jc w:val="center"/>
              <w:rPr>
                <w:color w:val="FFFFFF" w:themeColor="background1"/>
              </w:rPr>
            </w:pPr>
            <w:r>
              <w:rPr>
                <w:color w:val="FFFFFF" w:themeColor="background1"/>
              </w:rPr>
              <w:t>Procent Czasu Sprawnego Działania</w:t>
            </w:r>
          </w:p>
        </w:tc>
        <w:tc>
          <w:tcPr>
            <w:tcW w:w="5400" w:type="dxa"/>
            <w:shd w:val="clear" w:color="auto" w:fill="0072C6"/>
          </w:tcPr>
          <w:p w14:paraId="22D51487" w14:textId="77777777" w:rsidR="0005465C" w:rsidRPr="00EF7CF9" w:rsidRDefault="0005465C" w:rsidP="00FA7CDD">
            <w:pPr>
              <w:pStyle w:val="ProductList-OfferingBody"/>
              <w:keepNext/>
              <w:keepLines/>
              <w:jc w:val="center"/>
              <w:rPr>
                <w:color w:val="FFFFFF" w:themeColor="background1"/>
              </w:rPr>
            </w:pPr>
            <w:r>
              <w:rPr>
                <w:color w:val="FFFFFF" w:themeColor="background1"/>
              </w:rPr>
              <w:t>Środki Serwisowe na Używanie Usług</w:t>
            </w:r>
          </w:p>
        </w:tc>
      </w:tr>
      <w:tr w:rsidR="0005465C" w:rsidRPr="00B44CF9" w14:paraId="380F08F5" w14:textId="77777777" w:rsidTr="00277097">
        <w:tc>
          <w:tcPr>
            <w:tcW w:w="5400" w:type="dxa"/>
          </w:tcPr>
          <w:p w14:paraId="73641178" w14:textId="77777777" w:rsidR="0005465C" w:rsidRPr="00EF7CF9" w:rsidRDefault="0005465C" w:rsidP="00FA7CDD">
            <w:pPr>
              <w:pStyle w:val="ProductList-OfferingBody"/>
              <w:keepNext/>
              <w:keepLines/>
              <w:jc w:val="center"/>
            </w:pPr>
            <w:r>
              <w:t>&lt; 99,9%</w:t>
            </w:r>
          </w:p>
        </w:tc>
        <w:tc>
          <w:tcPr>
            <w:tcW w:w="5400" w:type="dxa"/>
          </w:tcPr>
          <w:p w14:paraId="60FF2A85" w14:textId="77777777" w:rsidR="0005465C" w:rsidRPr="00EF7CF9" w:rsidRDefault="0005465C" w:rsidP="00FA7CDD">
            <w:pPr>
              <w:pStyle w:val="ProductList-OfferingBody"/>
              <w:keepNext/>
              <w:keepLines/>
              <w:jc w:val="center"/>
            </w:pPr>
            <w:r>
              <w:t>10%</w:t>
            </w:r>
          </w:p>
        </w:tc>
      </w:tr>
      <w:tr w:rsidR="0005465C" w:rsidRPr="00B44CF9" w14:paraId="389AAB23" w14:textId="77777777" w:rsidTr="00277097">
        <w:tc>
          <w:tcPr>
            <w:tcW w:w="5400" w:type="dxa"/>
          </w:tcPr>
          <w:p w14:paraId="33D77446" w14:textId="77777777" w:rsidR="0005465C" w:rsidRPr="00EF7CF9" w:rsidRDefault="0005465C" w:rsidP="00FA7CDD">
            <w:pPr>
              <w:pStyle w:val="ProductList-OfferingBody"/>
              <w:keepNext/>
              <w:keepLines/>
              <w:jc w:val="center"/>
            </w:pPr>
            <w:r>
              <w:t>&lt; 99%</w:t>
            </w:r>
          </w:p>
        </w:tc>
        <w:tc>
          <w:tcPr>
            <w:tcW w:w="5400" w:type="dxa"/>
          </w:tcPr>
          <w:p w14:paraId="6B947007" w14:textId="77777777" w:rsidR="0005465C" w:rsidRPr="00EF7CF9" w:rsidRDefault="0005465C" w:rsidP="00FA7CDD">
            <w:pPr>
              <w:pStyle w:val="ProductList-OfferingBody"/>
              <w:keepNext/>
              <w:keepLines/>
              <w:jc w:val="center"/>
            </w:pPr>
            <w:r>
              <w:t>25%</w:t>
            </w:r>
          </w:p>
        </w:tc>
      </w:tr>
    </w:tbl>
    <w:p w14:paraId="20A43B74" w14:textId="05227B1E" w:rsidR="0005465C" w:rsidRPr="00ED4527" w:rsidRDefault="00EE6E3C" w:rsidP="00D17641">
      <w:pPr>
        <w:pStyle w:val="ProductList-Body"/>
        <w:spacing w:before="120"/>
        <w:rPr>
          <w:b/>
          <w:bCs/>
          <w:color w:val="00188F"/>
        </w:rPr>
      </w:pPr>
      <w:r>
        <w:rPr>
          <w:b/>
          <w:bCs/>
          <w:color w:val="00188F"/>
        </w:rPr>
        <w:t xml:space="preserve">Obliczanie Czasu Sprawnego Działania i Poziomy Usługi dla Usługi Video </w:t>
      </w:r>
      <w:proofErr w:type="spellStart"/>
      <w:r>
        <w:rPr>
          <w:b/>
          <w:bCs/>
          <w:color w:val="00188F"/>
        </w:rPr>
        <w:t>Indexer</w:t>
      </w:r>
      <w:proofErr w:type="spellEnd"/>
    </w:p>
    <w:p w14:paraId="57898D88" w14:textId="77777777" w:rsidR="0005465C" w:rsidRPr="00ED4527" w:rsidRDefault="0005465C" w:rsidP="0005465C">
      <w:pPr>
        <w:pStyle w:val="ProductList-Body"/>
        <w:rPr>
          <w:b/>
          <w:bCs/>
          <w:color w:val="00188F"/>
        </w:rPr>
      </w:pPr>
      <w:r>
        <w:rPr>
          <w:b/>
          <w:bCs/>
          <w:color w:val="00188F"/>
        </w:rPr>
        <w:t>Dodatkowe definicje</w:t>
      </w:r>
      <w:r w:rsidRPr="0034704E">
        <w:rPr>
          <w:b/>
          <w:color w:val="00188F"/>
        </w:rPr>
        <w:t>:</w:t>
      </w:r>
    </w:p>
    <w:p w14:paraId="530783AE" w14:textId="318E288C" w:rsidR="0005465C" w:rsidRPr="00EF7CF9" w:rsidRDefault="0005465C" w:rsidP="0005465C">
      <w:pPr>
        <w:pStyle w:val="ProductList-Body"/>
      </w:pPr>
      <w:r>
        <w:t>„</w:t>
      </w:r>
      <w:r>
        <w:rPr>
          <w:b/>
          <w:color w:val="00188F"/>
        </w:rPr>
        <w:t>Łączna Liczba Prób Transakcji</w:t>
      </w:r>
      <w:r w:rsidR="00781AEE">
        <w:t>”</w:t>
      </w:r>
      <w:r>
        <w:t xml:space="preserve"> to łączna liczba uwierzytelnionych żądań interfejsu API usługi Video </w:t>
      </w:r>
      <w:proofErr w:type="spellStart"/>
      <w:r>
        <w:t>Indexer</w:t>
      </w:r>
      <w:proofErr w:type="spellEnd"/>
      <w:r>
        <w:t xml:space="preserve"> wykonana przez klienta we Właściwym Okresie dla danej subskrypcji. Łączna Liczba Prób Transakcji nie obejmuje żądań interfejsu API usługi Video </w:t>
      </w:r>
      <w:proofErr w:type="spellStart"/>
      <w:r>
        <w:t>Indexer</w:t>
      </w:r>
      <w:proofErr w:type="spellEnd"/>
      <w:r>
        <w:t>, które zwracają Kod Błędu i</w:t>
      </w:r>
      <w:r w:rsidR="000E35C3">
        <w:t> </w:t>
      </w:r>
      <w:r>
        <w:t xml:space="preserve">które są kolejno powtarzane w ciągu pięciu minut po zwróceniu pierwszego Kodu Błędu, ani żądań </w:t>
      </w:r>
      <w:proofErr w:type="spellStart"/>
      <w:r>
        <w:t>Upload</w:t>
      </w:r>
      <w:proofErr w:type="spellEnd"/>
      <w:r>
        <w:t xml:space="preserve"> POST, które przesyłają plik w postaci zawartości tablicy bajtowej.</w:t>
      </w:r>
    </w:p>
    <w:p w14:paraId="62538BEA" w14:textId="79EC872D" w:rsidR="0005465C" w:rsidRPr="00EF7CF9" w:rsidRDefault="0005465C" w:rsidP="0005465C">
      <w:pPr>
        <w:pStyle w:val="ProductList-Body"/>
      </w:pPr>
      <w:r>
        <w:t>„</w:t>
      </w:r>
      <w:r>
        <w:rPr>
          <w:b/>
          <w:color w:val="00188F"/>
        </w:rPr>
        <w:t>Transakcje Zakończone Niepowodzeniem</w:t>
      </w:r>
      <w:r>
        <w:t>” to zbiór wszystkich żądań w ramach Łącznej Liczby Prób Transakcji, które zwracają Kod Błędu albo nie</w:t>
      </w:r>
      <w:r w:rsidR="000E35C3">
        <w:t> </w:t>
      </w:r>
      <w:r>
        <w:t>wysyłają odpowiedzi w ciągu 360 sekund od ukończenia przesyłania żądania przez klienta.</w:t>
      </w:r>
    </w:p>
    <w:p w14:paraId="3A2B8AD1" w14:textId="4C3E705C" w:rsidR="0005465C" w:rsidRDefault="0005465C" w:rsidP="0005465C">
      <w:pPr>
        <w:pStyle w:val="ProductList-Body"/>
      </w:pPr>
      <w:r>
        <w:t>„</w:t>
      </w:r>
      <w:r>
        <w:rPr>
          <w:b/>
          <w:color w:val="00188F"/>
        </w:rPr>
        <w:t>Procent Czasu Sprawnego Działania</w:t>
      </w:r>
      <w:r>
        <w:t xml:space="preserve">” dla Usługi Video </w:t>
      </w:r>
      <w:proofErr w:type="spellStart"/>
      <w:r>
        <w:t>Indexer</w:t>
      </w:r>
      <w:proofErr w:type="spellEnd"/>
      <w:r>
        <w:t xml:space="preserve"> to Łączna Liczba Prób Transakcji pomniejszona o Transakcje Zakończone Niepowodzeniem podzielona przez Łączną Liczbę Prób Transakcji we Właściwym Okresie dla danej subskrypcji Microsoft </w:t>
      </w:r>
      <w:proofErr w:type="spellStart"/>
      <w:r>
        <w:t>Azure</w:t>
      </w:r>
      <w:proofErr w:type="spellEnd"/>
      <w:r>
        <w:t xml:space="preserve">. </w:t>
      </w:r>
    </w:p>
    <w:p w14:paraId="3379429A" w14:textId="12695F41" w:rsidR="0005465C" w:rsidRPr="00EF7CF9" w:rsidRDefault="0005465C" w:rsidP="0005465C">
      <w:pPr>
        <w:pStyle w:val="ProductList-Body"/>
      </w:pPr>
      <w:r>
        <w:t>Procent Czasu Sprawnego Działania jest obliczany przy użyciu następującego wzoru:</w:t>
      </w:r>
    </w:p>
    <w:p w14:paraId="78BCAE0D" w14:textId="399F0224" w:rsidR="0005465C" w:rsidRPr="00EF7CF9" w:rsidRDefault="00000000" w:rsidP="00214D9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796E3237" w14:textId="77777777" w:rsidR="0005465C" w:rsidRPr="00EF7CF9" w:rsidRDefault="0005465C" w:rsidP="0005465C">
      <w:pPr>
        <w:pStyle w:val="ProductList-Body"/>
      </w:pPr>
      <w:r>
        <w:rPr>
          <w:b/>
          <w:color w:val="00188F"/>
        </w:rPr>
        <w:t xml:space="preserve">Do używania przez Klienta usługi </w:t>
      </w:r>
      <w:proofErr w:type="spellStart"/>
      <w:r>
        <w:rPr>
          <w:b/>
          <w:color w:val="00188F"/>
        </w:rPr>
        <w:t>Azure</w:t>
      </w:r>
      <w:proofErr w:type="spellEnd"/>
      <w:r>
        <w:rPr>
          <w:b/>
          <w:color w:val="00188F"/>
        </w:rPr>
        <w:t xml:space="preserve"> Video </w:t>
      </w:r>
      <w:proofErr w:type="spellStart"/>
      <w:r>
        <w:rPr>
          <w:b/>
          <w:color w:val="00188F"/>
        </w:rPr>
        <w:t>Indexer</w:t>
      </w:r>
      <w:proofErr w:type="spellEnd"/>
      <w:r>
        <w:rPr>
          <w:b/>
          <w:color w:val="00188F"/>
        </w:rPr>
        <w:t xml:space="preserve">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23E45323" w14:textId="77777777" w:rsidTr="00277097">
        <w:trPr>
          <w:tblHeader/>
        </w:trPr>
        <w:tc>
          <w:tcPr>
            <w:tcW w:w="5400" w:type="dxa"/>
            <w:shd w:val="clear" w:color="auto" w:fill="0072C6"/>
          </w:tcPr>
          <w:p w14:paraId="13894DD0" w14:textId="6F77EE51" w:rsidR="0005465C"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57AD259" w14:textId="77777777" w:rsidR="0005465C" w:rsidRPr="005A3C16" w:rsidRDefault="0005465C" w:rsidP="000F31B4">
            <w:pPr>
              <w:pStyle w:val="ProductList-OfferingBody"/>
              <w:jc w:val="center"/>
              <w:rPr>
                <w:color w:val="FFFFFF" w:themeColor="background1"/>
              </w:rPr>
            </w:pPr>
            <w:r>
              <w:rPr>
                <w:color w:val="FFFFFF" w:themeColor="background1"/>
              </w:rPr>
              <w:t>Środki Serwisowe na Używanie Usług</w:t>
            </w:r>
          </w:p>
        </w:tc>
      </w:tr>
      <w:tr w:rsidR="0005465C" w:rsidRPr="00B44CF9" w14:paraId="150AC4D2" w14:textId="77777777" w:rsidTr="00277097">
        <w:tc>
          <w:tcPr>
            <w:tcW w:w="5400" w:type="dxa"/>
          </w:tcPr>
          <w:p w14:paraId="09561F0A" w14:textId="77777777" w:rsidR="0005465C" w:rsidRPr="005A3C16" w:rsidRDefault="0005465C" w:rsidP="000F31B4">
            <w:pPr>
              <w:pStyle w:val="ProductList-OfferingBody"/>
              <w:jc w:val="center"/>
            </w:pPr>
            <w:r>
              <w:t>&lt; 99,9%</w:t>
            </w:r>
          </w:p>
        </w:tc>
        <w:tc>
          <w:tcPr>
            <w:tcW w:w="5400" w:type="dxa"/>
          </w:tcPr>
          <w:p w14:paraId="47F17463" w14:textId="77777777" w:rsidR="0005465C" w:rsidRPr="005A3C16" w:rsidRDefault="0005465C" w:rsidP="000F31B4">
            <w:pPr>
              <w:pStyle w:val="ProductList-OfferingBody"/>
              <w:jc w:val="center"/>
            </w:pPr>
            <w:r>
              <w:t>10%</w:t>
            </w:r>
          </w:p>
        </w:tc>
      </w:tr>
      <w:tr w:rsidR="0005465C" w:rsidRPr="00B44CF9" w14:paraId="5C07A612" w14:textId="77777777" w:rsidTr="00277097">
        <w:tc>
          <w:tcPr>
            <w:tcW w:w="5400" w:type="dxa"/>
          </w:tcPr>
          <w:p w14:paraId="592D715F" w14:textId="77777777" w:rsidR="0005465C" w:rsidRPr="005A3C16" w:rsidRDefault="0005465C" w:rsidP="000F31B4">
            <w:pPr>
              <w:pStyle w:val="ProductList-OfferingBody"/>
              <w:jc w:val="center"/>
            </w:pPr>
            <w:r>
              <w:t>&lt; 99%</w:t>
            </w:r>
          </w:p>
        </w:tc>
        <w:tc>
          <w:tcPr>
            <w:tcW w:w="5400" w:type="dxa"/>
          </w:tcPr>
          <w:p w14:paraId="3F63357C" w14:textId="77777777" w:rsidR="0005465C" w:rsidRPr="005A3C16" w:rsidRDefault="0005465C" w:rsidP="000F31B4">
            <w:pPr>
              <w:pStyle w:val="ProductList-OfferingBody"/>
              <w:jc w:val="center"/>
            </w:pPr>
            <w:r>
              <w:t>25%</w:t>
            </w:r>
          </w:p>
        </w:tc>
      </w:tr>
    </w:tbl>
    <w:p w14:paraId="2C7ADA14" w14:textId="66FE91FC" w:rsidR="0005465C" w:rsidRDefault="00EE6E3C" w:rsidP="00D17641">
      <w:pPr>
        <w:pStyle w:val="ProductList-Body"/>
        <w:spacing w:before="120"/>
        <w:rPr>
          <w:b/>
          <w:bCs/>
          <w:color w:val="00188F"/>
        </w:rPr>
      </w:pPr>
      <w:r>
        <w:rPr>
          <w:b/>
          <w:bCs/>
          <w:color w:val="00188F"/>
        </w:rPr>
        <w:t>Obliczanie Czasu Sprawnego Działania i Poziomy Usługi dla Usługi Kanałów na Żywo</w:t>
      </w:r>
    </w:p>
    <w:p w14:paraId="000D0D6F" w14:textId="77777777" w:rsidR="0005465C" w:rsidRPr="00ED4527" w:rsidRDefault="0005465C" w:rsidP="0005465C">
      <w:pPr>
        <w:pStyle w:val="ProductList-Body"/>
        <w:rPr>
          <w:b/>
          <w:bCs/>
          <w:color w:val="00188F"/>
        </w:rPr>
      </w:pPr>
      <w:r>
        <w:rPr>
          <w:b/>
          <w:bCs/>
          <w:color w:val="00188F"/>
        </w:rPr>
        <w:t>Dodatkowe definicje</w:t>
      </w:r>
      <w:r w:rsidRPr="0034704E">
        <w:rPr>
          <w:b/>
          <w:color w:val="00188F"/>
        </w:rPr>
        <w:t>:</w:t>
      </w:r>
    </w:p>
    <w:p w14:paraId="0FC8F879" w14:textId="4F33546D" w:rsidR="0005465C" w:rsidRPr="00EF7CF9" w:rsidRDefault="0005465C" w:rsidP="0005465C">
      <w:pPr>
        <w:pStyle w:val="ProductList-Body"/>
      </w:pPr>
      <w:r>
        <w:t>„</w:t>
      </w:r>
      <w:r>
        <w:rPr>
          <w:b/>
          <w:color w:val="00188F"/>
        </w:rPr>
        <w:t>Minuty Wdrożenia</w:t>
      </w:r>
      <w:r>
        <w:t>” to łączna liczba minut, przez którą dany Kanał został zakupiony i zaalokowany do Usługi Media Service oraz pozostaje uruchomiony we Właściwym Okresie.</w:t>
      </w:r>
    </w:p>
    <w:p w14:paraId="2BF106B0" w14:textId="7F3AB84E" w:rsidR="0005465C" w:rsidRPr="00EF7CF9" w:rsidRDefault="0005465C" w:rsidP="0005465C">
      <w:pPr>
        <w:pStyle w:val="ProductList-Body"/>
      </w:pPr>
      <w:r>
        <w:t>„</w:t>
      </w:r>
      <w:r>
        <w:rPr>
          <w:b/>
          <w:color w:val="00188F"/>
        </w:rPr>
        <w:t>Maksymalna Liczba Dostępnych Minut</w:t>
      </w:r>
      <w:r>
        <w:t>” to suma wszystkich Minut Wdrożenia we wszystkich Kanałach, które zostały zakupione i przydzielone do Usługi Media Service we Właściwym Okresie.</w:t>
      </w:r>
    </w:p>
    <w:p w14:paraId="589A4F11" w14:textId="77777777" w:rsidR="0005465C" w:rsidRPr="00EF7CF9" w:rsidRDefault="0005465C" w:rsidP="0005465C">
      <w:pPr>
        <w:pStyle w:val="ProductList-Body"/>
      </w:pPr>
      <w:r>
        <w:rPr>
          <w:b/>
          <w:color w:val="00188F"/>
        </w:rPr>
        <w:t>Przestój</w:t>
      </w:r>
      <w:r w:rsidRPr="0034704E">
        <w:rPr>
          <w:b/>
          <w:color w:val="00188F"/>
        </w:rPr>
        <w:t>:</w:t>
      </w:r>
      <w:r>
        <w:t xml:space="preserve"> to łączna zakumulowana liczba Minut Wdrożenia, podczas których Usługa Kanałów na Żywo jest niedostępna. Minuta niedostępności dla danego Kanału oznacza minutę braku Łączności Zewnętrznej dla tego Kanału.</w:t>
      </w:r>
    </w:p>
    <w:p w14:paraId="32D83198" w14:textId="4380C306" w:rsidR="0005465C" w:rsidRDefault="0005465C" w:rsidP="0005465C">
      <w:pPr>
        <w:pStyle w:val="ProductList-Body"/>
      </w:pPr>
      <w:r>
        <w:t>„</w:t>
      </w:r>
      <w:r>
        <w:rPr>
          <w:b/>
          <w:color w:val="00188F"/>
        </w:rPr>
        <w:t>Procent Czasu Sprawnego Działania</w:t>
      </w:r>
      <w:r w:rsidR="00D011AB">
        <w:t>”</w:t>
      </w:r>
      <w:r>
        <w:t xml:space="preserve"> dla Kanałów na Żywo to Maksymalna Liczba Dostępnych Minut pomniejszona o Przestój podzielona przez Maksymalną Liczbę Dostępnych Minut we Właściwym Okresie dla danej subskrypcji </w:t>
      </w:r>
      <w:proofErr w:type="spellStart"/>
      <w:r>
        <w:t>Azure</w:t>
      </w:r>
      <w:proofErr w:type="spellEnd"/>
      <w:r>
        <w:t>.</w:t>
      </w:r>
    </w:p>
    <w:p w14:paraId="2AF355B5" w14:textId="2A3579D7" w:rsidR="0005465C" w:rsidRPr="00EF7CF9" w:rsidRDefault="0005465C" w:rsidP="0005465C">
      <w:pPr>
        <w:pStyle w:val="ProductList-Body"/>
      </w:pPr>
      <w:r>
        <w:t>Procent Czasu Sprawnego Działania jest obliczany przy użyciu następującego wzoru:</w:t>
      </w:r>
    </w:p>
    <w:p w14:paraId="30039B30" w14:textId="4C5FA694" w:rsidR="0005465C" w:rsidRPr="00EF7CF9" w:rsidRDefault="00000000" w:rsidP="00214D9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56547FF" w14:textId="77777777" w:rsidR="0005465C" w:rsidRPr="00EF7CF9" w:rsidRDefault="0005465C" w:rsidP="0005465C">
      <w:pPr>
        <w:pStyle w:val="ProductList-Body"/>
      </w:pPr>
      <w:r>
        <w:rPr>
          <w:b/>
          <w:color w:val="00188F"/>
        </w:rPr>
        <w:t xml:space="preserve">Do używania przez Klienta Usługi </w:t>
      </w:r>
      <w:proofErr w:type="spellStart"/>
      <w:r>
        <w:rPr>
          <w:b/>
          <w:color w:val="00188F"/>
        </w:rPr>
        <w:t>Azure</w:t>
      </w:r>
      <w:proofErr w:type="spellEnd"/>
      <w:r>
        <w:rPr>
          <w:b/>
          <w:color w:val="00188F"/>
        </w:rPr>
        <w:t xml:space="preserve"> Media Services Live </w:t>
      </w:r>
      <w:proofErr w:type="spellStart"/>
      <w:r>
        <w:rPr>
          <w:b/>
          <w:color w:val="00188F"/>
        </w:rPr>
        <w:t>Channels</w:t>
      </w:r>
      <w:proofErr w:type="spellEnd"/>
      <w:r>
        <w:rPr>
          <w:b/>
          <w:color w:val="00188F"/>
        </w:rPr>
        <w:t xml:space="preserve"> w ramach usługi </w:t>
      </w:r>
      <w:proofErr w:type="spellStart"/>
      <w:r>
        <w:rPr>
          <w:b/>
          <w:color w:val="00188F"/>
        </w:rPr>
        <w:t>Azure</w:t>
      </w:r>
      <w:proofErr w:type="spellEnd"/>
      <w:r>
        <w:rPr>
          <w:b/>
          <w:color w:val="00188F"/>
        </w:rPr>
        <w:t xml:space="preserve"> Media Services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07780584" w14:textId="77777777" w:rsidTr="00277097">
        <w:trPr>
          <w:tblHeader/>
        </w:trPr>
        <w:tc>
          <w:tcPr>
            <w:tcW w:w="5400" w:type="dxa"/>
            <w:shd w:val="clear" w:color="auto" w:fill="0072C6"/>
          </w:tcPr>
          <w:p w14:paraId="6987C705" w14:textId="608FF602" w:rsidR="0005465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8EAEC4D" w14:textId="77777777" w:rsidR="0005465C" w:rsidRPr="00EF7CF9" w:rsidRDefault="0005465C" w:rsidP="000F31B4">
            <w:pPr>
              <w:pStyle w:val="ProductList-OfferingBody"/>
              <w:jc w:val="center"/>
              <w:rPr>
                <w:color w:val="FFFFFF" w:themeColor="background1"/>
              </w:rPr>
            </w:pPr>
            <w:r>
              <w:rPr>
                <w:color w:val="FFFFFF" w:themeColor="background1"/>
              </w:rPr>
              <w:t>Środki Serwisowe na Używanie Usług</w:t>
            </w:r>
          </w:p>
        </w:tc>
      </w:tr>
      <w:tr w:rsidR="0005465C" w:rsidRPr="00B44CF9" w14:paraId="472E637E" w14:textId="77777777" w:rsidTr="00277097">
        <w:tc>
          <w:tcPr>
            <w:tcW w:w="5400" w:type="dxa"/>
          </w:tcPr>
          <w:p w14:paraId="22784DA1" w14:textId="77777777" w:rsidR="0005465C" w:rsidRPr="00EF7CF9" w:rsidRDefault="0005465C" w:rsidP="000F31B4">
            <w:pPr>
              <w:pStyle w:val="ProductList-OfferingBody"/>
              <w:jc w:val="center"/>
            </w:pPr>
            <w:r>
              <w:t>&lt; 99,9%</w:t>
            </w:r>
          </w:p>
        </w:tc>
        <w:tc>
          <w:tcPr>
            <w:tcW w:w="5400" w:type="dxa"/>
          </w:tcPr>
          <w:p w14:paraId="7C46E78F" w14:textId="77777777" w:rsidR="0005465C" w:rsidRPr="00EF7CF9" w:rsidRDefault="0005465C" w:rsidP="000F31B4">
            <w:pPr>
              <w:pStyle w:val="ProductList-OfferingBody"/>
              <w:jc w:val="center"/>
            </w:pPr>
            <w:r>
              <w:t>10%</w:t>
            </w:r>
          </w:p>
        </w:tc>
      </w:tr>
      <w:tr w:rsidR="0005465C" w:rsidRPr="00B44CF9" w14:paraId="744A173B" w14:textId="77777777" w:rsidTr="00277097">
        <w:tc>
          <w:tcPr>
            <w:tcW w:w="5400" w:type="dxa"/>
          </w:tcPr>
          <w:p w14:paraId="59ABAD11" w14:textId="77777777" w:rsidR="0005465C" w:rsidRPr="00EF7CF9" w:rsidRDefault="0005465C" w:rsidP="000F31B4">
            <w:pPr>
              <w:pStyle w:val="ProductList-OfferingBody"/>
              <w:jc w:val="center"/>
            </w:pPr>
            <w:r>
              <w:t>&lt; 99%</w:t>
            </w:r>
          </w:p>
        </w:tc>
        <w:tc>
          <w:tcPr>
            <w:tcW w:w="5400" w:type="dxa"/>
          </w:tcPr>
          <w:p w14:paraId="2A1B4C47" w14:textId="77777777" w:rsidR="0005465C" w:rsidRPr="00EF7CF9" w:rsidRDefault="0005465C" w:rsidP="000F31B4">
            <w:pPr>
              <w:pStyle w:val="ProductList-OfferingBody"/>
              <w:jc w:val="center"/>
            </w:pPr>
            <w:r>
              <w:t>25%</w:t>
            </w:r>
          </w:p>
        </w:tc>
      </w:tr>
    </w:tbl>
    <w:p w14:paraId="596A31A9" w14:textId="0DDDA0D1" w:rsidR="0005465C" w:rsidRPr="00623706" w:rsidRDefault="00EE6E3C" w:rsidP="00D17641">
      <w:pPr>
        <w:pStyle w:val="ProductList-Body"/>
        <w:spacing w:before="120"/>
        <w:rPr>
          <w:b/>
          <w:bCs/>
          <w:color w:val="00188F"/>
        </w:rPr>
      </w:pPr>
      <w:r>
        <w:rPr>
          <w:b/>
          <w:bCs/>
          <w:color w:val="00188F"/>
        </w:rPr>
        <w:t xml:space="preserve">Obliczanie Czasu Sprawnego Działania i Poziomy Usługi dla Usługi Content </w:t>
      </w:r>
      <w:proofErr w:type="spellStart"/>
      <w:r>
        <w:rPr>
          <w:b/>
          <w:bCs/>
          <w:color w:val="00188F"/>
        </w:rPr>
        <w:t>Protection</w:t>
      </w:r>
      <w:proofErr w:type="spellEnd"/>
    </w:p>
    <w:p w14:paraId="5A000AB7" w14:textId="77777777" w:rsidR="0005465C" w:rsidRPr="00ED4527" w:rsidRDefault="0005465C" w:rsidP="0005465C">
      <w:pPr>
        <w:pStyle w:val="ProductList-Body"/>
        <w:rPr>
          <w:b/>
          <w:bCs/>
          <w:color w:val="00188F"/>
        </w:rPr>
      </w:pPr>
      <w:r>
        <w:rPr>
          <w:b/>
          <w:bCs/>
          <w:color w:val="00188F"/>
        </w:rPr>
        <w:t>Dodatkowe definicje</w:t>
      </w:r>
    </w:p>
    <w:p w14:paraId="4EA80504" w14:textId="0765A370" w:rsidR="0005465C" w:rsidRPr="00EF7CF9" w:rsidRDefault="0005465C" w:rsidP="0005465C">
      <w:pPr>
        <w:pStyle w:val="ProductList-Body"/>
      </w:pPr>
      <w:r>
        <w:t>„</w:t>
      </w:r>
      <w:r>
        <w:rPr>
          <w:b/>
          <w:color w:val="00188F"/>
        </w:rPr>
        <w:t>Łączna Liczba Prób Transakcji</w:t>
      </w:r>
      <w:r w:rsidR="00D011AB">
        <w:t>”</w:t>
      </w:r>
      <w:r>
        <w:t xml:space="preserve"> to wszystkie Ważne Żądania dla Klucza przesłane przez Klienta we Właściwym Okresie w ramach określonej subskrypcji Microsoft </w:t>
      </w:r>
      <w:proofErr w:type="spellStart"/>
      <w:r>
        <w:t>Azure</w:t>
      </w:r>
      <w:proofErr w:type="spellEnd"/>
      <w:r>
        <w:t>.</w:t>
      </w:r>
    </w:p>
    <w:p w14:paraId="1ED551EE" w14:textId="77777777" w:rsidR="0005465C" w:rsidRPr="00EF7CF9" w:rsidRDefault="0005465C" w:rsidP="0005465C">
      <w:pPr>
        <w:pStyle w:val="ProductList-Body"/>
      </w:pPr>
      <w:r>
        <w:t>„</w:t>
      </w:r>
      <w:r>
        <w:rPr>
          <w:b/>
          <w:color w:val="00188F"/>
        </w:rPr>
        <w:t>Transakcje Zakończone Niepowodzeniem</w:t>
      </w:r>
      <w:r>
        <w:t xml:space="preserve">” to wszystkie Ważne Żądania Klucza w ramach Łącznej Liczby Prób Transakcji, których wynikiem jest Kod Błędu albo w wyniku których nie wystąpił Kod Sukcesu w ciągu 30 sekund od ich otrzymania w usłudze Content </w:t>
      </w:r>
      <w:proofErr w:type="spellStart"/>
      <w:r>
        <w:t>Protection</w:t>
      </w:r>
      <w:proofErr w:type="spellEnd"/>
      <w:r>
        <w:t>.</w:t>
      </w:r>
    </w:p>
    <w:p w14:paraId="78B4EB61" w14:textId="15F736E1" w:rsidR="0005465C" w:rsidRDefault="0005465C" w:rsidP="0005465C">
      <w:pPr>
        <w:pStyle w:val="ProductList-Body"/>
      </w:pPr>
      <w:r>
        <w:t>„</w:t>
      </w:r>
      <w:r>
        <w:rPr>
          <w:b/>
          <w:color w:val="00188F"/>
        </w:rPr>
        <w:t>Procent Czasu Sprawnego Działania</w:t>
      </w:r>
      <w:r>
        <w:t xml:space="preserve">” dla Usługi </w:t>
      </w:r>
      <w:proofErr w:type="spellStart"/>
      <w:r>
        <w:t>Azure</w:t>
      </w:r>
      <w:proofErr w:type="spellEnd"/>
      <w:r>
        <w:t xml:space="preserve"> Media Services to Łączna Liczba Prób Transakcji pomniejszona o Transakcje Zakończone Niepowodzeniem podzielona przez Łączną Liczbę Prób Transakcji we Właściwym Okresie dla danej subskrypcji Microsoft </w:t>
      </w:r>
      <w:proofErr w:type="spellStart"/>
      <w:r>
        <w:t>Azure</w:t>
      </w:r>
      <w:proofErr w:type="spellEnd"/>
      <w:r>
        <w:t>.</w:t>
      </w:r>
    </w:p>
    <w:p w14:paraId="4FB6D2DC" w14:textId="48010A30" w:rsidR="0005465C" w:rsidRPr="00EF7CF9" w:rsidRDefault="0005465C" w:rsidP="0005465C">
      <w:pPr>
        <w:pStyle w:val="ProductList-Body"/>
      </w:pPr>
      <w:r>
        <w:t>Procent Czasu Sprawnego Działania jest obliczany przy użyciu następującego wzoru:</w:t>
      </w:r>
    </w:p>
    <w:p w14:paraId="082739F6" w14:textId="77D783F7" w:rsidR="0005465C" w:rsidRPr="00EF7CF9" w:rsidRDefault="00000000" w:rsidP="00261A34">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63E73D4D" w14:textId="77777777" w:rsidR="0005465C" w:rsidRPr="00EF7CF9" w:rsidRDefault="0005465C" w:rsidP="0005465C">
      <w:pPr>
        <w:pStyle w:val="ProductList-Body"/>
      </w:pPr>
      <w:r>
        <w:rPr>
          <w:b/>
          <w:color w:val="00188F"/>
        </w:rPr>
        <w:t xml:space="preserve">Do używania przez Klienta Usługi </w:t>
      </w:r>
      <w:proofErr w:type="spellStart"/>
      <w:r>
        <w:rPr>
          <w:b/>
          <w:color w:val="00188F"/>
        </w:rPr>
        <w:t>Azure</w:t>
      </w:r>
      <w:proofErr w:type="spellEnd"/>
      <w:r>
        <w:rPr>
          <w:b/>
          <w:color w:val="00188F"/>
        </w:rPr>
        <w:t xml:space="preserve"> Media Services Content </w:t>
      </w:r>
      <w:proofErr w:type="spellStart"/>
      <w:r>
        <w:rPr>
          <w:b/>
          <w:color w:val="00188F"/>
        </w:rPr>
        <w:t>Protection</w:t>
      </w:r>
      <w:proofErr w:type="spellEnd"/>
      <w:r>
        <w:rPr>
          <w:b/>
          <w:color w:val="00188F"/>
        </w:rPr>
        <w:t xml:space="preserve"> w ramach usługi </w:t>
      </w:r>
      <w:proofErr w:type="spellStart"/>
      <w:r>
        <w:rPr>
          <w:b/>
          <w:color w:val="00188F"/>
        </w:rPr>
        <w:t>Azure</w:t>
      </w:r>
      <w:proofErr w:type="spellEnd"/>
      <w:r>
        <w:rPr>
          <w:b/>
          <w:color w:val="00188F"/>
        </w:rPr>
        <w:t xml:space="preserve"> Media Services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5465C" w:rsidRPr="00B44CF9" w14:paraId="314EA1B4" w14:textId="77777777" w:rsidTr="00277097">
        <w:trPr>
          <w:tblHeader/>
        </w:trPr>
        <w:tc>
          <w:tcPr>
            <w:tcW w:w="5400" w:type="dxa"/>
            <w:shd w:val="clear" w:color="auto" w:fill="0072C6"/>
          </w:tcPr>
          <w:p w14:paraId="39278FE2" w14:textId="6AF0B2F8" w:rsidR="0005465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DC7B3EF" w14:textId="77777777" w:rsidR="0005465C" w:rsidRPr="00EF7CF9" w:rsidRDefault="0005465C" w:rsidP="000F31B4">
            <w:pPr>
              <w:pStyle w:val="ProductList-OfferingBody"/>
              <w:jc w:val="center"/>
              <w:rPr>
                <w:color w:val="FFFFFF" w:themeColor="background1"/>
              </w:rPr>
            </w:pPr>
            <w:r>
              <w:rPr>
                <w:color w:val="FFFFFF" w:themeColor="background1"/>
              </w:rPr>
              <w:t>Środki Serwisowe na Używanie Usług</w:t>
            </w:r>
          </w:p>
        </w:tc>
      </w:tr>
      <w:tr w:rsidR="0005465C" w:rsidRPr="00B44CF9" w14:paraId="7022C8BB" w14:textId="77777777" w:rsidTr="0073773D">
        <w:trPr>
          <w:trHeight w:val="305"/>
        </w:trPr>
        <w:tc>
          <w:tcPr>
            <w:tcW w:w="5400" w:type="dxa"/>
          </w:tcPr>
          <w:p w14:paraId="309E53FA" w14:textId="77777777" w:rsidR="0005465C" w:rsidRPr="00EF7CF9" w:rsidRDefault="0005465C" w:rsidP="000F31B4">
            <w:pPr>
              <w:pStyle w:val="ProductList-OfferingBody"/>
              <w:jc w:val="center"/>
            </w:pPr>
            <w:r>
              <w:t>&lt; 99,9%</w:t>
            </w:r>
          </w:p>
        </w:tc>
        <w:tc>
          <w:tcPr>
            <w:tcW w:w="5400" w:type="dxa"/>
          </w:tcPr>
          <w:p w14:paraId="450872A4" w14:textId="77777777" w:rsidR="0005465C" w:rsidRPr="00EF7CF9" w:rsidRDefault="0005465C" w:rsidP="000F31B4">
            <w:pPr>
              <w:pStyle w:val="ProductList-OfferingBody"/>
              <w:jc w:val="center"/>
            </w:pPr>
            <w:r>
              <w:t>10%</w:t>
            </w:r>
          </w:p>
        </w:tc>
      </w:tr>
      <w:tr w:rsidR="0005465C" w:rsidRPr="00B44CF9" w14:paraId="49F060B1" w14:textId="77777777" w:rsidTr="0073773D">
        <w:trPr>
          <w:trHeight w:val="260"/>
        </w:trPr>
        <w:tc>
          <w:tcPr>
            <w:tcW w:w="5400" w:type="dxa"/>
          </w:tcPr>
          <w:p w14:paraId="017B8EE5" w14:textId="77777777" w:rsidR="0005465C" w:rsidRPr="00EF7CF9" w:rsidRDefault="0005465C" w:rsidP="000F31B4">
            <w:pPr>
              <w:pStyle w:val="ProductList-OfferingBody"/>
              <w:jc w:val="center"/>
            </w:pPr>
            <w:r>
              <w:t>&lt; 99%</w:t>
            </w:r>
          </w:p>
        </w:tc>
        <w:tc>
          <w:tcPr>
            <w:tcW w:w="5400" w:type="dxa"/>
          </w:tcPr>
          <w:p w14:paraId="7C259C76" w14:textId="77777777" w:rsidR="0005465C" w:rsidRPr="00EF7CF9" w:rsidRDefault="0005465C" w:rsidP="000F31B4">
            <w:pPr>
              <w:pStyle w:val="ProductList-OfferingBody"/>
              <w:jc w:val="center"/>
            </w:pPr>
            <w:r>
              <w:t>25%</w:t>
            </w:r>
          </w:p>
        </w:tc>
      </w:tr>
    </w:tbl>
    <w:bookmarkStart w:id="338" w:name="_Toc457821560"/>
    <w:p w14:paraId="25BA350D" w14:textId="317C2C1D" w:rsidR="0005465C" w:rsidRPr="00EF7CF9" w:rsidRDefault="00C71F89" w:rsidP="000546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A19FC05" w14:textId="39884301" w:rsidR="009C6082" w:rsidRPr="00E53123" w:rsidRDefault="009C6082" w:rsidP="009C6082">
      <w:pPr>
        <w:pStyle w:val="ProductList-Offering2Heading"/>
        <w:tabs>
          <w:tab w:val="clear" w:pos="360"/>
          <w:tab w:val="clear" w:pos="720"/>
          <w:tab w:val="clear" w:pos="1080"/>
        </w:tabs>
        <w:outlineLvl w:val="2"/>
      </w:pPr>
      <w:bookmarkStart w:id="339" w:name="_Toc239175040"/>
      <w:bookmarkEnd w:id="338"/>
      <w:r>
        <w:t xml:space="preserve">Usługa </w:t>
      </w:r>
      <w:proofErr w:type="spellStart"/>
      <w:r>
        <w:t>MedTech</w:t>
      </w:r>
      <w:bookmarkEnd w:id="339"/>
      <w:proofErr w:type="spellEnd"/>
    </w:p>
    <w:p w14:paraId="41E626DB" w14:textId="77777777" w:rsidR="009C6082" w:rsidRDefault="009C6082" w:rsidP="009C6082">
      <w:pPr>
        <w:shd w:val="clear" w:color="auto" w:fill="FFFFFF"/>
        <w:spacing w:after="0" w:line="240" w:lineRule="auto"/>
        <w:rPr>
          <w:sz w:val="18"/>
        </w:rPr>
      </w:pPr>
      <w:r>
        <w:rPr>
          <w:sz w:val="18"/>
        </w:rPr>
        <w:t xml:space="preserve">Usługa </w:t>
      </w:r>
      <w:proofErr w:type="spellStart"/>
      <w:r>
        <w:rPr>
          <w:sz w:val="18"/>
        </w:rPr>
        <w:t>MedTech</w:t>
      </w:r>
      <w:proofErr w:type="spellEnd"/>
      <w:r>
        <w:rPr>
          <w:sz w:val="18"/>
        </w:rPr>
        <w:t xml:space="preserve"> jest uznawana za dostępną w ciągu jednej minuty, jeśli pomyślnie odczytuje dane ze skonfigurowanego źródła danych lub może odczytać takie dane po prawidłowym skonfigurowaniu.</w:t>
      </w:r>
    </w:p>
    <w:p w14:paraId="4213C408" w14:textId="2F0EC4A3" w:rsidR="009C6082" w:rsidRPr="00E53123" w:rsidRDefault="00EE6E3C" w:rsidP="009C6082">
      <w:pPr>
        <w:pStyle w:val="ProductList-Body"/>
        <w:rPr>
          <w:b/>
          <w:color w:val="00188F"/>
        </w:rPr>
      </w:pPr>
      <w:r>
        <w:rPr>
          <w:b/>
          <w:color w:val="00188F"/>
        </w:rPr>
        <w:t>Obliczanie Czasu Sprawnego Działania</w:t>
      </w:r>
    </w:p>
    <w:p w14:paraId="0B543B21" w14:textId="0292C103" w:rsidR="009C6082" w:rsidRDefault="009C6082" w:rsidP="009C6082">
      <w:pPr>
        <w:pStyle w:val="ProductList-Body"/>
      </w:pPr>
      <w:r>
        <w:t>„</w:t>
      </w:r>
      <w:r>
        <w:rPr>
          <w:b/>
          <w:color w:val="00188F"/>
        </w:rPr>
        <w:t>Procent Czasu Sprawnego Działania</w:t>
      </w:r>
      <w:r w:rsidR="00D011AB">
        <w:t>”</w:t>
      </w:r>
      <w:r>
        <w:t xml:space="preserve"> dla usługi </w:t>
      </w:r>
      <w:proofErr w:type="spellStart"/>
      <w:r>
        <w:t>MedTech</w:t>
      </w:r>
      <w:proofErr w:type="spellEnd"/>
      <w:r>
        <w:t xml:space="preserve"> to Łączna Liczba Dostępnych Minut pomniejszona o liczbę Niedostępnych Minut i</w:t>
      </w:r>
      <w:r w:rsidR="00A1550F">
        <w:t> </w:t>
      </w:r>
      <w:r>
        <w:t xml:space="preserve">podzielona przez Łączną Liczbę Minut, przez które usługa </w:t>
      </w:r>
      <w:proofErr w:type="spellStart"/>
      <w:r>
        <w:t>MedTech</w:t>
      </w:r>
      <w:proofErr w:type="spellEnd"/>
      <w:r>
        <w:t xml:space="preserve"> był aktywna. Procent Czasu Sprawnego Działania przedstawia się za pomocą</w:t>
      </w:r>
      <w:r w:rsidR="00A1550F">
        <w:t> </w:t>
      </w:r>
      <w:r>
        <w:t>następującego wzoru:</w:t>
      </w:r>
    </w:p>
    <w:p w14:paraId="29A8600A" w14:textId="5EEFDC1F" w:rsidR="009C6082" w:rsidRPr="00EF7CF9" w:rsidRDefault="00000000" w:rsidP="00B56528">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Dostępnych Minut - Minuty Zakończone Niepowodzeniem</m:t>
              </m:r>
            </m:num>
            <m:den>
              <m:r>
                <m:rPr>
                  <m:nor/>
                </m:rPr>
                <w:rPr>
                  <w:rFonts w:ascii="Cambria Math" w:hAnsi="Cambria Math" w:cs="Calibri"/>
                  <w:i/>
                  <w:sz w:val="18"/>
                  <w:szCs w:val="18"/>
                </w:rPr>
                <m:t>Łączna Liczba Minut</m:t>
              </m:r>
            </m:den>
          </m:f>
          <m:r>
            <w:rPr>
              <w:rFonts w:ascii="Cambria Math" w:hAnsi="Cambria Math" w:cs="Calibri"/>
              <w:sz w:val="18"/>
              <w:szCs w:val="18"/>
            </w:rPr>
            <m:t xml:space="preserve"> x 100</m:t>
          </m:r>
        </m:oMath>
      </m:oMathPara>
    </w:p>
    <w:p w14:paraId="3B793820" w14:textId="77777777" w:rsidR="009C6082" w:rsidRDefault="009C6082" w:rsidP="009C6082">
      <w:pPr>
        <w:pStyle w:val="ProductList-Body"/>
      </w:pPr>
      <w:r>
        <w:t xml:space="preserve">Następujące Poziomy Usługi i Środki na Używanie Usług mają zastosowanie do używania usługi </w:t>
      </w:r>
      <w:proofErr w:type="spellStart"/>
      <w:r>
        <w:t>MedTech</w:t>
      </w:r>
      <w:proofErr w:type="spellEnd"/>
      <w:r>
        <w:t>:</w:t>
      </w:r>
    </w:p>
    <w:p w14:paraId="04C48FDA" w14:textId="77777777" w:rsidR="009C6082" w:rsidRPr="00EF7CF9" w:rsidRDefault="009C6082" w:rsidP="00BC5957">
      <w:pPr>
        <w:pStyle w:val="ProductList-Body"/>
        <w:keepNext/>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C6082" w:rsidRPr="00B44CF9" w14:paraId="24D851B6" w14:textId="77777777" w:rsidTr="000F31B4">
        <w:trPr>
          <w:tblHeader/>
        </w:trPr>
        <w:tc>
          <w:tcPr>
            <w:tcW w:w="5400" w:type="dxa"/>
            <w:shd w:val="clear" w:color="auto" w:fill="0072C6"/>
          </w:tcPr>
          <w:p w14:paraId="03CF3F51" w14:textId="0D361A7E" w:rsidR="009C6082"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0BCC4D7" w14:textId="77777777" w:rsidR="009C6082" w:rsidRPr="00EF7CF9" w:rsidRDefault="009C6082" w:rsidP="000F31B4">
            <w:pPr>
              <w:pStyle w:val="ProductList-OfferingBody"/>
              <w:jc w:val="center"/>
              <w:rPr>
                <w:color w:val="FFFFFF" w:themeColor="background1"/>
              </w:rPr>
            </w:pPr>
            <w:r>
              <w:rPr>
                <w:color w:val="FFFFFF" w:themeColor="background1"/>
              </w:rPr>
              <w:t>Środki Serwisowe na Używanie Usług</w:t>
            </w:r>
          </w:p>
        </w:tc>
      </w:tr>
      <w:tr w:rsidR="009C6082" w:rsidRPr="00B44CF9" w14:paraId="094ED92A" w14:textId="77777777" w:rsidTr="0073773D">
        <w:trPr>
          <w:trHeight w:val="287"/>
        </w:trPr>
        <w:tc>
          <w:tcPr>
            <w:tcW w:w="5400" w:type="dxa"/>
          </w:tcPr>
          <w:p w14:paraId="19C37249" w14:textId="77777777" w:rsidR="009C6082" w:rsidRPr="00EF7CF9" w:rsidRDefault="009C6082" w:rsidP="000F31B4">
            <w:pPr>
              <w:pStyle w:val="ProductList-OfferingBody"/>
              <w:jc w:val="center"/>
            </w:pPr>
            <w:r>
              <w:t>&lt; 99,9%</w:t>
            </w:r>
          </w:p>
        </w:tc>
        <w:tc>
          <w:tcPr>
            <w:tcW w:w="5400" w:type="dxa"/>
          </w:tcPr>
          <w:p w14:paraId="7A0412B6" w14:textId="77777777" w:rsidR="009C6082" w:rsidRPr="00EF7CF9" w:rsidRDefault="009C6082" w:rsidP="000F31B4">
            <w:pPr>
              <w:pStyle w:val="ProductList-OfferingBody"/>
              <w:jc w:val="center"/>
            </w:pPr>
            <w:r>
              <w:t>10%</w:t>
            </w:r>
          </w:p>
        </w:tc>
      </w:tr>
      <w:tr w:rsidR="009C6082" w:rsidRPr="00B44CF9" w14:paraId="1680BF06" w14:textId="77777777" w:rsidTr="0073773D">
        <w:trPr>
          <w:trHeight w:val="305"/>
        </w:trPr>
        <w:tc>
          <w:tcPr>
            <w:tcW w:w="5400" w:type="dxa"/>
          </w:tcPr>
          <w:p w14:paraId="30EDDC47" w14:textId="77777777" w:rsidR="009C6082" w:rsidRPr="00EF7CF9" w:rsidRDefault="009C6082" w:rsidP="000F31B4">
            <w:pPr>
              <w:pStyle w:val="ProductList-OfferingBody"/>
              <w:jc w:val="center"/>
            </w:pPr>
            <w:r>
              <w:t>&lt; 99%</w:t>
            </w:r>
          </w:p>
        </w:tc>
        <w:tc>
          <w:tcPr>
            <w:tcW w:w="5400" w:type="dxa"/>
          </w:tcPr>
          <w:p w14:paraId="3028563A" w14:textId="77777777" w:rsidR="009C6082" w:rsidRPr="00EF7CF9" w:rsidRDefault="009C6082" w:rsidP="000F31B4">
            <w:pPr>
              <w:pStyle w:val="ProductList-OfferingBody"/>
              <w:jc w:val="center"/>
            </w:pPr>
            <w:r>
              <w:t>25%</w:t>
            </w:r>
          </w:p>
        </w:tc>
      </w:tr>
    </w:tbl>
    <w:p w14:paraId="0DDB32FB" w14:textId="16189A03" w:rsidR="009C6082" w:rsidRPr="00EF7CF9" w:rsidRDefault="00C71F89" w:rsidP="009C6082">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B564584" w14:textId="77777777" w:rsidR="00A61E33" w:rsidRPr="00D72018" w:rsidRDefault="00A61E33" w:rsidP="00A61E33">
      <w:pPr>
        <w:pStyle w:val="ProductList-Offering2Heading"/>
        <w:keepNext/>
        <w:tabs>
          <w:tab w:val="clear" w:pos="360"/>
          <w:tab w:val="clear" w:pos="720"/>
          <w:tab w:val="clear" w:pos="1080"/>
        </w:tabs>
        <w:outlineLvl w:val="2"/>
        <w:rPr>
          <w:rFonts w:ascii="Calibri Light" w:hAnsi="Calibri Light" w:cs="Calibri Light"/>
        </w:rPr>
      </w:pPr>
      <w:bookmarkStart w:id="340" w:name="_Toc239175041"/>
      <w:bookmarkStart w:id="341" w:name="_Toc52348973"/>
      <w:bookmarkStart w:id="342" w:name="_Toc457821565"/>
      <w:r>
        <w:rPr>
          <w:rFonts w:ascii="Calibri Light" w:hAnsi="Calibri Light" w:cs="Calibri Light"/>
        </w:rPr>
        <w:t>Usługa Microsoft Discovery</w:t>
      </w:r>
      <w:bookmarkEnd w:id="340"/>
    </w:p>
    <w:p w14:paraId="27B5932D" w14:textId="77777777" w:rsidR="00A61E33" w:rsidRPr="00D72018" w:rsidRDefault="00A61E33" w:rsidP="00A61E33">
      <w:pPr>
        <w:shd w:val="clear" w:color="auto" w:fill="FFFFFF"/>
        <w:spacing w:after="0" w:line="240" w:lineRule="auto"/>
        <w:rPr>
          <w:rFonts w:ascii="Calibri" w:hAnsi="Calibri" w:cs="Calibri"/>
          <w:b/>
          <w:color w:val="00188F"/>
          <w:sz w:val="18"/>
        </w:rPr>
      </w:pPr>
      <w:r>
        <w:rPr>
          <w:rFonts w:ascii="Calibri" w:hAnsi="Calibri" w:cs="Calibri"/>
          <w:b/>
          <w:color w:val="00188F"/>
          <w:sz w:val="18"/>
        </w:rPr>
        <w:t>Dodatkowe definicje:  </w:t>
      </w:r>
    </w:p>
    <w:p w14:paraId="7BDBDDFD" w14:textId="77777777" w:rsidR="00A61E33" w:rsidRPr="00F122EA" w:rsidRDefault="00A61E33" w:rsidP="00A61E3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Łączna Liczba Żądań Informacji Wysyłanych przez Użytkownika</w:t>
      </w:r>
      <w:r>
        <w:rPr>
          <w:rFonts w:ascii="Calibri" w:eastAsia="Times New Roman" w:hAnsi="Calibri" w:cs="Calibri"/>
          <w:b/>
          <w:bCs/>
          <w:color w:val="242424"/>
          <w:sz w:val="18"/>
          <w:szCs w:val="18"/>
          <w:bdr w:val="none" w:sz="0" w:space="0" w:color="auto" w:frame="1"/>
        </w:rPr>
        <w:t>” </w:t>
      </w:r>
      <w:r>
        <w:rPr>
          <w:rFonts w:ascii="Calibri" w:eastAsia="Times New Roman" w:hAnsi="Calibri" w:cs="Calibri"/>
          <w:color w:val="242424"/>
          <w:sz w:val="18"/>
          <w:szCs w:val="18"/>
          <w:bdr w:val="none" w:sz="0" w:space="0" w:color="auto" w:frame="1"/>
        </w:rPr>
        <w:t>to łączna liczba żądań wysłanych przez użytkownika końcowego do usługi Microsoft Discovery we Właściwym Okresie. Łączna Liczba Żądań Informacji Wysyłanych przez Użytkownika nie obejmuje odpowiedzi na Żądania Informacji Wysyłane przez Użytkownika Zakończone Niepowodzeniem, które są stale powtarzane w ciągu pięciu minut od otrzymania pierwszej takiej odpowiedzi. </w:t>
      </w:r>
    </w:p>
    <w:p w14:paraId="3CE03F67" w14:textId="77777777" w:rsidR="00A61E33" w:rsidRPr="00F122EA" w:rsidRDefault="00A61E33" w:rsidP="00A61E3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b/>
          <w:bCs/>
          <w:color w:val="242424"/>
          <w:sz w:val="18"/>
          <w:szCs w:val="18"/>
          <w:bdr w:val="none" w:sz="0" w:space="0" w:color="auto" w:frame="1"/>
        </w:rPr>
        <w:t>„</w:t>
      </w:r>
      <w:r>
        <w:rPr>
          <w:rFonts w:ascii="Calibri" w:hAnsi="Calibri" w:cs="Calibri"/>
          <w:b/>
          <w:color w:val="00188F"/>
          <w:sz w:val="18"/>
        </w:rPr>
        <w:t>Żądania Informacji Wysyłane przez Użytkownika Zakończone Niepowodzeniem</w:t>
      </w:r>
      <w:r>
        <w:rPr>
          <w:rFonts w:ascii="Calibri" w:eastAsia="Times New Roman" w:hAnsi="Calibri" w:cs="Calibri"/>
          <w:b/>
          <w:bCs/>
          <w:color w:val="242424"/>
          <w:sz w:val="18"/>
          <w:szCs w:val="18"/>
          <w:bdr w:val="none" w:sz="0" w:space="0" w:color="auto" w:frame="1"/>
        </w:rPr>
        <w:t>”</w:t>
      </w:r>
      <w:r>
        <w:rPr>
          <w:rFonts w:ascii="Calibri" w:eastAsia="Times New Roman" w:hAnsi="Calibri" w:cs="Calibri"/>
          <w:color w:val="242424"/>
          <w:sz w:val="18"/>
          <w:szCs w:val="18"/>
          <w:bdr w:val="none" w:sz="0" w:space="0" w:color="auto" w:frame="1"/>
        </w:rPr>
        <w:t> to łączna liczba żądań w ramach Łącznej Liczby Żądań Informacji Wysyłanych przez Użytkownika, na które usługa Microsoft Discovery nie może zwrócić odpowiedzi ze względu na błąd systemu w ramach usługi Microsoft Discovery.  </w:t>
      </w:r>
    </w:p>
    <w:p w14:paraId="01ED1C14" w14:textId="77777777" w:rsidR="00A61E33" w:rsidRPr="00F122EA" w:rsidRDefault="00A61E33" w:rsidP="00A61E3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Przyczyny niepowodzeń:  </w:t>
      </w:r>
    </w:p>
    <w:p w14:paraId="005ACD96" w14:textId="77777777" w:rsidR="00A61E33" w:rsidRPr="00F122EA" w:rsidRDefault="00A61E33" w:rsidP="00A61E33">
      <w:pPr>
        <w:numPr>
          <w:ilvl w:val="0"/>
          <w:numId w:val="40"/>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Błędna konfiguracja po stronie klienta  </w:t>
      </w:r>
    </w:p>
    <w:p w14:paraId="368DAE50" w14:textId="77777777" w:rsidR="00A61E33" w:rsidRPr="00F122EA" w:rsidRDefault="00A61E33" w:rsidP="00A61E33">
      <w:pPr>
        <w:numPr>
          <w:ilvl w:val="0"/>
          <w:numId w:val="41"/>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Nieprawidłowe dane wejściowe  </w:t>
      </w:r>
    </w:p>
    <w:p w14:paraId="74651416" w14:textId="77777777" w:rsidR="00A61E33" w:rsidRPr="00F122EA" w:rsidRDefault="00A61E33" w:rsidP="00A61E33">
      <w:pPr>
        <w:numPr>
          <w:ilvl w:val="0"/>
          <w:numId w:val="42"/>
        </w:numPr>
        <w:shd w:val="clear" w:color="auto" w:fill="FFFFFF"/>
        <w:spacing w:after="0" w:line="240" w:lineRule="auto"/>
        <w:rPr>
          <w:rFonts w:ascii="Aptos" w:eastAsia="Times New Roman" w:hAnsi="Aptos" w:cs="Segoe UI"/>
          <w:color w:val="242424"/>
          <w:sz w:val="18"/>
          <w:szCs w:val="18"/>
        </w:rPr>
      </w:pPr>
      <w:r>
        <w:rPr>
          <w:rFonts w:ascii="Calibri" w:eastAsia="Times New Roman" w:hAnsi="Calibri" w:cs="Calibri"/>
          <w:color w:val="242424"/>
          <w:sz w:val="18"/>
          <w:szCs w:val="18"/>
          <w:bdr w:val="none" w:sz="0" w:space="0" w:color="auto" w:frame="1"/>
        </w:rPr>
        <w:t>Problemy występujące z siecią poza usługą Microsoft Discovery  </w:t>
      </w:r>
    </w:p>
    <w:p w14:paraId="64C0888D" w14:textId="77777777" w:rsidR="00A61E33" w:rsidRPr="00F122EA" w:rsidRDefault="00A61E33" w:rsidP="00A61E3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nie są traktowane jako Żądania Informacji Wysyłane przez Użytkownika Zakończone Niepowodzeniem. </w:t>
      </w:r>
    </w:p>
    <w:p w14:paraId="49436D1A" w14:textId="77777777" w:rsidR="00A61E33" w:rsidRDefault="00A61E33" w:rsidP="00A61E33">
      <w:pPr>
        <w:shd w:val="clear" w:color="auto" w:fill="FFFFFF"/>
        <w:spacing w:before="120" w:after="0" w:line="240" w:lineRule="auto"/>
        <w:rPr>
          <w:rFonts w:ascii="Calibri" w:eastAsia="Times New Roman" w:hAnsi="Calibri" w:cs="Calibri"/>
          <w:color w:val="242424"/>
          <w:sz w:val="18"/>
          <w:szCs w:val="18"/>
          <w:bdr w:val="none" w:sz="0" w:space="0" w:color="auto" w:frame="1"/>
        </w:rPr>
      </w:pPr>
      <w:r>
        <w:rPr>
          <w:rFonts w:ascii="Calibri" w:hAnsi="Calibri" w:cs="Calibri"/>
          <w:b/>
          <w:color w:val="00188F"/>
          <w:sz w:val="18"/>
        </w:rPr>
        <w:t>Procent Czasu Sprawnego Działania</w:t>
      </w:r>
      <w:r w:rsidRPr="00E1224C">
        <w:rPr>
          <w:rFonts w:ascii="Calibri" w:eastAsia="Times New Roman" w:hAnsi="Calibri" w:cs="Calibri"/>
          <w:b/>
          <w:bCs/>
          <w:color w:val="00188F"/>
          <w:sz w:val="18"/>
          <w:szCs w:val="18"/>
          <w:bdr w:val="none" w:sz="0" w:space="0" w:color="auto" w:frame="1"/>
        </w:rPr>
        <w:t>:</w:t>
      </w:r>
      <w:r>
        <w:rPr>
          <w:rFonts w:ascii="Calibri" w:eastAsia="Times New Roman" w:hAnsi="Calibri" w:cs="Calibri"/>
          <w:color w:val="242424"/>
          <w:sz w:val="18"/>
          <w:szCs w:val="18"/>
          <w:bdr w:val="none" w:sz="0" w:space="0" w:color="auto" w:frame="1"/>
        </w:rPr>
        <w:t xml:space="preserve"> Procent Czasu Sprawnego Działania jest obliczany przy użyciu następującego wzoru:</w:t>
      </w:r>
    </w:p>
    <w:p w14:paraId="3ABD5D28" w14:textId="77777777" w:rsidR="00A61E33" w:rsidRDefault="00000000" w:rsidP="00D952C5">
      <w:pPr>
        <w:shd w:val="clear" w:color="auto" w:fill="FFFFFF"/>
        <w:spacing w:before="120" w:after="120" w:line="240" w:lineRule="auto"/>
        <w:rPr>
          <w:rFonts w:ascii="Calibri" w:eastAsia="Times New Roman" w:hAnsi="Calibri" w:cs="Calibri"/>
          <w:color w:val="242424"/>
          <w:sz w:val="18"/>
          <w:szCs w:val="18"/>
          <w:bdr w:val="none" w:sz="0" w:space="0" w:color="auto" w:frame="1"/>
        </w:rPr>
      </w:pPr>
      <m:oMathPara>
        <m:oMath>
          <m:f>
            <m:fPr>
              <m:ctrlPr>
                <w:rPr>
                  <w:rFonts w:ascii="Cambria Math" w:hAnsi="Cambria Math" w:cs="Tahoma"/>
                  <w:i/>
                  <w:sz w:val="18"/>
                  <w:szCs w:val="18"/>
                </w:rPr>
              </m:ctrlPr>
            </m:fPr>
            <m:num>
              <m:r>
                <m:rPr>
                  <m:nor/>
                </m:rPr>
                <w:rPr>
                  <w:rFonts w:ascii="Cambria Math" w:hAnsi="Cambria Math" w:cs="Tahoma"/>
                  <w:i/>
                  <w:sz w:val="18"/>
                  <w:szCs w:val="18"/>
                </w:rPr>
                <m:t xml:space="preserve">Łączna Liczba Żądań Informacji Wysyłanych przez Użytkownika - Żądania Informacji Wysyłane przez Użytkownika Zakończone Niepowodzeniem </m:t>
              </m:r>
            </m:num>
            <m:den>
              <m:r>
                <m:rPr>
                  <m:nor/>
                </m:rPr>
                <w:rPr>
                  <w:rFonts w:ascii="Cambria Math" w:hAnsi="Cambria Math" w:cs="Tahoma"/>
                  <w:i/>
                  <w:sz w:val="18"/>
                  <w:szCs w:val="18"/>
                </w:rPr>
                <m:t>Łączna Liczba Żądań Informacji Wysyłanych przez Użytkownika</m:t>
              </m:r>
            </m:den>
          </m:f>
          <m:r>
            <w:rPr>
              <w:rFonts w:ascii="Cambria Math" w:hAnsi="Cambria Math" w:cs="Tahoma"/>
              <w:sz w:val="18"/>
              <w:szCs w:val="18"/>
            </w:rPr>
            <m:t xml:space="preserve"> </m:t>
          </m:r>
        </m:oMath>
      </m:oMathPara>
    </w:p>
    <w:p w14:paraId="0DAB91CA" w14:textId="77777777" w:rsidR="00A61E33" w:rsidRPr="001B395F" w:rsidRDefault="00A61E33" w:rsidP="00A61E33">
      <w:pPr>
        <w:pStyle w:val="ProductList-Body"/>
        <w:rPr>
          <w:rFonts w:ascii="Calibri" w:hAnsi="Calibri" w:cs="Calibri"/>
        </w:rPr>
      </w:pPr>
      <w:r>
        <w:rPr>
          <w:rFonts w:ascii="Calibri" w:hAnsi="Calibri" w:cs="Calibri"/>
          <w:b/>
          <w:color w:val="00188F"/>
        </w:rPr>
        <w:t>Środki na Używanie Usługi</w:t>
      </w:r>
      <w:r w:rsidRPr="00E1224C">
        <w:rPr>
          <w:rFonts w:ascii="Calibri" w:hAnsi="Calibri" w:cs="Calibri"/>
          <w:b/>
          <w:bCs/>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61E33" w:rsidRPr="00B44CF9" w14:paraId="77E57047" w14:textId="77777777" w:rsidTr="00D60201">
        <w:trPr>
          <w:tblHeader/>
        </w:trPr>
        <w:tc>
          <w:tcPr>
            <w:tcW w:w="5400" w:type="dxa"/>
            <w:shd w:val="clear" w:color="auto" w:fill="0072C6"/>
          </w:tcPr>
          <w:p w14:paraId="0A04A616" w14:textId="77777777" w:rsidR="00A61E33" w:rsidRPr="001B395F" w:rsidRDefault="00A61E33" w:rsidP="00D6020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6F645A34" w14:textId="77777777" w:rsidR="00A61E33" w:rsidRPr="001B395F" w:rsidRDefault="00A61E33" w:rsidP="00D6020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Usługi</w:t>
            </w:r>
          </w:p>
        </w:tc>
      </w:tr>
      <w:tr w:rsidR="00A61E33" w:rsidRPr="00B44CF9" w14:paraId="7E34BA43" w14:textId="77777777" w:rsidTr="00D60201">
        <w:tc>
          <w:tcPr>
            <w:tcW w:w="5400" w:type="dxa"/>
          </w:tcPr>
          <w:p w14:paraId="38114982" w14:textId="77777777" w:rsidR="00A61E33" w:rsidRPr="001B395F" w:rsidRDefault="00A61E33" w:rsidP="00D60201">
            <w:pPr>
              <w:pStyle w:val="ProductList-OfferingBody"/>
              <w:jc w:val="center"/>
              <w:rPr>
                <w:rFonts w:ascii="Calibri" w:hAnsi="Calibri" w:cs="Calibri"/>
                <w:szCs w:val="16"/>
              </w:rPr>
            </w:pPr>
            <w:r>
              <w:rPr>
                <w:rFonts w:ascii="Calibri" w:hAnsi="Calibri" w:cs="Calibri"/>
                <w:szCs w:val="16"/>
              </w:rPr>
              <w:t>&lt;99,9%</w:t>
            </w:r>
          </w:p>
        </w:tc>
        <w:tc>
          <w:tcPr>
            <w:tcW w:w="5400" w:type="dxa"/>
          </w:tcPr>
          <w:p w14:paraId="0A3DC17E" w14:textId="77777777" w:rsidR="00A61E33" w:rsidRPr="001B395F" w:rsidRDefault="00A61E33" w:rsidP="00D60201">
            <w:pPr>
              <w:pStyle w:val="ProductList-OfferingBody"/>
              <w:jc w:val="center"/>
              <w:rPr>
                <w:rFonts w:ascii="Calibri" w:hAnsi="Calibri" w:cs="Calibri"/>
                <w:szCs w:val="16"/>
              </w:rPr>
            </w:pPr>
            <w:r>
              <w:rPr>
                <w:rFonts w:ascii="Calibri" w:hAnsi="Calibri" w:cs="Calibri"/>
                <w:szCs w:val="16"/>
              </w:rPr>
              <w:t>10%</w:t>
            </w:r>
          </w:p>
        </w:tc>
      </w:tr>
    </w:tbl>
    <w:p w14:paraId="47DAA515" w14:textId="77777777" w:rsidR="00A61E33" w:rsidRPr="001B46BF" w:rsidRDefault="00A61E33" w:rsidP="00A61E33">
      <w:pPr>
        <w:shd w:val="clear" w:color="auto" w:fill="FFFFFF"/>
        <w:spacing w:before="120"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Żądania odrzucone, ponieważ klient przekroczył udokumentowany przydział, limit częstości lub wartość progową ograniczenia, a także żądania nieobsłużone z powodu niepowodzenia uwierzytelnienia lub autoryzacji klienta, nie wchodzą w zakres Łącznej Liczby Żądań Informacji Wysyłanych przez Użytkownika i  </w:t>
      </w:r>
    </w:p>
    <w:p w14:paraId="29FC0380" w14:textId="77777777" w:rsidR="00A61E33" w:rsidRPr="001B46BF" w:rsidRDefault="00A61E33" w:rsidP="00A61E33">
      <w:pPr>
        <w:shd w:val="clear" w:color="auto" w:fill="FFFFFF"/>
        <w:spacing w:after="0" w:line="240" w:lineRule="auto"/>
        <w:rPr>
          <w:rFonts w:ascii="Aptos" w:eastAsia="Times New Roman" w:hAnsi="Aptos" w:cs="Times New Roman"/>
          <w:color w:val="242424"/>
          <w:sz w:val="18"/>
          <w:szCs w:val="18"/>
        </w:rPr>
      </w:pPr>
      <w:r>
        <w:rPr>
          <w:rFonts w:ascii="Calibri" w:eastAsia="Times New Roman" w:hAnsi="Calibri" w:cs="Calibri"/>
          <w:color w:val="242424"/>
          <w:sz w:val="18"/>
          <w:szCs w:val="18"/>
          <w:bdr w:val="none" w:sz="0" w:space="0" w:color="auto" w:frame="1"/>
        </w:rPr>
        <w:t>Łącznej Liczby Żądań Informacji Wysyłanych przez Użytkownika Zakończonych Niepowodzeniem. </w:t>
      </w:r>
    </w:p>
    <w:p w14:paraId="441F1C6B" w14:textId="77777777" w:rsidR="00A61E33" w:rsidRDefault="00A61E33" w:rsidP="00A61E33">
      <w:pPr>
        <w:shd w:val="clear" w:color="auto" w:fill="FFFFFF"/>
        <w:spacing w:before="120" w:after="12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 xml:space="preserve">Czas przestoju i usterki związane z nadrzędnymi usługami Microsoft, które są objęte odrębną umową dotyczącą poziomu usług (m.in. usługą </w:t>
      </w:r>
      <w:proofErr w:type="spellStart"/>
      <w:r>
        <w:rPr>
          <w:rFonts w:ascii="Calibri" w:eastAsia="Times New Roman" w:hAnsi="Calibri" w:cs="Calibri"/>
          <w:color w:val="242424"/>
          <w:sz w:val="18"/>
          <w:szCs w:val="18"/>
          <w:bdr w:val="none" w:sz="0" w:space="0" w:color="auto" w:frame="1"/>
        </w:rPr>
        <w:t>Azure</w:t>
      </w:r>
      <w:proofErr w:type="spellEnd"/>
      <w:r>
        <w:rPr>
          <w:rFonts w:ascii="Calibri" w:eastAsia="Times New Roman" w:hAnsi="Calibri" w:cs="Calibri"/>
          <w:color w:val="242424"/>
          <w:sz w:val="18"/>
          <w:szCs w:val="18"/>
          <w:bdr w:val="none" w:sz="0" w:space="0" w:color="auto" w:frame="1"/>
        </w:rPr>
        <w:t xml:space="preserve"> </w:t>
      </w:r>
      <w:proofErr w:type="spellStart"/>
      <w:r>
        <w:rPr>
          <w:rFonts w:ascii="Calibri" w:eastAsia="Times New Roman" w:hAnsi="Calibri" w:cs="Calibri"/>
          <w:color w:val="242424"/>
          <w:sz w:val="18"/>
          <w:szCs w:val="18"/>
          <w:bdr w:val="none" w:sz="0" w:space="0" w:color="auto" w:frame="1"/>
        </w:rPr>
        <w:t>OpenAI</w:t>
      </w:r>
      <w:proofErr w:type="spellEnd"/>
      <w:r>
        <w:rPr>
          <w:rFonts w:ascii="Calibri" w:eastAsia="Times New Roman" w:hAnsi="Calibri" w:cs="Calibri"/>
          <w:color w:val="242424"/>
          <w:sz w:val="18"/>
          <w:szCs w:val="18"/>
          <w:bdr w:val="none" w:sz="0" w:space="0" w:color="auto" w:frame="1"/>
        </w:rPr>
        <w:t xml:space="preserve">, </w:t>
      </w:r>
      <w:proofErr w:type="spellStart"/>
      <w:r>
        <w:rPr>
          <w:rFonts w:ascii="Calibri" w:eastAsia="Times New Roman" w:hAnsi="Calibri" w:cs="Calibri"/>
          <w:color w:val="242424"/>
          <w:sz w:val="18"/>
          <w:szCs w:val="18"/>
          <w:bdr w:val="none" w:sz="0" w:space="0" w:color="auto" w:frame="1"/>
        </w:rPr>
        <w:t>Azure</w:t>
      </w:r>
      <w:proofErr w:type="spellEnd"/>
      <w:r>
        <w:rPr>
          <w:rFonts w:ascii="Calibri" w:eastAsia="Times New Roman" w:hAnsi="Calibri" w:cs="Calibri"/>
          <w:color w:val="242424"/>
          <w:sz w:val="18"/>
          <w:szCs w:val="18"/>
          <w:bdr w:val="none" w:sz="0" w:space="0" w:color="auto" w:frame="1"/>
        </w:rPr>
        <w:t xml:space="preserve"> AI </w:t>
      </w:r>
      <w:proofErr w:type="spellStart"/>
      <w:r>
        <w:rPr>
          <w:rFonts w:ascii="Calibri" w:eastAsia="Times New Roman" w:hAnsi="Calibri" w:cs="Calibri"/>
          <w:color w:val="242424"/>
          <w:sz w:val="18"/>
          <w:szCs w:val="18"/>
          <w:bdr w:val="none" w:sz="0" w:space="0" w:color="auto" w:frame="1"/>
        </w:rPr>
        <w:t>Search</w:t>
      </w:r>
      <w:proofErr w:type="spellEnd"/>
      <w:r>
        <w:rPr>
          <w:rFonts w:ascii="Calibri" w:eastAsia="Times New Roman" w:hAnsi="Calibri" w:cs="Calibri"/>
          <w:color w:val="242424"/>
          <w:sz w:val="18"/>
          <w:szCs w:val="18"/>
          <w:bdr w:val="none" w:sz="0" w:space="0" w:color="auto" w:frame="1"/>
        </w:rPr>
        <w:t xml:space="preserve"> i </w:t>
      </w:r>
      <w:proofErr w:type="spellStart"/>
      <w:r>
        <w:rPr>
          <w:rFonts w:ascii="Calibri" w:eastAsia="Times New Roman" w:hAnsi="Calibri" w:cs="Calibri"/>
          <w:color w:val="242424"/>
          <w:sz w:val="18"/>
          <w:szCs w:val="18"/>
          <w:bdr w:val="none" w:sz="0" w:space="0" w:color="auto" w:frame="1"/>
        </w:rPr>
        <w:t>Azure</w:t>
      </w:r>
      <w:proofErr w:type="spellEnd"/>
      <w:r>
        <w:rPr>
          <w:rFonts w:ascii="Calibri" w:eastAsia="Times New Roman" w:hAnsi="Calibri" w:cs="Calibri"/>
          <w:color w:val="242424"/>
          <w:sz w:val="18"/>
          <w:szCs w:val="18"/>
          <w:bdr w:val="none" w:sz="0" w:space="0" w:color="auto" w:frame="1"/>
        </w:rPr>
        <w:t xml:space="preserve"> Machine Learning), nie zaliczają się do czasu sprawnego działania Microsoft Discovery. Zobowiązania w zakresie Poziomu Usług dotyczące tych Usług podlegają Umowom Dotyczącym Poziomu Usług dotyczącym każdej takiej usługi. Okresy, w których klient nie uzyskuje akceptacji na mocy właściwej platformy ograniczonego dostępu Limited Access Framework, lub w których firma Microsoft zawiesiła lub cofnęła dostęp klienta z uzasadnionej przyczyny, są wyłączone z Właściwego Okresu do celów Umowy Dotyczącej Poziomu Usług. </w:t>
      </w:r>
    </w:p>
    <w:p w14:paraId="5537C429" w14:textId="77777777" w:rsidR="00D952C5" w:rsidRPr="00EF7CF9" w:rsidRDefault="00D952C5" w:rsidP="00D952C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0AD7FB7" w14:textId="4D5AEB33" w:rsidR="0050713B" w:rsidRDefault="0050713B" w:rsidP="007A3B40">
      <w:pPr>
        <w:pStyle w:val="ProductList-Offering2Heading"/>
        <w:tabs>
          <w:tab w:val="clear" w:pos="360"/>
          <w:tab w:val="clear" w:pos="720"/>
          <w:tab w:val="clear" w:pos="1080"/>
        </w:tabs>
        <w:outlineLvl w:val="2"/>
      </w:pPr>
      <w:bookmarkStart w:id="343" w:name="_Toc239175042"/>
      <w:r>
        <w:t xml:space="preserve">Microsoft </w:t>
      </w:r>
      <w:proofErr w:type="spellStart"/>
      <w:r>
        <w:t>Fabric</w:t>
      </w:r>
      <w:bookmarkEnd w:id="343"/>
      <w:proofErr w:type="spellEnd"/>
    </w:p>
    <w:p w14:paraId="7B097801" w14:textId="77777777" w:rsidR="0050713B" w:rsidRPr="00917E39" w:rsidRDefault="0050713B" w:rsidP="0050713B">
      <w:pPr>
        <w:shd w:val="clear" w:color="auto" w:fill="FFFFFF"/>
        <w:spacing w:after="0" w:line="240" w:lineRule="auto"/>
        <w:rPr>
          <w:rFonts w:ascii="Calibri" w:eastAsia="Times New Roman" w:hAnsi="Calibri" w:cs="Calibri"/>
          <w:color w:val="242424"/>
          <w:sz w:val="18"/>
          <w:szCs w:val="18"/>
        </w:rPr>
      </w:pPr>
      <w:r>
        <w:rPr>
          <w:rFonts w:ascii="Calibri" w:eastAsia="Times New Roman" w:hAnsi="Calibri" w:cs="Calibri"/>
          <w:b/>
          <w:bCs/>
          <w:color w:val="00188F"/>
          <w:sz w:val="18"/>
          <w:szCs w:val="18"/>
          <w:bdr w:val="none" w:sz="0" w:space="0" w:color="auto" w:frame="1"/>
        </w:rPr>
        <w:t>Dodatkowe definicje</w:t>
      </w:r>
    </w:p>
    <w:p w14:paraId="354DA71D" w14:textId="77777777" w:rsidR="0050713B" w:rsidRPr="00917E39" w:rsidRDefault="0050713B" w:rsidP="0050713B">
      <w:pPr>
        <w:pStyle w:val="ProductList-Body"/>
        <w:rPr>
          <w:rFonts w:ascii="Calibri" w:hAnsi="Calibri" w:cs="Calibri"/>
          <w:color w:val="000000" w:themeColor="text1"/>
        </w:rPr>
      </w:pPr>
      <w:r>
        <w:rPr>
          <w:rFonts w:ascii="Calibri" w:hAnsi="Calibri" w:cs="Calibri"/>
          <w:b/>
          <w:bCs/>
          <w:color w:val="00188F"/>
        </w:rPr>
        <w:t>Struktura Wydajnościowa</w:t>
      </w:r>
      <w:r w:rsidRPr="002F1C63">
        <w:rPr>
          <w:rFonts w:ascii="Calibri" w:hAnsi="Calibri" w:cs="Calibri"/>
          <w:b/>
          <w:bCs/>
          <w:color w:val="00188F"/>
        </w:rPr>
        <w:t>:</w:t>
      </w:r>
      <w:r>
        <w:rPr>
          <w:rFonts w:ascii="Calibri" w:hAnsi="Calibri" w:cs="Calibri"/>
          <w:color w:val="000000" w:themeColor="text1"/>
        </w:rPr>
        <w:t xml:space="preserve"> Struktura Wydajnościowa to wydzielony zestaw zasobów, które są dostępne do wykorzystania w danym czasie. Struktura Wydajnościowa określa zdolność danego zasobu do wykonywania czynności lub wytwarzania produktów. Różne elementy zużywają różną ilość struktury wydajnościowej w określonym czasie. </w:t>
      </w:r>
      <w:proofErr w:type="spellStart"/>
      <w:r>
        <w:rPr>
          <w:rFonts w:ascii="Calibri" w:hAnsi="Calibri" w:cs="Calibri"/>
          <w:color w:val="000000" w:themeColor="text1"/>
        </w:rPr>
        <w:t>Fabric</w:t>
      </w:r>
      <w:proofErr w:type="spellEnd"/>
      <w:r>
        <w:rPr>
          <w:rFonts w:ascii="Calibri" w:hAnsi="Calibri" w:cs="Calibri"/>
          <w:color w:val="000000" w:themeColor="text1"/>
        </w:rPr>
        <w:t xml:space="preserve"> zapewnia dostęp do struktury wydajnościowej poprzez SKU </w:t>
      </w:r>
      <w:proofErr w:type="spellStart"/>
      <w:r>
        <w:rPr>
          <w:rFonts w:ascii="Calibri" w:hAnsi="Calibri" w:cs="Calibri"/>
          <w:color w:val="000000" w:themeColor="text1"/>
        </w:rPr>
        <w:t>Fabric</w:t>
      </w:r>
      <w:proofErr w:type="spellEnd"/>
      <w:r>
        <w:rPr>
          <w:rFonts w:ascii="Calibri" w:hAnsi="Calibri" w:cs="Calibri"/>
          <w:color w:val="000000" w:themeColor="text1"/>
        </w:rPr>
        <w:t xml:space="preserve"> i wersje próbne. Więcej informacji znajduje się w sekcji </w:t>
      </w:r>
      <w:hyperlink r:id="rId23" w:anchor="capacity" w:history="1">
        <w:r>
          <w:rPr>
            <w:rStyle w:val="Hyperlink"/>
            <w:rFonts w:ascii="Calibri" w:hAnsi="Calibri" w:cs="Calibri"/>
          </w:rPr>
          <w:t>Czym jest struktura wydajnościowa</w:t>
        </w:r>
      </w:hyperlink>
      <w:r>
        <w:rPr>
          <w:rStyle w:val="Hyperlink"/>
          <w:rFonts w:ascii="Calibri" w:hAnsi="Calibri" w:cs="Calibri"/>
        </w:rPr>
        <w:t xml:space="preserve"> (</w:t>
      </w:r>
      <w:hyperlink r:id="rId24" w:anchor="capacity" w:history="1">
        <w:r>
          <w:rPr>
            <w:rStyle w:val="Hyperlink"/>
            <w:rFonts w:ascii="Calibri" w:hAnsi="Calibri" w:cs="Calibri"/>
          </w:rPr>
          <w:t>https://learn.microsoft.com/fabric/enterprise/licenses#capacity</w:t>
        </w:r>
      </w:hyperlink>
      <w:r>
        <w:rPr>
          <w:rStyle w:val="Hyperlink"/>
          <w:rFonts w:ascii="Calibri" w:hAnsi="Calibri" w:cs="Calibri"/>
        </w:rPr>
        <w:t>)</w:t>
      </w:r>
      <w:r>
        <w:rPr>
          <w:rFonts w:ascii="Calibri" w:hAnsi="Calibri" w:cs="Calibri"/>
          <w:color w:val="000000" w:themeColor="text1"/>
        </w:rPr>
        <w:t>?</w:t>
      </w:r>
    </w:p>
    <w:p w14:paraId="7F10DAF9" w14:textId="77777777" w:rsidR="0050713B" w:rsidRPr="00917E39" w:rsidRDefault="0050713B" w:rsidP="0050713B">
      <w:pPr>
        <w:pStyle w:val="ProductList-Body"/>
        <w:rPr>
          <w:rFonts w:ascii="Calibri" w:hAnsi="Calibri" w:cs="Calibri"/>
          <w:color w:val="000000" w:themeColor="text1"/>
        </w:rPr>
      </w:pPr>
      <w:r>
        <w:rPr>
          <w:rFonts w:ascii="Calibri" w:hAnsi="Calibri" w:cs="Calibri"/>
          <w:b/>
          <w:bCs/>
          <w:color w:val="00188F"/>
        </w:rPr>
        <w:t>Maksymalna Liczba Minut Dostępności</w:t>
      </w:r>
      <w:r w:rsidRPr="002F1C63">
        <w:rPr>
          <w:rFonts w:ascii="Calibri" w:hAnsi="Calibri" w:cs="Calibri"/>
          <w:b/>
          <w:bCs/>
          <w:color w:val="00188F"/>
        </w:rPr>
        <w:t>:</w:t>
      </w:r>
      <w:r>
        <w:rPr>
          <w:rFonts w:ascii="Calibri" w:hAnsi="Calibri" w:cs="Calibri"/>
          <w:color w:val="000000" w:themeColor="text1"/>
        </w:rPr>
        <w:t xml:space="preserve"> Suma wszystkich minut, przez które dana Struktura Wydajnościowa była utworzona we Właściwym Okresie dla danego dzierżawcy.</w:t>
      </w:r>
    </w:p>
    <w:p w14:paraId="44AD81AF" w14:textId="77777777" w:rsidR="0050713B" w:rsidRPr="00917E39" w:rsidRDefault="0050713B" w:rsidP="0050713B">
      <w:pPr>
        <w:pStyle w:val="ProductList-Body"/>
        <w:rPr>
          <w:rFonts w:ascii="Calibri" w:hAnsi="Calibri" w:cs="Calibri"/>
          <w:color w:val="000000" w:themeColor="text1"/>
        </w:rPr>
      </w:pPr>
      <w:r>
        <w:rPr>
          <w:rFonts w:ascii="Calibri" w:hAnsi="Calibri" w:cs="Calibri"/>
          <w:b/>
          <w:bCs/>
          <w:color w:val="00188F"/>
        </w:rPr>
        <w:t>Minuty Przestoju*</w:t>
      </w:r>
      <w:r w:rsidRPr="002F1C63">
        <w:rPr>
          <w:rFonts w:ascii="Calibri" w:hAnsi="Calibri" w:cs="Calibri"/>
          <w:b/>
          <w:bCs/>
          <w:color w:val="00188F"/>
        </w:rPr>
        <w:t>:</w:t>
      </w:r>
      <w:r>
        <w:rPr>
          <w:rFonts w:ascii="Calibri" w:hAnsi="Calibri" w:cs="Calibri"/>
          <w:color w:val="000000" w:themeColor="text1"/>
        </w:rPr>
        <w:t xml:space="preserve"> Całkowita skumulowana liczba minut we Właściwym Okresie dla danej Struktury Wydajnościowej lub po jej utworzeniu i przed jej wyrejestrowaniem, kiedy nie można jej wykorzystać w funkcjach usługi </w:t>
      </w:r>
      <w:proofErr w:type="spellStart"/>
      <w:r>
        <w:rPr>
          <w:rFonts w:ascii="Calibri" w:hAnsi="Calibri" w:cs="Calibri"/>
          <w:color w:val="000000" w:themeColor="text1"/>
        </w:rPr>
        <w:t>Fabric</w:t>
      </w:r>
      <w:proofErr w:type="spellEnd"/>
      <w:r>
        <w:rPr>
          <w:rFonts w:ascii="Calibri" w:hAnsi="Calibri" w:cs="Calibri"/>
          <w:color w:val="000000" w:themeColor="text1"/>
        </w:rPr>
        <w:t xml:space="preserve"> wymienionych poniżej:</w:t>
      </w:r>
    </w:p>
    <w:p w14:paraId="4F5500E6" w14:textId="77777777" w:rsidR="0050713B" w:rsidRPr="00917E39" w:rsidRDefault="0050713B" w:rsidP="0050713B">
      <w:pPr>
        <w:pStyle w:val="ProductList-Body"/>
        <w:rPr>
          <w:rFonts w:ascii="Calibri" w:hAnsi="Calibri" w:cs="Calibri"/>
          <w:b/>
          <w:bCs/>
          <w:color w:val="00188F"/>
        </w:rPr>
      </w:pPr>
      <w:r>
        <w:rPr>
          <w:rFonts w:ascii="Calibri" w:hAnsi="Calibri" w:cs="Calibri"/>
          <w:b/>
          <w:bCs/>
          <w:color w:val="00188F"/>
        </w:rPr>
        <w:t>Power BI – przekierowanie do sekcji dotyczącej Power BI</w:t>
      </w:r>
    </w:p>
    <w:p w14:paraId="0B1047BB"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Widok:</w:t>
      </w:r>
      <w:r>
        <w:rPr>
          <w:rFonts w:ascii="Calibri" w:hAnsi="Calibri" w:cs="Calibri"/>
          <w:szCs w:val="18"/>
        </w:rPr>
        <w:t xml:space="preserve"> Wyświetlanie pulpitów nawigacyjnych, raportów i aplikacji usługi Power BI.</w:t>
      </w:r>
    </w:p>
    <w:p w14:paraId="0A9C920D"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Odświeżenie zbioru danych:</w:t>
      </w:r>
      <w:r>
        <w:rPr>
          <w:rFonts w:ascii="Calibri" w:hAnsi="Calibri" w:cs="Calibri"/>
          <w:szCs w:val="18"/>
        </w:rPr>
        <w:t xml:space="preserve"> Planowanie lub ręczne uruchamianie operacji odświeżania i oczekiwanie, że operacje te zakończą się w spodziewanych ramach czasowych, biorąc pod uwagę wszystkie warunki, jakie mogą mieć wpływ na szybkość odświeżania (np. wielkość zbioru danych).</w:t>
      </w:r>
    </w:p>
    <w:p w14:paraId="339BAA48" w14:textId="77777777" w:rsidR="0050713B" w:rsidRPr="00917E39" w:rsidRDefault="0050713B" w:rsidP="0050713B">
      <w:pPr>
        <w:pStyle w:val="ProductList-Body"/>
        <w:ind w:left="180"/>
        <w:rPr>
          <w:rFonts w:ascii="Calibri" w:hAnsi="Calibri" w:cs="Calibri"/>
          <w:szCs w:val="18"/>
        </w:rPr>
      </w:pPr>
      <w:r>
        <w:rPr>
          <w:rFonts w:ascii="Calibri" w:hAnsi="Calibri" w:cs="Calibri"/>
          <w:b/>
          <w:color w:val="00188F"/>
        </w:rPr>
        <w:t>Dostęp do portalu Power BI:</w:t>
      </w:r>
      <w:r>
        <w:rPr>
          <w:rFonts w:ascii="Calibri" w:hAnsi="Calibri" w:cs="Calibri"/>
          <w:szCs w:val="18"/>
        </w:rPr>
        <w:t xml:space="preserve"> Uzyskiwanie dostępu do portalu Power BI i korzystanie z niego w spodziewanych ramach czasowych z uwzględnieniem warunków sieciowych i ograniczeń obecnych w środowisku klienta oraz niezależnych od Microsoft.</w:t>
      </w:r>
    </w:p>
    <w:p w14:paraId="75E0506A" w14:textId="77777777" w:rsidR="0050713B" w:rsidRPr="00917E39" w:rsidRDefault="0050713B" w:rsidP="0050713B">
      <w:pPr>
        <w:pStyle w:val="ProductList-Body"/>
        <w:rPr>
          <w:rFonts w:ascii="Calibri" w:hAnsi="Calibri" w:cs="Calibri"/>
          <w:b/>
          <w:bCs/>
          <w:color w:val="00188F"/>
        </w:rPr>
      </w:pPr>
      <w:r>
        <w:rPr>
          <w:rFonts w:ascii="Calibri" w:hAnsi="Calibri" w:cs="Calibri"/>
          <w:b/>
          <w:bCs/>
          <w:color w:val="00188F"/>
        </w:rPr>
        <w:t>Fabryka Danych</w:t>
      </w:r>
    </w:p>
    <w:p w14:paraId="3979DE8E"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Odświeżanie przepływu danych Gen2:</w:t>
      </w:r>
      <w:r>
        <w:rPr>
          <w:rFonts w:ascii="Calibri" w:hAnsi="Calibri" w:cs="Calibri"/>
          <w:szCs w:val="18"/>
        </w:rPr>
        <w:t xml:space="preserve"> Zaplanuj lub ręcznie uruchom operację odświeżania i poczekaj, aż zostaną one zakończone.</w:t>
      </w:r>
    </w:p>
    <w:p w14:paraId="135BC4BB"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 xml:space="preserve">Otwórz </w:t>
      </w:r>
      <w:proofErr w:type="spellStart"/>
      <w:r>
        <w:rPr>
          <w:rFonts w:ascii="Calibri" w:hAnsi="Calibri" w:cs="Calibri"/>
          <w:b/>
          <w:color w:val="00188F"/>
        </w:rPr>
        <w:t>Pipeline</w:t>
      </w:r>
      <w:proofErr w:type="spellEnd"/>
      <w:r>
        <w:rPr>
          <w:rFonts w:ascii="Calibri" w:hAnsi="Calibri" w:cs="Calibri"/>
          <w:b/>
          <w:color w:val="00188F"/>
        </w:rPr>
        <w:t>:</w:t>
      </w:r>
      <w:r>
        <w:rPr>
          <w:rFonts w:ascii="Calibri" w:hAnsi="Calibri" w:cs="Calibri"/>
          <w:szCs w:val="18"/>
        </w:rPr>
        <w:t xml:space="preserve"> Otwórz </w:t>
      </w:r>
      <w:proofErr w:type="spellStart"/>
      <w:r>
        <w:rPr>
          <w:rFonts w:ascii="Calibri" w:hAnsi="Calibri" w:cs="Calibri"/>
          <w:szCs w:val="18"/>
        </w:rPr>
        <w:t>Pipelines</w:t>
      </w:r>
      <w:proofErr w:type="spellEnd"/>
      <w:r>
        <w:rPr>
          <w:rFonts w:ascii="Calibri" w:hAnsi="Calibri" w:cs="Calibri"/>
          <w:szCs w:val="18"/>
        </w:rPr>
        <w:t xml:space="preserve"> w usłudze.</w:t>
      </w:r>
    </w:p>
    <w:p w14:paraId="4296F6ED" w14:textId="77777777" w:rsidR="0050713B" w:rsidRPr="00917E39" w:rsidRDefault="0050713B" w:rsidP="0050713B">
      <w:pPr>
        <w:pStyle w:val="ProductList-Body"/>
        <w:rPr>
          <w:rFonts w:ascii="Calibri" w:hAnsi="Calibri" w:cs="Calibri"/>
          <w:b/>
          <w:bCs/>
          <w:color w:val="00188F"/>
        </w:rPr>
      </w:pPr>
      <w:r>
        <w:rPr>
          <w:rFonts w:ascii="Calibri" w:hAnsi="Calibri" w:cs="Calibri"/>
          <w:b/>
          <w:bCs/>
          <w:color w:val="00188F"/>
        </w:rPr>
        <w:t>Inżynieria danych</w:t>
      </w:r>
    </w:p>
    <w:p w14:paraId="348BB665"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 xml:space="preserve">Otwórz </w:t>
      </w:r>
      <w:proofErr w:type="spellStart"/>
      <w:r>
        <w:rPr>
          <w:rFonts w:ascii="Calibri" w:hAnsi="Calibri" w:cs="Calibri"/>
          <w:b/>
          <w:color w:val="00188F"/>
        </w:rPr>
        <w:t>Lakehouse</w:t>
      </w:r>
      <w:proofErr w:type="spellEnd"/>
      <w:r>
        <w:rPr>
          <w:rFonts w:ascii="Calibri" w:hAnsi="Calibri" w:cs="Calibri"/>
          <w:b/>
          <w:color w:val="00188F"/>
        </w:rPr>
        <w:t>:</w:t>
      </w:r>
      <w:r>
        <w:rPr>
          <w:rFonts w:ascii="Calibri" w:hAnsi="Calibri" w:cs="Calibri"/>
          <w:szCs w:val="18"/>
        </w:rPr>
        <w:t xml:space="preserve"> Otwórz i przeglądaj </w:t>
      </w:r>
      <w:proofErr w:type="spellStart"/>
      <w:r>
        <w:rPr>
          <w:rFonts w:ascii="Calibri" w:hAnsi="Calibri" w:cs="Calibri"/>
          <w:szCs w:val="18"/>
        </w:rPr>
        <w:t>Lakehouse</w:t>
      </w:r>
      <w:proofErr w:type="spellEnd"/>
      <w:r>
        <w:rPr>
          <w:rFonts w:ascii="Calibri" w:hAnsi="Calibri" w:cs="Calibri"/>
          <w:szCs w:val="18"/>
        </w:rPr>
        <w:t xml:space="preserve"> w usłudze.</w:t>
      </w:r>
    </w:p>
    <w:p w14:paraId="6EE1016D"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Otwórz Notatnik:</w:t>
      </w:r>
      <w:r>
        <w:rPr>
          <w:rFonts w:ascii="Calibri" w:hAnsi="Calibri" w:cs="Calibri"/>
          <w:szCs w:val="18"/>
        </w:rPr>
        <w:t xml:space="preserve"> Otwórz i przeglądaj Notatnik w usłudze.</w:t>
      </w:r>
    </w:p>
    <w:p w14:paraId="4900B067" w14:textId="77777777" w:rsidR="0050713B" w:rsidRDefault="0050713B" w:rsidP="0050713B">
      <w:pPr>
        <w:pStyle w:val="ProductList-Body"/>
        <w:ind w:left="187"/>
        <w:rPr>
          <w:rFonts w:ascii="Calibri" w:hAnsi="Calibri" w:cs="Calibri"/>
          <w:szCs w:val="18"/>
        </w:rPr>
      </w:pPr>
      <w:r>
        <w:rPr>
          <w:rFonts w:ascii="Calibri" w:hAnsi="Calibri" w:cs="Calibri"/>
          <w:b/>
          <w:color w:val="00188F"/>
        </w:rPr>
        <w:t>Otwórz Spark Job Definition:</w:t>
      </w:r>
      <w:r>
        <w:rPr>
          <w:rFonts w:ascii="Calibri" w:hAnsi="Calibri" w:cs="Calibri"/>
          <w:szCs w:val="18"/>
        </w:rPr>
        <w:t xml:space="preserve"> Otwórz i przeglądaj Spark Job Definition w usłudze.</w:t>
      </w:r>
    </w:p>
    <w:p w14:paraId="55FB428F" w14:textId="3CF22A69" w:rsidR="002C78B2" w:rsidRPr="002C78B2" w:rsidRDefault="002C78B2" w:rsidP="002C78B2">
      <w:pPr>
        <w:tabs>
          <w:tab w:val="left" w:pos="360"/>
          <w:tab w:val="left" w:pos="720"/>
          <w:tab w:val="left" w:pos="1080"/>
        </w:tabs>
        <w:spacing w:after="0" w:line="240" w:lineRule="auto"/>
        <w:ind w:left="187"/>
        <w:rPr>
          <w:rFonts w:ascii="Calibri" w:eastAsia="Calibri" w:hAnsi="Calibri" w:cs="Arial"/>
          <w:sz w:val="18"/>
          <w:szCs w:val="18"/>
        </w:rPr>
      </w:pPr>
      <w:r>
        <w:rPr>
          <w:rFonts w:ascii="Calibri" w:eastAsia="Calibri" w:hAnsi="Calibri" w:cs="Arial"/>
          <w:b/>
          <w:color w:val="00188F"/>
          <w:sz w:val="18"/>
        </w:rPr>
        <w:t xml:space="preserve">Otwórz interfejs API dla </w:t>
      </w:r>
      <w:proofErr w:type="spellStart"/>
      <w:r>
        <w:rPr>
          <w:rFonts w:ascii="Calibri" w:eastAsia="Calibri" w:hAnsi="Calibri" w:cs="Arial"/>
          <w:b/>
          <w:color w:val="00188F"/>
          <w:sz w:val="18"/>
        </w:rPr>
        <w:t>GraphQL</w:t>
      </w:r>
      <w:proofErr w:type="spellEnd"/>
      <w:r>
        <w:rPr>
          <w:rFonts w:ascii="Calibri" w:eastAsia="Calibri" w:hAnsi="Calibri" w:cs="Arial"/>
          <w:b/>
          <w:color w:val="00188F"/>
          <w:sz w:val="18"/>
        </w:rPr>
        <w:t>:</w:t>
      </w:r>
      <w:r>
        <w:rPr>
          <w:rFonts w:ascii="Calibri" w:eastAsia="Calibri" w:hAnsi="Calibri" w:cs="Arial"/>
          <w:sz w:val="18"/>
          <w:szCs w:val="18"/>
        </w:rPr>
        <w:t xml:space="preserve"> Otwórz i przeglądaj </w:t>
      </w:r>
      <w:proofErr w:type="spellStart"/>
      <w:r>
        <w:rPr>
          <w:rFonts w:ascii="Calibri" w:eastAsia="Calibri" w:hAnsi="Calibri" w:cs="Arial"/>
          <w:sz w:val="18"/>
          <w:szCs w:val="18"/>
        </w:rPr>
        <w:t>GraphQL</w:t>
      </w:r>
      <w:proofErr w:type="spellEnd"/>
      <w:r>
        <w:rPr>
          <w:rFonts w:ascii="Calibri" w:eastAsia="Calibri" w:hAnsi="Calibri" w:cs="Arial"/>
          <w:sz w:val="18"/>
          <w:szCs w:val="18"/>
        </w:rPr>
        <w:t xml:space="preserve"> API w usłudze.</w:t>
      </w:r>
    </w:p>
    <w:p w14:paraId="3A7C385C" w14:textId="77777777" w:rsidR="0050713B" w:rsidRPr="00917E39" w:rsidRDefault="0050713B" w:rsidP="0050713B">
      <w:pPr>
        <w:pStyle w:val="ProductList-Body"/>
        <w:rPr>
          <w:rFonts w:ascii="Calibri" w:hAnsi="Calibri" w:cs="Calibri"/>
          <w:b/>
          <w:bCs/>
          <w:color w:val="00188F"/>
        </w:rPr>
      </w:pPr>
      <w:r>
        <w:rPr>
          <w:rFonts w:ascii="Calibri" w:hAnsi="Calibri" w:cs="Calibri"/>
          <w:b/>
          <w:bCs/>
          <w:color w:val="00188F"/>
        </w:rPr>
        <w:t>Analityka danych</w:t>
      </w:r>
    </w:p>
    <w:p w14:paraId="4A8AEC33"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Otwórz model M</w:t>
      </w:r>
      <w:r w:rsidRPr="002F1C63">
        <w:rPr>
          <w:rFonts w:ascii="Calibri" w:hAnsi="Calibri" w:cs="Calibri"/>
          <w:b/>
          <w:bCs/>
          <w:color w:val="00188F"/>
        </w:rPr>
        <w:t>L:</w:t>
      </w:r>
      <w:r>
        <w:rPr>
          <w:rFonts w:ascii="Calibri" w:hAnsi="Calibri" w:cs="Calibri"/>
          <w:szCs w:val="18"/>
        </w:rPr>
        <w:t xml:space="preserve"> Otwórz i przeglądaj modele ML w usłudze.</w:t>
      </w:r>
    </w:p>
    <w:p w14:paraId="4E944501"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Otwórz Experiment:</w:t>
      </w:r>
      <w:r>
        <w:rPr>
          <w:rFonts w:ascii="Calibri" w:hAnsi="Calibri" w:cs="Calibri"/>
          <w:szCs w:val="18"/>
        </w:rPr>
        <w:t xml:space="preserve"> Otwórz i przeglądaj Experiment w usłudze.</w:t>
      </w:r>
    </w:p>
    <w:p w14:paraId="29282775" w14:textId="77777777" w:rsidR="0050713B" w:rsidRPr="00917E39" w:rsidRDefault="0050713B" w:rsidP="0050713B">
      <w:pPr>
        <w:pStyle w:val="ProductList-Body"/>
        <w:rPr>
          <w:rFonts w:ascii="Calibri" w:hAnsi="Calibri" w:cs="Calibri"/>
          <w:b/>
          <w:bCs/>
          <w:color w:val="00188F"/>
        </w:rPr>
      </w:pPr>
      <w:r>
        <w:rPr>
          <w:rFonts w:ascii="Calibri" w:hAnsi="Calibri" w:cs="Calibri"/>
          <w:b/>
          <w:bCs/>
          <w:color w:val="00188F"/>
        </w:rPr>
        <w:t>Magazyn danych</w:t>
      </w:r>
    </w:p>
    <w:p w14:paraId="047E8328"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Otwórz bazę danych:</w:t>
      </w:r>
      <w:r>
        <w:rPr>
          <w:rFonts w:ascii="Calibri" w:hAnsi="Calibri" w:cs="Calibri"/>
          <w:szCs w:val="18"/>
        </w:rPr>
        <w:t xml:space="preserve"> Otwórz i przeglądaj Magazyn danych w usłudze.</w:t>
      </w:r>
    </w:p>
    <w:p w14:paraId="047A4C3C" w14:textId="77777777" w:rsidR="0050713B" w:rsidRPr="00917E39" w:rsidRDefault="0050713B" w:rsidP="0050713B">
      <w:pPr>
        <w:pStyle w:val="ProductList-Body"/>
        <w:rPr>
          <w:rFonts w:ascii="Calibri" w:hAnsi="Calibri" w:cs="Calibri"/>
          <w:b/>
          <w:bCs/>
          <w:color w:val="00188F"/>
        </w:rPr>
      </w:pPr>
      <w:r>
        <w:rPr>
          <w:rFonts w:ascii="Calibri" w:hAnsi="Calibri" w:cs="Calibri"/>
          <w:b/>
          <w:bCs/>
          <w:color w:val="00188F"/>
        </w:rPr>
        <w:t>Analityka w czasie rzeczywistym</w:t>
      </w:r>
    </w:p>
    <w:p w14:paraId="62CB3DD6" w14:textId="77777777" w:rsidR="0050713B" w:rsidRPr="00917E39" w:rsidRDefault="0050713B" w:rsidP="0050713B">
      <w:pPr>
        <w:pStyle w:val="ProductList-Body"/>
        <w:ind w:left="187"/>
        <w:rPr>
          <w:rFonts w:ascii="Calibri" w:hAnsi="Calibri" w:cs="Calibri"/>
          <w:szCs w:val="18"/>
        </w:rPr>
      </w:pPr>
      <w:r>
        <w:rPr>
          <w:rFonts w:ascii="Calibri" w:hAnsi="Calibri" w:cs="Calibri"/>
          <w:b/>
          <w:color w:val="00188F"/>
        </w:rPr>
        <w:t xml:space="preserve">Otwórz </w:t>
      </w:r>
      <w:proofErr w:type="spellStart"/>
      <w:r>
        <w:rPr>
          <w:rFonts w:ascii="Calibri" w:hAnsi="Calibri" w:cs="Calibri"/>
          <w:b/>
          <w:color w:val="00188F"/>
        </w:rPr>
        <w:t>Eventstream</w:t>
      </w:r>
      <w:proofErr w:type="spellEnd"/>
      <w:r w:rsidRPr="002F1C63">
        <w:rPr>
          <w:rFonts w:ascii="Calibri" w:hAnsi="Calibri" w:cs="Calibri"/>
          <w:b/>
          <w:bCs/>
          <w:color w:val="00188F"/>
        </w:rPr>
        <w:t>:</w:t>
      </w:r>
      <w:r>
        <w:rPr>
          <w:rFonts w:ascii="Calibri" w:hAnsi="Calibri" w:cs="Calibri"/>
          <w:szCs w:val="18"/>
        </w:rPr>
        <w:t xml:space="preserve"> Otwórz i przeglądaj </w:t>
      </w:r>
      <w:proofErr w:type="spellStart"/>
      <w:r>
        <w:rPr>
          <w:rFonts w:ascii="Calibri" w:hAnsi="Calibri" w:cs="Calibri"/>
          <w:szCs w:val="18"/>
        </w:rPr>
        <w:t>Eventstream</w:t>
      </w:r>
      <w:proofErr w:type="spellEnd"/>
      <w:r>
        <w:rPr>
          <w:rFonts w:ascii="Calibri" w:hAnsi="Calibri" w:cs="Calibri"/>
          <w:szCs w:val="18"/>
        </w:rPr>
        <w:t xml:space="preserve"> w usłudze.</w:t>
      </w:r>
    </w:p>
    <w:p w14:paraId="2A1022BF" w14:textId="77777777" w:rsidR="0050713B" w:rsidRPr="00917E39" w:rsidRDefault="0050713B" w:rsidP="0050713B">
      <w:pPr>
        <w:pStyle w:val="ProductList-Body"/>
        <w:ind w:left="187"/>
        <w:rPr>
          <w:rFonts w:ascii="Calibri" w:hAnsi="Calibri" w:cs="Calibri"/>
          <w:szCs w:val="18"/>
        </w:rPr>
      </w:pPr>
      <w:r>
        <w:rPr>
          <w:rFonts w:ascii="Calibri" w:hAnsi="Calibri" w:cs="Calibri"/>
          <w:b/>
          <w:bCs/>
          <w:color w:val="00188F"/>
        </w:rPr>
        <w:t>Otwórz bazę danych KQL:</w:t>
      </w:r>
      <w:r>
        <w:rPr>
          <w:rFonts w:ascii="Calibri" w:hAnsi="Calibri" w:cs="Calibri"/>
        </w:rPr>
        <w:t xml:space="preserve"> Otwórz i przeglądaj bazę danych KQL w usłudze.</w:t>
      </w:r>
    </w:p>
    <w:p w14:paraId="789D7DC7" w14:textId="77777777" w:rsidR="00CA63AC" w:rsidRPr="00A115EE" w:rsidRDefault="00CA63AC" w:rsidP="00CA63AC">
      <w:pPr>
        <w:spacing w:after="0" w:line="240" w:lineRule="auto"/>
        <w:textAlignment w:val="baseline"/>
        <w:rPr>
          <w:rFonts w:ascii="Calibri" w:eastAsia="Times New Roman" w:hAnsi="Calibri" w:cs="Calibri"/>
          <w:b/>
          <w:bCs/>
          <w:color w:val="00188F"/>
          <w:sz w:val="18"/>
          <w:szCs w:val="18"/>
        </w:rPr>
      </w:pPr>
      <w:r>
        <w:rPr>
          <w:rFonts w:ascii="Calibri" w:eastAsia="Times New Roman" w:hAnsi="Calibri" w:cs="Calibri"/>
          <w:b/>
          <w:bCs/>
          <w:color w:val="00188F"/>
          <w:sz w:val="18"/>
          <w:szCs w:val="18"/>
        </w:rPr>
        <w:t>Baza danych SQL</w:t>
      </w:r>
    </w:p>
    <w:p w14:paraId="4CEF2431" w14:textId="77777777" w:rsidR="00CA63AC" w:rsidRDefault="00CA63AC" w:rsidP="00CA63A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„Baza Danych SQL” </w:t>
      </w:r>
      <w:r>
        <w:rPr>
          <w:rFonts w:ascii="Calibri" w:eastAsia="Times New Roman" w:hAnsi="Calibri" w:cs="Calibri"/>
          <w:sz w:val="18"/>
          <w:szCs w:val="18"/>
        </w:rPr>
        <w:t xml:space="preserve">oznacza dowolną Bazę Danych SQL utworzoną w przestrzeni roboczej platformy Microsoft </w:t>
      </w:r>
      <w:proofErr w:type="spellStart"/>
      <w:r>
        <w:rPr>
          <w:rFonts w:ascii="Calibri" w:eastAsia="Times New Roman" w:hAnsi="Calibri" w:cs="Calibri"/>
          <w:sz w:val="18"/>
          <w:szCs w:val="18"/>
        </w:rPr>
        <w:t>Fabric</w:t>
      </w:r>
      <w:proofErr w:type="spellEnd"/>
      <w:r>
        <w:rPr>
          <w:rFonts w:ascii="Calibri" w:eastAsia="Times New Roman" w:hAnsi="Calibri" w:cs="Calibri"/>
          <w:sz w:val="18"/>
          <w:szCs w:val="18"/>
        </w:rPr>
        <w:t>.</w:t>
      </w:r>
    </w:p>
    <w:p w14:paraId="0D4C5108" w14:textId="77777777" w:rsidR="00CA63AC" w:rsidRPr="007572A7" w:rsidRDefault="00CA63AC" w:rsidP="00CA63A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Otwórz bazę danych</w:t>
      </w:r>
      <w:r>
        <w:rPr>
          <w:rFonts w:ascii="Calibri" w:eastAsia="Times New Roman" w:hAnsi="Calibri" w:cs="Calibri"/>
          <w:sz w:val="18"/>
          <w:szCs w:val="18"/>
        </w:rPr>
        <w:t>: Otwórz i przeglądaj bazę danych SQL w usłudze.</w:t>
      </w:r>
    </w:p>
    <w:p w14:paraId="43CD6298" w14:textId="77777777" w:rsidR="00CA63AC" w:rsidRPr="00A115EE" w:rsidRDefault="00CA63AC" w:rsidP="00CA63AC">
      <w:pPr>
        <w:spacing w:after="0" w:line="240" w:lineRule="auto"/>
        <w:textAlignment w:val="baseline"/>
        <w:rPr>
          <w:rFonts w:ascii="Calibri" w:eastAsia="Times New Roman" w:hAnsi="Calibri" w:cs="Calibri"/>
          <w:b/>
          <w:bCs/>
          <w:color w:val="00188F"/>
          <w:sz w:val="18"/>
          <w:szCs w:val="18"/>
        </w:rPr>
      </w:pPr>
      <w:proofErr w:type="spellStart"/>
      <w:r>
        <w:rPr>
          <w:rFonts w:ascii="Calibri" w:eastAsia="Times New Roman" w:hAnsi="Calibri" w:cs="Calibri"/>
          <w:b/>
          <w:bCs/>
          <w:color w:val="00188F"/>
          <w:sz w:val="18"/>
          <w:szCs w:val="18"/>
        </w:rPr>
        <w:t>Cosmos</w:t>
      </w:r>
      <w:proofErr w:type="spellEnd"/>
      <w:r>
        <w:rPr>
          <w:rFonts w:ascii="Calibri" w:eastAsia="Times New Roman" w:hAnsi="Calibri" w:cs="Calibri"/>
          <w:b/>
          <w:bCs/>
          <w:color w:val="00188F"/>
          <w:sz w:val="18"/>
          <w:szCs w:val="18"/>
        </w:rPr>
        <w:t xml:space="preserve"> DB</w:t>
      </w:r>
    </w:p>
    <w:p w14:paraId="394C2E05" w14:textId="77777777" w:rsidR="00CA63AC" w:rsidRDefault="00CA63AC" w:rsidP="00CA63A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„Kontener </w:t>
      </w:r>
      <w:proofErr w:type="spellStart"/>
      <w:r>
        <w:rPr>
          <w:rFonts w:ascii="Calibri" w:eastAsia="Times New Roman" w:hAnsi="Calibri" w:cs="Calibri"/>
          <w:b/>
          <w:bCs/>
          <w:color w:val="00188F"/>
          <w:sz w:val="18"/>
          <w:szCs w:val="18"/>
        </w:rPr>
        <w:t>Cosmos</w:t>
      </w:r>
      <w:proofErr w:type="spellEnd"/>
      <w:r>
        <w:rPr>
          <w:rFonts w:ascii="Calibri" w:eastAsia="Times New Roman" w:hAnsi="Calibri" w:cs="Calibri"/>
          <w:b/>
          <w:bCs/>
          <w:color w:val="00188F"/>
          <w:sz w:val="18"/>
          <w:szCs w:val="18"/>
        </w:rPr>
        <w:t xml:space="preserve"> DB” </w:t>
      </w:r>
      <w:r>
        <w:rPr>
          <w:rFonts w:ascii="Calibri" w:eastAsia="Times New Roman" w:hAnsi="Calibri" w:cs="Calibri"/>
          <w:sz w:val="18"/>
          <w:szCs w:val="18"/>
        </w:rPr>
        <w:t xml:space="preserve">oznacza dowolny kontener </w:t>
      </w:r>
      <w:proofErr w:type="spellStart"/>
      <w:r>
        <w:rPr>
          <w:rFonts w:ascii="Calibri" w:eastAsia="Times New Roman" w:hAnsi="Calibri" w:cs="Calibri"/>
          <w:sz w:val="18"/>
          <w:szCs w:val="18"/>
        </w:rPr>
        <w:t>Cosmos</w:t>
      </w:r>
      <w:proofErr w:type="spellEnd"/>
      <w:r>
        <w:rPr>
          <w:rFonts w:ascii="Calibri" w:eastAsia="Times New Roman" w:hAnsi="Calibri" w:cs="Calibri"/>
          <w:sz w:val="18"/>
          <w:szCs w:val="18"/>
        </w:rPr>
        <w:t xml:space="preserve"> DB utworzony w przestrzeni roboczej platformy Microsoft </w:t>
      </w:r>
      <w:proofErr w:type="spellStart"/>
      <w:r>
        <w:rPr>
          <w:rFonts w:ascii="Calibri" w:eastAsia="Times New Roman" w:hAnsi="Calibri" w:cs="Calibri"/>
          <w:sz w:val="18"/>
          <w:szCs w:val="18"/>
        </w:rPr>
        <w:t>Fabric</w:t>
      </w:r>
      <w:proofErr w:type="spellEnd"/>
      <w:r>
        <w:rPr>
          <w:rFonts w:ascii="Calibri" w:eastAsia="Times New Roman" w:hAnsi="Calibri" w:cs="Calibri"/>
          <w:sz w:val="18"/>
          <w:szCs w:val="18"/>
        </w:rPr>
        <w:t>.</w:t>
      </w:r>
    </w:p>
    <w:p w14:paraId="3A8E56A0" w14:textId="77777777" w:rsidR="00CA63AC" w:rsidRPr="007572A7" w:rsidRDefault="00CA63AC" w:rsidP="00CA63AC">
      <w:pPr>
        <w:spacing w:after="0" w:line="240" w:lineRule="auto"/>
        <w:ind w:left="180"/>
        <w:textAlignment w:val="baseline"/>
        <w:rPr>
          <w:rFonts w:ascii="Calibri" w:eastAsia="Times New Roman" w:hAnsi="Calibri" w:cs="Calibri"/>
          <w:sz w:val="18"/>
          <w:szCs w:val="18"/>
        </w:rPr>
      </w:pPr>
      <w:r>
        <w:rPr>
          <w:rFonts w:ascii="Calibri" w:eastAsia="Times New Roman" w:hAnsi="Calibri" w:cs="Calibri"/>
          <w:b/>
          <w:bCs/>
          <w:color w:val="00188F"/>
          <w:sz w:val="18"/>
          <w:szCs w:val="18"/>
        </w:rPr>
        <w:t>Otwórz kontener</w:t>
      </w:r>
      <w:r>
        <w:rPr>
          <w:rFonts w:ascii="Calibri" w:eastAsia="Times New Roman" w:hAnsi="Calibri" w:cs="Calibri"/>
          <w:sz w:val="18"/>
          <w:szCs w:val="18"/>
        </w:rPr>
        <w:t xml:space="preserve">: Otwórz i przeglądaj kontener </w:t>
      </w:r>
      <w:proofErr w:type="spellStart"/>
      <w:r>
        <w:rPr>
          <w:rFonts w:ascii="Calibri" w:eastAsia="Times New Roman" w:hAnsi="Calibri" w:cs="Calibri"/>
          <w:sz w:val="18"/>
          <w:szCs w:val="18"/>
        </w:rPr>
        <w:t>Cosmos</w:t>
      </w:r>
      <w:proofErr w:type="spellEnd"/>
      <w:r>
        <w:rPr>
          <w:rFonts w:ascii="Calibri" w:eastAsia="Times New Roman" w:hAnsi="Calibri" w:cs="Calibri"/>
          <w:sz w:val="18"/>
          <w:szCs w:val="18"/>
        </w:rPr>
        <w:t xml:space="preserve"> DB w usłudze.</w:t>
      </w:r>
    </w:p>
    <w:p w14:paraId="4811B15C" w14:textId="4EC4C251" w:rsidR="0050713B" w:rsidRPr="00917E39" w:rsidRDefault="0050713B" w:rsidP="0050713B">
      <w:pPr>
        <w:pStyle w:val="ProductList-Body"/>
        <w:rPr>
          <w:rFonts w:ascii="Calibri" w:hAnsi="Calibri" w:cs="Calibri"/>
          <w:b/>
          <w:bCs/>
          <w:color w:val="00188F"/>
        </w:rPr>
      </w:pPr>
      <w:proofErr w:type="spellStart"/>
      <w:r>
        <w:rPr>
          <w:rFonts w:ascii="Calibri" w:hAnsi="Calibri" w:cs="Calibri"/>
          <w:b/>
          <w:bCs/>
          <w:color w:val="00188F"/>
        </w:rPr>
        <w:t>OneLake</w:t>
      </w:r>
      <w:proofErr w:type="spellEnd"/>
    </w:p>
    <w:p w14:paraId="69CDE432" w14:textId="77777777" w:rsidR="0050713B" w:rsidRPr="00917E39" w:rsidRDefault="0050713B" w:rsidP="0050713B">
      <w:pPr>
        <w:pStyle w:val="ProductList-Body"/>
        <w:ind w:left="187"/>
        <w:rPr>
          <w:rFonts w:ascii="Calibri" w:hAnsi="Calibri" w:cs="Calibri"/>
          <w:szCs w:val="18"/>
        </w:rPr>
      </w:pPr>
      <w:r>
        <w:rPr>
          <w:rFonts w:ascii="Calibri" w:hAnsi="Calibri" w:cs="Calibri"/>
          <w:b/>
          <w:bCs/>
          <w:color w:val="00188F"/>
        </w:rPr>
        <w:t xml:space="preserve">Transakcje odczytu </w:t>
      </w:r>
      <w:proofErr w:type="spellStart"/>
      <w:r>
        <w:rPr>
          <w:rFonts w:ascii="Calibri" w:hAnsi="Calibri" w:cs="Calibri"/>
          <w:b/>
          <w:bCs/>
          <w:color w:val="00188F"/>
        </w:rPr>
        <w:t>OneLake</w:t>
      </w:r>
      <w:proofErr w:type="spellEnd"/>
      <w:r>
        <w:rPr>
          <w:rFonts w:ascii="Calibri" w:hAnsi="Calibri" w:cs="Calibri"/>
          <w:b/>
          <w:bCs/>
          <w:color w:val="00188F"/>
        </w:rPr>
        <w:t xml:space="preserve">: </w:t>
      </w:r>
      <w:r>
        <w:rPr>
          <w:rFonts w:ascii="Calibri" w:hAnsi="Calibri" w:cs="Calibri"/>
        </w:rPr>
        <w:t xml:space="preserve">Każda operacja odczytu do interfejsów API </w:t>
      </w:r>
      <w:proofErr w:type="spellStart"/>
      <w:r>
        <w:rPr>
          <w:rFonts w:ascii="Calibri" w:hAnsi="Calibri" w:cs="Calibri"/>
        </w:rPr>
        <w:t>OneLake</w:t>
      </w:r>
      <w:proofErr w:type="spellEnd"/>
      <w:r>
        <w:rPr>
          <w:rFonts w:ascii="Calibri" w:hAnsi="Calibri" w:cs="Calibri"/>
        </w:rPr>
        <w:t xml:space="preserve"> DFS</w:t>
      </w:r>
      <w:r>
        <w:rPr>
          <w:rFonts w:ascii="Calibri" w:hAnsi="Calibri" w:cs="Calibri"/>
          <w:color w:val="00188F"/>
        </w:rPr>
        <w:t>.</w:t>
      </w:r>
    </w:p>
    <w:p w14:paraId="1AB840D6" w14:textId="77777777" w:rsidR="0050713B" w:rsidRDefault="0050713B" w:rsidP="0050713B">
      <w:pPr>
        <w:pStyle w:val="ProductList-Body"/>
        <w:rPr>
          <w:rFonts w:ascii="Calibri" w:hAnsi="Calibri" w:cs="Calibri"/>
          <w:color w:val="000000" w:themeColor="text1"/>
        </w:rPr>
      </w:pPr>
      <w:r>
        <w:rPr>
          <w:rFonts w:ascii="Calibri" w:hAnsi="Calibri" w:cs="Calibri"/>
          <w:b/>
          <w:bCs/>
          <w:color w:val="00188F"/>
        </w:rPr>
        <w:t>Procent Czasu Sprawnego Działania</w:t>
      </w:r>
      <w:r w:rsidRPr="002F1C63">
        <w:rPr>
          <w:rFonts w:ascii="Calibri" w:hAnsi="Calibri" w:cs="Calibri"/>
          <w:b/>
          <w:bCs/>
          <w:color w:val="00188F"/>
        </w:rPr>
        <w:t>:</w:t>
      </w:r>
      <w:r>
        <w:rPr>
          <w:rFonts w:ascii="Calibri" w:hAnsi="Calibri" w:cs="Calibri"/>
          <w:color w:val="000000" w:themeColor="text1"/>
        </w:rPr>
        <w:t xml:space="preserve"> Procent Czasu Sprawnego Działania jest obliczany przy użyciu następującego wzoru:</w:t>
      </w:r>
    </w:p>
    <w:p w14:paraId="299C1016" w14:textId="77777777" w:rsidR="0050713B" w:rsidRPr="00EF7CF9" w:rsidRDefault="00000000" w:rsidP="003C43DE">
      <w:pPr>
        <w:pStyle w:val="ListParagraph"/>
        <w:spacing w:before="120" w:after="120" w:line="240" w:lineRule="auto"/>
        <w:contextualSpacing w:val="0"/>
        <w:jc w:val="center"/>
        <w:rPr>
          <w:rFonts w:ascii="Cambria Math" w:hAnsi="Cambria Math" w:cs="Tahoma"/>
          <w:i/>
          <w:iCs/>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Minut Dostępności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321D443" w14:textId="77777777" w:rsidR="0050713B" w:rsidRDefault="0050713B" w:rsidP="0050713B">
      <w:pPr>
        <w:pStyle w:val="ProductList-Body"/>
        <w:rPr>
          <w:rFonts w:ascii="Calibri" w:hAnsi="Calibri" w:cs="Calibri"/>
        </w:rPr>
      </w:pPr>
      <w:r>
        <w:rPr>
          <w:rFonts w:ascii="Calibri" w:hAnsi="Calibri" w:cs="Calibri"/>
          <w:b/>
          <w:bCs/>
          <w:color w:val="00188F"/>
        </w:rPr>
        <w:t>*</w:t>
      </w:r>
      <w:r>
        <w:rPr>
          <w:rFonts w:ascii="Calibri" w:hAnsi="Calibri" w:cs="Calibri"/>
        </w:rPr>
        <w:t xml:space="preserve">Minuty Przestoju nie obejmują żadnego okresu, w którym brak możliwości korzystania z funkcji </w:t>
      </w:r>
      <w:proofErr w:type="spellStart"/>
      <w:r>
        <w:rPr>
          <w:rFonts w:ascii="Calibri" w:hAnsi="Calibri" w:cs="Calibri"/>
        </w:rPr>
        <w:t>Fabric</w:t>
      </w:r>
      <w:proofErr w:type="spellEnd"/>
      <w:r>
        <w:rPr>
          <w:rFonts w:ascii="Calibri" w:hAnsi="Calibri" w:cs="Calibri"/>
        </w:rPr>
        <w:t xml:space="preserve"> w ramach danej Struktury Wydajnościowej wynikał z zasad ograniczania Struktury Wydajnościowej Microsoft </w:t>
      </w:r>
      <w:proofErr w:type="spellStart"/>
      <w:r>
        <w:rPr>
          <w:rFonts w:ascii="Calibri" w:hAnsi="Calibri" w:cs="Calibri"/>
        </w:rPr>
        <w:t>Fabric</w:t>
      </w:r>
      <w:proofErr w:type="spellEnd"/>
      <w:r>
        <w:rPr>
          <w:rFonts w:ascii="Calibri" w:hAnsi="Calibri" w:cs="Calibri"/>
        </w:rPr>
        <w:t>.</w:t>
      </w:r>
    </w:p>
    <w:p w14:paraId="55AE8318" w14:textId="77777777" w:rsidR="0050713B" w:rsidRPr="00917E39" w:rsidRDefault="0050713B" w:rsidP="0050713B">
      <w:pPr>
        <w:pStyle w:val="ProductList-Body"/>
        <w:rPr>
          <w:rFonts w:ascii="Calibri" w:hAnsi="Calibri" w:cs="Calibri"/>
          <w:b/>
        </w:rPr>
      </w:pPr>
      <w:r>
        <w:rPr>
          <w:rFonts w:ascii="Calibri" w:hAnsi="Calibri" w:cs="Calibri"/>
          <w:b/>
          <w:color w:val="00188F"/>
        </w:rPr>
        <w:t xml:space="preserve">Środki Serwisowe na Używanie </w:t>
      </w:r>
      <w:r w:rsidRPr="002F1C63">
        <w:rPr>
          <w:rFonts w:ascii="Calibri" w:hAnsi="Calibri" w:cs="Calibri"/>
          <w:b/>
          <w:bCs/>
          <w:color w:val="00188F"/>
        </w:rPr>
        <w:t>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0713B" w:rsidRPr="00B44CF9" w14:paraId="0D25E11D" w14:textId="77777777" w:rsidTr="00710B68">
        <w:trPr>
          <w:tblHeader/>
        </w:trPr>
        <w:tc>
          <w:tcPr>
            <w:tcW w:w="5400" w:type="dxa"/>
            <w:shd w:val="clear" w:color="auto" w:fill="0072C6"/>
          </w:tcPr>
          <w:p w14:paraId="22E815EC" w14:textId="77777777" w:rsidR="0050713B" w:rsidRPr="00EF7CF9" w:rsidRDefault="0050713B" w:rsidP="00710B68">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C9DCF48" w14:textId="77777777" w:rsidR="0050713B" w:rsidRPr="00EF7CF9" w:rsidRDefault="0050713B" w:rsidP="00710B68">
            <w:pPr>
              <w:pStyle w:val="ProductList-OfferingBody"/>
              <w:jc w:val="center"/>
              <w:rPr>
                <w:color w:val="FFFFFF" w:themeColor="background1"/>
              </w:rPr>
            </w:pPr>
            <w:r>
              <w:rPr>
                <w:color w:val="FFFFFF" w:themeColor="background1"/>
              </w:rPr>
              <w:t>Środki Serwisowe na Używanie Usług</w:t>
            </w:r>
          </w:p>
        </w:tc>
      </w:tr>
      <w:tr w:rsidR="0050713B" w:rsidRPr="00B44CF9" w14:paraId="0D4CF1F5" w14:textId="77777777" w:rsidTr="00710B68">
        <w:tc>
          <w:tcPr>
            <w:tcW w:w="5400" w:type="dxa"/>
          </w:tcPr>
          <w:p w14:paraId="0139D4DB" w14:textId="77777777" w:rsidR="0050713B" w:rsidRPr="00EF7CF9" w:rsidRDefault="0050713B" w:rsidP="00710B68">
            <w:pPr>
              <w:pStyle w:val="ProductList-OfferingBody"/>
              <w:jc w:val="center"/>
            </w:pPr>
            <w:r>
              <w:t>&lt; 99,9%</w:t>
            </w:r>
          </w:p>
        </w:tc>
        <w:tc>
          <w:tcPr>
            <w:tcW w:w="5400" w:type="dxa"/>
          </w:tcPr>
          <w:p w14:paraId="22A77555" w14:textId="77777777" w:rsidR="0050713B" w:rsidRPr="00EF7CF9" w:rsidRDefault="0050713B" w:rsidP="00710B68">
            <w:pPr>
              <w:pStyle w:val="ProductList-OfferingBody"/>
              <w:jc w:val="center"/>
            </w:pPr>
            <w:r>
              <w:t>10%</w:t>
            </w:r>
          </w:p>
        </w:tc>
      </w:tr>
      <w:tr w:rsidR="0050713B" w:rsidRPr="00B44CF9" w14:paraId="20D90A42" w14:textId="77777777" w:rsidTr="00710B68">
        <w:tc>
          <w:tcPr>
            <w:tcW w:w="5400" w:type="dxa"/>
          </w:tcPr>
          <w:p w14:paraId="5BEB0C32" w14:textId="77777777" w:rsidR="0050713B" w:rsidRPr="00EF7CF9" w:rsidRDefault="0050713B" w:rsidP="00710B68">
            <w:pPr>
              <w:pStyle w:val="ProductList-OfferingBody"/>
              <w:jc w:val="center"/>
            </w:pPr>
            <w:r>
              <w:t>&lt; 99%</w:t>
            </w:r>
          </w:p>
        </w:tc>
        <w:tc>
          <w:tcPr>
            <w:tcW w:w="5400" w:type="dxa"/>
          </w:tcPr>
          <w:p w14:paraId="633FC798" w14:textId="77777777" w:rsidR="0050713B" w:rsidRPr="00EF7CF9" w:rsidRDefault="0050713B" w:rsidP="00710B68">
            <w:pPr>
              <w:pStyle w:val="ProductList-OfferingBody"/>
              <w:jc w:val="center"/>
            </w:pPr>
            <w:r>
              <w:t>25%</w:t>
            </w:r>
          </w:p>
        </w:tc>
      </w:tr>
    </w:tbl>
    <w:p w14:paraId="416B3901" w14:textId="77777777" w:rsidR="0050713B" w:rsidRPr="00EF7CF9" w:rsidRDefault="0050713B" w:rsidP="0050713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739C090" w14:textId="7D068167" w:rsidR="00CA66E5" w:rsidRPr="00EF7CF9" w:rsidRDefault="00CA66E5" w:rsidP="00444DA8">
      <w:pPr>
        <w:pStyle w:val="ProductList-Offering2Heading"/>
        <w:keepNext/>
        <w:tabs>
          <w:tab w:val="clear" w:pos="360"/>
          <w:tab w:val="clear" w:pos="720"/>
          <w:tab w:val="clear" w:pos="1080"/>
        </w:tabs>
        <w:outlineLvl w:val="2"/>
      </w:pPr>
      <w:bookmarkStart w:id="344" w:name="_Toc239175043"/>
      <w:r>
        <w:t xml:space="preserve">Microsoft </w:t>
      </w:r>
      <w:proofErr w:type="spellStart"/>
      <w:r>
        <w:t>Genomics</w:t>
      </w:r>
      <w:bookmarkEnd w:id="341"/>
      <w:bookmarkEnd w:id="344"/>
      <w:proofErr w:type="spellEnd"/>
    </w:p>
    <w:p w14:paraId="0D9D2ADC" w14:textId="77777777" w:rsidR="00CA66E5" w:rsidRPr="00EF7CF9" w:rsidRDefault="00CA66E5" w:rsidP="00CA66E5">
      <w:pPr>
        <w:pStyle w:val="ProductList-Body"/>
        <w:rPr>
          <w:b/>
          <w:color w:val="00188F"/>
          <w:szCs w:val="18"/>
        </w:rPr>
      </w:pPr>
      <w:r>
        <w:rPr>
          <w:b/>
          <w:color w:val="00188F"/>
          <w:szCs w:val="18"/>
        </w:rPr>
        <w:t>Dodatkowe definicje</w:t>
      </w:r>
      <w:r w:rsidRPr="0034704E">
        <w:rPr>
          <w:b/>
          <w:color w:val="00188F"/>
        </w:rPr>
        <w:t>:</w:t>
      </w:r>
    </w:p>
    <w:p w14:paraId="6181E587" w14:textId="6BC9480B" w:rsidR="00CA66E5" w:rsidRPr="00963F40" w:rsidRDefault="00CA66E5" w:rsidP="00CA66E5">
      <w:pPr>
        <w:spacing w:after="0" w:line="240" w:lineRule="auto"/>
        <w:rPr>
          <w:strike/>
          <w:sz w:val="18"/>
          <w:szCs w:val="18"/>
        </w:rPr>
      </w:pPr>
      <w:r>
        <w:rPr>
          <w:sz w:val="18"/>
          <w:szCs w:val="18"/>
        </w:rPr>
        <w:t>„</w:t>
      </w:r>
      <w:r>
        <w:rPr>
          <w:rFonts w:eastAsiaTheme="minorEastAsia"/>
          <w:b/>
          <w:color w:val="00188F"/>
          <w:sz w:val="18"/>
          <w:szCs w:val="18"/>
        </w:rPr>
        <w:t>Maksymalna Liczba Dostępnych Minut</w:t>
      </w:r>
      <w:r>
        <w:rPr>
          <w:sz w:val="18"/>
          <w:szCs w:val="18"/>
        </w:rPr>
        <w:t xml:space="preserve">” to łączna zakumulowana liczba Dostępnych Minut dla wszystkich kont Microsoft </w:t>
      </w:r>
      <w:proofErr w:type="spellStart"/>
      <w:r>
        <w:rPr>
          <w:sz w:val="18"/>
          <w:szCs w:val="18"/>
        </w:rPr>
        <w:t>Genomics</w:t>
      </w:r>
      <w:proofErr w:type="spellEnd"/>
      <w:r>
        <w:rPr>
          <w:sz w:val="18"/>
          <w:szCs w:val="18"/>
        </w:rPr>
        <w:t xml:space="preserve"> utworzonych przez Klienta i aktywnych we Właściwym Okresie dla danej subskrypcji Microsoft </w:t>
      </w:r>
      <w:proofErr w:type="spellStart"/>
      <w:r>
        <w:rPr>
          <w:sz w:val="18"/>
          <w:szCs w:val="18"/>
        </w:rPr>
        <w:t>Azure</w:t>
      </w:r>
      <w:proofErr w:type="spellEnd"/>
      <w:r>
        <w:rPr>
          <w:sz w:val="18"/>
          <w:szCs w:val="18"/>
        </w:rPr>
        <w:t>.</w:t>
      </w:r>
    </w:p>
    <w:p w14:paraId="4F4F614E" w14:textId="77777777" w:rsidR="00CA66E5" w:rsidRPr="00963F40" w:rsidRDefault="00CA66E5" w:rsidP="00CA66E5">
      <w:pPr>
        <w:spacing w:after="0" w:line="240" w:lineRule="auto"/>
        <w:rPr>
          <w:sz w:val="18"/>
          <w:szCs w:val="18"/>
        </w:rPr>
      </w:pPr>
      <w:r>
        <w:rPr>
          <w:sz w:val="18"/>
          <w:szCs w:val="18"/>
        </w:rPr>
        <w:t>„</w:t>
      </w:r>
      <w:r>
        <w:rPr>
          <w:b/>
          <w:color w:val="00188F"/>
          <w:sz w:val="18"/>
          <w:szCs w:val="18"/>
        </w:rPr>
        <w:t>Przestój</w:t>
      </w:r>
      <w:r>
        <w:rPr>
          <w:sz w:val="18"/>
          <w:szCs w:val="18"/>
        </w:rPr>
        <w:t xml:space="preserve">” to łączna liczba minut w ramach Maksymalnej Liczby Dostępnych Minut, w czasie których dana usługa Microsoft </w:t>
      </w:r>
      <w:proofErr w:type="spellStart"/>
      <w:r>
        <w:rPr>
          <w:sz w:val="18"/>
          <w:szCs w:val="18"/>
        </w:rPr>
        <w:t>Genomics</w:t>
      </w:r>
      <w:proofErr w:type="spellEnd"/>
      <w:r>
        <w:rPr>
          <w:sz w:val="18"/>
          <w:szCs w:val="18"/>
        </w:rPr>
        <w:t xml:space="preserve"> jest niedostępna. Minuta jest uznawana za minutę niedostępności, jeśli wszystkie kolejne próby wysłania uwierzytelnionych żądań REST API dotyczących usługi </w:t>
      </w:r>
      <w:proofErr w:type="spellStart"/>
      <w:r>
        <w:rPr>
          <w:sz w:val="18"/>
          <w:szCs w:val="18"/>
        </w:rPr>
        <w:t>Genomics</w:t>
      </w:r>
      <w:proofErr w:type="spellEnd"/>
      <w:r>
        <w:rPr>
          <w:sz w:val="18"/>
          <w:szCs w:val="18"/>
        </w:rPr>
        <w:t xml:space="preserve"> zainicjowane w ciągu tej minuty albo zwracają Kod Błędu, albo nie zwracają potwierdzenia w ciągu tej minuty. </w:t>
      </w:r>
    </w:p>
    <w:p w14:paraId="57F3A94D" w14:textId="0221D6FB" w:rsidR="00CA66E5" w:rsidRDefault="00CA66E5" w:rsidP="00CA66E5">
      <w:pPr>
        <w:spacing w:after="0" w:line="240" w:lineRule="auto"/>
        <w:rPr>
          <w:sz w:val="18"/>
          <w:szCs w:val="18"/>
        </w:rPr>
      </w:pPr>
      <w:r>
        <w:rPr>
          <w:sz w:val="18"/>
          <w:szCs w:val="18"/>
        </w:rPr>
        <w:t>„</w:t>
      </w:r>
      <w:r>
        <w:rPr>
          <w:b/>
          <w:color w:val="00188F"/>
          <w:sz w:val="18"/>
          <w:szCs w:val="18"/>
        </w:rPr>
        <w:t>Procent Czasu Sprawnego Działania</w:t>
      </w:r>
      <w:r>
        <w:rPr>
          <w:sz w:val="18"/>
          <w:szCs w:val="18"/>
        </w:rPr>
        <w:t xml:space="preserve">” dla Microsoft </w:t>
      </w:r>
      <w:proofErr w:type="spellStart"/>
      <w:r>
        <w:rPr>
          <w:sz w:val="18"/>
          <w:szCs w:val="18"/>
        </w:rPr>
        <w:t>Genomics</w:t>
      </w:r>
      <w:proofErr w:type="spellEnd"/>
      <w:r>
        <w:rPr>
          <w:sz w:val="18"/>
          <w:szCs w:val="18"/>
        </w:rPr>
        <w:t xml:space="preserve"> jest obliczany za pomocą następującego wzoru:</w:t>
      </w:r>
    </w:p>
    <w:p w14:paraId="39B2D33A" w14:textId="0D052128" w:rsidR="00CA66E5" w:rsidRPr="000C46CD" w:rsidRDefault="00000000" w:rsidP="00D952C5">
      <w:pPr>
        <w:spacing w:before="120" w:after="120" w:line="240" w:lineRule="auto"/>
        <w:rPr>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C5E3343" w14:textId="7841303F" w:rsidR="00CA66E5" w:rsidRDefault="00CA66E5" w:rsidP="00CA66E5">
      <w:pPr>
        <w:pStyle w:val="ProductList-Body"/>
        <w:rPr>
          <w:b/>
          <w:color w:val="00188F"/>
        </w:rPr>
      </w:pPr>
      <w:r>
        <w:rPr>
          <w:b/>
          <w:color w:val="00188F"/>
        </w:rPr>
        <w:t>Środki Serwisowe na Używanie Usług</w:t>
      </w:r>
      <w:r w:rsidRPr="0034704E">
        <w:rPr>
          <w:b/>
          <w:color w:val="00188F"/>
        </w:rPr>
        <w:t>:</w:t>
      </w:r>
    </w:p>
    <w:tbl>
      <w:tblPr>
        <w:tblStyle w:val="ListTable3-Accent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395"/>
        <w:gridCol w:w="5395"/>
      </w:tblGrid>
      <w:tr w:rsidR="00CA66E5" w:rsidRPr="00B44CF9" w14:paraId="456AE0CD" w14:textId="77777777" w:rsidTr="000F31B4">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00" w:type="pct"/>
            <w:shd w:val="clear" w:color="auto" w:fill="0070C0"/>
          </w:tcPr>
          <w:p w14:paraId="64E146FD" w14:textId="27990022" w:rsidR="00CA66E5" w:rsidRPr="00753BAD" w:rsidRDefault="00AC48A7" w:rsidP="0073773D">
            <w:pPr>
              <w:spacing w:before="20" w:after="20"/>
              <w:jc w:val="center"/>
              <w:rPr>
                <w:sz w:val="16"/>
                <w:szCs w:val="16"/>
              </w:rPr>
            </w:pPr>
            <w:r w:rsidRPr="00753BAD">
              <w:rPr>
                <w:sz w:val="16"/>
                <w:szCs w:val="16"/>
              </w:rPr>
              <w:t xml:space="preserve">Procent Czasu Sprawnego Działania </w:t>
            </w:r>
          </w:p>
        </w:tc>
        <w:tc>
          <w:tcPr>
            <w:tcW w:w="2500" w:type="pct"/>
            <w:shd w:val="clear" w:color="auto" w:fill="0070C0"/>
          </w:tcPr>
          <w:p w14:paraId="316D33D9" w14:textId="77777777" w:rsidR="00CA66E5" w:rsidRPr="00753BAD" w:rsidRDefault="00CA66E5" w:rsidP="0073773D">
            <w:pPr>
              <w:spacing w:before="20" w:after="20"/>
              <w:jc w:val="center"/>
              <w:cnfStyle w:val="100000000000" w:firstRow="1" w:lastRow="0" w:firstColumn="0" w:lastColumn="0" w:oddVBand="0" w:evenVBand="0" w:oddHBand="0" w:evenHBand="0" w:firstRowFirstColumn="0" w:firstRowLastColumn="0" w:lastRowFirstColumn="0" w:lastRowLastColumn="0"/>
              <w:rPr>
                <w:sz w:val="16"/>
                <w:szCs w:val="16"/>
              </w:rPr>
            </w:pPr>
            <w:r w:rsidRPr="00753BAD">
              <w:rPr>
                <w:sz w:val="16"/>
                <w:szCs w:val="16"/>
              </w:rPr>
              <w:t>Środki Serwisowe na Używanie Usług</w:t>
            </w:r>
          </w:p>
        </w:tc>
      </w:tr>
      <w:tr w:rsidR="00CA66E5" w:rsidRPr="00B44CF9" w14:paraId="3B15BAC8"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303EF190" w14:textId="77777777" w:rsidR="00CA66E5" w:rsidRPr="00753BAD" w:rsidRDefault="00CA66E5" w:rsidP="0073773D">
            <w:pPr>
              <w:spacing w:before="20" w:after="20"/>
              <w:jc w:val="center"/>
              <w:rPr>
                <w:b w:val="0"/>
                <w:sz w:val="16"/>
                <w:szCs w:val="16"/>
              </w:rPr>
            </w:pPr>
            <w:r w:rsidRPr="00753BAD">
              <w:rPr>
                <w:b w:val="0"/>
                <w:sz w:val="16"/>
                <w:szCs w:val="16"/>
              </w:rPr>
              <w:t>&lt; 99,9%</w:t>
            </w:r>
          </w:p>
        </w:tc>
        <w:tc>
          <w:tcPr>
            <w:tcW w:w="2500" w:type="pct"/>
          </w:tcPr>
          <w:p w14:paraId="79C5FA06" w14:textId="77777777" w:rsidR="00CA66E5" w:rsidRPr="00753BAD" w:rsidRDefault="00CA66E5" w:rsidP="0073773D">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753BAD">
              <w:rPr>
                <w:sz w:val="16"/>
                <w:szCs w:val="16"/>
              </w:rPr>
              <w:t>10%</w:t>
            </w:r>
          </w:p>
        </w:tc>
      </w:tr>
      <w:tr w:rsidR="00CA66E5" w:rsidRPr="00B44CF9" w14:paraId="5E3CD5E4" w14:textId="77777777" w:rsidTr="000F31B4">
        <w:trPr>
          <w:jc w:val="center"/>
        </w:trPr>
        <w:tc>
          <w:tcPr>
            <w:cnfStyle w:val="001000000000" w:firstRow="0" w:lastRow="0" w:firstColumn="1" w:lastColumn="0" w:oddVBand="0" w:evenVBand="0" w:oddHBand="0" w:evenHBand="0" w:firstRowFirstColumn="0" w:firstRowLastColumn="0" w:lastRowFirstColumn="0" w:lastRowLastColumn="0"/>
            <w:tcW w:w="2500" w:type="pct"/>
          </w:tcPr>
          <w:p w14:paraId="4BAB5536" w14:textId="77777777" w:rsidR="00CA66E5" w:rsidRPr="00753BAD" w:rsidRDefault="00CA66E5" w:rsidP="0073773D">
            <w:pPr>
              <w:spacing w:before="20" w:after="20"/>
              <w:jc w:val="center"/>
              <w:rPr>
                <w:b w:val="0"/>
                <w:sz w:val="16"/>
                <w:szCs w:val="16"/>
              </w:rPr>
            </w:pPr>
            <w:r w:rsidRPr="00753BAD">
              <w:rPr>
                <w:b w:val="0"/>
                <w:sz w:val="16"/>
                <w:szCs w:val="16"/>
              </w:rPr>
              <w:t>&lt; 99%</w:t>
            </w:r>
          </w:p>
        </w:tc>
        <w:tc>
          <w:tcPr>
            <w:tcW w:w="2500" w:type="pct"/>
          </w:tcPr>
          <w:p w14:paraId="06F0C832" w14:textId="77777777" w:rsidR="00CA66E5" w:rsidRPr="00753BAD" w:rsidRDefault="00CA66E5" w:rsidP="0073773D">
            <w:pPr>
              <w:spacing w:before="20" w:after="20"/>
              <w:jc w:val="center"/>
              <w:cnfStyle w:val="000000000000" w:firstRow="0" w:lastRow="0" w:firstColumn="0" w:lastColumn="0" w:oddVBand="0" w:evenVBand="0" w:oddHBand="0" w:evenHBand="0" w:firstRowFirstColumn="0" w:firstRowLastColumn="0" w:lastRowFirstColumn="0" w:lastRowLastColumn="0"/>
              <w:rPr>
                <w:sz w:val="16"/>
                <w:szCs w:val="16"/>
              </w:rPr>
            </w:pPr>
            <w:r w:rsidRPr="00753BAD">
              <w:rPr>
                <w:sz w:val="16"/>
                <w:szCs w:val="16"/>
              </w:rPr>
              <w:t>25%</w:t>
            </w:r>
          </w:p>
        </w:tc>
      </w:tr>
    </w:tbl>
    <w:p w14:paraId="5EE680B7" w14:textId="6E5C51E9" w:rsidR="00CA66E5" w:rsidRPr="00EF7CF9" w:rsidRDefault="00C71F89"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9C0A13F" w14:textId="77777777" w:rsidR="00072A73" w:rsidRPr="00F005CA" w:rsidRDefault="00072A73" w:rsidP="00072A73">
      <w:pPr>
        <w:pStyle w:val="ProductList-Offering2Heading"/>
        <w:keepNext/>
        <w:tabs>
          <w:tab w:val="clear" w:pos="360"/>
          <w:tab w:val="clear" w:pos="720"/>
          <w:tab w:val="clear" w:pos="1080"/>
        </w:tabs>
        <w:outlineLvl w:val="2"/>
        <w:rPr>
          <w:rFonts w:ascii="Calibri Light" w:hAnsi="Calibri Light" w:cs="Calibri Light"/>
        </w:rPr>
      </w:pPr>
      <w:bookmarkStart w:id="345" w:name="_Toc239175044"/>
      <w:bookmarkStart w:id="346" w:name="_Toc457821566"/>
      <w:bookmarkStart w:id="347" w:name="_Toc52348975"/>
      <w:bookmarkEnd w:id="342"/>
      <w:r>
        <w:rPr>
          <w:rFonts w:ascii="Calibri Light" w:hAnsi="Calibri Light" w:cs="Calibri Light"/>
        </w:rPr>
        <w:t>Komputer Planetarny Microsoft Pro – umowa SLA:</w:t>
      </w:r>
      <w:bookmarkEnd w:id="345"/>
    </w:p>
    <w:p w14:paraId="1DF6E3E7" w14:textId="77777777" w:rsidR="00072A73" w:rsidRPr="00E13F9B" w:rsidRDefault="00072A73" w:rsidP="00072A73">
      <w:pPr>
        <w:pStyle w:val="ProductList-Body"/>
        <w:rPr>
          <w:rFonts w:ascii="Calibri" w:hAnsi="Calibri" w:cs="Calibri"/>
        </w:rPr>
      </w:pPr>
      <w:r w:rsidRPr="00F84ABE">
        <w:rPr>
          <w:rFonts w:ascii="Calibri" w:eastAsia="Aptos" w:hAnsi="Calibri" w:cs="Calibri"/>
          <w:b/>
          <w:color w:val="00188F"/>
          <w:kern w:val="2"/>
          <w:szCs w:val="18"/>
        </w:rPr>
        <w:t>„Łączna Liczba Prób Transakcji”</w:t>
      </w:r>
      <w:r>
        <w:rPr>
          <w:rFonts w:ascii="Calibri" w:hAnsi="Calibri" w:cs="Calibri"/>
        </w:rPr>
        <w:t xml:space="preserve"> to łączna liczba uwierzytelnionych żądań interfejsu API Klienta we Właściwym Okresie dla danego interfejsu API Komputera Planetarnego Pro w ramach danej subskrypcji Microsoft </w:t>
      </w:r>
      <w:proofErr w:type="spellStart"/>
      <w:r>
        <w:rPr>
          <w:rFonts w:ascii="Calibri" w:hAnsi="Calibri" w:cs="Calibri"/>
        </w:rPr>
        <w:t>Azure</w:t>
      </w:r>
      <w:proofErr w:type="spellEnd"/>
      <w:r>
        <w:rPr>
          <w:rFonts w:ascii="Calibri" w:hAnsi="Calibri" w:cs="Calibri"/>
        </w:rPr>
        <w:t>. Każda operacja z kodem stanu dostępnym dla użytkownika będzie traktowana jako Próba Transakcji. Łączna Liczba Prób Transakcji nie obejmuje uwierzytelnionych żądań interfejsu API zwracających Kod Błędu, które są stale powtarzane w ciągu pięciu minut od otrzymania pierwszego Kodu Błędu.</w:t>
      </w:r>
    </w:p>
    <w:p w14:paraId="2391CB9E" w14:textId="77777777" w:rsidR="00072A73" w:rsidRPr="00E13F9B" w:rsidRDefault="00072A73" w:rsidP="00072A73">
      <w:pPr>
        <w:shd w:val="clear" w:color="auto" w:fill="FFFFFF"/>
        <w:spacing w:after="0" w:line="240" w:lineRule="auto"/>
        <w:rPr>
          <w:rFonts w:ascii="Calibri" w:eastAsia="Times New Roman" w:hAnsi="Calibri" w:cs="Calibri"/>
          <w:color w:val="242424"/>
          <w:sz w:val="18"/>
          <w:szCs w:val="18"/>
        </w:rPr>
      </w:pPr>
      <w:r w:rsidRPr="00F84ABE">
        <w:rPr>
          <w:rFonts w:ascii="Calibri" w:eastAsia="Aptos" w:hAnsi="Calibri" w:cs="Calibri"/>
          <w:b/>
          <w:color w:val="00188F"/>
          <w:sz w:val="18"/>
          <w:szCs w:val="18"/>
        </w:rPr>
        <w:t xml:space="preserve">„Transakcje Zakończone Niepowodzeniem” </w:t>
      </w:r>
      <w:r>
        <w:rPr>
          <w:rFonts w:ascii="Calibri" w:hAnsi="Calibri" w:cs="Calibri"/>
          <w:sz w:val="18"/>
          <w:szCs w:val="18"/>
        </w:rPr>
        <w:t xml:space="preserve">to zestaw wszystkich żądań w ramach Łącznej Liczby Prób Transakcji, które zwracają Kod Błędu albo nie zwracają Kodu Sukcesu w ciągu 60 sekund od ich otrzymania przez Usługę. Transakcje Zakończone Niepowodzeniem </w:t>
      </w:r>
      <w:r>
        <w:rPr>
          <w:rFonts w:ascii="Calibri" w:eastAsia="Times New Roman" w:hAnsi="Calibri" w:cs="Calibri"/>
          <w:color w:val="242424"/>
          <w:sz w:val="18"/>
          <w:szCs w:val="18"/>
          <w:bdr w:val="none" w:sz="0" w:space="0" w:color="auto" w:frame="1"/>
        </w:rPr>
        <w:t>nie obejmują asynchronicznych uwierzytelnionych żądań interfejsu API, których przetworzenie trwa dłużej niż 60 sekund z powodu błędu użytkownika.</w:t>
      </w:r>
    </w:p>
    <w:p w14:paraId="2B3D36CE" w14:textId="77777777" w:rsidR="00072A73" w:rsidRPr="00244F03" w:rsidRDefault="00072A73" w:rsidP="00072A73">
      <w:pPr>
        <w:shd w:val="clear" w:color="auto" w:fill="FFFFFF"/>
        <w:spacing w:after="0" w:line="240" w:lineRule="auto"/>
        <w:rPr>
          <w:rFonts w:ascii="Calibri" w:eastAsia="Times New Roman" w:hAnsi="Calibri" w:cs="Calibri"/>
          <w:color w:val="242424"/>
          <w:sz w:val="18"/>
          <w:szCs w:val="18"/>
        </w:rPr>
      </w:pPr>
      <w:r w:rsidRPr="00F84ABE">
        <w:rPr>
          <w:rFonts w:ascii="Calibri" w:eastAsia="Aptos" w:hAnsi="Calibri" w:cs="Calibri"/>
          <w:b/>
          <w:color w:val="00188F"/>
          <w:sz w:val="18"/>
          <w:szCs w:val="18"/>
        </w:rPr>
        <w:t>„Procent Czasu Sprawnego Działania”</w:t>
      </w:r>
      <w:r>
        <w:rPr>
          <w:rFonts w:ascii="Calibri" w:eastAsia="Times New Roman" w:hAnsi="Calibri" w:cs="Calibri"/>
          <w:color w:val="242424"/>
          <w:sz w:val="18"/>
          <w:szCs w:val="18"/>
          <w:bdr w:val="none" w:sz="0" w:space="0" w:color="auto" w:frame="1"/>
        </w:rPr>
        <w:t xml:space="preserve"> dla danego interfejsu API Komputera Planetarnego Pro to Łączna Liczba Prób Transakcji pomniejszona o Transakcje Zakończone Niepowodzeniem i podzielona przez Łączną Liczbę Prób Transakcji, a następnie pomnożona przez 100.</w:t>
      </w:r>
    </w:p>
    <w:p w14:paraId="666C3E79" w14:textId="77777777" w:rsidR="00072A73" w:rsidRPr="00244F03" w:rsidRDefault="00072A73" w:rsidP="00072A73">
      <w:pPr>
        <w:shd w:val="clear" w:color="auto" w:fill="FFFFFF"/>
        <w:spacing w:after="0" w:line="240" w:lineRule="auto"/>
        <w:rPr>
          <w:rFonts w:ascii="Calibri" w:eastAsia="Times New Roman" w:hAnsi="Calibri" w:cs="Calibri"/>
          <w:color w:val="242424"/>
          <w:sz w:val="18"/>
          <w:szCs w:val="18"/>
          <w:bdr w:val="none" w:sz="0" w:space="0" w:color="auto" w:frame="1"/>
        </w:rPr>
      </w:pPr>
      <w:r>
        <w:rPr>
          <w:rFonts w:ascii="Calibri" w:eastAsia="Times New Roman" w:hAnsi="Calibri" w:cs="Calibri"/>
          <w:color w:val="242424"/>
          <w:sz w:val="18"/>
          <w:szCs w:val="18"/>
          <w:bdr w:val="none" w:sz="0" w:space="0" w:color="auto" w:frame="1"/>
        </w:rPr>
        <w:t>Procent Czasu Sprawnego Działania jest obliczany przy użyciu następującego wzoru:</w:t>
      </w:r>
    </w:p>
    <w:p w14:paraId="61A5864A" w14:textId="77777777" w:rsidR="00072A73" w:rsidRPr="00F84ABE" w:rsidRDefault="00000000" w:rsidP="00072A73">
      <w:pPr>
        <w:pStyle w:val="ListParagraph"/>
        <w:spacing w:before="120" w:after="120" w:line="240" w:lineRule="auto"/>
        <w:contextualSpacing w:val="0"/>
        <w:jc w:val="center"/>
        <w:rPr>
          <w:rFonts w:ascii="Cambria Math" w:eastAsiaTheme="minorEastAsia"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Prób Transakcji - Transakcje Zakończone Niepowodzeniem</m:t>
              </m:r>
            </m:num>
            <m:den>
              <m:r>
                <m:rPr>
                  <m:nor/>
                </m:rPr>
                <w:rPr>
                  <w:rFonts w:ascii="Cambria Math" w:hAnsi="Cambria Math" w:cs="Tahoma"/>
                  <w:i/>
                  <w:sz w:val="18"/>
                  <w:szCs w:val="18"/>
                </w:rPr>
                <m:t>Łączna Liczba Prób Transakcji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61DB906" w14:textId="77777777" w:rsidR="00072A73" w:rsidRPr="00784C9D" w:rsidRDefault="00072A73" w:rsidP="00072A73">
      <w:pPr>
        <w:shd w:val="clear" w:color="auto" w:fill="FFFFFF"/>
        <w:spacing w:after="0" w:line="240" w:lineRule="auto"/>
        <w:rPr>
          <w:rFonts w:ascii="Calibri" w:hAnsi="Calibri" w:cs="Calibri"/>
          <w:b/>
          <w:color w:val="00188F"/>
          <w:sz w:val="18"/>
          <w:szCs w:val="18"/>
        </w:rPr>
      </w:pPr>
      <w:r>
        <w:rPr>
          <w:rFonts w:ascii="Calibri" w:hAnsi="Calibri" w:cs="Calibri"/>
          <w:b/>
          <w:color w:val="00188F"/>
          <w:sz w:val="18"/>
          <w:szCs w:val="18"/>
        </w:rPr>
        <w:t>Następujące Poziomy Usługi i Środki Serwisowe na Używanie Usług mają zastosowanie do korzystania przez Klienta z interfejsu API Komputera Planetarnego Pro</w:t>
      </w:r>
      <w:r w:rsidRPr="00624A46">
        <w:rPr>
          <w:rFonts w:ascii="Calibri" w:eastAsia="Calibri" w:hAnsi="Calibri" w:cs="Arial"/>
          <w:b/>
          <w:color w:val="00188F"/>
          <w:sz w:val="18"/>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72A73" w14:paraId="3CDED463" w14:textId="77777777" w:rsidTr="00E1735E">
        <w:trPr>
          <w:trHeight w:val="245"/>
          <w:tblHeader/>
        </w:trPr>
        <w:tc>
          <w:tcPr>
            <w:tcW w:w="5400" w:type="dxa"/>
            <w:shd w:val="clear" w:color="auto" w:fill="0072C6"/>
          </w:tcPr>
          <w:p w14:paraId="5D4FE37C" w14:textId="77777777" w:rsidR="00072A73" w:rsidRPr="00BE16CF" w:rsidRDefault="00072A73"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5CD6F0C0" w14:textId="77777777" w:rsidR="00072A73" w:rsidRPr="00BE16CF" w:rsidRDefault="00072A73" w:rsidP="00E1735E">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072A73" w14:paraId="193E4E87" w14:textId="77777777" w:rsidTr="00E1735E">
        <w:trPr>
          <w:trHeight w:val="245"/>
        </w:trPr>
        <w:tc>
          <w:tcPr>
            <w:tcW w:w="5400" w:type="dxa"/>
          </w:tcPr>
          <w:p w14:paraId="4B869D40" w14:textId="77777777" w:rsidR="00072A73" w:rsidRPr="00BE16CF" w:rsidRDefault="00072A73" w:rsidP="00E1735E">
            <w:pPr>
              <w:pStyle w:val="ProductList-OfferingBody"/>
              <w:jc w:val="center"/>
              <w:rPr>
                <w:rFonts w:ascii="Calibri" w:hAnsi="Calibri" w:cs="Calibri"/>
                <w:szCs w:val="16"/>
              </w:rPr>
            </w:pPr>
            <w:r>
              <w:rPr>
                <w:rFonts w:ascii="Calibri" w:hAnsi="Calibri" w:cs="Calibri"/>
                <w:szCs w:val="16"/>
              </w:rPr>
              <w:t>&lt;99,9%</w:t>
            </w:r>
          </w:p>
        </w:tc>
        <w:tc>
          <w:tcPr>
            <w:tcW w:w="5400" w:type="dxa"/>
          </w:tcPr>
          <w:p w14:paraId="064B7E70" w14:textId="77777777" w:rsidR="00072A73" w:rsidRPr="00BE16CF" w:rsidRDefault="00072A73" w:rsidP="00E1735E">
            <w:pPr>
              <w:pStyle w:val="ProductList-OfferingBody"/>
              <w:jc w:val="center"/>
              <w:rPr>
                <w:rFonts w:ascii="Calibri" w:hAnsi="Calibri" w:cs="Calibri"/>
                <w:szCs w:val="16"/>
              </w:rPr>
            </w:pPr>
            <w:r>
              <w:rPr>
                <w:rFonts w:ascii="Calibri" w:hAnsi="Calibri" w:cs="Calibri"/>
                <w:szCs w:val="16"/>
              </w:rPr>
              <w:t>25%</w:t>
            </w:r>
          </w:p>
        </w:tc>
      </w:tr>
      <w:tr w:rsidR="00072A73" w14:paraId="18E307E1" w14:textId="77777777" w:rsidTr="00E1735E">
        <w:trPr>
          <w:trHeight w:val="245"/>
        </w:trPr>
        <w:tc>
          <w:tcPr>
            <w:tcW w:w="5400" w:type="dxa"/>
          </w:tcPr>
          <w:p w14:paraId="06576198" w14:textId="77777777" w:rsidR="00072A73" w:rsidRPr="00BE16CF" w:rsidRDefault="00072A73" w:rsidP="00E1735E">
            <w:pPr>
              <w:pStyle w:val="ProductList-OfferingBody"/>
              <w:jc w:val="center"/>
              <w:rPr>
                <w:rFonts w:ascii="Calibri" w:hAnsi="Calibri" w:cs="Calibri"/>
                <w:szCs w:val="16"/>
              </w:rPr>
            </w:pPr>
            <w:r>
              <w:rPr>
                <w:rFonts w:ascii="Calibri" w:hAnsi="Calibri" w:cs="Calibri"/>
                <w:szCs w:val="16"/>
              </w:rPr>
              <w:t>&lt;99%</w:t>
            </w:r>
          </w:p>
        </w:tc>
        <w:tc>
          <w:tcPr>
            <w:tcW w:w="5400" w:type="dxa"/>
          </w:tcPr>
          <w:p w14:paraId="6147C1CF" w14:textId="77777777" w:rsidR="00072A73" w:rsidRPr="00BE16CF" w:rsidRDefault="00072A73" w:rsidP="00E1735E">
            <w:pPr>
              <w:pStyle w:val="ProductList-OfferingBody"/>
              <w:jc w:val="center"/>
              <w:rPr>
                <w:rFonts w:ascii="Calibri" w:hAnsi="Calibri" w:cs="Calibri"/>
                <w:szCs w:val="16"/>
              </w:rPr>
            </w:pPr>
            <w:r>
              <w:rPr>
                <w:rFonts w:ascii="Calibri" w:hAnsi="Calibri" w:cs="Calibri"/>
                <w:szCs w:val="16"/>
              </w:rPr>
              <w:t>50%</w:t>
            </w:r>
          </w:p>
        </w:tc>
      </w:tr>
      <w:tr w:rsidR="00072A73" w14:paraId="64DB77D5" w14:textId="77777777" w:rsidTr="00E1735E">
        <w:trPr>
          <w:trHeight w:val="245"/>
        </w:trPr>
        <w:tc>
          <w:tcPr>
            <w:tcW w:w="5400" w:type="dxa"/>
          </w:tcPr>
          <w:p w14:paraId="58B208DF" w14:textId="77777777" w:rsidR="00072A73" w:rsidRPr="00BE16CF" w:rsidRDefault="00072A73" w:rsidP="00E1735E">
            <w:pPr>
              <w:pStyle w:val="ProductList-OfferingBody"/>
              <w:jc w:val="center"/>
              <w:rPr>
                <w:rFonts w:ascii="Calibri" w:hAnsi="Calibri" w:cs="Calibri"/>
                <w:szCs w:val="16"/>
              </w:rPr>
            </w:pPr>
            <w:r>
              <w:rPr>
                <w:rFonts w:ascii="Calibri" w:hAnsi="Calibri" w:cs="Calibri"/>
                <w:szCs w:val="16"/>
              </w:rPr>
              <w:t>&lt;95%</w:t>
            </w:r>
          </w:p>
        </w:tc>
        <w:tc>
          <w:tcPr>
            <w:tcW w:w="5400" w:type="dxa"/>
          </w:tcPr>
          <w:p w14:paraId="410B2D73" w14:textId="77777777" w:rsidR="00072A73" w:rsidRPr="00BE16CF" w:rsidRDefault="00072A73" w:rsidP="00E1735E">
            <w:pPr>
              <w:pStyle w:val="ProductList-OfferingBody"/>
              <w:jc w:val="center"/>
              <w:rPr>
                <w:rFonts w:ascii="Calibri" w:hAnsi="Calibri" w:cs="Calibri"/>
                <w:szCs w:val="16"/>
              </w:rPr>
            </w:pPr>
            <w:r>
              <w:rPr>
                <w:rFonts w:ascii="Calibri" w:hAnsi="Calibri" w:cs="Calibri"/>
                <w:szCs w:val="16"/>
              </w:rPr>
              <w:t>100%</w:t>
            </w:r>
          </w:p>
        </w:tc>
      </w:tr>
    </w:tbl>
    <w:p w14:paraId="718AFCCD" w14:textId="77777777" w:rsidR="00072A73" w:rsidRPr="00EF7CF9" w:rsidRDefault="00072A73" w:rsidP="00072A7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D2F2ABD" w14:textId="6AA6110E" w:rsidR="00D066A8" w:rsidRPr="00D066A8" w:rsidRDefault="00D066A8" w:rsidP="00D066A8">
      <w:pPr>
        <w:pStyle w:val="ProductList-Offering2Heading"/>
        <w:keepNext/>
        <w:tabs>
          <w:tab w:val="clear" w:pos="360"/>
          <w:tab w:val="clear" w:pos="720"/>
          <w:tab w:val="clear" w:pos="1080"/>
        </w:tabs>
        <w:outlineLvl w:val="2"/>
      </w:pPr>
      <w:bookmarkStart w:id="348" w:name="_Toc239175045"/>
      <w:r>
        <w:t xml:space="preserve">Microsoft </w:t>
      </w:r>
      <w:proofErr w:type="spellStart"/>
      <w:r>
        <w:t>Sentinel</w:t>
      </w:r>
      <w:bookmarkEnd w:id="348"/>
      <w:proofErr w:type="spellEnd"/>
    </w:p>
    <w:p w14:paraId="4587874D" w14:textId="77777777" w:rsidR="00D066A8" w:rsidRPr="00D011AB" w:rsidRDefault="00D066A8" w:rsidP="00D066A8">
      <w:pPr>
        <w:keepNext/>
        <w:shd w:val="clear" w:color="auto" w:fill="FFFFFF"/>
        <w:spacing w:after="0" w:line="240" w:lineRule="auto"/>
        <w:rPr>
          <w:rFonts w:ascii="Calibri" w:eastAsia="Times New Roman" w:hAnsi="Calibri" w:cs="Calibri"/>
          <w:color w:val="000000"/>
          <w:sz w:val="18"/>
          <w:szCs w:val="18"/>
        </w:rPr>
      </w:pPr>
      <w:r w:rsidRPr="00D011AB">
        <w:rPr>
          <w:rFonts w:ascii="Calibri" w:eastAsia="Times New Roman" w:hAnsi="Calibri" w:cs="Calibri"/>
          <w:b/>
          <w:bCs/>
          <w:color w:val="00188F"/>
          <w:sz w:val="18"/>
          <w:szCs w:val="18"/>
          <w:bdr w:val="none" w:sz="0" w:space="0" w:color="auto" w:frame="1"/>
        </w:rPr>
        <w:t>Dodatkowe definicje</w:t>
      </w:r>
      <w:r w:rsidRPr="00D011AB">
        <w:rPr>
          <w:b/>
          <w:color w:val="00188F"/>
          <w:sz w:val="18"/>
          <w:szCs w:val="18"/>
        </w:rPr>
        <w:t>:</w:t>
      </w:r>
      <w:r w:rsidRPr="00D011AB">
        <w:rPr>
          <w:rFonts w:ascii="Calibri" w:eastAsia="Times New Roman" w:hAnsi="Calibri" w:cs="Calibri"/>
          <w:color w:val="000000"/>
          <w:sz w:val="18"/>
          <w:szCs w:val="18"/>
          <w:bdr w:val="none" w:sz="0" w:space="0" w:color="auto" w:frame="1"/>
        </w:rPr>
        <w:t> </w:t>
      </w:r>
    </w:p>
    <w:p w14:paraId="7B5E6B83" w14:textId="761E8904" w:rsidR="00D066A8" w:rsidRPr="00D011AB" w:rsidRDefault="00D066A8" w:rsidP="00C84B0F">
      <w:pPr>
        <w:shd w:val="clear" w:color="auto" w:fill="FFFFFF"/>
        <w:spacing w:after="0" w:line="240" w:lineRule="auto"/>
        <w:rPr>
          <w:rFonts w:ascii="Calibri" w:eastAsia="Times New Roman" w:hAnsi="Calibri" w:cs="Calibri"/>
          <w:color w:val="000000"/>
          <w:sz w:val="18"/>
          <w:szCs w:val="18"/>
        </w:rPr>
      </w:pPr>
      <w:r w:rsidRPr="00D011AB">
        <w:rPr>
          <w:sz w:val="18"/>
        </w:rPr>
        <w:t>„</w:t>
      </w:r>
      <w:r w:rsidRPr="00D011AB">
        <w:rPr>
          <w:rFonts w:ascii="Calibri" w:eastAsia="Times New Roman" w:hAnsi="Calibri" w:cs="Calibri"/>
          <w:b/>
          <w:bCs/>
          <w:color w:val="00188F"/>
          <w:sz w:val="18"/>
          <w:szCs w:val="18"/>
          <w:bdr w:val="none" w:sz="0" w:space="0" w:color="auto" w:frame="1"/>
        </w:rPr>
        <w:t>Maksymalna Liczba Dostępnych Minut</w:t>
      </w:r>
      <w:r w:rsidRPr="00D011AB">
        <w:rPr>
          <w:sz w:val="18"/>
        </w:rPr>
        <w:t>”</w:t>
      </w:r>
      <w:r w:rsidRPr="00D011AB">
        <w:rPr>
          <w:rFonts w:ascii="Calibri" w:eastAsia="Times New Roman" w:hAnsi="Calibri" w:cs="Calibri"/>
          <w:color w:val="000000"/>
          <w:sz w:val="18"/>
          <w:szCs w:val="18"/>
          <w:bdr w:val="none" w:sz="0" w:space="0" w:color="auto" w:frame="1"/>
        </w:rPr>
        <w:t xml:space="preserve"> to łączna liczba minut, przez które dana Usługa Microsoft </w:t>
      </w:r>
      <w:proofErr w:type="spellStart"/>
      <w:r w:rsidRPr="00D011AB">
        <w:rPr>
          <w:rFonts w:ascii="Calibri" w:eastAsia="Times New Roman" w:hAnsi="Calibri" w:cs="Calibri"/>
          <w:color w:val="000000"/>
          <w:sz w:val="18"/>
          <w:szCs w:val="18"/>
          <w:bdr w:val="none" w:sz="0" w:space="0" w:color="auto" w:frame="1"/>
        </w:rPr>
        <w:t>Sentinel</w:t>
      </w:r>
      <w:proofErr w:type="spellEnd"/>
      <w:r w:rsidRPr="00D011AB">
        <w:rPr>
          <w:rFonts w:ascii="Calibri" w:eastAsia="Times New Roman" w:hAnsi="Calibri" w:cs="Calibri"/>
          <w:color w:val="000000"/>
          <w:sz w:val="18"/>
          <w:szCs w:val="18"/>
          <w:bdr w:val="none" w:sz="0" w:space="0" w:color="auto" w:frame="1"/>
        </w:rPr>
        <w:t xml:space="preserve"> została wdrożona przez klienta w</w:t>
      </w:r>
      <w:r w:rsidR="00C84B0F">
        <w:rPr>
          <w:rFonts w:ascii="Calibri" w:eastAsia="Times New Roman" w:hAnsi="Calibri" w:cs="Calibri"/>
          <w:color w:val="000000"/>
          <w:sz w:val="18"/>
          <w:szCs w:val="18"/>
          <w:bdr w:val="none" w:sz="0" w:space="0" w:color="auto" w:frame="1"/>
        </w:rPr>
        <w:t> </w:t>
      </w:r>
      <w:r w:rsidRPr="00D011AB">
        <w:rPr>
          <w:rFonts w:ascii="Calibri" w:eastAsia="Times New Roman" w:hAnsi="Calibri" w:cs="Calibri"/>
          <w:color w:val="000000"/>
          <w:sz w:val="18"/>
          <w:szCs w:val="18"/>
          <w:bdr w:val="none" w:sz="0" w:space="0" w:color="auto" w:frame="1"/>
        </w:rPr>
        <w:t xml:space="preserve">ramach subskrypcji Microsoft </w:t>
      </w:r>
      <w:proofErr w:type="spellStart"/>
      <w:r w:rsidRPr="00D011AB">
        <w:rPr>
          <w:rFonts w:ascii="Calibri" w:eastAsia="Times New Roman" w:hAnsi="Calibri" w:cs="Calibri"/>
          <w:color w:val="000000"/>
          <w:sz w:val="18"/>
          <w:szCs w:val="18"/>
          <w:bdr w:val="none" w:sz="0" w:space="0" w:color="auto" w:frame="1"/>
        </w:rPr>
        <w:t>Azure</w:t>
      </w:r>
      <w:proofErr w:type="spellEnd"/>
      <w:r w:rsidRPr="00D011AB">
        <w:rPr>
          <w:rFonts w:ascii="Calibri" w:eastAsia="Times New Roman" w:hAnsi="Calibri" w:cs="Calibri"/>
          <w:color w:val="000000"/>
          <w:sz w:val="18"/>
          <w:szCs w:val="18"/>
          <w:bdr w:val="none" w:sz="0" w:space="0" w:color="auto" w:frame="1"/>
        </w:rPr>
        <w:t xml:space="preserve"> we Właściwym Okresie. </w:t>
      </w:r>
    </w:p>
    <w:p w14:paraId="704F78EC" w14:textId="77777777" w:rsidR="00D066A8" w:rsidRPr="00D011AB" w:rsidRDefault="00D066A8" w:rsidP="00D066A8">
      <w:pPr>
        <w:shd w:val="clear" w:color="auto" w:fill="FFFFFF"/>
        <w:spacing w:after="0" w:line="240" w:lineRule="auto"/>
        <w:rPr>
          <w:rFonts w:ascii="Calibri" w:eastAsia="Times New Roman" w:hAnsi="Calibri" w:cs="Calibri"/>
          <w:color w:val="000000"/>
          <w:sz w:val="18"/>
          <w:szCs w:val="18"/>
        </w:rPr>
      </w:pPr>
      <w:r w:rsidRPr="00D011AB">
        <w:rPr>
          <w:sz w:val="18"/>
        </w:rPr>
        <w:t>„</w:t>
      </w:r>
      <w:r w:rsidRPr="00D011AB">
        <w:rPr>
          <w:rFonts w:ascii="Calibri" w:eastAsia="Times New Roman" w:hAnsi="Calibri" w:cs="Calibri"/>
          <w:b/>
          <w:bCs/>
          <w:color w:val="00188F"/>
          <w:sz w:val="18"/>
          <w:szCs w:val="18"/>
          <w:bdr w:val="none" w:sz="0" w:space="0" w:color="auto" w:frame="1"/>
        </w:rPr>
        <w:t>Przestój</w:t>
      </w:r>
      <w:r w:rsidRPr="00D011AB">
        <w:rPr>
          <w:sz w:val="18"/>
        </w:rPr>
        <w:t>”</w:t>
      </w:r>
      <w:r w:rsidRPr="00D011AB">
        <w:rPr>
          <w:rFonts w:ascii="Calibri" w:eastAsia="Times New Roman" w:hAnsi="Calibri" w:cs="Calibri"/>
          <w:color w:val="000000"/>
          <w:sz w:val="18"/>
          <w:szCs w:val="18"/>
          <w:bdr w:val="none" w:sz="0" w:space="0" w:color="auto" w:frame="1"/>
        </w:rPr>
        <w:t xml:space="preserve"> to łączna liczba minut w ramach Maksymalnej Liczby Dostępnych Minut, podczas których dane w usłudze Microsoft </w:t>
      </w:r>
      <w:proofErr w:type="spellStart"/>
      <w:r w:rsidRPr="00D011AB">
        <w:rPr>
          <w:rFonts w:ascii="Calibri" w:eastAsia="Times New Roman" w:hAnsi="Calibri" w:cs="Calibri"/>
          <w:color w:val="000000"/>
          <w:sz w:val="18"/>
          <w:szCs w:val="18"/>
          <w:bdr w:val="none" w:sz="0" w:space="0" w:color="auto" w:frame="1"/>
        </w:rPr>
        <w:t>Sentinel</w:t>
      </w:r>
      <w:proofErr w:type="spellEnd"/>
      <w:r w:rsidRPr="00D011AB">
        <w:rPr>
          <w:rFonts w:ascii="Calibri" w:eastAsia="Times New Roman" w:hAnsi="Calibri" w:cs="Calibri"/>
          <w:color w:val="000000"/>
          <w:sz w:val="18"/>
          <w:szCs w:val="18"/>
          <w:bdr w:val="none" w:sz="0" w:space="0" w:color="auto" w:frame="1"/>
        </w:rPr>
        <w:t xml:space="preserve"> są niedostępne. Minuta jest uznawana za minutę niedostępności dla danej usługi Microsoft </w:t>
      </w:r>
      <w:proofErr w:type="spellStart"/>
      <w:r w:rsidRPr="00D011AB">
        <w:rPr>
          <w:rFonts w:ascii="Calibri" w:eastAsia="Times New Roman" w:hAnsi="Calibri" w:cs="Calibri"/>
          <w:color w:val="000000"/>
          <w:sz w:val="18"/>
          <w:szCs w:val="18"/>
          <w:bdr w:val="none" w:sz="0" w:space="0" w:color="auto" w:frame="1"/>
        </w:rPr>
        <w:t>Sentinel</w:t>
      </w:r>
      <w:proofErr w:type="spellEnd"/>
      <w:r w:rsidRPr="00D011AB">
        <w:rPr>
          <w:rFonts w:ascii="Calibri" w:eastAsia="Times New Roman" w:hAnsi="Calibri" w:cs="Calibri"/>
          <w:color w:val="000000"/>
          <w:sz w:val="18"/>
          <w:szCs w:val="18"/>
          <w:bdr w:val="none" w:sz="0" w:space="0" w:color="auto" w:frame="1"/>
        </w:rPr>
        <w:t>, jeśli w tym czasie nie ma operacji HTTP zakończonych Kodem Sukcesu.  </w:t>
      </w:r>
    </w:p>
    <w:p w14:paraId="33DEEB26" w14:textId="3E488C20" w:rsidR="00D066A8" w:rsidRPr="00D011AB" w:rsidRDefault="00D066A8" w:rsidP="00C84B0F">
      <w:pPr>
        <w:shd w:val="clear" w:color="auto" w:fill="FFFFFF"/>
        <w:spacing w:after="0" w:line="240" w:lineRule="auto"/>
        <w:rPr>
          <w:rFonts w:ascii="Calibri" w:eastAsia="Times New Roman" w:hAnsi="Calibri" w:cs="Calibri"/>
          <w:color w:val="000000"/>
          <w:sz w:val="18"/>
          <w:szCs w:val="18"/>
        </w:rPr>
      </w:pPr>
      <w:r w:rsidRPr="00D011AB">
        <w:rPr>
          <w:sz w:val="18"/>
        </w:rPr>
        <w:t>„</w:t>
      </w:r>
      <w:r w:rsidRPr="00D011AB">
        <w:rPr>
          <w:rFonts w:ascii="Calibri" w:eastAsia="Times New Roman" w:hAnsi="Calibri" w:cs="Calibri"/>
          <w:b/>
          <w:bCs/>
          <w:color w:val="00188F"/>
          <w:sz w:val="18"/>
          <w:szCs w:val="18"/>
          <w:bdr w:val="none" w:sz="0" w:space="0" w:color="auto" w:frame="1"/>
        </w:rPr>
        <w:t>Procent Dostępności Zapytań</w:t>
      </w:r>
      <w:r w:rsidR="00D011AB" w:rsidRPr="00D011AB">
        <w:rPr>
          <w:sz w:val="18"/>
        </w:rPr>
        <w:t>”</w:t>
      </w:r>
      <w:r w:rsidRPr="00D011AB">
        <w:rPr>
          <w:rFonts w:ascii="Calibri" w:eastAsia="Times New Roman" w:hAnsi="Calibri" w:cs="Calibri"/>
          <w:color w:val="000000"/>
          <w:sz w:val="18"/>
          <w:szCs w:val="18"/>
          <w:bdr w:val="none" w:sz="0" w:space="0" w:color="auto" w:frame="1"/>
        </w:rPr>
        <w:t xml:space="preserve"> dla danej Usługi Microsoft </w:t>
      </w:r>
      <w:proofErr w:type="spellStart"/>
      <w:r w:rsidRPr="00D011AB">
        <w:rPr>
          <w:rFonts w:ascii="Calibri" w:eastAsia="Times New Roman" w:hAnsi="Calibri" w:cs="Calibri"/>
          <w:color w:val="000000"/>
          <w:sz w:val="18"/>
          <w:szCs w:val="18"/>
          <w:bdr w:val="none" w:sz="0" w:space="0" w:color="auto" w:frame="1"/>
        </w:rPr>
        <w:t>Sentinel</w:t>
      </w:r>
      <w:proofErr w:type="spellEnd"/>
      <w:r w:rsidRPr="00D011AB">
        <w:rPr>
          <w:rFonts w:ascii="Calibri" w:eastAsia="Times New Roman" w:hAnsi="Calibri" w:cs="Calibri"/>
          <w:color w:val="000000"/>
          <w:sz w:val="18"/>
          <w:szCs w:val="18"/>
          <w:bdr w:val="none" w:sz="0" w:space="0" w:color="auto" w:frame="1"/>
        </w:rPr>
        <w:t xml:space="preserve"> jest obliczany jako Maksymalna Liczba Dostępnych Minut pomniejszona o</w:t>
      </w:r>
      <w:r w:rsidR="00C84B0F">
        <w:rPr>
          <w:rFonts w:ascii="Calibri" w:eastAsia="Times New Roman" w:hAnsi="Calibri" w:cs="Calibri"/>
          <w:color w:val="000000"/>
          <w:sz w:val="18"/>
          <w:szCs w:val="18"/>
          <w:bdr w:val="none" w:sz="0" w:space="0" w:color="auto" w:frame="1"/>
        </w:rPr>
        <w:t> </w:t>
      </w:r>
      <w:r w:rsidRPr="00D011AB">
        <w:rPr>
          <w:rFonts w:ascii="Calibri" w:eastAsia="Times New Roman" w:hAnsi="Calibri" w:cs="Calibri"/>
          <w:color w:val="000000"/>
          <w:sz w:val="18"/>
          <w:szCs w:val="18"/>
          <w:bdr w:val="none" w:sz="0" w:space="0" w:color="auto" w:frame="1"/>
        </w:rPr>
        <w:t>Przestój podzielona przez Maksymalną Liczbę Dostępnych Minut pomnożoną przez 100. </w:t>
      </w:r>
    </w:p>
    <w:p w14:paraId="11D4D5FC" w14:textId="6E3E332A" w:rsidR="00D066A8" w:rsidRDefault="00D066A8" w:rsidP="00D066A8">
      <w:pPr>
        <w:shd w:val="clear" w:color="auto" w:fill="FFFFFF"/>
        <w:spacing w:after="0" w:line="240" w:lineRule="auto"/>
        <w:rPr>
          <w:rFonts w:ascii="Calibri" w:eastAsia="Times New Roman" w:hAnsi="Calibri" w:cs="Calibri"/>
          <w:color w:val="000000"/>
          <w:sz w:val="18"/>
          <w:szCs w:val="18"/>
          <w:bdr w:val="none" w:sz="0" w:space="0" w:color="auto" w:frame="1"/>
        </w:rPr>
      </w:pPr>
      <w:r w:rsidRPr="00D011AB">
        <w:rPr>
          <w:rFonts w:ascii="Calibri" w:eastAsia="Times New Roman" w:hAnsi="Calibri" w:cs="Calibri"/>
          <w:b/>
          <w:bCs/>
          <w:color w:val="00188F"/>
          <w:sz w:val="18"/>
          <w:szCs w:val="18"/>
          <w:bdr w:val="none" w:sz="0" w:space="0" w:color="auto" w:frame="1"/>
        </w:rPr>
        <w:t>Procent Dostępności Zapytań</w:t>
      </w:r>
      <w:r w:rsidRPr="00D011AB">
        <w:rPr>
          <w:b/>
          <w:color w:val="00188F"/>
          <w:sz w:val="18"/>
          <w:szCs w:val="18"/>
        </w:rPr>
        <w:t>:</w:t>
      </w:r>
      <w:r w:rsidRPr="00D011AB">
        <w:rPr>
          <w:rFonts w:ascii="Calibri" w:eastAsia="Times New Roman" w:hAnsi="Calibri" w:cs="Calibri"/>
          <w:color w:val="000000"/>
          <w:sz w:val="18"/>
          <w:szCs w:val="18"/>
          <w:bdr w:val="none" w:sz="0" w:space="0" w:color="auto" w:frame="1"/>
        </w:rPr>
        <w:t xml:space="preserve"> Procent Dostępności Zapytań jest obliczany przy użyciu następującego wzoru: </w:t>
      </w:r>
    </w:p>
    <w:p w14:paraId="510E63BC" w14:textId="77777777" w:rsidR="003155C2" w:rsidRPr="00D011AB" w:rsidRDefault="003155C2" w:rsidP="00D066A8">
      <w:pPr>
        <w:shd w:val="clear" w:color="auto" w:fill="FFFFFF"/>
        <w:spacing w:after="0" w:line="240" w:lineRule="auto"/>
        <w:rPr>
          <w:rFonts w:ascii="Calibri" w:eastAsia="Times New Roman" w:hAnsi="Calibri" w:cs="Calibri"/>
          <w:color w:val="000000"/>
          <w:sz w:val="18"/>
          <w:szCs w:val="18"/>
        </w:rPr>
      </w:pPr>
    </w:p>
    <w:p w14:paraId="059D190A" w14:textId="77777777" w:rsidR="00D066A8" w:rsidRPr="00E90A02" w:rsidRDefault="00D066A8" w:rsidP="00D066A8">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Środki Serwisowe na Używanie Usług</w:t>
      </w:r>
      <w:r w:rsidRPr="0034704E">
        <w:rPr>
          <w:b/>
          <w:color w:val="00188F"/>
          <w:sz w:val="18"/>
        </w:rPr>
        <w:t>:</w:t>
      </w:r>
      <w:r>
        <w:rPr>
          <w:rFonts w:ascii="Calibri" w:eastAsia="Times New Roman" w:hAnsi="Calibri" w:cs="Calibri"/>
          <w:b/>
          <w:bCs/>
          <w:color w:val="00188F"/>
          <w:sz w:val="18"/>
          <w:szCs w:val="18"/>
          <w:bdr w:val="none" w:sz="0" w:space="0" w:color="auto" w:frame="1"/>
        </w:rPr>
        <w:t> </w:t>
      </w:r>
    </w:p>
    <w:tbl>
      <w:tblPr>
        <w:tblW w:w="5002" w:type="pct"/>
        <w:tblInd w:w="5" w:type="dxa"/>
        <w:shd w:val="clear" w:color="auto" w:fill="FFFFFF"/>
        <w:tblCellMar>
          <w:top w:w="15" w:type="dxa"/>
          <w:left w:w="15" w:type="dxa"/>
          <w:bottom w:w="15" w:type="dxa"/>
          <w:right w:w="15" w:type="dxa"/>
        </w:tblCellMar>
        <w:tblLook w:val="04A0" w:firstRow="1" w:lastRow="0" w:firstColumn="1" w:lastColumn="0" w:noHBand="0" w:noVBand="1"/>
      </w:tblPr>
      <w:tblGrid>
        <w:gridCol w:w="5386"/>
        <w:gridCol w:w="5398"/>
      </w:tblGrid>
      <w:tr w:rsidR="00D066A8" w:rsidRPr="00E90A02" w14:paraId="54045A79" w14:textId="77777777" w:rsidTr="00D9543D">
        <w:trPr>
          <w:trHeight w:val="250"/>
        </w:trPr>
        <w:tc>
          <w:tcPr>
            <w:tcW w:w="2497" w:type="pct"/>
            <w:tcBorders>
              <w:top w:val="single" w:sz="8" w:space="0" w:color="000000"/>
              <w:left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76D63958" w14:textId="633DB6BC" w:rsidR="00D066A8" w:rsidRPr="00E90A02" w:rsidRDefault="00D066A8" w:rsidP="0073773D">
            <w:pPr>
              <w:spacing w:before="20" w:after="20" w:line="240" w:lineRule="auto"/>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 Dostępności Zapytań </w:t>
            </w:r>
          </w:p>
        </w:tc>
        <w:tc>
          <w:tcPr>
            <w:tcW w:w="2503" w:type="pct"/>
            <w:tcBorders>
              <w:top w:val="single" w:sz="8" w:space="0" w:color="000000"/>
              <w:bottom w:val="single" w:sz="8" w:space="0" w:color="000000"/>
              <w:right w:val="single" w:sz="8" w:space="0" w:color="000000"/>
            </w:tcBorders>
            <w:shd w:val="clear" w:color="auto" w:fill="0072C6"/>
            <w:tcMar>
              <w:top w:w="0" w:type="dxa"/>
              <w:left w:w="108" w:type="dxa"/>
              <w:bottom w:w="0" w:type="dxa"/>
              <w:right w:w="108" w:type="dxa"/>
            </w:tcMar>
            <w:hideMark/>
          </w:tcPr>
          <w:p w14:paraId="1362E553" w14:textId="77777777" w:rsidR="00D066A8" w:rsidRPr="00E90A02" w:rsidRDefault="00D066A8" w:rsidP="0073773D">
            <w:pPr>
              <w:spacing w:before="20" w:after="20" w:line="240" w:lineRule="auto"/>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Środki Serwisowe na Używanie Usług </w:t>
            </w:r>
          </w:p>
        </w:tc>
      </w:tr>
      <w:tr w:rsidR="00D066A8" w:rsidRPr="00E90A02" w14:paraId="2A541A90"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60FAC13" w14:textId="77777777" w:rsidR="00D066A8" w:rsidRPr="00E90A02" w:rsidRDefault="00D066A8" w:rsidP="0073773D">
            <w:pPr>
              <w:spacing w:before="20" w:after="2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62491FC1" w14:textId="77777777" w:rsidR="00D066A8" w:rsidRPr="00E90A02" w:rsidRDefault="00D066A8" w:rsidP="0073773D">
            <w:pPr>
              <w:spacing w:before="20" w:after="2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 </w:t>
            </w:r>
          </w:p>
        </w:tc>
      </w:tr>
      <w:tr w:rsidR="00D066A8" w:rsidRPr="00E90A02" w14:paraId="28F9A805" w14:textId="77777777" w:rsidTr="00D9543D">
        <w:trPr>
          <w:trHeight w:val="250"/>
        </w:trPr>
        <w:tc>
          <w:tcPr>
            <w:tcW w:w="2497" w:type="pct"/>
            <w:tcBorders>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78BCBEB" w14:textId="77777777" w:rsidR="00D066A8" w:rsidRPr="00E90A02" w:rsidRDefault="00D066A8" w:rsidP="0073773D">
            <w:pPr>
              <w:spacing w:before="20" w:after="2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 </w:t>
            </w:r>
          </w:p>
        </w:tc>
        <w:tc>
          <w:tcPr>
            <w:tcW w:w="2503" w:type="pct"/>
            <w:tcBorders>
              <w:bottom w:val="single" w:sz="8" w:space="0" w:color="000000"/>
              <w:right w:val="single" w:sz="8" w:space="0" w:color="000000"/>
            </w:tcBorders>
            <w:shd w:val="clear" w:color="auto" w:fill="FFFFFF"/>
            <w:tcMar>
              <w:top w:w="0" w:type="dxa"/>
              <w:left w:w="108" w:type="dxa"/>
              <w:bottom w:w="0" w:type="dxa"/>
              <w:right w:w="108" w:type="dxa"/>
            </w:tcMar>
            <w:hideMark/>
          </w:tcPr>
          <w:p w14:paraId="491AECC2" w14:textId="77777777" w:rsidR="00D066A8" w:rsidRPr="00E90A02" w:rsidRDefault="00D066A8" w:rsidP="0073773D">
            <w:pPr>
              <w:spacing w:before="20" w:after="20" w:line="240" w:lineRule="auto"/>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 </w:t>
            </w:r>
          </w:p>
        </w:tc>
      </w:tr>
    </w:tbl>
    <w:p w14:paraId="661BB657" w14:textId="34785B44" w:rsidR="00D066A8" w:rsidRPr="00EF7CF9" w:rsidRDefault="00C71F89" w:rsidP="00D066A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4451F0F" w14:textId="5CB1FCFB" w:rsidR="00CA66E5" w:rsidRPr="00EF7CF9" w:rsidRDefault="00CA66E5" w:rsidP="00CA66E5">
      <w:pPr>
        <w:pStyle w:val="ProductList-Offering2Heading"/>
        <w:tabs>
          <w:tab w:val="clear" w:pos="360"/>
          <w:tab w:val="clear" w:pos="720"/>
          <w:tab w:val="clear" w:pos="1080"/>
        </w:tabs>
        <w:outlineLvl w:val="2"/>
      </w:pPr>
      <w:bookmarkStart w:id="349" w:name="_Toc239175046"/>
      <w:proofErr w:type="spellStart"/>
      <w:r>
        <w:t>Usługi</w:t>
      </w:r>
      <w:bookmarkStart w:id="350" w:name="ServiceSpecificTerms_Azure_MobileServ"/>
      <w:bookmarkEnd w:id="350"/>
      <w:r>
        <w:t>Mobile</w:t>
      </w:r>
      <w:proofErr w:type="spellEnd"/>
      <w:r>
        <w:t xml:space="preserve"> Services</w:t>
      </w:r>
      <w:bookmarkEnd w:id="346"/>
      <w:bookmarkEnd w:id="347"/>
      <w:bookmarkEnd w:id="349"/>
    </w:p>
    <w:p w14:paraId="4AC57098" w14:textId="77777777" w:rsidR="00CA66E5" w:rsidRPr="00EF7CF9" w:rsidRDefault="00CA66E5" w:rsidP="00CA66E5">
      <w:pPr>
        <w:pStyle w:val="ProductList-Body"/>
      </w:pPr>
      <w:r>
        <w:rPr>
          <w:b/>
          <w:color w:val="00188F"/>
        </w:rPr>
        <w:t>Dodatkowe definicje</w:t>
      </w:r>
      <w:r w:rsidRPr="0034704E">
        <w:rPr>
          <w:b/>
          <w:color w:val="00188F"/>
        </w:rPr>
        <w:t>:</w:t>
      </w:r>
    </w:p>
    <w:p w14:paraId="137D5183" w14:textId="77777777" w:rsidR="00CA66E5" w:rsidRPr="00EF7CF9" w:rsidRDefault="00CA66E5" w:rsidP="00CA66E5">
      <w:pPr>
        <w:pStyle w:val="ProductList-Body"/>
      </w:pPr>
      <w:r>
        <w:t>„</w:t>
      </w:r>
      <w:r>
        <w:rPr>
          <w:b/>
          <w:color w:val="00188F"/>
        </w:rPr>
        <w:t>Transakcje Zakończone Niepowodzeniem</w:t>
      </w:r>
      <w:r>
        <w:t xml:space="preserve">” </w:t>
      </w:r>
      <w:r>
        <w:rPr>
          <w:rFonts w:eastAsia="Times New Roman"/>
        </w:rPr>
        <w:t>to dowolne wywołania interfejsu API w ramach Łącznej Liczby Prób Transakcji, które zwracają Kod Błędu albo nie zwracają Kodu Sukcesu.</w:t>
      </w:r>
      <w:r>
        <w:t xml:space="preserve"> </w:t>
      </w:r>
    </w:p>
    <w:p w14:paraId="49ACBD58" w14:textId="51983A77" w:rsidR="00CA66E5" w:rsidRPr="00EF7CF9" w:rsidRDefault="00CA66E5" w:rsidP="00CA66E5">
      <w:pPr>
        <w:pStyle w:val="ProductList-Body"/>
      </w:pPr>
      <w:r>
        <w:t>„</w:t>
      </w:r>
      <w:r>
        <w:rPr>
          <w:b/>
          <w:color w:val="00188F"/>
        </w:rPr>
        <w:t>Łączna Liczba Prób Transakcji</w:t>
      </w:r>
      <w:r>
        <w:t xml:space="preserve">” to </w:t>
      </w:r>
      <w:r>
        <w:rPr>
          <w:rFonts w:eastAsia="Times New Roman"/>
        </w:rPr>
        <w:t xml:space="preserve">łączna liczba wszystkich </w:t>
      </w:r>
      <w:proofErr w:type="spellStart"/>
      <w:r>
        <w:rPr>
          <w:rFonts w:eastAsia="Times New Roman"/>
        </w:rPr>
        <w:t>wywołań</w:t>
      </w:r>
      <w:proofErr w:type="spellEnd"/>
      <w:r>
        <w:rPr>
          <w:rFonts w:eastAsia="Times New Roman"/>
        </w:rPr>
        <w:t xml:space="preserve"> interfejsu API wykonanych do usług </w:t>
      </w:r>
      <w:proofErr w:type="spellStart"/>
      <w:r>
        <w:rPr>
          <w:rFonts w:eastAsia="Times New Roman"/>
        </w:rPr>
        <w:t>Azure</w:t>
      </w:r>
      <w:proofErr w:type="spellEnd"/>
      <w:r>
        <w:rPr>
          <w:rFonts w:eastAsia="Times New Roman"/>
        </w:rPr>
        <w:t xml:space="preserve"> Mobile Services we Właściwym Okresie dla danej subskrypcji Microsoft </w:t>
      </w:r>
      <w:proofErr w:type="spellStart"/>
      <w:r>
        <w:rPr>
          <w:rFonts w:eastAsia="Times New Roman"/>
        </w:rPr>
        <w:t>Azure</w:t>
      </w:r>
      <w:proofErr w:type="spellEnd"/>
      <w:r>
        <w:rPr>
          <w:rFonts w:eastAsia="Times New Roman"/>
        </w:rPr>
        <w:t xml:space="preserve">, dla której są uruchomione usługi </w:t>
      </w:r>
      <w:proofErr w:type="spellStart"/>
      <w:r>
        <w:rPr>
          <w:rFonts w:eastAsia="Times New Roman"/>
        </w:rPr>
        <w:t>Azure</w:t>
      </w:r>
      <w:proofErr w:type="spellEnd"/>
      <w:r>
        <w:rPr>
          <w:rFonts w:eastAsia="Times New Roman"/>
        </w:rPr>
        <w:t xml:space="preserve"> Mobile Service</w:t>
      </w:r>
      <w:r>
        <w:t>.</w:t>
      </w:r>
    </w:p>
    <w:p w14:paraId="361A6A1C" w14:textId="3C0B06C6" w:rsidR="00CA66E5" w:rsidRPr="00EF7CF9" w:rsidRDefault="00AC48A7" w:rsidP="00CA66E5">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097EAC56" w14:textId="233257F7" w:rsidR="00CA66E5" w:rsidRPr="00EF7CF9" w:rsidRDefault="00000000" w:rsidP="00937681">
      <w:pPr>
        <w:spacing w:before="120" w:after="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5BA61BEF" w14:textId="77777777" w:rsidR="00CA66E5" w:rsidRPr="00EF7CF9" w:rsidRDefault="00CA66E5" w:rsidP="00CA66E5">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A66E5" w:rsidRPr="00B44CF9" w14:paraId="025DE223" w14:textId="77777777" w:rsidTr="00277097">
        <w:trPr>
          <w:tblHeader/>
        </w:trPr>
        <w:tc>
          <w:tcPr>
            <w:tcW w:w="5400" w:type="dxa"/>
            <w:shd w:val="clear" w:color="auto" w:fill="0072C6"/>
          </w:tcPr>
          <w:p w14:paraId="0E8A7E9D" w14:textId="0E0FA4B6" w:rsidR="00CA66E5"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227F7E4" w14:textId="77777777" w:rsidR="00CA66E5" w:rsidRPr="00EF7CF9" w:rsidRDefault="00CA66E5" w:rsidP="000F31B4">
            <w:pPr>
              <w:pStyle w:val="ProductList-OfferingBody"/>
              <w:jc w:val="center"/>
              <w:rPr>
                <w:color w:val="FFFFFF" w:themeColor="background1"/>
              </w:rPr>
            </w:pPr>
            <w:r>
              <w:rPr>
                <w:color w:val="FFFFFF" w:themeColor="background1"/>
              </w:rPr>
              <w:t>Środki Serwisowe na Używanie Usług</w:t>
            </w:r>
          </w:p>
        </w:tc>
      </w:tr>
      <w:tr w:rsidR="00CA66E5" w:rsidRPr="00B44CF9" w14:paraId="7917301A" w14:textId="77777777" w:rsidTr="00277097">
        <w:tc>
          <w:tcPr>
            <w:tcW w:w="5400" w:type="dxa"/>
          </w:tcPr>
          <w:p w14:paraId="66B91960" w14:textId="77777777" w:rsidR="00CA66E5" w:rsidRPr="00EF7CF9" w:rsidRDefault="00CA66E5" w:rsidP="000F31B4">
            <w:pPr>
              <w:pStyle w:val="ProductList-OfferingBody"/>
              <w:jc w:val="center"/>
            </w:pPr>
            <w:r>
              <w:t>&lt; 99,9%</w:t>
            </w:r>
          </w:p>
        </w:tc>
        <w:tc>
          <w:tcPr>
            <w:tcW w:w="5400" w:type="dxa"/>
          </w:tcPr>
          <w:p w14:paraId="660F6EB6" w14:textId="77777777" w:rsidR="00CA66E5" w:rsidRPr="00EF7CF9" w:rsidRDefault="00CA66E5" w:rsidP="000F31B4">
            <w:pPr>
              <w:pStyle w:val="ProductList-OfferingBody"/>
              <w:jc w:val="center"/>
            </w:pPr>
            <w:r>
              <w:t>10%</w:t>
            </w:r>
          </w:p>
        </w:tc>
      </w:tr>
      <w:tr w:rsidR="00CA66E5" w:rsidRPr="00B44CF9" w14:paraId="50C34805" w14:textId="77777777" w:rsidTr="00277097">
        <w:tc>
          <w:tcPr>
            <w:tcW w:w="5400" w:type="dxa"/>
          </w:tcPr>
          <w:p w14:paraId="099D5C8B" w14:textId="77777777" w:rsidR="00CA66E5" w:rsidRPr="00EF7CF9" w:rsidRDefault="00CA66E5" w:rsidP="000F31B4">
            <w:pPr>
              <w:pStyle w:val="ProductList-OfferingBody"/>
              <w:jc w:val="center"/>
            </w:pPr>
            <w:r>
              <w:t>&lt; 99%</w:t>
            </w:r>
          </w:p>
        </w:tc>
        <w:tc>
          <w:tcPr>
            <w:tcW w:w="5400" w:type="dxa"/>
          </w:tcPr>
          <w:p w14:paraId="74F40727" w14:textId="77777777" w:rsidR="00CA66E5" w:rsidRPr="00EF7CF9" w:rsidRDefault="00CA66E5" w:rsidP="000F31B4">
            <w:pPr>
              <w:pStyle w:val="ProductList-OfferingBody"/>
              <w:jc w:val="center"/>
            </w:pPr>
            <w:r>
              <w:t>25%</w:t>
            </w:r>
          </w:p>
        </w:tc>
      </w:tr>
    </w:tbl>
    <w:p w14:paraId="441C7B1D" w14:textId="75EC2089" w:rsidR="00CA66E5" w:rsidRPr="00EF7CF9" w:rsidRDefault="00CA66E5" w:rsidP="00FD155A">
      <w:pPr>
        <w:pStyle w:val="ProductList-Body"/>
        <w:spacing w:before="120"/>
      </w:pPr>
      <w:r>
        <w:rPr>
          <w:b/>
          <w:color w:val="00188F"/>
        </w:rPr>
        <w:t>Wyjątki dotyczące Poziomu Usługi</w:t>
      </w:r>
      <w:r>
        <w:t>. Do używania przez Klienta warstwy Standardowa i Premium usług Mobile Services mają zastosowanie następujące Poziomy Usługi i Środki Serwisowe na Używanie Usług.</w:t>
      </w:r>
    </w:p>
    <w:p w14:paraId="13ABDE61" w14:textId="097DBC57" w:rsidR="00CA66E5" w:rsidRPr="00EF7CF9" w:rsidRDefault="00C71F89" w:rsidP="00CA66E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2F17D0F" w14:textId="08734EED" w:rsidR="004005AF" w:rsidRPr="00EF7CF9" w:rsidRDefault="004005AF" w:rsidP="0005465C">
      <w:pPr>
        <w:pStyle w:val="ProductList-Offering2Heading"/>
        <w:keepNext/>
        <w:tabs>
          <w:tab w:val="clear" w:pos="360"/>
          <w:tab w:val="clear" w:pos="720"/>
          <w:tab w:val="clear" w:pos="1080"/>
        </w:tabs>
        <w:outlineLvl w:val="2"/>
      </w:pPr>
      <w:bookmarkStart w:id="351" w:name="_Toc239175047"/>
      <w:proofErr w:type="spellStart"/>
      <w:r>
        <w:t>Azure</w:t>
      </w:r>
      <w:proofErr w:type="spellEnd"/>
      <w:r>
        <w:t xml:space="preserve"> Monitor</w:t>
      </w:r>
      <w:bookmarkEnd w:id="314"/>
      <w:bookmarkEnd w:id="337"/>
      <w:bookmarkEnd w:id="351"/>
    </w:p>
    <w:p w14:paraId="755788BB" w14:textId="092E983D" w:rsidR="004005AF" w:rsidRPr="004C3ABB" w:rsidRDefault="00EE6E3C" w:rsidP="004005AF">
      <w:pPr>
        <w:pStyle w:val="ProductList-Body"/>
        <w:rPr>
          <w:b/>
          <w:color w:val="00188F"/>
        </w:rPr>
      </w:pPr>
      <w:r>
        <w:rPr>
          <w:b/>
          <w:color w:val="00188F"/>
        </w:rPr>
        <w:t xml:space="preserve">Obliczanie Czasu Sprawnego Działania i Poziomy Usługi dla Alertów </w:t>
      </w:r>
      <w:proofErr w:type="spellStart"/>
      <w:r>
        <w:rPr>
          <w:b/>
          <w:color w:val="00188F"/>
        </w:rPr>
        <w:t>Azure</w:t>
      </w:r>
      <w:proofErr w:type="spellEnd"/>
      <w:r>
        <w:rPr>
          <w:b/>
          <w:color w:val="00188F"/>
        </w:rPr>
        <w:t xml:space="preserve"> Monitor</w:t>
      </w:r>
    </w:p>
    <w:p w14:paraId="3A25576F" w14:textId="77777777" w:rsidR="004005AF" w:rsidRPr="00ED4527" w:rsidRDefault="004005AF" w:rsidP="004005AF">
      <w:pPr>
        <w:pStyle w:val="ProductList-Body"/>
        <w:rPr>
          <w:b/>
          <w:color w:val="00188F"/>
        </w:rPr>
      </w:pPr>
      <w:r>
        <w:rPr>
          <w:b/>
          <w:color w:val="00188F"/>
        </w:rPr>
        <w:t>Dodatkowe definicje:</w:t>
      </w:r>
    </w:p>
    <w:p w14:paraId="45980D93" w14:textId="77777777" w:rsidR="004005AF" w:rsidRPr="00ED4527" w:rsidRDefault="004005AF" w:rsidP="004005AF">
      <w:pPr>
        <w:pStyle w:val="ProductList-Body"/>
        <w:rPr>
          <w:bCs/>
          <w:color w:val="000000" w:themeColor="text1"/>
        </w:rPr>
      </w:pPr>
      <w:r>
        <w:rPr>
          <w:bCs/>
          <w:color w:val="000000" w:themeColor="text1"/>
        </w:rPr>
        <w:t>„</w:t>
      </w:r>
      <w:r>
        <w:rPr>
          <w:b/>
          <w:color w:val="00188F"/>
        </w:rPr>
        <w:t>Reguła Alertów</w:t>
      </w:r>
      <w:r>
        <w:rPr>
          <w:bCs/>
          <w:color w:val="000000" w:themeColor="text1"/>
        </w:rPr>
        <w:t>” to zbiór kryteriów sygnałowych służących do generowania powiadomień za pomocą danych dotyczących monitorowanych zdarzeń dostępnych już do analizy w usłudze Alert.</w:t>
      </w:r>
    </w:p>
    <w:p w14:paraId="754D887B" w14:textId="648144D3" w:rsidR="004005AF" w:rsidRPr="00ED4527" w:rsidRDefault="004005AF" w:rsidP="004005AF">
      <w:pPr>
        <w:pStyle w:val="ProductList-Body"/>
        <w:rPr>
          <w:bCs/>
          <w:color w:val="000000" w:themeColor="text1"/>
        </w:rPr>
      </w:pPr>
      <w:r>
        <w:rPr>
          <w:bCs/>
          <w:color w:val="000000" w:themeColor="text1"/>
        </w:rPr>
        <w:t>„</w:t>
      </w:r>
      <w:r>
        <w:rPr>
          <w:b/>
          <w:color w:val="00188F"/>
        </w:rPr>
        <w:t>Maksymalna Liczba Dostępnych Minut</w:t>
      </w:r>
      <w:r w:rsidR="00D011AB">
        <w:t>”</w:t>
      </w:r>
      <w:r>
        <w:rPr>
          <w:bCs/>
          <w:color w:val="000000" w:themeColor="text1"/>
        </w:rPr>
        <w:t xml:space="preserve"> to łączna liczba minut, przez które Reguła Alertów jest wdrożona przez Klienta we Właściwym Okresie w</w:t>
      </w:r>
      <w:r w:rsidR="00D011AB">
        <w:rPr>
          <w:bCs/>
          <w:color w:val="000000" w:themeColor="text1"/>
        </w:rPr>
        <w:t> </w:t>
      </w:r>
      <w:r>
        <w:rPr>
          <w:bCs/>
          <w:color w:val="000000" w:themeColor="text1"/>
        </w:rPr>
        <w:t xml:space="preserve">ramach danej subskrypcji Microsoft </w:t>
      </w:r>
      <w:proofErr w:type="spellStart"/>
      <w:r>
        <w:rPr>
          <w:bCs/>
          <w:color w:val="000000" w:themeColor="text1"/>
        </w:rPr>
        <w:t>Azure</w:t>
      </w:r>
      <w:proofErr w:type="spellEnd"/>
      <w:r>
        <w:rPr>
          <w:bCs/>
          <w:color w:val="000000" w:themeColor="text1"/>
        </w:rPr>
        <w:t>.</w:t>
      </w:r>
    </w:p>
    <w:p w14:paraId="3A79CCD9" w14:textId="77777777" w:rsidR="004005AF" w:rsidRPr="00ED4527" w:rsidRDefault="004005AF" w:rsidP="004005AF">
      <w:pPr>
        <w:pStyle w:val="ProductList-Body"/>
        <w:rPr>
          <w:bCs/>
          <w:color w:val="000000" w:themeColor="text1"/>
        </w:rPr>
      </w:pPr>
      <w:r>
        <w:rPr>
          <w:bCs/>
          <w:color w:val="000000" w:themeColor="text1"/>
        </w:rPr>
        <w:t>„</w:t>
      </w:r>
      <w:r>
        <w:rPr>
          <w:b/>
          <w:color w:val="00188F"/>
        </w:rPr>
        <w:t>Przestój</w:t>
      </w:r>
      <w:r>
        <w:rPr>
          <w:bCs/>
          <w:color w:val="000000" w:themeColor="text1"/>
        </w:rPr>
        <w:t>” to łączna liczba minut w ramach Maksymalnej Liczby Dostępnych Minut, w czasie których Reguła Alertów jest niedostępna. Minuta jest uznawana za minutę niedostępności dla danej Reguły Alertów, jeśli wszystkie kolejne próby analizy sygnałów telemetrycznych pod kątem zasobów określonych w Regule Alertów w ciągu tej minuty zwracają Kod Błędu albo nie zwracają Kodu Sukcesu w ciągu pięciu minut od planowanego czasu rozpoczęcia stosowania danej Reguły Alertów.</w:t>
      </w:r>
    </w:p>
    <w:p w14:paraId="6DB4658A" w14:textId="1046F669" w:rsidR="004005AF" w:rsidRDefault="004005AF" w:rsidP="004005AF">
      <w:pPr>
        <w:pStyle w:val="ProductList-Body"/>
        <w:rPr>
          <w:bCs/>
          <w:color w:val="000000" w:themeColor="text1"/>
        </w:rPr>
      </w:pPr>
      <w:r w:rsidRPr="00D011AB">
        <w:t>„</w:t>
      </w:r>
      <w:r>
        <w:rPr>
          <w:b/>
          <w:color w:val="00188F"/>
        </w:rPr>
        <w:t>Procent Czasu Sprawnego Działania</w:t>
      </w:r>
      <w:r w:rsidR="00D011AB">
        <w:t>”</w:t>
      </w:r>
      <w:r w:rsidR="00D011AB">
        <w:rPr>
          <w:b/>
          <w:color w:val="00188F"/>
        </w:rPr>
        <w:t xml:space="preserve"> </w:t>
      </w:r>
      <w:r>
        <w:rPr>
          <w:bCs/>
          <w:color w:val="000000" w:themeColor="text1"/>
        </w:rPr>
        <w:t xml:space="preserve">jest obliczany jako Maksymalna Liczba Dostępnych Minut pomniejszona o Przestój podzielona przez Maksymalną Liczbę Dostępnych Minut pomnożona razy 100. </w:t>
      </w:r>
    </w:p>
    <w:p w14:paraId="3CA84EA0" w14:textId="0B513C5E" w:rsidR="004005AF" w:rsidRPr="00ED4527" w:rsidRDefault="00AC48A7" w:rsidP="004005AF">
      <w:pPr>
        <w:pStyle w:val="ProductList-Body"/>
        <w:rPr>
          <w:bCs/>
          <w:color w:val="000000" w:themeColor="text1"/>
        </w:rPr>
      </w:pPr>
      <w:r>
        <w:rPr>
          <w:bCs/>
          <w:color w:val="000000" w:themeColor="text1"/>
        </w:rPr>
        <w:t>Procent Czasu Sprawnego Działania przedstawia się za pomocą następującego wzoru:</w:t>
      </w:r>
    </w:p>
    <w:p w14:paraId="043DA7C9" w14:textId="5D6564C9" w:rsidR="004005AF" w:rsidRPr="00EF7CF9" w:rsidRDefault="00000000" w:rsidP="0093768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C5A6B10" w14:textId="77777777" w:rsidR="004005AF" w:rsidRDefault="004005AF" w:rsidP="004005AF">
      <w:pPr>
        <w:pStyle w:val="ProductList-Body"/>
        <w:keepNext/>
      </w:pPr>
      <w:r>
        <w:rPr>
          <w:b/>
          <w:color w:val="00188F"/>
        </w:rPr>
        <w:t xml:space="preserve">Do używania przez Klienta usługi </w:t>
      </w:r>
      <w:proofErr w:type="spellStart"/>
      <w:r>
        <w:rPr>
          <w:b/>
          <w:color w:val="00188F"/>
        </w:rPr>
        <w:t>Azure</w:t>
      </w:r>
      <w:proofErr w:type="spellEnd"/>
      <w:r>
        <w:rPr>
          <w:b/>
          <w:color w:val="00188F"/>
        </w:rPr>
        <w:t xml:space="preserve"> Monitor Alerts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3E54D533" w14:textId="77777777" w:rsidTr="00277097">
        <w:trPr>
          <w:trHeight w:val="249"/>
          <w:tblHeader/>
        </w:trPr>
        <w:tc>
          <w:tcPr>
            <w:tcW w:w="5400" w:type="dxa"/>
            <w:shd w:val="clear" w:color="auto" w:fill="0072C6"/>
          </w:tcPr>
          <w:p w14:paraId="43CA229F" w14:textId="46858630"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C9F177C"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47AAD3A7" w14:textId="77777777" w:rsidTr="00277097">
        <w:trPr>
          <w:trHeight w:val="242"/>
        </w:trPr>
        <w:tc>
          <w:tcPr>
            <w:tcW w:w="5400" w:type="dxa"/>
          </w:tcPr>
          <w:p w14:paraId="5783E79B" w14:textId="77777777" w:rsidR="004005AF" w:rsidRPr="0076238C" w:rsidRDefault="004005AF" w:rsidP="000F31B4">
            <w:pPr>
              <w:pStyle w:val="ProductList-OfferingBody"/>
              <w:jc w:val="center"/>
            </w:pPr>
            <w:r>
              <w:t>&lt; 99,9%</w:t>
            </w:r>
          </w:p>
        </w:tc>
        <w:tc>
          <w:tcPr>
            <w:tcW w:w="5400" w:type="dxa"/>
          </w:tcPr>
          <w:p w14:paraId="7A591C97" w14:textId="77777777" w:rsidR="004005AF" w:rsidRPr="0076238C" w:rsidRDefault="004005AF" w:rsidP="000F31B4">
            <w:pPr>
              <w:pStyle w:val="ProductList-OfferingBody"/>
              <w:jc w:val="center"/>
            </w:pPr>
            <w:r>
              <w:t>10%</w:t>
            </w:r>
          </w:p>
        </w:tc>
      </w:tr>
      <w:tr w:rsidR="004005AF" w:rsidRPr="00B44CF9" w14:paraId="7495F0C6" w14:textId="77777777" w:rsidTr="00277097">
        <w:trPr>
          <w:trHeight w:val="249"/>
        </w:trPr>
        <w:tc>
          <w:tcPr>
            <w:tcW w:w="5400" w:type="dxa"/>
          </w:tcPr>
          <w:p w14:paraId="7F867ED0" w14:textId="77777777" w:rsidR="004005AF" w:rsidRPr="0076238C" w:rsidRDefault="004005AF" w:rsidP="000F31B4">
            <w:pPr>
              <w:pStyle w:val="ProductList-OfferingBody"/>
              <w:jc w:val="center"/>
            </w:pPr>
            <w:r>
              <w:t>&lt; 99%</w:t>
            </w:r>
          </w:p>
        </w:tc>
        <w:tc>
          <w:tcPr>
            <w:tcW w:w="5400" w:type="dxa"/>
          </w:tcPr>
          <w:p w14:paraId="65BBE6E6" w14:textId="77777777" w:rsidR="004005AF" w:rsidRPr="0076238C" w:rsidRDefault="004005AF" w:rsidP="000F31B4">
            <w:pPr>
              <w:pStyle w:val="ProductList-OfferingBody"/>
              <w:jc w:val="center"/>
            </w:pPr>
            <w:r>
              <w:t>25%</w:t>
            </w:r>
          </w:p>
        </w:tc>
      </w:tr>
    </w:tbl>
    <w:p w14:paraId="0D0EEF5C" w14:textId="0B79C771" w:rsidR="004005AF" w:rsidRPr="00CA08CF" w:rsidRDefault="00EE6E3C" w:rsidP="00FD155A">
      <w:pPr>
        <w:pStyle w:val="ProductList-Body"/>
        <w:spacing w:before="120"/>
        <w:rPr>
          <w:b/>
          <w:color w:val="00188F"/>
        </w:rPr>
      </w:pPr>
      <w:r>
        <w:rPr>
          <w:b/>
          <w:color w:val="00188F"/>
        </w:rPr>
        <w:t xml:space="preserve">Obliczanie Czasu Sprawnego Działania i Poziomy Usługi dla Usługi </w:t>
      </w:r>
      <w:proofErr w:type="spellStart"/>
      <w:r>
        <w:rPr>
          <w:b/>
          <w:color w:val="00188F"/>
        </w:rPr>
        <w:t>Azure</w:t>
      </w:r>
      <w:proofErr w:type="spellEnd"/>
      <w:r>
        <w:rPr>
          <w:b/>
          <w:color w:val="00188F"/>
        </w:rPr>
        <w:t xml:space="preserve"> Monitor Notification Delivery</w:t>
      </w:r>
    </w:p>
    <w:p w14:paraId="1101548C" w14:textId="77777777" w:rsidR="004005AF" w:rsidRPr="00EF7CF9" w:rsidRDefault="004005AF" w:rsidP="004005AF">
      <w:pPr>
        <w:pStyle w:val="ProductList-Body"/>
      </w:pPr>
      <w:r>
        <w:rPr>
          <w:b/>
          <w:color w:val="00188F"/>
        </w:rPr>
        <w:t>Dodatkowe definicje</w:t>
      </w:r>
      <w:r w:rsidRPr="0034704E">
        <w:rPr>
          <w:b/>
          <w:color w:val="00188F"/>
        </w:rPr>
        <w:t>:</w:t>
      </w:r>
    </w:p>
    <w:p w14:paraId="7B153434" w14:textId="77777777" w:rsidR="004005AF" w:rsidRPr="00EF7CF9" w:rsidRDefault="004005AF" w:rsidP="004005AF">
      <w:pPr>
        <w:pStyle w:val="ProductList-Body"/>
      </w:pPr>
      <w:r>
        <w:t>„</w:t>
      </w:r>
      <w:r>
        <w:rPr>
          <w:b/>
          <w:color w:val="00188F"/>
        </w:rPr>
        <w:t>Grupa Akcji</w:t>
      </w:r>
      <w:r>
        <w:t>” to zbiór akcji, który definiuje preferowane metody przesyłania powiadomień.</w:t>
      </w:r>
    </w:p>
    <w:p w14:paraId="7780BBAE" w14:textId="59E4F205" w:rsidR="004005AF" w:rsidRPr="00EF7CF9" w:rsidRDefault="004005AF" w:rsidP="004005AF">
      <w:pPr>
        <w:pStyle w:val="ProductList-Body"/>
      </w:pPr>
      <w:r>
        <w:t>„</w:t>
      </w:r>
      <w:r>
        <w:rPr>
          <w:b/>
          <w:color w:val="00188F"/>
        </w:rPr>
        <w:t>Maksymalna Liczba Dostępnych Minut</w:t>
      </w:r>
      <w:r>
        <w:t xml:space="preserve">” to suma wszystkich Minut Wdrożenia, przez które Grupy Akcji są wdrożone przez Klienta w ramach danej subskrypcji Microsoft </w:t>
      </w:r>
      <w:proofErr w:type="spellStart"/>
      <w:r>
        <w:t>Azure</w:t>
      </w:r>
      <w:proofErr w:type="spellEnd"/>
      <w:r>
        <w:t xml:space="preserve"> we Właściwym Okresie.</w:t>
      </w:r>
    </w:p>
    <w:p w14:paraId="20ACE7BE" w14:textId="1E28BE3A" w:rsidR="004005AF" w:rsidRPr="00EF7CF9" w:rsidRDefault="004005AF" w:rsidP="004005AF">
      <w:pPr>
        <w:pStyle w:val="ProductList-Body"/>
      </w:pPr>
      <w:r>
        <w:rPr>
          <w:b/>
          <w:color w:val="00188F"/>
        </w:rPr>
        <w:t>Przestój</w:t>
      </w:r>
      <w:r w:rsidRPr="0034704E">
        <w:rPr>
          <w:b/>
          <w:color w:val="00188F"/>
        </w:rPr>
        <w:t>:</w:t>
      </w:r>
      <w:r>
        <w:t xml:space="preserve"> to łączna liczba minut w ramach Maksymalnej Liczby Dostępnych Minut, w czasie których Grupa Akcji jest niedostępna. Minuta jest uznawana za minutę niedostępności dla danej Grupy Akcji, jeśli wszystkie nieprzerwane próby wysłania alertów lub wykonania operacji zarządzania rejestracją w odniesieniu do Grupy Akcji w ciągu tej minuty albo zwracają Kod Błędu, albo nie zwracają Kodu Sukcesu przed upływem pięciu minut.</w:t>
      </w:r>
    </w:p>
    <w:p w14:paraId="24431C4C" w14:textId="21298850" w:rsidR="004005AF" w:rsidRPr="00963F40" w:rsidRDefault="00AC48A7" w:rsidP="004005AF">
      <w:pPr>
        <w:spacing w:after="0"/>
        <w:rPr>
          <w:sz w:val="18"/>
          <w:szCs w:val="18"/>
        </w:rPr>
      </w:pPr>
      <w:r>
        <w:rPr>
          <w:b/>
          <w:color w:val="00188F"/>
          <w:sz w:val="18"/>
        </w:rPr>
        <w:t>Procent Czasu Sprawnego Działania</w:t>
      </w:r>
      <w:r w:rsidRPr="0034704E">
        <w:rPr>
          <w:b/>
          <w:color w:val="00188F"/>
          <w:sz w:val="18"/>
        </w:rPr>
        <w:t>:</w:t>
      </w:r>
      <w:r>
        <w:rPr>
          <w:b/>
          <w:color w:val="00188F"/>
          <w:sz w:val="18"/>
        </w:rPr>
        <w:t xml:space="preserve"> </w:t>
      </w:r>
      <w:r>
        <w:rPr>
          <w:sz w:val="18"/>
          <w:szCs w:val="18"/>
        </w:rPr>
        <w:t xml:space="preserve">To Maksymalna Liczba Dostępnych Minut pomniejszona o Przestój podzielona przez Maksymalną Liczbę Dostępnych Minut we Właściwym Okresie dla danej subskrypcji Microsoft </w:t>
      </w:r>
      <w:proofErr w:type="spellStart"/>
      <w:r>
        <w:rPr>
          <w:sz w:val="18"/>
          <w:szCs w:val="18"/>
        </w:rPr>
        <w:t>Azure</w:t>
      </w:r>
      <w:proofErr w:type="spellEnd"/>
      <w:r>
        <w:rPr>
          <w:sz w:val="18"/>
          <w:szCs w:val="18"/>
        </w:rPr>
        <w:t xml:space="preserve">. </w:t>
      </w:r>
    </w:p>
    <w:p w14:paraId="3DA152E5" w14:textId="515F2367" w:rsidR="004005AF" w:rsidRPr="00963F40" w:rsidRDefault="00AC48A7" w:rsidP="004005AF">
      <w:pPr>
        <w:spacing w:after="0"/>
        <w:rPr>
          <w:sz w:val="18"/>
          <w:szCs w:val="18"/>
        </w:rPr>
      </w:pPr>
      <w:r>
        <w:rPr>
          <w:sz w:val="18"/>
          <w:szCs w:val="18"/>
        </w:rPr>
        <w:t>Procent Czasu Sprawnego Działania przedstawia się za pomocą następującego wzoru:</w:t>
      </w:r>
    </w:p>
    <w:p w14:paraId="276CBE14" w14:textId="15D86CDB" w:rsidR="004005AF" w:rsidRPr="00EF7CF9" w:rsidRDefault="00000000" w:rsidP="0093768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1C4D5D1" w14:textId="68ED520C" w:rsidR="004005AF" w:rsidRDefault="004005AF" w:rsidP="004005AF">
      <w:pPr>
        <w:pStyle w:val="ProductList-Body"/>
      </w:pPr>
      <w:r>
        <w:rPr>
          <w:b/>
          <w:color w:val="00188F"/>
        </w:rPr>
        <w:t>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0B9CD5FD" w14:textId="77777777" w:rsidTr="00277097">
        <w:trPr>
          <w:trHeight w:val="249"/>
          <w:tblHeader/>
        </w:trPr>
        <w:tc>
          <w:tcPr>
            <w:tcW w:w="5400" w:type="dxa"/>
            <w:shd w:val="clear" w:color="auto" w:fill="0072C6"/>
          </w:tcPr>
          <w:p w14:paraId="474B7084" w14:textId="49DE050D" w:rsidR="004005A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4285DA2" w14:textId="77777777" w:rsidR="004005AF" w:rsidRPr="001A0074"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2C4CAEBB" w14:textId="77777777" w:rsidTr="00277097">
        <w:trPr>
          <w:trHeight w:val="242"/>
        </w:trPr>
        <w:tc>
          <w:tcPr>
            <w:tcW w:w="5400" w:type="dxa"/>
          </w:tcPr>
          <w:p w14:paraId="1AC9FEFD" w14:textId="77777777" w:rsidR="004005AF" w:rsidRPr="0076238C" w:rsidRDefault="004005AF" w:rsidP="000F31B4">
            <w:pPr>
              <w:pStyle w:val="ProductList-OfferingBody"/>
              <w:jc w:val="center"/>
            </w:pPr>
            <w:r>
              <w:t>&lt; 99,9%</w:t>
            </w:r>
          </w:p>
        </w:tc>
        <w:tc>
          <w:tcPr>
            <w:tcW w:w="5400" w:type="dxa"/>
          </w:tcPr>
          <w:p w14:paraId="5247EC9A" w14:textId="77777777" w:rsidR="004005AF" w:rsidRPr="0076238C" w:rsidRDefault="004005AF" w:rsidP="000F31B4">
            <w:pPr>
              <w:pStyle w:val="ProductList-OfferingBody"/>
              <w:jc w:val="center"/>
            </w:pPr>
            <w:r>
              <w:t>10%</w:t>
            </w:r>
          </w:p>
        </w:tc>
      </w:tr>
      <w:tr w:rsidR="004005AF" w:rsidRPr="00B44CF9" w14:paraId="4EA941E8" w14:textId="77777777" w:rsidTr="00277097">
        <w:trPr>
          <w:trHeight w:val="249"/>
        </w:trPr>
        <w:tc>
          <w:tcPr>
            <w:tcW w:w="5400" w:type="dxa"/>
          </w:tcPr>
          <w:p w14:paraId="14D80D29" w14:textId="77777777" w:rsidR="004005AF" w:rsidRPr="0076238C" w:rsidRDefault="004005AF" w:rsidP="000F31B4">
            <w:pPr>
              <w:pStyle w:val="ProductList-OfferingBody"/>
              <w:jc w:val="center"/>
            </w:pPr>
            <w:r>
              <w:t>&lt; 99%</w:t>
            </w:r>
          </w:p>
        </w:tc>
        <w:tc>
          <w:tcPr>
            <w:tcW w:w="5400" w:type="dxa"/>
          </w:tcPr>
          <w:p w14:paraId="3F7D8D79" w14:textId="77777777" w:rsidR="004005AF" w:rsidRPr="0076238C" w:rsidRDefault="004005AF" w:rsidP="000F31B4">
            <w:pPr>
              <w:pStyle w:val="ProductList-OfferingBody"/>
              <w:jc w:val="center"/>
            </w:pPr>
            <w:r>
              <w:t>25%</w:t>
            </w:r>
          </w:p>
        </w:tc>
      </w:tr>
    </w:tbl>
    <w:p w14:paraId="46FFFFE9" w14:textId="77777777" w:rsidR="004005AF" w:rsidRDefault="004005AF" w:rsidP="002135C7">
      <w:pPr>
        <w:pStyle w:val="ProductList-Body"/>
        <w:spacing w:before="120"/>
        <w:rPr>
          <w:i/>
          <w:szCs w:val="18"/>
        </w:rPr>
      </w:pPr>
      <w:r>
        <w:rPr>
          <w:i/>
          <w:szCs w:val="18"/>
        </w:rPr>
        <w:t xml:space="preserve">Odnosi się także do Usług Log Analytics i Application </w:t>
      </w:r>
      <w:proofErr w:type="spellStart"/>
      <w:r>
        <w:rPr>
          <w:i/>
          <w:szCs w:val="18"/>
        </w:rPr>
        <w:t>Insights</w:t>
      </w:r>
      <w:proofErr w:type="spellEnd"/>
      <w:r>
        <w:rPr>
          <w:i/>
          <w:szCs w:val="18"/>
        </w:rPr>
        <w:t>.</w:t>
      </w:r>
    </w:p>
    <w:p w14:paraId="76B4D008" w14:textId="77777777" w:rsidR="00FC0D6C" w:rsidRPr="00A63FB5" w:rsidRDefault="00FC0D6C" w:rsidP="00FC0D6C">
      <w:pPr>
        <w:spacing w:after="0" w:line="240" w:lineRule="auto"/>
        <w:rPr>
          <w:rFonts w:cstheme="minorHAnsi"/>
          <w:b/>
          <w:color w:val="00188F"/>
          <w:sz w:val="18"/>
        </w:rPr>
      </w:pPr>
      <w:r w:rsidRPr="00A63FB5">
        <w:rPr>
          <w:rFonts w:cstheme="minorHAnsi"/>
          <w:b/>
          <w:color w:val="00188F"/>
          <w:sz w:val="18"/>
        </w:rPr>
        <w:t xml:space="preserve">Obliczanie Czasu Sprawnego Działania w Miesiącu i Poziomy Usługi dla usługi zarządzanej usługi </w:t>
      </w:r>
      <w:proofErr w:type="spellStart"/>
      <w:r w:rsidRPr="00A63FB5">
        <w:rPr>
          <w:rFonts w:cstheme="minorHAnsi"/>
          <w:b/>
          <w:color w:val="00188F"/>
          <w:sz w:val="18"/>
        </w:rPr>
        <w:t>Azure</w:t>
      </w:r>
      <w:proofErr w:type="spellEnd"/>
      <w:r w:rsidRPr="00A63FB5">
        <w:rPr>
          <w:rFonts w:cstheme="minorHAnsi"/>
          <w:b/>
          <w:color w:val="00188F"/>
          <w:sz w:val="18"/>
        </w:rPr>
        <w:t xml:space="preserve"> Monitor dla rozwiązania </w:t>
      </w:r>
      <w:proofErr w:type="spellStart"/>
      <w:r w:rsidRPr="00A63FB5">
        <w:rPr>
          <w:rFonts w:cstheme="minorHAnsi"/>
          <w:b/>
          <w:color w:val="00188F"/>
          <w:sz w:val="18"/>
        </w:rPr>
        <w:t>Prometheus</w:t>
      </w:r>
      <w:proofErr w:type="spellEnd"/>
    </w:p>
    <w:p w14:paraId="69507D93" w14:textId="77777777" w:rsidR="00FC0D6C" w:rsidRPr="00A63FB5" w:rsidRDefault="00FC0D6C" w:rsidP="00FC0D6C">
      <w:pPr>
        <w:spacing w:after="0" w:line="240" w:lineRule="auto"/>
        <w:rPr>
          <w:rFonts w:cstheme="minorHAnsi"/>
          <w:b/>
          <w:color w:val="00188F"/>
          <w:sz w:val="18"/>
        </w:rPr>
      </w:pPr>
      <w:r w:rsidRPr="00A63FB5">
        <w:rPr>
          <w:rFonts w:cstheme="minorHAnsi"/>
          <w:b/>
          <w:color w:val="00188F"/>
          <w:sz w:val="18"/>
        </w:rPr>
        <w:t>Dodatkowe definicje:</w:t>
      </w:r>
    </w:p>
    <w:p w14:paraId="4FEE6F08" w14:textId="77777777" w:rsidR="00FC0D6C" w:rsidRPr="00A63FB5" w:rsidRDefault="00FC0D6C" w:rsidP="00FC0D6C">
      <w:pPr>
        <w:spacing w:after="0" w:line="240" w:lineRule="auto"/>
        <w:rPr>
          <w:rFonts w:cstheme="minorHAnsi"/>
        </w:rPr>
      </w:pPr>
      <w:r w:rsidRPr="00A63FB5">
        <w:rPr>
          <w:rFonts w:cstheme="minorHAnsi"/>
          <w:b/>
          <w:color w:val="00188F"/>
          <w:sz w:val="18"/>
        </w:rPr>
        <w:t>„Maksymalna Liczba Dostępnych Minut”</w:t>
      </w:r>
      <w:r w:rsidRPr="00A63FB5">
        <w:rPr>
          <w:rFonts w:cstheme="minorHAnsi"/>
        </w:rPr>
        <w:t xml:space="preserve"> </w:t>
      </w:r>
      <w:r w:rsidRPr="00A63FB5">
        <w:rPr>
          <w:rFonts w:cstheme="minorHAnsi"/>
          <w:sz w:val="18"/>
        </w:rPr>
        <w:t xml:space="preserve">to łączna liczba minut przez którą dany obszar roboczy usługi </w:t>
      </w:r>
      <w:proofErr w:type="spellStart"/>
      <w:r w:rsidRPr="00A63FB5">
        <w:rPr>
          <w:rFonts w:cstheme="minorHAnsi"/>
          <w:sz w:val="18"/>
        </w:rPr>
        <w:t>Azure</w:t>
      </w:r>
      <w:proofErr w:type="spellEnd"/>
      <w:r w:rsidRPr="00A63FB5">
        <w:rPr>
          <w:rFonts w:cstheme="minorHAnsi"/>
          <w:sz w:val="18"/>
        </w:rPr>
        <w:t xml:space="preserve"> Monitor był wdrożony przez Klienta w trakcie miesiąca rozliczeniowego w ramach danej subskrypcji Microsoft </w:t>
      </w:r>
      <w:proofErr w:type="spellStart"/>
      <w:r w:rsidRPr="00A63FB5">
        <w:rPr>
          <w:rFonts w:cstheme="minorHAnsi"/>
          <w:sz w:val="18"/>
        </w:rPr>
        <w:t>Azure</w:t>
      </w:r>
      <w:proofErr w:type="spellEnd"/>
      <w:r w:rsidRPr="00A63FB5">
        <w:rPr>
          <w:rFonts w:cstheme="minorHAnsi"/>
          <w:sz w:val="18"/>
        </w:rPr>
        <w:t>.</w:t>
      </w:r>
    </w:p>
    <w:p w14:paraId="09265EB3" w14:textId="77777777" w:rsidR="00FC0D6C" w:rsidRPr="00A63FB5" w:rsidRDefault="00FC0D6C" w:rsidP="00FC0D6C">
      <w:pPr>
        <w:spacing w:after="0" w:line="240" w:lineRule="auto"/>
        <w:rPr>
          <w:rFonts w:cstheme="minorHAnsi"/>
          <w:sz w:val="18"/>
        </w:rPr>
      </w:pPr>
      <w:r w:rsidRPr="00A63FB5">
        <w:rPr>
          <w:rFonts w:cstheme="minorHAnsi"/>
          <w:b/>
          <w:color w:val="00188F"/>
          <w:sz w:val="18"/>
        </w:rPr>
        <w:t>Przestój:</w:t>
      </w:r>
      <w:r w:rsidRPr="00A63FB5">
        <w:rPr>
          <w:rFonts w:cstheme="minorHAnsi"/>
        </w:rPr>
        <w:t xml:space="preserve"> </w:t>
      </w:r>
      <w:r w:rsidRPr="00A63FB5">
        <w:rPr>
          <w:rFonts w:cstheme="minorHAnsi"/>
          <w:sz w:val="18"/>
        </w:rPr>
        <w:t xml:space="preserve">to łączna liczba minut w ramach Maksymalnej Liczby Dostępnych Minut, podczas których dane w obszarze roboczym usługi </w:t>
      </w:r>
      <w:proofErr w:type="spellStart"/>
      <w:r w:rsidRPr="00A63FB5">
        <w:rPr>
          <w:rFonts w:cstheme="minorHAnsi"/>
          <w:sz w:val="18"/>
        </w:rPr>
        <w:t>Azure</w:t>
      </w:r>
      <w:proofErr w:type="spellEnd"/>
      <w:r w:rsidRPr="00A63FB5">
        <w:rPr>
          <w:rFonts w:cstheme="minorHAnsi"/>
          <w:sz w:val="18"/>
        </w:rPr>
        <w:t xml:space="preserve"> Monitor są niedostępne. Minuta jest uznawana za minutę niedostępności dla danego obszaru roboczego usługi </w:t>
      </w:r>
      <w:proofErr w:type="spellStart"/>
      <w:r w:rsidRPr="00A63FB5">
        <w:rPr>
          <w:rFonts w:cstheme="minorHAnsi"/>
          <w:sz w:val="18"/>
        </w:rPr>
        <w:t>Azure</w:t>
      </w:r>
      <w:proofErr w:type="spellEnd"/>
      <w:r w:rsidRPr="00A63FB5">
        <w:rPr>
          <w:rFonts w:cstheme="minorHAnsi"/>
          <w:sz w:val="18"/>
        </w:rPr>
        <w:t xml:space="preserve"> Monitor, jeśli wszystkie kolejne próby uzyskania danych metryk z rozwiązania </w:t>
      </w:r>
      <w:proofErr w:type="spellStart"/>
      <w:r w:rsidRPr="00A63FB5">
        <w:rPr>
          <w:rFonts w:cstheme="minorHAnsi"/>
          <w:sz w:val="18"/>
        </w:rPr>
        <w:t>Prometheus</w:t>
      </w:r>
      <w:proofErr w:type="spellEnd"/>
      <w:r w:rsidRPr="00A63FB5">
        <w:rPr>
          <w:rFonts w:cstheme="minorHAnsi"/>
          <w:sz w:val="18"/>
        </w:rPr>
        <w:t xml:space="preserve"> w ciągu tej minuty zwracają Kod Błędu albo nie zwracają żadnego kodu HTTP przed upływem 60 sekund.</w:t>
      </w:r>
    </w:p>
    <w:p w14:paraId="200BB5DF" w14:textId="77777777" w:rsidR="00FC0D6C" w:rsidRPr="00A63FB5" w:rsidRDefault="00FC0D6C" w:rsidP="00FC0D6C">
      <w:pPr>
        <w:spacing w:after="0" w:line="240" w:lineRule="auto"/>
        <w:rPr>
          <w:rFonts w:cstheme="minorHAnsi"/>
          <w:sz w:val="18"/>
        </w:rPr>
      </w:pPr>
      <w:r w:rsidRPr="00A63FB5">
        <w:rPr>
          <w:rFonts w:cstheme="minorHAnsi"/>
          <w:b/>
          <w:color w:val="00188F"/>
          <w:sz w:val="18"/>
        </w:rPr>
        <w:t>Procent Czasu Dostępności Zapytań w Miesiącu:</w:t>
      </w:r>
      <w:r w:rsidRPr="00A63FB5">
        <w:rPr>
          <w:rFonts w:cstheme="minorHAnsi"/>
        </w:rPr>
        <w:t xml:space="preserve"> </w:t>
      </w:r>
      <w:r w:rsidRPr="00A63FB5">
        <w:rPr>
          <w:rFonts w:cstheme="minorHAnsi"/>
          <w:sz w:val="18"/>
        </w:rPr>
        <w:t xml:space="preserve">dla danego obszaru roboczego usługi </w:t>
      </w:r>
      <w:proofErr w:type="spellStart"/>
      <w:r w:rsidRPr="00A63FB5">
        <w:rPr>
          <w:rFonts w:cstheme="minorHAnsi"/>
          <w:sz w:val="18"/>
        </w:rPr>
        <w:t>Azure</w:t>
      </w:r>
      <w:proofErr w:type="spellEnd"/>
      <w:r w:rsidRPr="00A63FB5">
        <w:rPr>
          <w:rFonts w:cstheme="minorHAnsi"/>
          <w:sz w:val="18"/>
        </w:rPr>
        <w:t xml:space="preserve"> Monitor to Maksymalna Liczba Dostępnych Minut pomniejszona o Przestój, podzielona przez Maksymalną Liczbę Dostępnych Minut i pomnożona przez 100.</w:t>
      </w:r>
    </w:p>
    <w:p w14:paraId="2EFAEF7E" w14:textId="77777777" w:rsidR="00FC0D6C" w:rsidRPr="00A63FB5" w:rsidRDefault="00FC0D6C" w:rsidP="00FC0D6C">
      <w:pPr>
        <w:spacing w:after="0" w:line="240" w:lineRule="auto"/>
        <w:rPr>
          <w:rFonts w:cstheme="minorHAnsi"/>
          <w:sz w:val="18"/>
        </w:rPr>
      </w:pPr>
      <w:r w:rsidRPr="00A63FB5">
        <w:rPr>
          <w:rFonts w:cstheme="minorHAnsi"/>
          <w:sz w:val="18"/>
        </w:rPr>
        <w:t>Procent Czasu Dostępności Zapytań w Miesiącu oblicza się według poniższego wzoru:</w:t>
      </w:r>
    </w:p>
    <w:p w14:paraId="2172F3E2" w14:textId="77777777" w:rsidR="00FC0D6C" w:rsidRDefault="00000000" w:rsidP="00937681">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Minut Dostępności</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202E3AA" w14:textId="77777777" w:rsidR="00FC0D6C" w:rsidRPr="00A63FB5" w:rsidRDefault="00FC0D6C" w:rsidP="00FC0D6C">
      <w:pPr>
        <w:pStyle w:val="ProductList-Body"/>
        <w:rPr>
          <w:rFonts w:cstheme="minorHAnsi"/>
        </w:rPr>
      </w:pPr>
      <w:r w:rsidRPr="00A63FB5">
        <w:rPr>
          <w:rFonts w:cstheme="minorHAnsi"/>
          <w:b/>
          <w:color w:val="00188F"/>
        </w:rPr>
        <w:t>Poziomy Usług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0D6C" w14:paraId="03897481" w14:textId="77777777" w:rsidTr="00EA2F1A">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3E4E44C" w14:textId="77777777" w:rsidR="00FC0D6C" w:rsidRPr="00A63FB5" w:rsidRDefault="00FC0D6C" w:rsidP="00EA2F1A">
            <w:pPr>
              <w:pStyle w:val="ProductList-OfferingBody"/>
              <w:spacing w:line="254" w:lineRule="auto"/>
              <w:jc w:val="center"/>
              <w:rPr>
                <w:rFonts w:cstheme="minorHAnsi"/>
                <w:color w:val="FFFFFF" w:themeColor="background1"/>
              </w:rPr>
            </w:pPr>
            <w:r w:rsidRPr="00A63FB5">
              <w:rPr>
                <w:rFonts w:cstheme="minorHAnsi"/>
                <w:color w:val="FFFFFF" w:themeColor="background1"/>
              </w:rPr>
              <w:t>Procent Czasu Sprawnego Działania w Miesiącu</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F1714E6" w14:textId="77777777" w:rsidR="00FC0D6C" w:rsidRPr="00A63FB5" w:rsidRDefault="00FC0D6C" w:rsidP="00EA2F1A">
            <w:pPr>
              <w:pStyle w:val="ProductList-OfferingBody"/>
              <w:spacing w:line="254" w:lineRule="auto"/>
              <w:jc w:val="center"/>
              <w:rPr>
                <w:rFonts w:cstheme="minorHAnsi"/>
                <w:color w:val="FFFFFF" w:themeColor="background1"/>
              </w:rPr>
            </w:pPr>
            <w:r w:rsidRPr="00A63FB5">
              <w:rPr>
                <w:rFonts w:cstheme="minorHAnsi"/>
                <w:color w:val="FFFFFF" w:themeColor="background1"/>
              </w:rPr>
              <w:t>Środki Serwisowe na Używanie Usług</w:t>
            </w:r>
          </w:p>
        </w:tc>
      </w:tr>
      <w:tr w:rsidR="00FC0D6C" w14:paraId="1AF58590" w14:textId="77777777" w:rsidTr="00EA2F1A">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472E23" w14:textId="77777777" w:rsidR="00FC0D6C" w:rsidRPr="00A63FB5" w:rsidRDefault="00FC0D6C" w:rsidP="00EA2F1A">
            <w:pPr>
              <w:pStyle w:val="ProductList-OfferingBody"/>
              <w:spacing w:line="254" w:lineRule="auto"/>
              <w:jc w:val="center"/>
              <w:rPr>
                <w:rFonts w:cstheme="minorHAnsi"/>
              </w:rPr>
            </w:pPr>
            <w:r w:rsidRPr="00A63FB5">
              <w:rPr>
                <w:rFonts w:cstheme="minorHAnsi"/>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C1D42D" w14:textId="77777777" w:rsidR="00FC0D6C" w:rsidRPr="00A63FB5" w:rsidRDefault="00FC0D6C" w:rsidP="00EA2F1A">
            <w:pPr>
              <w:pStyle w:val="ProductList-OfferingBody"/>
              <w:spacing w:line="254" w:lineRule="auto"/>
              <w:jc w:val="center"/>
              <w:rPr>
                <w:rFonts w:cstheme="minorHAnsi"/>
              </w:rPr>
            </w:pPr>
            <w:r w:rsidRPr="00A63FB5">
              <w:rPr>
                <w:rFonts w:cstheme="minorHAnsi"/>
              </w:rPr>
              <w:t>10%</w:t>
            </w:r>
          </w:p>
        </w:tc>
      </w:tr>
      <w:tr w:rsidR="00FC0D6C" w14:paraId="56882B4D" w14:textId="77777777" w:rsidTr="00EA2F1A">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1962A" w14:textId="77777777" w:rsidR="00FC0D6C" w:rsidRPr="00A63FB5" w:rsidRDefault="00FC0D6C" w:rsidP="00EA2F1A">
            <w:pPr>
              <w:pStyle w:val="ProductList-OfferingBody"/>
              <w:spacing w:line="254" w:lineRule="auto"/>
              <w:jc w:val="center"/>
              <w:rPr>
                <w:rFonts w:cstheme="minorHAnsi"/>
              </w:rPr>
            </w:pPr>
            <w:r w:rsidRPr="00A63FB5">
              <w:rPr>
                <w:rFonts w:cstheme="minorHAnsi"/>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BAB395" w14:textId="77777777" w:rsidR="00FC0D6C" w:rsidRPr="00A63FB5" w:rsidRDefault="00FC0D6C" w:rsidP="00EA2F1A">
            <w:pPr>
              <w:pStyle w:val="ProductList-OfferingBody"/>
              <w:spacing w:line="254" w:lineRule="auto"/>
              <w:jc w:val="center"/>
              <w:rPr>
                <w:rFonts w:cstheme="minorHAnsi"/>
              </w:rPr>
            </w:pPr>
            <w:r w:rsidRPr="00A63FB5">
              <w:rPr>
                <w:rFonts w:cstheme="minorHAnsi"/>
              </w:rPr>
              <w:t>25%</w:t>
            </w:r>
          </w:p>
        </w:tc>
      </w:tr>
    </w:tbl>
    <w:bookmarkStart w:id="352" w:name="_Toc510793666"/>
    <w:p w14:paraId="66097711" w14:textId="11B3377E"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02DD07D7" w14:textId="4B1CB8C8" w:rsidR="005642C9" w:rsidRPr="005642C9" w:rsidRDefault="005642C9" w:rsidP="00DD4100">
      <w:pPr>
        <w:pStyle w:val="ProductList-Offering2Heading"/>
        <w:keepNext/>
        <w:tabs>
          <w:tab w:val="clear" w:pos="360"/>
          <w:tab w:val="clear" w:pos="720"/>
          <w:tab w:val="clear" w:pos="1080"/>
        </w:tabs>
        <w:outlineLvl w:val="2"/>
      </w:pPr>
      <w:bookmarkStart w:id="353" w:name="_Toc239175048"/>
      <w:bookmarkStart w:id="354" w:name="_Toc526859666"/>
      <w:bookmarkStart w:id="355" w:name="_Toc52348940"/>
      <w:bookmarkStart w:id="356" w:name="_Toc457821541"/>
      <w:bookmarkEnd w:id="149"/>
      <w:bookmarkEnd w:id="150"/>
      <w:bookmarkEnd w:id="352"/>
      <w:proofErr w:type="spellStart"/>
      <w:r>
        <w:t>Azure</w:t>
      </w:r>
      <w:proofErr w:type="spellEnd"/>
      <w:r>
        <w:t xml:space="preserve"> </w:t>
      </w:r>
      <w:proofErr w:type="spellStart"/>
      <w:r>
        <w:t>NetApp</w:t>
      </w:r>
      <w:proofErr w:type="spellEnd"/>
      <w:r>
        <w:t xml:space="preserve"> </w:t>
      </w:r>
      <w:proofErr w:type="spellStart"/>
      <w:r>
        <w:t>Files</w:t>
      </w:r>
      <w:bookmarkEnd w:id="353"/>
      <w:proofErr w:type="spellEnd"/>
    </w:p>
    <w:p w14:paraId="74827AED" w14:textId="77777777" w:rsidR="005642C9" w:rsidRPr="005642C9" w:rsidRDefault="005642C9" w:rsidP="00DD4100">
      <w:pPr>
        <w:pStyle w:val="ProductList-Body"/>
        <w:keepNext/>
        <w:rPr>
          <w:b/>
          <w:bCs/>
          <w:color w:val="00188F"/>
        </w:rPr>
      </w:pPr>
      <w:r>
        <w:rPr>
          <w:b/>
          <w:bCs/>
          <w:color w:val="00188F"/>
        </w:rPr>
        <w:t>Dodatkowe definicje</w:t>
      </w:r>
    </w:p>
    <w:p w14:paraId="4CB2BC4D" w14:textId="77777777" w:rsidR="005642C9" w:rsidRDefault="005642C9" w:rsidP="005642C9">
      <w:pPr>
        <w:pStyle w:val="ProductList-Body"/>
      </w:pPr>
      <w:r>
        <w:t>„</w:t>
      </w:r>
      <w:r>
        <w:rPr>
          <w:b/>
          <w:bCs/>
          <w:color w:val="00188F"/>
        </w:rPr>
        <w:t>Wolumin</w:t>
      </w:r>
      <w:r>
        <w:t xml:space="preserve">” to logiczny zasób magazynu w usłudze </w:t>
      </w:r>
      <w:proofErr w:type="spellStart"/>
      <w:r>
        <w:t>Azure</w:t>
      </w:r>
      <w:proofErr w:type="spellEnd"/>
      <w:r>
        <w:t xml:space="preserve"> </w:t>
      </w:r>
      <w:proofErr w:type="spellStart"/>
      <w:r>
        <w:t>NetApp</w:t>
      </w:r>
      <w:proofErr w:type="spellEnd"/>
      <w:r>
        <w:t xml:space="preserve"> </w:t>
      </w:r>
      <w:proofErr w:type="spellStart"/>
      <w:r>
        <w:t>Files</w:t>
      </w:r>
      <w:proofErr w:type="spellEnd"/>
      <w:r>
        <w:t>, który zawiera system plików i jest używany do przechowywania danych.</w:t>
      </w:r>
    </w:p>
    <w:p w14:paraId="04EC7871" w14:textId="77777777" w:rsidR="005642C9" w:rsidRDefault="005642C9" w:rsidP="005642C9">
      <w:pPr>
        <w:pStyle w:val="ProductList-Body"/>
      </w:pPr>
      <w:r>
        <w:t>„</w:t>
      </w:r>
      <w:r>
        <w:rPr>
          <w:b/>
          <w:bCs/>
          <w:color w:val="00188F"/>
        </w:rPr>
        <w:t>Łączność z Woluminem</w:t>
      </w:r>
      <w:r>
        <w:t>” to dwukierunkowy ruch danych w sieci między Woluminem a innymi adresami IP za pośrednictwem protokołu sieciowego TCP lub UDP, w przypadku którego konfiguracja Woluminu obsługuje dozwolony ruch danych.</w:t>
      </w:r>
    </w:p>
    <w:p w14:paraId="56808FB6" w14:textId="6574AD5F" w:rsidR="005642C9" w:rsidRDefault="005642C9" w:rsidP="005642C9">
      <w:pPr>
        <w:pStyle w:val="ProductList-Body"/>
      </w:pPr>
      <w:r>
        <w:t>„</w:t>
      </w:r>
      <w:r>
        <w:rPr>
          <w:b/>
          <w:bCs/>
          <w:color w:val="00188F"/>
        </w:rPr>
        <w:t>Maksymalna Liczba Dostępnych Minut</w:t>
      </w:r>
      <w:r>
        <w:t xml:space="preserve">” to łączna liczba minut, przez które Wolumin jest wdrożony przez Klienta w ramach danej subskrypcji Microsoft </w:t>
      </w:r>
      <w:proofErr w:type="spellStart"/>
      <w:r>
        <w:t>Azure</w:t>
      </w:r>
      <w:proofErr w:type="spellEnd"/>
      <w:r>
        <w:t xml:space="preserve"> we Właściwym Okresie.</w:t>
      </w:r>
    </w:p>
    <w:p w14:paraId="75EFEF7F" w14:textId="77777777" w:rsidR="005642C9" w:rsidRDefault="005642C9" w:rsidP="005642C9">
      <w:pPr>
        <w:pStyle w:val="ProductList-Body"/>
      </w:pPr>
      <w:r>
        <w:t>„</w:t>
      </w:r>
      <w:r>
        <w:rPr>
          <w:b/>
          <w:bCs/>
          <w:color w:val="00188F"/>
        </w:rPr>
        <w:t>Przestój</w:t>
      </w:r>
      <w:r>
        <w:t>” to łączna zakumulowana liczba minut stanowiących część Maksymalnej Liczby Dostępnych Minut, podczas których nie ma Łączności z Woluminem w danym regionie.</w:t>
      </w:r>
    </w:p>
    <w:p w14:paraId="436F399D" w14:textId="5930D9DD" w:rsidR="005642C9" w:rsidRDefault="005642C9" w:rsidP="005642C9">
      <w:pPr>
        <w:pStyle w:val="ProductList-Body"/>
      </w:pPr>
      <w:r>
        <w:t>„</w:t>
      </w:r>
      <w:r>
        <w:rPr>
          <w:b/>
          <w:bCs/>
          <w:color w:val="00188F"/>
        </w:rPr>
        <w:t>Procent Czasu Sprawnego Działania</w:t>
      </w:r>
      <w:r>
        <w:t>” jest obliczany przy użyciu następującego wzoru:</w:t>
      </w:r>
    </w:p>
    <w:p w14:paraId="1D10D425" w14:textId="2AD4CE60" w:rsidR="005642C9" w:rsidRPr="00EF7CF9" w:rsidRDefault="00000000" w:rsidP="00784DEC">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1036C63" w14:textId="43D36FA6" w:rsidR="005642C9" w:rsidRPr="005642C9" w:rsidRDefault="005642C9" w:rsidP="005642C9">
      <w:pPr>
        <w:pStyle w:val="ProductList-Body"/>
        <w:rPr>
          <w:b/>
          <w:bCs/>
          <w:color w:val="00188F"/>
        </w:rPr>
      </w:pP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642C9" w:rsidRPr="00B44CF9" w14:paraId="2D752B00" w14:textId="77777777" w:rsidTr="00277097">
        <w:trPr>
          <w:tblHeader/>
        </w:trPr>
        <w:tc>
          <w:tcPr>
            <w:tcW w:w="5400" w:type="dxa"/>
            <w:shd w:val="clear" w:color="auto" w:fill="0072C6"/>
          </w:tcPr>
          <w:p w14:paraId="3CA8927E" w14:textId="4222EA32" w:rsidR="005642C9"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A08C4DD" w14:textId="77777777" w:rsidR="005642C9" w:rsidRPr="00EF7CF9" w:rsidRDefault="005642C9" w:rsidP="000F31B4">
            <w:pPr>
              <w:pStyle w:val="ProductList-OfferingBody"/>
              <w:jc w:val="center"/>
              <w:rPr>
                <w:color w:val="FFFFFF" w:themeColor="background1"/>
              </w:rPr>
            </w:pPr>
            <w:r>
              <w:rPr>
                <w:color w:val="FFFFFF" w:themeColor="background1"/>
              </w:rPr>
              <w:t>Środki Serwisowe na Używanie Usług</w:t>
            </w:r>
          </w:p>
        </w:tc>
      </w:tr>
      <w:tr w:rsidR="005642C9" w:rsidRPr="00B44CF9" w14:paraId="70D7652F" w14:textId="77777777" w:rsidTr="00277097">
        <w:tc>
          <w:tcPr>
            <w:tcW w:w="5400" w:type="dxa"/>
          </w:tcPr>
          <w:p w14:paraId="02FF7B3E" w14:textId="6A0A2252" w:rsidR="005642C9" w:rsidRPr="00EF7CF9" w:rsidRDefault="005642C9" w:rsidP="000F31B4">
            <w:pPr>
              <w:pStyle w:val="ProductList-OfferingBody"/>
              <w:jc w:val="center"/>
            </w:pPr>
            <w:r>
              <w:t>&lt; 99,99%</w:t>
            </w:r>
          </w:p>
        </w:tc>
        <w:tc>
          <w:tcPr>
            <w:tcW w:w="5400" w:type="dxa"/>
          </w:tcPr>
          <w:p w14:paraId="1E279DA4" w14:textId="77777777" w:rsidR="005642C9" w:rsidRPr="00EF7CF9" w:rsidRDefault="005642C9" w:rsidP="000F31B4">
            <w:pPr>
              <w:pStyle w:val="ProductList-OfferingBody"/>
              <w:jc w:val="center"/>
            </w:pPr>
            <w:r>
              <w:t>10%</w:t>
            </w:r>
          </w:p>
        </w:tc>
      </w:tr>
      <w:tr w:rsidR="005642C9" w:rsidRPr="00B44CF9" w14:paraId="44FAF15C" w14:textId="77777777" w:rsidTr="00277097">
        <w:tc>
          <w:tcPr>
            <w:tcW w:w="5400" w:type="dxa"/>
          </w:tcPr>
          <w:p w14:paraId="1251AD4B" w14:textId="77777777" w:rsidR="005642C9" w:rsidRPr="00EF7CF9" w:rsidRDefault="005642C9" w:rsidP="000F31B4">
            <w:pPr>
              <w:pStyle w:val="ProductList-OfferingBody"/>
              <w:jc w:val="center"/>
            </w:pPr>
            <w:r>
              <w:t>&lt; 99%</w:t>
            </w:r>
          </w:p>
        </w:tc>
        <w:tc>
          <w:tcPr>
            <w:tcW w:w="5400" w:type="dxa"/>
          </w:tcPr>
          <w:p w14:paraId="6271DB67" w14:textId="77777777" w:rsidR="005642C9" w:rsidRPr="00EF7CF9" w:rsidRDefault="005642C9" w:rsidP="000F31B4">
            <w:pPr>
              <w:pStyle w:val="ProductList-OfferingBody"/>
              <w:jc w:val="center"/>
            </w:pPr>
            <w:r>
              <w:t>25%</w:t>
            </w:r>
          </w:p>
        </w:tc>
      </w:tr>
    </w:tbl>
    <w:p w14:paraId="4F49F8D1" w14:textId="6DEAB784" w:rsidR="005642C9" w:rsidRPr="00EF7CF9" w:rsidRDefault="00C71F89" w:rsidP="005642C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7F611FD" w14:textId="513ACDD1" w:rsidR="00430979" w:rsidRPr="00EF7CF9" w:rsidRDefault="00430979" w:rsidP="00BF04B6">
      <w:pPr>
        <w:pStyle w:val="ProductList-Offering2Heading"/>
        <w:keepNext/>
        <w:pageBreakBefore/>
        <w:tabs>
          <w:tab w:val="clear" w:pos="360"/>
          <w:tab w:val="clear" w:pos="720"/>
          <w:tab w:val="clear" w:pos="1080"/>
        </w:tabs>
        <w:outlineLvl w:val="2"/>
      </w:pPr>
      <w:bookmarkStart w:id="357" w:name="_Toc52348976"/>
      <w:bookmarkStart w:id="358" w:name="_Toc239175049"/>
      <w:bookmarkStart w:id="359" w:name="NetworkWatcher"/>
      <w:bookmarkStart w:id="360" w:name="_Toc457821568"/>
      <w:r>
        <w:t xml:space="preserve">Network </w:t>
      </w:r>
      <w:proofErr w:type="spellStart"/>
      <w:r>
        <w:t>Watcher</w:t>
      </w:r>
      <w:bookmarkEnd w:id="357"/>
      <w:bookmarkEnd w:id="358"/>
      <w:proofErr w:type="spellEnd"/>
    </w:p>
    <w:bookmarkEnd w:id="359"/>
    <w:p w14:paraId="661CF817" w14:textId="77777777" w:rsidR="00430979" w:rsidRPr="00EF7CF9" w:rsidRDefault="00430979" w:rsidP="00430979">
      <w:pPr>
        <w:pStyle w:val="ProductList-Body"/>
        <w:rPr>
          <w:b/>
          <w:i/>
          <w:iCs/>
        </w:rPr>
      </w:pPr>
      <w:r>
        <w:rPr>
          <w:b/>
          <w:color w:val="00188F"/>
        </w:rPr>
        <w:t>Dodatkowe definicje</w:t>
      </w:r>
      <w:r w:rsidRPr="0034704E">
        <w:rPr>
          <w:b/>
          <w:color w:val="00188F"/>
        </w:rPr>
        <w:t>:</w:t>
      </w:r>
    </w:p>
    <w:p w14:paraId="00667AC1" w14:textId="77777777" w:rsidR="00430979" w:rsidRPr="00EF7CF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Narzędzia Diagnostyki Sieci</w:t>
      </w:r>
      <w:r>
        <w:rPr>
          <w:rFonts w:cstheme="minorHAnsi"/>
          <w:sz w:val="18"/>
          <w:szCs w:val="18"/>
        </w:rPr>
        <w:t>” to zbiór narzędzi związanych z diagnostyką i topologią sieci.</w:t>
      </w:r>
    </w:p>
    <w:p w14:paraId="767FDCE8" w14:textId="219FD4AE" w:rsidR="00430979" w:rsidRPr="00EF7CF9" w:rsidRDefault="00D011AB" w:rsidP="00430979">
      <w:pPr>
        <w:spacing w:after="0" w:line="240" w:lineRule="auto"/>
        <w:rPr>
          <w:rFonts w:cstheme="minorHAnsi"/>
          <w:sz w:val="18"/>
          <w:szCs w:val="18"/>
        </w:rPr>
      </w:pPr>
      <w:r>
        <w:rPr>
          <w:rFonts w:cstheme="minorHAnsi"/>
          <w:sz w:val="18"/>
          <w:szCs w:val="18"/>
        </w:rPr>
        <w:t>„</w:t>
      </w:r>
      <w:r w:rsidR="00430979">
        <w:rPr>
          <w:rFonts w:cstheme="minorHAnsi"/>
          <w:b/>
          <w:color w:val="00188F"/>
          <w:sz w:val="18"/>
          <w:szCs w:val="18"/>
        </w:rPr>
        <w:t>Maksymalna Liczba Testów Diagnostycznych</w:t>
      </w:r>
      <w:r w:rsidR="00430979">
        <w:rPr>
          <w:rFonts w:cstheme="minorHAnsi"/>
          <w:sz w:val="18"/>
          <w:szCs w:val="18"/>
        </w:rPr>
        <w:t xml:space="preserve">” to łączna liczba czynności diagnostycznych skonfigurowanych przez Klienta i przeprowadzonych przez Narzędzie Diagnostyki Sieci we Właściwym Okresie w ramach danej subskrypcji Microsoft </w:t>
      </w:r>
      <w:proofErr w:type="spellStart"/>
      <w:r w:rsidR="00430979">
        <w:rPr>
          <w:rFonts w:cstheme="minorHAnsi"/>
          <w:sz w:val="18"/>
          <w:szCs w:val="18"/>
        </w:rPr>
        <w:t>Azure</w:t>
      </w:r>
      <w:proofErr w:type="spellEnd"/>
      <w:r w:rsidR="00430979">
        <w:rPr>
          <w:rFonts w:cstheme="minorHAnsi"/>
          <w:sz w:val="18"/>
          <w:szCs w:val="18"/>
        </w:rPr>
        <w:t>.</w:t>
      </w:r>
    </w:p>
    <w:p w14:paraId="224AA33A" w14:textId="77777777" w:rsidR="00430979" w:rsidRDefault="00430979" w:rsidP="00430979">
      <w:pPr>
        <w:spacing w:after="0" w:line="240" w:lineRule="auto"/>
        <w:rPr>
          <w:rFonts w:cstheme="minorHAnsi"/>
          <w:sz w:val="18"/>
          <w:szCs w:val="18"/>
        </w:rPr>
      </w:pPr>
      <w:r>
        <w:rPr>
          <w:rFonts w:cstheme="minorHAnsi"/>
          <w:sz w:val="18"/>
          <w:szCs w:val="18"/>
        </w:rPr>
        <w:t>„</w:t>
      </w:r>
      <w:r>
        <w:rPr>
          <w:rFonts w:cstheme="minorHAnsi"/>
          <w:b/>
          <w:color w:val="00188F"/>
          <w:sz w:val="18"/>
          <w:szCs w:val="18"/>
        </w:rPr>
        <w:t>Liczba Testów Diagnostycznych Zakończonych Niepowodzeniem</w:t>
      </w:r>
      <w:r>
        <w:rPr>
          <w:rFonts w:cstheme="minorHAnsi"/>
          <w:sz w:val="18"/>
          <w:szCs w:val="18"/>
        </w:rPr>
        <w:t>” to łączna liczba czynności diagnostycznych w ramach Maksymalnej Liczby Testów Diagnostycznych, które zwracają Kod Błędu albo nie odpowiadają w ciągu Maksymalnego Czasu Przetwarzania wskazanego w tabeli poniżej.</w:t>
      </w:r>
    </w:p>
    <w:p w14:paraId="73E752B4" w14:textId="77777777" w:rsidR="002149D5" w:rsidRDefault="002149D5" w:rsidP="00430979">
      <w:pPr>
        <w:spacing w:after="0" w:line="240" w:lineRule="auto"/>
        <w:rPr>
          <w:rFonts w:cstheme="minorHAnsi"/>
          <w:sz w:val="18"/>
          <w:szCs w:val="18"/>
        </w:rPr>
      </w:pP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14"/>
        <w:gridCol w:w="5376"/>
      </w:tblGrid>
      <w:tr w:rsidR="00430979" w:rsidRPr="00B44CF9" w14:paraId="0EC38525" w14:textId="77777777" w:rsidTr="000F31B4">
        <w:trPr>
          <w:trHeight w:val="249"/>
          <w:tblHeader/>
        </w:trPr>
        <w:tc>
          <w:tcPr>
            <w:tcW w:w="2509" w:type="pct"/>
            <w:shd w:val="clear" w:color="auto" w:fill="0072C6"/>
          </w:tcPr>
          <w:p w14:paraId="24649BFF" w14:textId="77777777" w:rsidR="00430979" w:rsidRPr="00A63FB5" w:rsidRDefault="00430979" w:rsidP="000F31B4">
            <w:pPr>
              <w:pStyle w:val="ProductList-OfferingBody"/>
              <w:rPr>
                <w:color w:val="FFFFFF" w:themeColor="background1"/>
                <w:szCs w:val="16"/>
              </w:rPr>
            </w:pPr>
            <w:r w:rsidRPr="00A63FB5">
              <w:rPr>
                <w:color w:val="FFFFFF" w:themeColor="background1"/>
                <w:szCs w:val="16"/>
              </w:rPr>
              <w:t>Narzędzie Diagnostyczne</w:t>
            </w:r>
          </w:p>
        </w:tc>
        <w:tc>
          <w:tcPr>
            <w:tcW w:w="2491" w:type="pct"/>
            <w:shd w:val="clear" w:color="auto" w:fill="0072C6"/>
          </w:tcPr>
          <w:p w14:paraId="42C15AC1" w14:textId="77777777" w:rsidR="00430979" w:rsidRPr="00A63FB5" w:rsidRDefault="00430979" w:rsidP="000F31B4">
            <w:pPr>
              <w:pStyle w:val="ProductList-OfferingBody"/>
              <w:rPr>
                <w:color w:val="FFFFFF" w:themeColor="background1"/>
                <w:szCs w:val="16"/>
              </w:rPr>
            </w:pPr>
            <w:r w:rsidRPr="00A63FB5">
              <w:rPr>
                <w:color w:val="FFFFFF" w:themeColor="background1"/>
                <w:szCs w:val="16"/>
              </w:rPr>
              <w:t>Maksymalny Czas Przetwarzania</w:t>
            </w:r>
          </w:p>
        </w:tc>
      </w:tr>
      <w:tr w:rsidR="00430979" w:rsidRPr="00B44CF9" w14:paraId="07761AA6" w14:textId="77777777" w:rsidTr="000F31B4">
        <w:trPr>
          <w:trHeight w:val="242"/>
        </w:trPr>
        <w:tc>
          <w:tcPr>
            <w:tcW w:w="2509" w:type="pct"/>
          </w:tcPr>
          <w:p w14:paraId="7DD7868C" w14:textId="77777777" w:rsidR="00430979" w:rsidRPr="00A63FB5" w:rsidRDefault="00430979" w:rsidP="000F31B4">
            <w:pPr>
              <w:pStyle w:val="Heading2"/>
              <w:keepNext w:val="0"/>
              <w:keepLines w:val="0"/>
              <w:spacing w:line="240" w:lineRule="auto"/>
              <w:rPr>
                <w:rFonts w:asciiTheme="minorHAnsi" w:eastAsiaTheme="minorEastAsia" w:hAnsiTheme="minorHAnsi" w:cstheme="minorHAnsi"/>
                <w:b/>
                <w:bCs/>
                <w:color w:val="auto"/>
                <w:sz w:val="16"/>
                <w:szCs w:val="16"/>
              </w:rPr>
            </w:pPr>
            <w:r w:rsidRPr="00A63FB5">
              <w:rPr>
                <w:rFonts w:asciiTheme="minorHAnsi" w:eastAsiaTheme="minorEastAsia" w:hAnsiTheme="minorHAnsi" w:cstheme="minorHAnsi"/>
                <w:color w:val="auto"/>
                <w:sz w:val="16"/>
                <w:szCs w:val="16"/>
              </w:rPr>
              <w:t xml:space="preserve">Weryfikacja </w:t>
            </w:r>
            <w:proofErr w:type="spellStart"/>
            <w:r w:rsidRPr="00A63FB5">
              <w:rPr>
                <w:rFonts w:asciiTheme="minorHAnsi" w:eastAsiaTheme="minorEastAsia" w:hAnsiTheme="minorHAnsi" w:cstheme="minorHAnsi"/>
                <w:color w:val="auto"/>
                <w:sz w:val="16"/>
                <w:szCs w:val="16"/>
              </w:rPr>
              <w:t>IPFlow</w:t>
            </w:r>
            <w:proofErr w:type="spellEnd"/>
          </w:p>
          <w:p w14:paraId="5051AC35" w14:textId="77777777" w:rsidR="00430979" w:rsidRPr="00A63FB5" w:rsidRDefault="00430979" w:rsidP="000F31B4">
            <w:pPr>
              <w:pStyle w:val="Heading2"/>
              <w:keepNext w:val="0"/>
              <w:spacing w:line="240" w:lineRule="auto"/>
              <w:rPr>
                <w:rFonts w:asciiTheme="minorHAnsi" w:eastAsiaTheme="minorEastAsia" w:hAnsiTheme="minorHAnsi" w:cstheme="minorHAnsi"/>
                <w:b/>
                <w:bCs/>
                <w:color w:val="auto"/>
                <w:sz w:val="16"/>
                <w:szCs w:val="16"/>
              </w:rPr>
            </w:pPr>
            <w:proofErr w:type="spellStart"/>
            <w:r w:rsidRPr="00A63FB5">
              <w:rPr>
                <w:rFonts w:asciiTheme="minorHAnsi" w:eastAsiaTheme="minorEastAsia" w:hAnsiTheme="minorHAnsi" w:cstheme="minorHAnsi"/>
                <w:color w:val="auto"/>
                <w:sz w:val="16"/>
                <w:szCs w:val="16"/>
              </w:rPr>
              <w:t>NextHop</w:t>
            </w:r>
            <w:proofErr w:type="spellEnd"/>
          </w:p>
          <w:p w14:paraId="68485720" w14:textId="77777777" w:rsidR="00430979" w:rsidRPr="00A63FB5"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A63FB5">
              <w:rPr>
                <w:rFonts w:asciiTheme="minorHAnsi" w:eastAsiaTheme="minorEastAsia" w:hAnsiTheme="minorHAnsi" w:cstheme="minorHAnsi"/>
                <w:color w:val="auto"/>
                <w:sz w:val="16"/>
                <w:szCs w:val="16"/>
              </w:rPr>
              <w:t>Przechwytywanie Pakietów</w:t>
            </w:r>
          </w:p>
          <w:p w14:paraId="3A4359B7" w14:textId="77777777" w:rsidR="00430979" w:rsidRPr="00A63FB5" w:rsidRDefault="00430979" w:rsidP="000F31B4">
            <w:pPr>
              <w:pStyle w:val="Heading2"/>
              <w:keepNext w:val="0"/>
              <w:spacing w:line="240" w:lineRule="auto"/>
              <w:rPr>
                <w:rFonts w:asciiTheme="minorHAnsi" w:eastAsiaTheme="minorEastAsia" w:hAnsiTheme="minorHAnsi" w:cstheme="minorHAnsi"/>
                <w:b/>
                <w:bCs/>
                <w:color w:val="auto"/>
                <w:sz w:val="16"/>
                <w:szCs w:val="16"/>
              </w:rPr>
            </w:pPr>
            <w:r w:rsidRPr="00A63FB5">
              <w:rPr>
                <w:rFonts w:asciiTheme="minorHAnsi" w:eastAsiaTheme="minorEastAsia" w:hAnsiTheme="minorHAnsi" w:cstheme="minorHAnsi"/>
                <w:color w:val="auto"/>
                <w:sz w:val="16"/>
                <w:szCs w:val="16"/>
              </w:rPr>
              <w:t>Widok Grupy Zabezpieczeń</w:t>
            </w:r>
          </w:p>
          <w:p w14:paraId="44D59B52" w14:textId="77777777" w:rsidR="00430979" w:rsidRPr="00A63FB5" w:rsidRDefault="00430979" w:rsidP="000F31B4">
            <w:pPr>
              <w:pStyle w:val="ProductList-OfferingBody"/>
              <w:rPr>
                <w:rFonts w:eastAsiaTheme="minorEastAsia" w:cstheme="minorHAnsi"/>
                <w:szCs w:val="16"/>
              </w:rPr>
            </w:pPr>
            <w:r w:rsidRPr="00A63FB5">
              <w:rPr>
                <w:rFonts w:eastAsiaTheme="minorEastAsia" w:cstheme="minorHAnsi"/>
                <w:szCs w:val="16"/>
              </w:rPr>
              <w:t>Topologia</w:t>
            </w:r>
          </w:p>
          <w:p w14:paraId="51B46A76" w14:textId="77777777" w:rsidR="00430979" w:rsidRPr="00A63FB5" w:rsidRDefault="00430979" w:rsidP="000F31B4">
            <w:pPr>
              <w:pStyle w:val="ProductList-Body"/>
              <w:rPr>
                <w:sz w:val="16"/>
                <w:szCs w:val="16"/>
              </w:rPr>
            </w:pPr>
            <w:r w:rsidRPr="00A63FB5">
              <w:rPr>
                <w:sz w:val="16"/>
                <w:szCs w:val="16"/>
              </w:rPr>
              <w:t>Monitor połączenia</w:t>
            </w:r>
          </w:p>
          <w:p w14:paraId="11650A43" w14:textId="77777777" w:rsidR="00430979" w:rsidRPr="00A63FB5" w:rsidRDefault="00430979" w:rsidP="000F31B4">
            <w:pPr>
              <w:pStyle w:val="ProductList-Body"/>
              <w:rPr>
                <w:sz w:val="16"/>
                <w:szCs w:val="16"/>
              </w:rPr>
            </w:pPr>
            <w:r w:rsidRPr="00A63FB5">
              <w:rPr>
                <w:sz w:val="16"/>
                <w:szCs w:val="16"/>
              </w:rPr>
              <w:t>Monitor połączenia (klasyczny)</w:t>
            </w:r>
          </w:p>
        </w:tc>
        <w:tc>
          <w:tcPr>
            <w:tcW w:w="2491" w:type="pct"/>
          </w:tcPr>
          <w:p w14:paraId="6C475433" w14:textId="77777777" w:rsidR="00430979" w:rsidRPr="00A63FB5" w:rsidRDefault="00430979" w:rsidP="000F31B4">
            <w:pPr>
              <w:pStyle w:val="ProductList-OfferingBody"/>
              <w:rPr>
                <w:szCs w:val="16"/>
              </w:rPr>
            </w:pPr>
            <w:r w:rsidRPr="00A63FB5">
              <w:rPr>
                <w:szCs w:val="16"/>
              </w:rPr>
              <w:t>2 minuty</w:t>
            </w:r>
          </w:p>
        </w:tc>
      </w:tr>
      <w:tr w:rsidR="00430979" w:rsidRPr="00B44CF9" w14:paraId="23AAA306" w14:textId="77777777" w:rsidTr="000F31B4">
        <w:trPr>
          <w:trHeight w:val="249"/>
        </w:trPr>
        <w:tc>
          <w:tcPr>
            <w:tcW w:w="2509" w:type="pct"/>
          </w:tcPr>
          <w:p w14:paraId="58E8F7FE" w14:textId="77777777" w:rsidR="00430979" w:rsidRPr="00A63FB5" w:rsidRDefault="00430979" w:rsidP="000F31B4">
            <w:pPr>
              <w:pStyle w:val="ProductList-OfferingBody"/>
              <w:rPr>
                <w:szCs w:val="16"/>
              </w:rPr>
            </w:pPr>
            <w:r w:rsidRPr="00A63FB5">
              <w:rPr>
                <w:szCs w:val="16"/>
              </w:rPr>
              <w:t>Rozwiązywanie problemów z siecią VPN</w:t>
            </w:r>
          </w:p>
        </w:tc>
        <w:tc>
          <w:tcPr>
            <w:tcW w:w="2491" w:type="pct"/>
          </w:tcPr>
          <w:p w14:paraId="7C7EB31F" w14:textId="77777777" w:rsidR="00430979" w:rsidRPr="00A63FB5" w:rsidRDefault="00430979" w:rsidP="000F31B4">
            <w:pPr>
              <w:pStyle w:val="ProductList-OfferingBody"/>
              <w:rPr>
                <w:szCs w:val="16"/>
              </w:rPr>
            </w:pPr>
            <w:r w:rsidRPr="00A63FB5">
              <w:rPr>
                <w:szCs w:val="16"/>
              </w:rPr>
              <w:t xml:space="preserve">10 minut </w:t>
            </w:r>
          </w:p>
        </w:tc>
      </w:tr>
    </w:tbl>
    <w:p w14:paraId="643CF345" w14:textId="4230B894" w:rsidR="00430979" w:rsidRPr="00D011AB" w:rsidRDefault="00430979" w:rsidP="00430979">
      <w:pPr>
        <w:spacing w:before="120" w:after="0" w:line="240" w:lineRule="auto"/>
        <w:rPr>
          <w:rFonts w:cstheme="minorHAnsi"/>
          <w:sz w:val="18"/>
          <w:szCs w:val="18"/>
        </w:rPr>
      </w:pPr>
      <w:r w:rsidRPr="00D011AB">
        <w:rPr>
          <w:sz w:val="18"/>
        </w:rPr>
        <w:t>„</w:t>
      </w:r>
      <w:r w:rsidRPr="00D011AB">
        <w:rPr>
          <w:rFonts w:cstheme="minorHAnsi"/>
          <w:b/>
          <w:color w:val="00188F"/>
          <w:sz w:val="18"/>
          <w:szCs w:val="18"/>
        </w:rPr>
        <w:t>Procent Czasu Sprawnego Działania</w:t>
      </w:r>
      <w:r w:rsidRPr="00D011AB">
        <w:rPr>
          <w:rFonts w:cstheme="minorHAnsi"/>
          <w:sz w:val="18"/>
          <w:szCs w:val="18"/>
        </w:rPr>
        <w:t>” jest obliczany przy użyciu następującego wzoru:</w:t>
      </w:r>
    </w:p>
    <w:p w14:paraId="680B8244" w14:textId="7DED0F2B" w:rsidR="00430979" w:rsidRPr="00EF7CF9" w:rsidRDefault="00000000" w:rsidP="007635E7">
      <w:pPr>
        <w:spacing w:before="120" w:after="120" w:line="240" w:lineRule="auto"/>
        <w:rPr>
          <w:rFonts w:cstheme="minorHAns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Testów Diagnostycznych – Liczba Testów Diagnostycznych Zakończonych Niepowodzeniem</m:t>
              </m:r>
            </m:num>
            <m:den>
              <m:r>
                <m:rPr>
                  <m:nor/>
                </m:rPr>
                <w:rPr>
                  <w:rFonts w:ascii="Cambria Math" w:hAnsi="Cambria Math" w:cs="Tahoma"/>
                  <w:i/>
                  <w:sz w:val="18"/>
                  <w:szCs w:val="18"/>
                </w:rPr>
                <m:t>Maksymalna Liczba Testów Diagnostycznych</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1C914C90" w14:textId="77777777" w:rsidR="00430979" w:rsidRPr="00EF7CF9" w:rsidRDefault="00430979" w:rsidP="00430979">
      <w:pPr>
        <w:pStyle w:val="ProductList-Body"/>
      </w:pPr>
      <w:r>
        <w:rPr>
          <w:b/>
          <w:color w:val="00188F"/>
        </w:rPr>
        <w:t>Poziomy Usługi</w:t>
      </w:r>
      <w:r w:rsidRPr="0034704E">
        <w:rPr>
          <w:b/>
          <w:color w:val="00188F"/>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23"/>
        <w:gridCol w:w="5367"/>
      </w:tblGrid>
      <w:tr w:rsidR="00430979" w:rsidRPr="00B44CF9" w14:paraId="4606B003" w14:textId="77777777" w:rsidTr="000F31B4">
        <w:trPr>
          <w:trHeight w:val="249"/>
          <w:tblHeader/>
        </w:trPr>
        <w:tc>
          <w:tcPr>
            <w:tcW w:w="2513" w:type="pct"/>
            <w:shd w:val="clear" w:color="auto" w:fill="0072C6"/>
          </w:tcPr>
          <w:p w14:paraId="0D32EC55" w14:textId="6225CBE6" w:rsidR="00430979" w:rsidRPr="005552BD" w:rsidRDefault="00AC48A7" w:rsidP="000F31B4">
            <w:pPr>
              <w:pStyle w:val="ProductList-OfferingBody"/>
              <w:jc w:val="center"/>
              <w:rPr>
                <w:color w:val="FFFFFF" w:themeColor="background1"/>
                <w:szCs w:val="16"/>
              </w:rPr>
            </w:pPr>
            <w:r w:rsidRPr="005552BD">
              <w:rPr>
                <w:color w:val="FFFFFF" w:themeColor="background1"/>
                <w:szCs w:val="16"/>
              </w:rPr>
              <w:t>Procent Czasu Sprawnego Działania</w:t>
            </w:r>
          </w:p>
        </w:tc>
        <w:tc>
          <w:tcPr>
            <w:tcW w:w="2487" w:type="pct"/>
            <w:shd w:val="clear" w:color="auto" w:fill="0072C6"/>
          </w:tcPr>
          <w:p w14:paraId="75A13F4F" w14:textId="77777777" w:rsidR="00430979" w:rsidRPr="005552BD" w:rsidRDefault="00430979" w:rsidP="000F31B4">
            <w:pPr>
              <w:pStyle w:val="ProductList-OfferingBody"/>
              <w:jc w:val="center"/>
              <w:rPr>
                <w:color w:val="FFFFFF" w:themeColor="background1"/>
                <w:szCs w:val="16"/>
              </w:rPr>
            </w:pPr>
            <w:r w:rsidRPr="005552BD">
              <w:rPr>
                <w:color w:val="FFFFFF" w:themeColor="background1"/>
                <w:szCs w:val="16"/>
              </w:rPr>
              <w:t>Środki Serwisowe na Używanie Usług</w:t>
            </w:r>
          </w:p>
        </w:tc>
      </w:tr>
      <w:tr w:rsidR="00430979" w:rsidRPr="00B44CF9" w14:paraId="3DDD643D" w14:textId="77777777" w:rsidTr="000F31B4">
        <w:trPr>
          <w:trHeight w:val="242"/>
        </w:trPr>
        <w:tc>
          <w:tcPr>
            <w:tcW w:w="2513" w:type="pct"/>
          </w:tcPr>
          <w:p w14:paraId="099B35BD" w14:textId="77777777" w:rsidR="00430979" w:rsidRPr="005552BD" w:rsidRDefault="00430979" w:rsidP="000F31B4">
            <w:pPr>
              <w:pStyle w:val="ProductList-OfferingBody"/>
              <w:jc w:val="center"/>
              <w:rPr>
                <w:szCs w:val="16"/>
              </w:rPr>
            </w:pPr>
            <w:r w:rsidRPr="005552BD">
              <w:rPr>
                <w:szCs w:val="16"/>
              </w:rPr>
              <w:t>&lt; 99,9%</w:t>
            </w:r>
          </w:p>
        </w:tc>
        <w:tc>
          <w:tcPr>
            <w:tcW w:w="2487" w:type="pct"/>
          </w:tcPr>
          <w:p w14:paraId="2269548D" w14:textId="77777777" w:rsidR="00430979" w:rsidRPr="005552BD" w:rsidRDefault="00430979" w:rsidP="000F31B4">
            <w:pPr>
              <w:pStyle w:val="ProductList-OfferingBody"/>
              <w:jc w:val="center"/>
              <w:rPr>
                <w:szCs w:val="16"/>
              </w:rPr>
            </w:pPr>
            <w:r w:rsidRPr="005552BD">
              <w:rPr>
                <w:szCs w:val="16"/>
              </w:rPr>
              <w:t>10%</w:t>
            </w:r>
          </w:p>
        </w:tc>
      </w:tr>
      <w:tr w:rsidR="00430979" w:rsidRPr="00B44CF9" w14:paraId="743D0E65" w14:textId="77777777" w:rsidTr="000F31B4">
        <w:trPr>
          <w:trHeight w:val="249"/>
        </w:trPr>
        <w:tc>
          <w:tcPr>
            <w:tcW w:w="2513" w:type="pct"/>
          </w:tcPr>
          <w:p w14:paraId="715B48C8" w14:textId="77777777" w:rsidR="00430979" w:rsidRPr="005552BD" w:rsidRDefault="00430979" w:rsidP="000F31B4">
            <w:pPr>
              <w:pStyle w:val="ProductList-OfferingBody"/>
              <w:jc w:val="center"/>
              <w:rPr>
                <w:szCs w:val="16"/>
              </w:rPr>
            </w:pPr>
            <w:r w:rsidRPr="005552BD">
              <w:rPr>
                <w:szCs w:val="16"/>
              </w:rPr>
              <w:t>&lt; 99%</w:t>
            </w:r>
          </w:p>
        </w:tc>
        <w:tc>
          <w:tcPr>
            <w:tcW w:w="2487" w:type="pct"/>
          </w:tcPr>
          <w:p w14:paraId="56040B94" w14:textId="77777777" w:rsidR="00430979" w:rsidRPr="005552BD" w:rsidRDefault="00430979" w:rsidP="000F31B4">
            <w:pPr>
              <w:pStyle w:val="ProductList-OfferingBody"/>
              <w:jc w:val="center"/>
              <w:rPr>
                <w:szCs w:val="16"/>
              </w:rPr>
            </w:pPr>
            <w:r w:rsidRPr="005552BD">
              <w:rPr>
                <w:szCs w:val="16"/>
              </w:rPr>
              <w:t>25%</w:t>
            </w:r>
          </w:p>
        </w:tc>
      </w:tr>
    </w:tbl>
    <w:p w14:paraId="655E2C87" w14:textId="4AD92D0E" w:rsidR="00430979" w:rsidRPr="00EF7CF9" w:rsidRDefault="00C71F89"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50314EE" w14:textId="7115C115" w:rsidR="00430979" w:rsidRPr="00EF7CF9" w:rsidRDefault="00430979" w:rsidP="00430979">
      <w:pPr>
        <w:pStyle w:val="ProductList-Offering2Heading"/>
        <w:tabs>
          <w:tab w:val="clear" w:pos="360"/>
          <w:tab w:val="clear" w:pos="720"/>
          <w:tab w:val="clear" w:pos="1080"/>
        </w:tabs>
        <w:outlineLvl w:val="2"/>
      </w:pPr>
      <w:bookmarkStart w:id="361" w:name="_Toc457821572"/>
      <w:bookmarkStart w:id="362" w:name="_Toc52348982"/>
      <w:bookmarkStart w:id="363" w:name="_Toc239175050"/>
      <w:bookmarkEnd w:id="360"/>
      <w:r>
        <w:t>Centra Powiadomień</w:t>
      </w:r>
      <w:bookmarkEnd w:id="361"/>
      <w:bookmarkEnd w:id="362"/>
      <w:bookmarkEnd w:id="363"/>
    </w:p>
    <w:p w14:paraId="7246C680" w14:textId="77777777" w:rsidR="00430979" w:rsidRPr="00EF7CF9" w:rsidRDefault="00430979" w:rsidP="00430979">
      <w:pPr>
        <w:pStyle w:val="ProductList-Body"/>
      </w:pPr>
      <w:r>
        <w:rPr>
          <w:b/>
          <w:color w:val="00188F"/>
        </w:rPr>
        <w:t>Dodatkowe definicje</w:t>
      </w:r>
      <w:r w:rsidRPr="0034704E">
        <w:rPr>
          <w:b/>
          <w:color w:val="00188F"/>
        </w:rPr>
        <w:t>:</w:t>
      </w:r>
    </w:p>
    <w:p w14:paraId="203A06C0" w14:textId="5F0C10FE" w:rsidR="00430979" w:rsidRPr="00EF7CF9" w:rsidRDefault="00430979" w:rsidP="00430979">
      <w:pPr>
        <w:pStyle w:val="ProductList-Body"/>
      </w:pPr>
      <w:r>
        <w:t>„</w:t>
      </w:r>
      <w:r>
        <w:rPr>
          <w:b/>
          <w:color w:val="00188F"/>
        </w:rPr>
        <w:t>Minuty Wdrożenia</w:t>
      </w:r>
      <w:r>
        <w:t xml:space="preserve">” to łączna liczba minut, przez które dane Centrum Powiadomień zostało wdrożone na platformie Microsoft </w:t>
      </w:r>
      <w:proofErr w:type="spellStart"/>
      <w:r>
        <w:t>Azure</w:t>
      </w:r>
      <w:proofErr w:type="spellEnd"/>
      <w:r>
        <w:t xml:space="preserve"> we Właściwym Okresie.</w:t>
      </w:r>
    </w:p>
    <w:p w14:paraId="6D21BD1A" w14:textId="6CF4C354" w:rsidR="00430979" w:rsidRPr="00EF7CF9" w:rsidRDefault="00430979" w:rsidP="00430979">
      <w:pPr>
        <w:pStyle w:val="ProductList-Body"/>
      </w:pPr>
      <w:r>
        <w:t>„</w:t>
      </w:r>
      <w:r>
        <w:rPr>
          <w:b/>
          <w:color w:val="00188F"/>
        </w:rPr>
        <w:t>Maksymalna Liczba Dostępnych Minut</w:t>
      </w:r>
      <w:r>
        <w:t xml:space="preserve">” to suma wszystkich Minut Wdrożenia dla wszystkich Centrów Powiadomień wdrożonych przez Klienta w ramach określonej subskrypcji Microsoft </w:t>
      </w:r>
      <w:proofErr w:type="spellStart"/>
      <w:r>
        <w:t>Azure</w:t>
      </w:r>
      <w:proofErr w:type="spellEnd"/>
      <w:r>
        <w:t xml:space="preserve"> w warstwach Podstawowa albo Standardowa usługi Centra Powiadomień we Właściwym Okresie.</w:t>
      </w:r>
    </w:p>
    <w:p w14:paraId="426087FB" w14:textId="168DD1DC" w:rsidR="00430979" w:rsidRPr="00EF7CF9" w:rsidRDefault="00430979" w:rsidP="00430979">
      <w:pPr>
        <w:pStyle w:val="ProductList-Body"/>
      </w:pPr>
      <w:r>
        <w:rPr>
          <w:b/>
          <w:color w:val="00188F"/>
        </w:rPr>
        <w:t>Przestój</w:t>
      </w:r>
      <w:r w:rsidRPr="0034704E">
        <w:rPr>
          <w:b/>
          <w:color w:val="00188F"/>
        </w:rPr>
        <w:t>:</w:t>
      </w:r>
      <w:r>
        <w:t xml:space="preserve"> Łączna skumulowana liczba Minut Wdrożenia we wszystkich Centrach Zdarzeń wdrożonych przez użytkownika w ramach danej subskrypcji Microsoft </w:t>
      </w:r>
      <w:proofErr w:type="spellStart"/>
      <w:r>
        <w:t>Azure</w:t>
      </w:r>
      <w:proofErr w:type="spellEnd"/>
      <w:r>
        <w:t xml:space="preserve"> w warstwach Podstawowa lub Standardowa Centrów Zdarzeń, podczas których Centrum Powiadomień jest niedostępne. Minuta jest uznawana za minutę niedostępności dla danego Centrum Powiadomień, jeśli wszystkie nieprzerwane próby wysłania powiadomień lub wykonania operacji zarządzania rejestracją w odniesieniu do usługi Centrum Powiadomień w ciągu tej minuty albo zwracają Kod Błędu, albo nie zwracają Kodu Sukcesu przed upływem pięciu minut.</w:t>
      </w:r>
    </w:p>
    <w:p w14:paraId="0C4D73A4" w14:textId="77D9F744" w:rsidR="00430979" w:rsidRPr="00EF7CF9" w:rsidRDefault="00AC48A7" w:rsidP="00B31409">
      <w:pPr>
        <w:pStyle w:val="ProductList-Body"/>
        <w:keepNext/>
        <w:keepLines/>
      </w:pPr>
      <w:r>
        <w:rPr>
          <w:b/>
          <w:color w:val="00188F"/>
        </w:rPr>
        <w:t>Procent Czasu Sprawnego Działania</w:t>
      </w:r>
      <w:r w:rsidRPr="0034704E">
        <w:rPr>
          <w:b/>
          <w:color w:val="00188F"/>
        </w:rPr>
        <w:t>:</w:t>
      </w:r>
      <w:r>
        <w:t xml:space="preserve"> Procent Czasu Sprawnego Działania jest obliczany przy użyciu następującego wzoru:</w:t>
      </w:r>
    </w:p>
    <w:p w14:paraId="2358A694" w14:textId="0A6BEB45" w:rsidR="00430979" w:rsidRPr="00EF7CF9" w:rsidRDefault="00000000" w:rsidP="0025192B">
      <w:pPr>
        <w:pStyle w:val="ListParagraph"/>
        <w:keepNext/>
        <w:keepLines/>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AFB4ECA" w14:textId="77777777" w:rsidR="00430979" w:rsidRPr="00EF7CF9" w:rsidRDefault="00430979" w:rsidP="00430979">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30979" w:rsidRPr="00B44CF9" w14:paraId="5E977D2D" w14:textId="77777777" w:rsidTr="00277097">
        <w:trPr>
          <w:tblHeader/>
        </w:trPr>
        <w:tc>
          <w:tcPr>
            <w:tcW w:w="5400" w:type="dxa"/>
            <w:shd w:val="clear" w:color="auto" w:fill="0072C6"/>
          </w:tcPr>
          <w:p w14:paraId="360A58C0" w14:textId="7FEFEEF9" w:rsidR="00430979"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5FB8E86" w14:textId="77777777" w:rsidR="00430979" w:rsidRPr="00EF7CF9" w:rsidRDefault="00430979" w:rsidP="000F31B4">
            <w:pPr>
              <w:pStyle w:val="ProductList-OfferingBody"/>
              <w:jc w:val="center"/>
              <w:rPr>
                <w:color w:val="FFFFFF" w:themeColor="background1"/>
              </w:rPr>
            </w:pPr>
            <w:r>
              <w:rPr>
                <w:color w:val="FFFFFF" w:themeColor="background1"/>
              </w:rPr>
              <w:t>Środki Serwisowe na Używanie Usług</w:t>
            </w:r>
          </w:p>
        </w:tc>
      </w:tr>
      <w:tr w:rsidR="00430979" w:rsidRPr="00B44CF9" w14:paraId="41130667" w14:textId="77777777" w:rsidTr="00277097">
        <w:tc>
          <w:tcPr>
            <w:tcW w:w="5400" w:type="dxa"/>
          </w:tcPr>
          <w:p w14:paraId="74AA00A9" w14:textId="77777777" w:rsidR="00430979" w:rsidRPr="00EF7CF9" w:rsidRDefault="00430979" w:rsidP="000F31B4">
            <w:pPr>
              <w:pStyle w:val="ProductList-OfferingBody"/>
              <w:jc w:val="center"/>
            </w:pPr>
            <w:r>
              <w:t>&lt; 99,9%</w:t>
            </w:r>
          </w:p>
        </w:tc>
        <w:tc>
          <w:tcPr>
            <w:tcW w:w="5400" w:type="dxa"/>
          </w:tcPr>
          <w:p w14:paraId="38E84104" w14:textId="77777777" w:rsidR="00430979" w:rsidRPr="00EF7CF9" w:rsidRDefault="00430979" w:rsidP="000F31B4">
            <w:pPr>
              <w:pStyle w:val="ProductList-OfferingBody"/>
              <w:jc w:val="center"/>
            </w:pPr>
            <w:r>
              <w:t>10%</w:t>
            </w:r>
          </w:p>
        </w:tc>
      </w:tr>
      <w:tr w:rsidR="00430979" w:rsidRPr="00B44CF9" w14:paraId="3EBECA4D" w14:textId="77777777" w:rsidTr="00277097">
        <w:tc>
          <w:tcPr>
            <w:tcW w:w="5400" w:type="dxa"/>
          </w:tcPr>
          <w:p w14:paraId="11E96FFE" w14:textId="77777777" w:rsidR="00430979" w:rsidRPr="00EF7CF9" w:rsidRDefault="00430979" w:rsidP="000F31B4">
            <w:pPr>
              <w:pStyle w:val="ProductList-OfferingBody"/>
              <w:jc w:val="center"/>
            </w:pPr>
            <w:r>
              <w:t>&lt; 99%</w:t>
            </w:r>
          </w:p>
        </w:tc>
        <w:tc>
          <w:tcPr>
            <w:tcW w:w="5400" w:type="dxa"/>
          </w:tcPr>
          <w:p w14:paraId="437A1D31" w14:textId="77777777" w:rsidR="00430979" w:rsidRPr="00EF7CF9" w:rsidRDefault="00430979" w:rsidP="000F31B4">
            <w:pPr>
              <w:pStyle w:val="ProductList-OfferingBody"/>
              <w:jc w:val="center"/>
            </w:pPr>
            <w:r>
              <w:t>25%</w:t>
            </w:r>
          </w:p>
        </w:tc>
      </w:tr>
    </w:tbl>
    <w:p w14:paraId="3863BC39" w14:textId="77777777" w:rsidR="00430979" w:rsidRPr="00EF7CF9" w:rsidRDefault="00430979" w:rsidP="00430979">
      <w:pPr>
        <w:pStyle w:val="ProductList-Body"/>
      </w:pPr>
    </w:p>
    <w:p w14:paraId="65389EC9" w14:textId="57BDF566" w:rsidR="00430979" w:rsidRPr="00EF7CF9" w:rsidRDefault="00430979" w:rsidP="00BF15F8">
      <w:pPr>
        <w:pStyle w:val="ProductList-Body"/>
        <w:keepNext/>
      </w:pPr>
      <w:r>
        <w:rPr>
          <w:b/>
          <w:color w:val="00188F"/>
        </w:rPr>
        <w:t>Wyjątki dotyczące Poziomu Usługi</w:t>
      </w:r>
      <w:r>
        <w:t>. Do używania przez Klienta warstwy Podstawowa i Standardowa usługi Centra Powiadomień mają zastosowanie następujące Poziomy Usługi i Środki Serwisowe na Używanie Usług.</w:t>
      </w:r>
    </w:p>
    <w:bookmarkStart w:id="364" w:name="_Toc457821573"/>
    <w:p w14:paraId="48307B2E" w14:textId="350FB456" w:rsidR="00430979" w:rsidRPr="00EF7CF9" w:rsidRDefault="00C71F89" w:rsidP="00430979">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5A5FD93" w14:textId="36BE7AFF" w:rsidR="00430979" w:rsidRPr="00430979" w:rsidRDefault="00430979" w:rsidP="00BF04B6">
      <w:pPr>
        <w:pStyle w:val="ProductList-Offering2Heading"/>
        <w:keepNext/>
        <w:pageBreakBefore/>
        <w:tabs>
          <w:tab w:val="clear" w:pos="360"/>
          <w:tab w:val="clear" w:pos="720"/>
          <w:tab w:val="clear" w:pos="1080"/>
        </w:tabs>
        <w:outlineLvl w:val="2"/>
      </w:pPr>
      <w:bookmarkStart w:id="365" w:name="_Toc239175051"/>
      <w:bookmarkEnd w:id="364"/>
      <w:r>
        <w:t xml:space="preserve">Rezerwacje na Żądanie dotyczących Zdolności Produkcyjnych dla usług </w:t>
      </w:r>
      <w:proofErr w:type="spellStart"/>
      <w:r>
        <w:t>Azure</w:t>
      </w:r>
      <w:proofErr w:type="spellEnd"/>
      <w:r>
        <w:t xml:space="preserve"> Virtual </w:t>
      </w:r>
      <w:proofErr w:type="spellStart"/>
      <w:r>
        <w:t>Machines</w:t>
      </w:r>
      <w:bookmarkEnd w:id="365"/>
      <w:proofErr w:type="spellEnd"/>
    </w:p>
    <w:p w14:paraId="3BFDCAB1" w14:textId="77777777" w:rsidR="00430979" w:rsidRPr="00430979" w:rsidRDefault="00430979" w:rsidP="00430979">
      <w:pPr>
        <w:pStyle w:val="ProductList-Body"/>
        <w:rPr>
          <w:b/>
          <w:bCs/>
          <w:color w:val="00188F"/>
        </w:rPr>
      </w:pPr>
      <w:r>
        <w:rPr>
          <w:b/>
          <w:bCs/>
          <w:color w:val="00188F"/>
        </w:rPr>
        <w:t>Dodatkowe definicje</w:t>
      </w:r>
    </w:p>
    <w:p w14:paraId="1255BD6C" w14:textId="77777777" w:rsidR="00430979" w:rsidRDefault="00430979" w:rsidP="00430979">
      <w:pPr>
        <w:pStyle w:val="ProductList-Body"/>
      </w:pPr>
      <w:r>
        <w:t>„</w:t>
      </w:r>
      <w:r>
        <w:rPr>
          <w:b/>
          <w:bCs/>
          <w:color w:val="00188F"/>
        </w:rPr>
        <w:t>Strefa Dostępności</w:t>
      </w:r>
      <w:r>
        <w:t xml:space="preserve">” to bezawaryjny obszar w regionie </w:t>
      </w:r>
      <w:proofErr w:type="spellStart"/>
      <w:r>
        <w:t>Azure</w:t>
      </w:r>
      <w:proofErr w:type="spellEnd"/>
      <w:r>
        <w:t xml:space="preserve"> zapewniający nadmiarowe zasilanie, chłodzenie i funkcje sieciowe.</w:t>
      </w:r>
    </w:p>
    <w:p w14:paraId="75068006" w14:textId="77777777" w:rsidR="00430979" w:rsidRDefault="00430979" w:rsidP="00430979">
      <w:pPr>
        <w:pStyle w:val="ProductList-Body"/>
      </w:pPr>
      <w:r>
        <w:t>„</w:t>
      </w:r>
      <w:r>
        <w:rPr>
          <w:b/>
          <w:bCs/>
          <w:color w:val="00188F"/>
        </w:rPr>
        <w:t>Zdolności Produkcyjne</w:t>
      </w:r>
      <w:r>
        <w:t>” to właściwość Rezerwacji na Żądanie dotyczącej Zdolności Produkcyjnych określająca liczbę zarezerwowanych wystąpień Maszyny Wirtualnej.</w:t>
      </w:r>
    </w:p>
    <w:p w14:paraId="2E6509A9" w14:textId="77777777" w:rsidR="00430979" w:rsidRDefault="00430979" w:rsidP="00430979">
      <w:pPr>
        <w:pStyle w:val="ProductList-Body"/>
      </w:pPr>
      <w:r>
        <w:t>„</w:t>
      </w:r>
      <w:r>
        <w:rPr>
          <w:b/>
          <w:bCs/>
          <w:color w:val="00188F"/>
        </w:rPr>
        <w:t>Rezerwacja na Żądanie dotycząca Zdolności Produkcyjnych</w:t>
      </w:r>
      <w:r>
        <w:t xml:space="preserve">” to obiekt utworzony w ramach subskrypcji </w:t>
      </w:r>
      <w:proofErr w:type="spellStart"/>
      <w:r>
        <w:t>Azure</w:t>
      </w:r>
      <w:proofErr w:type="spellEnd"/>
      <w:r>
        <w:t xml:space="preserve"> wyrażający ilość zarezerwowanej zdolności produkcyjnej dla określonego typu wystąpienia Maszyny Wirtualnej w określonej lokalizacji.</w:t>
      </w:r>
    </w:p>
    <w:p w14:paraId="5B67FE53" w14:textId="77777777" w:rsidR="00430979" w:rsidRDefault="00430979" w:rsidP="00430979">
      <w:pPr>
        <w:pStyle w:val="ProductList-Body"/>
      </w:pPr>
      <w:r>
        <w:t>„</w:t>
      </w:r>
      <w:r>
        <w:rPr>
          <w:b/>
          <w:bCs/>
          <w:color w:val="00188F"/>
        </w:rPr>
        <w:t>Maszyna Wirtualna</w:t>
      </w:r>
      <w:r>
        <w:t xml:space="preserve">” to typy trwałych wystąpień, które można wdrażać w środowisku </w:t>
      </w:r>
      <w:proofErr w:type="spellStart"/>
      <w:r>
        <w:t>wielodzierżawnym</w:t>
      </w:r>
      <w:proofErr w:type="spellEnd"/>
      <w:r>
        <w:t xml:space="preserve"> na platformie </w:t>
      </w:r>
      <w:proofErr w:type="spellStart"/>
      <w:r>
        <w:t>Azure</w:t>
      </w:r>
      <w:proofErr w:type="spellEnd"/>
      <w:r>
        <w:t xml:space="preserve"> pojedynczo lub jako część Skalowalnego Zestawu Maszyn Wirtualnych.</w:t>
      </w:r>
    </w:p>
    <w:p w14:paraId="44DFECDB" w14:textId="77777777" w:rsidR="00430979" w:rsidRDefault="00430979" w:rsidP="00430979">
      <w:pPr>
        <w:pStyle w:val="ProductList-Body"/>
      </w:pPr>
      <w:r>
        <w:t>„</w:t>
      </w:r>
      <w:r>
        <w:rPr>
          <w:b/>
          <w:bCs/>
          <w:color w:val="00188F"/>
        </w:rPr>
        <w:t>Alokowane Maszyny Wirtualne</w:t>
      </w:r>
      <w:r>
        <w:t>” to właściwość Rezerwacji na Żądanie dotyczącej Zdolności Produkcyjnych odnosząca się do listy Maszyn Wirtualnych alokowanych w ramach Rezerwacji na Żądanie dotyczącej Zdolności Produkcyjnych.</w:t>
      </w:r>
    </w:p>
    <w:p w14:paraId="39559A6B" w14:textId="4DBC2A58" w:rsidR="00430979" w:rsidRDefault="00430979" w:rsidP="00430979">
      <w:pPr>
        <w:pStyle w:val="ProductList-Body"/>
      </w:pPr>
      <w:r>
        <w:t>„</w:t>
      </w:r>
      <w:r>
        <w:rPr>
          <w:b/>
          <w:bCs/>
          <w:color w:val="00188F"/>
        </w:rPr>
        <w:t>Obsługiwane Wdrożenie</w:t>
      </w:r>
      <w:r>
        <w:t>” to wdrożenie Maszyny Wirtualnej, które odpowiada lokalizacji, w tym ewentualnie określonej Strefie Dostępności, wykorzystuje dokładny rozmiar Maszyny Wirtualnej w ramach istniejącej Rezerwacji na Żądanie dotyczącej Zdolności Produkcyjnej i jest zgodne z</w:t>
      </w:r>
      <w:r w:rsidR="00751645">
        <w:t> </w:t>
      </w:r>
      <w:hyperlink r:id="rId25" w:anchor="limitations-and-restrictions" w:history="1">
        <w:r>
          <w:rPr>
            <w:rStyle w:val="Hyperlink"/>
          </w:rPr>
          <w:t>dokumentacją dotyczącą używania</w:t>
        </w:r>
      </w:hyperlink>
      <w:r>
        <w:t xml:space="preserve"> tej funkcji.</w:t>
      </w:r>
    </w:p>
    <w:p w14:paraId="5C1CD026" w14:textId="77777777" w:rsidR="00430979" w:rsidRDefault="00430979" w:rsidP="00430979">
      <w:pPr>
        <w:pStyle w:val="ProductList-Body"/>
      </w:pPr>
      <w:r>
        <w:t>„</w:t>
      </w:r>
      <w:r>
        <w:rPr>
          <w:b/>
          <w:bCs/>
          <w:color w:val="00188F"/>
        </w:rPr>
        <w:t>Jednostka Rezerwowana</w:t>
      </w:r>
      <w:r>
        <w:t>” to dokładnie jedno wystąpienie Rezerwacji na Żądanie dotyczącej Zdolności Produkcyjnej. Jeśli na przykład w Rezerwacji na Żądanie dotyczącej Zdolności Produkcyjnej określono Zdolność Produkcyjną na 10 Maszyn Wirtualnych, oznacza to, że występuje 10 Jednostek Rezerwowanych.</w:t>
      </w:r>
    </w:p>
    <w:p w14:paraId="7B8AC567" w14:textId="77777777" w:rsidR="00430979" w:rsidRDefault="00430979" w:rsidP="00430979">
      <w:pPr>
        <w:pStyle w:val="ProductList-Body"/>
      </w:pPr>
      <w:r>
        <w:t>„</w:t>
      </w:r>
      <w:r>
        <w:rPr>
          <w:b/>
          <w:bCs/>
          <w:color w:val="00188F"/>
        </w:rPr>
        <w:t>Rezerwacja Niewykorzystanych Zdolności Produkcyjnych</w:t>
      </w:r>
      <w:r>
        <w:t>” to Rezerwacja na Żądanie dotycząca Zdolności Produkcyjnych, w której liczba Alokowanych Maszyn Wirtualnych jest mniejsza niż Zdolności Produkcyjne.</w:t>
      </w:r>
    </w:p>
    <w:p w14:paraId="17BB0F27" w14:textId="77777777" w:rsidR="00430979" w:rsidRDefault="00430979" w:rsidP="00430979">
      <w:pPr>
        <w:pStyle w:val="ProductList-Body"/>
      </w:pPr>
      <w:r>
        <w:t>„</w:t>
      </w:r>
      <w:r>
        <w:rPr>
          <w:b/>
          <w:bCs/>
          <w:color w:val="00188F"/>
        </w:rPr>
        <w:t>Niedostępne Wdrożenie</w:t>
      </w:r>
      <w:r>
        <w:t>” to dowolne Obsługiwane Wdrożenie skonfigurowane do użycia istniejącej Rezerwacji Niewykorzystanych Zdolności Produkcyjnych, które spełnia dwa warunki:</w:t>
      </w:r>
    </w:p>
    <w:p w14:paraId="22D3FF4F" w14:textId="02B6D5D5" w:rsidR="00430979" w:rsidRPr="00B31409" w:rsidRDefault="00430979" w:rsidP="00DB4449">
      <w:pPr>
        <w:pStyle w:val="ProductList-Body"/>
        <w:numPr>
          <w:ilvl w:val="1"/>
          <w:numId w:val="12"/>
        </w:numPr>
        <w:tabs>
          <w:tab w:val="clear" w:pos="360"/>
          <w:tab w:val="clear" w:pos="720"/>
          <w:tab w:val="clear" w:pos="1080"/>
        </w:tabs>
        <w:ind w:left="540" w:hanging="180"/>
        <w:rPr>
          <w:spacing w:val="-2"/>
        </w:rPr>
      </w:pPr>
      <w:r w:rsidRPr="00B31409">
        <w:rPr>
          <w:spacing w:val="-2"/>
        </w:rPr>
        <w:t xml:space="preserve">Otrzymuje błąd informujący o braku zdolności produkcyjnych Maszyny Wirtualnej. Niepowodzenie wdrożenia Maszyny Wirtualnej z powodu innych typów błędów lub z powodu braku zdolności produkcyjnych dysków lub jakiegokolwiek innego zasobu </w:t>
      </w:r>
      <w:proofErr w:type="spellStart"/>
      <w:r w:rsidRPr="00B31409">
        <w:rPr>
          <w:spacing w:val="-2"/>
        </w:rPr>
        <w:t>Azure</w:t>
      </w:r>
      <w:proofErr w:type="spellEnd"/>
      <w:r w:rsidRPr="00B31409">
        <w:rPr>
          <w:spacing w:val="-2"/>
        </w:rPr>
        <w:t xml:space="preserve"> nie spełnia tego wymogu.</w:t>
      </w:r>
    </w:p>
    <w:p w14:paraId="355ADB92" w14:textId="13C66690" w:rsidR="00430979" w:rsidRDefault="00430979" w:rsidP="00DB4449">
      <w:pPr>
        <w:pStyle w:val="ProductList-Body"/>
        <w:numPr>
          <w:ilvl w:val="1"/>
          <w:numId w:val="12"/>
        </w:numPr>
        <w:tabs>
          <w:tab w:val="clear" w:pos="360"/>
          <w:tab w:val="clear" w:pos="720"/>
          <w:tab w:val="clear" w:pos="1080"/>
        </w:tabs>
        <w:ind w:left="540" w:hanging="180"/>
      </w:pPr>
      <w:r>
        <w:t>Rezerwacja na Żądanie dotycząca Zdolności Produkcyjnych nadal spełnia kryteria definicji Rezerwacji Niewykorzystanych Zdolności Produkcyjnych (np. pozostałe Maszyny Wirtualne nie wykorzystały jeszcze Rezerwacji Niewykorzystanych Zdolności Produkcyjnych).</w:t>
      </w:r>
    </w:p>
    <w:p w14:paraId="7A5EDA90" w14:textId="32AFCFA7" w:rsidR="00430979" w:rsidRPr="00430979" w:rsidRDefault="00EE6E3C" w:rsidP="00430979">
      <w:pPr>
        <w:pStyle w:val="ProductList-Body"/>
        <w:spacing w:before="240"/>
        <w:rPr>
          <w:b/>
          <w:bCs/>
          <w:color w:val="00188F"/>
        </w:rPr>
      </w:pPr>
      <w:r>
        <w:rPr>
          <w:b/>
          <w:bCs/>
          <w:color w:val="00188F"/>
        </w:rPr>
        <w:t>Obliczanie Czasu Sprawnego Działania i Poziomy Usługi dla Rezerwacji na Żądanie dotyczącej Zdolności Produkcyjnych</w:t>
      </w:r>
    </w:p>
    <w:p w14:paraId="23F3C9D0" w14:textId="5477C54D" w:rsidR="00430979" w:rsidRDefault="00430979" w:rsidP="00430979">
      <w:pPr>
        <w:pStyle w:val="ProductList-Body"/>
      </w:pPr>
      <w:r>
        <w:t>„</w:t>
      </w:r>
      <w:r>
        <w:rPr>
          <w:b/>
          <w:bCs/>
          <w:color w:val="00188F"/>
        </w:rPr>
        <w:t>Minuty Niedostępności</w:t>
      </w:r>
      <w:r>
        <w:t>” to minuty, w których Rezerwacja Niewykorzystanych Zdolności Produkcyjnych spełnia warunek Niedostępne Wdrożenie.</w:t>
      </w:r>
      <w:r w:rsidR="008E4DCE">
        <w:t> </w:t>
      </w:r>
      <w:r>
        <w:t>Minuty Niedostępności kumulują się od momentu wystąpienia stanu Niedostępne Wdrożenie do momentu (a) wystąpienia kolejnego stanu Obsługiwane Wdrożenie, (b) wystąpienia kolejnego stanu Niedostępne Wdrożenie wynikającego z podjęcia kolejnej próby uzyskania stanu Obsługiwane Wdrożenie albo (c) upływu 15 minut. Jeśli w ciągu 15 minut nie zostanie podjęta próba osiągnięcia stanu Obsługiwane Wdrożenie, po</w:t>
      </w:r>
      <w:r w:rsidR="008E4DCE">
        <w:t> </w:t>
      </w:r>
      <w:r>
        <w:t>kolejnym wystąpieniu stanu Niedostępne Wdrożenie proces akumulowania Minut Niedostępności zostanie wznowiony.</w:t>
      </w:r>
    </w:p>
    <w:p w14:paraId="5A920202" w14:textId="77777777" w:rsidR="00430979" w:rsidRDefault="00430979" w:rsidP="00430979">
      <w:pPr>
        <w:pStyle w:val="ProductList-Body"/>
      </w:pPr>
    </w:p>
    <w:p w14:paraId="2E63F193" w14:textId="47841ED1" w:rsidR="00430979" w:rsidRDefault="00430979" w:rsidP="00430979">
      <w:pPr>
        <w:pStyle w:val="ProductList-Body"/>
      </w:pPr>
      <w:r>
        <w:t>Minuty Niedostępności będą akumulowane w przypadku każdej Jednostki Rezerwowanej, której nie można używać. Jeśli jedna Jednostka Rezerwowana zostanie wykorzystana, a druga pozostanie niewykorzystana, wówczas Minuty Niedostępności będą nadal akumulowane tylko w</w:t>
      </w:r>
      <w:r w:rsidR="00E16BB9">
        <w:t> </w:t>
      </w:r>
      <w:r>
        <w:t>przypadku niewykorzystanej Jednostki Rezerwowanej.</w:t>
      </w:r>
    </w:p>
    <w:p w14:paraId="4B376EFE" w14:textId="77777777" w:rsidR="00430979" w:rsidRDefault="00430979" w:rsidP="00430979">
      <w:pPr>
        <w:pStyle w:val="ProductList-Body"/>
      </w:pPr>
    </w:p>
    <w:p w14:paraId="28A9D0E7" w14:textId="63865D7A" w:rsidR="00430979" w:rsidRDefault="00430979" w:rsidP="00430979">
      <w:pPr>
        <w:pStyle w:val="ProductList-Body"/>
      </w:pPr>
      <w:hyperlink r:id="rId26" w:anchor="sla-for-capacity-reservation" w:history="1">
        <w:r>
          <w:rPr>
            <w:rStyle w:val="Hyperlink"/>
          </w:rPr>
          <w:t>Przykładowe obliczenia</w:t>
        </w:r>
      </w:hyperlink>
      <w:r>
        <w:t xml:space="preserve"> przedstawiono w dokumentacji dotyczącej tej funkcji.</w:t>
      </w:r>
    </w:p>
    <w:p w14:paraId="0277F4D8" w14:textId="77777777" w:rsidR="00430979" w:rsidRDefault="00430979" w:rsidP="00430979">
      <w:pPr>
        <w:pStyle w:val="ProductList-Body"/>
      </w:pPr>
      <w:r>
        <w:t>„</w:t>
      </w:r>
      <w:r>
        <w:rPr>
          <w:b/>
          <w:bCs/>
          <w:color w:val="00188F"/>
        </w:rPr>
        <w:t>Przestój</w:t>
      </w:r>
      <w:r>
        <w:t>” to wliczona w liczbę minut w danym miesiącu łączna zakumulowana liczba Minut Niedostępności obliczona dla Jednostki Rezerwowanej.</w:t>
      </w:r>
    </w:p>
    <w:p w14:paraId="34C52979" w14:textId="0BF94973" w:rsidR="00430979" w:rsidRDefault="00430979" w:rsidP="00430979">
      <w:pPr>
        <w:pStyle w:val="ProductList-Body"/>
      </w:pPr>
      <w:r>
        <w:t>„</w:t>
      </w:r>
      <w:r>
        <w:rPr>
          <w:b/>
          <w:bCs/>
          <w:color w:val="00188F"/>
        </w:rPr>
        <w:t>Procent Czasu Sprawnego Działania</w:t>
      </w:r>
      <w:r w:rsidR="00D011AB" w:rsidRPr="00D011AB">
        <w:t>”</w:t>
      </w:r>
      <w:r>
        <w:t xml:space="preserve"> dla każdej Jednostki Rezerwowanej to wartość obliczana na podstawie procentu Minut we Właściwym Okresie, podczas których Jednostka Rezerwowana miała Przestój.</w:t>
      </w:r>
    </w:p>
    <w:p w14:paraId="6F2C9ED3" w14:textId="30BEB42D" w:rsidR="00430979" w:rsidRPr="00EF7CF9" w:rsidRDefault="00000000" w:rsidP="00F25B5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Minuty we Właściwym Okresie - Przestój</m:t>
              </m:r>
            </m:num>
            <m:den>
              <m:r>
                <m:rPr>
                  <m:nor/>
                </m:rPr>
                <w:rPr>
                  <w:rFonts w:ascii="Cambria Math" w:hAnsi="Cambria Math" w:cs="Tahoma"/>
                  <w:i/>
                  <w:sz w:val="18"/>
                  <w:szCs w:val="18"/>
                </w:rPr>
                <m:t>Minuty we Właściwym Okresie</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5E823F3" w14:textId="77777777" w:rsidR="00430979" w:rsidRDefault="00430979" w:rsidP="00430979">
      <w:pPr>
        <w:pStyle w:val="ProductList-Body"/>
      </w:pPr>
      <w:r>
        <w:rPr>
          <w:b/>
          <w:bCs/>
          <w:color w:val="00188F"/>
        </w:rPr>
        <w:t>Do używania przez Klienta każdej Jednostki Rezerwowanej w ramach Rezerwacji na Żądanie dotyczącej Zdolności Produkcyjnych mają zastosowanie następujące Poziomy Usługi i Środki Serwisowe na Używanie Usług.</w:t>
      </w:r>
      <w:r>
        <w:t xml:space="preserve"> Środki Serwisowe na Używanie Usług są przyznawane na podstawie kosztu danej Jednostki Rezerwowanej, a nie całkowitego kosztu Rezerwacji na Żądanie dotyczącej Zdolności Produkcyjnych.</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F15F8" w:rsidRPr="00B44CF9" w14:paraId="2815AEB6" w14:textId="77777777" w:rsidTr="00277097">
        <w:trPr>
          <w:tblHeader/>
        </w:trPr>
        <w:tc>
          <w:tcPr>
            <w:tcW w:w="5400" w:type="dxa"/>
            <w:shd w:val="clear" w:color="auto" w:fill="0072C6"/>
          </w:tcPr>
          <w:p w14:paraId="63D3B5E2" w14:textId="4C541431" w:rsidR="00BF15F8"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BF599AF" w14:textId="77777777" w:rsidR="00BF15F8" w:rsidRPr="00EF7CF9" w:rsidRDefault="00BF15F8" w:rsidP="000F31B4">
            <w:pPr>
              <w:pStyle w:val="ProductList-OfferingBody"/>
              <w:jc w:val="center"/>
              <w:rPr>
                <w:color w:val="FFFFFF" w:themeColor="background1"/>
              </w:rPr>
            </w:pPr>
            <w:r>
              <w:rPr>
                <w:color w:val="FFFFFF" w:themeColor="background1"/>
              </w:rPr>
              <w:t>Środki Serwisowe na Używanie Usług</w:t>
            </w:r>
          </w:p>
        </w:tc>
      </w:tr>
      <w:tr w:rsidR="00BF15F8" w:rsidRPr="00B44CF9" w14:paraId="6694A6B3" w14:textId="77777777" w:rsidTr="00277097">
        <w:tc>
          <w:tcPr>
            <w:tcW w:w="5400" w:type="dxa"/>
          </w:tcPr>
          <w:p w14:paraId="62DC3151" w14:textId="77777777" w:rsidR="00BF15F8" w:rsidRPr="00EF7CF9" w:rsidRDefault="00BF15F8" w:rsidP="000F31B4">
            <w:pPr>
              <w:pStyle w:val="ProductList-OfferingBody"/>
              <w:jc w:val="center"/>
            </w:pPr>
            <w:r>
              <w:t>&lt; 99,9%</w:t>
            </w:r>
          </w:p>
        </w:tc>
        <w:tc>
          <w:tcPr>
            <w:tcW w:w="5400" w:type="dxa"/>
          </w:tcPr>
          <w:p w14:paraId="345CC8EB" w14:textId="77777777" w:rsidR="00BF15F8" w:rsidRPr="00EF7CF9" w:rsidRDefault="00BF15F8" w:rsidP="000F31B4">
            <w:pPr>
              <w:pStyle w:val="ProductList-OfferingBody"/>
              <w:jc w:val="center"/>
            </w:pPr>
            <w:r>
              <w:t>10%</w:t>
            </w:r>
          </w:p>
        </w:tc>
      </w:tr>
      <w:tr w:rsidR="00BF15F8" w:rsidRPr="00B44CF9" w14:paraId="08A7A7BA" w14:textId="77777777" w:rsidTr="00277097">
        <w:tc>
          <w:tcPr>
            <w:tcW w:w="5400" w:type="dxa"/>
          </w:tcPr>
          <w:p w14:paraId="6FCC1E3B" w14:textId="77777777" w:rsidR="00BF15F8" w:rsidRPr="00EF7CF9" w:rsidRDefault="00BF15F8" w:rsidP="000F31B4">
            <w:pPr>
              <w:pStyle w:val="ProductList-OfferingBody"/>
              <w:jc w:val="center"/>
            </w:pPr>
            <w:r>
              <w:t>&lt; 99%</w:t>
            </w:r>
          </w:p>
        </w:tc>
        <w:tc>
          <w:tcPr>
            <w:tcW w:w="5400" w:type="dxa"/>
          </w:tcPr>
          <w:p w14:paraId="04B0AB48" w14:textId="77777777" w:rsidR="00BF15F8" w:rsidRPr="00EF7CF9" w:rsidRDefault="00BF15F8" w:rsidP="000F31B4">
            <w:pPr>
              <w:pStyle w:val="ProductList-OfferingBody"/>
              <w:jc w:val="center"/>
            </w:pPr>
            <w:r>
              <w:t>25%</w:t>
            </w:r>
          </w:p>
        </w:tc>
      </w:tr>
      <w:tr w:rsidR="00BF15F8" w:rsidRPr="00B44CF9" w14:paraId="6AC99D22" w14:textId="77777777" w:rsidTr="00277097">
        <w:tc>
          <w:tcPr>
            <w:tcW w:w="5400" w:type="dxa"/>
          </w:tcPr>
          <w:p w14:paraId="0D7638C7" w14:textId="7E3C1477" w:rsidR="00BF15F8" w:rsidRPr="00EF7CF9" w:rsidRDefault="00BF15F8" w:rsidP="000F31B4">
            <w:pPr>
              <w:pStyle w:val="ProductList-OfferingBody"/>
              <w:jc w:val="center"/>
            </w:pPr>
            <w:r>
              <w:t>&lt; 95%</w:t>
            </w:r>
          </w:p>
        </w:tc>
        <w:tc>
          <w:tcPr>
            <w:tcW w:w="5400" w:type="dxa"/>
          </w:tcPr>
          <w:p w14:paraId="0B6CDF92" w14:textId="7AD7C73E" w:rsidR="00BF15F8" w:rsidRPr="00EF7CF9" w:rsidRDefault="00BF15F8" w:rsidP="000F31B4">
            <w:pPr>
              <w:pStyle w:val="ProductList-OfferingBody"/>
              <w:jc w:val="center"/>
            </w:pPr>
            <w:r>
              <w:t>100%</w:t>
            </w:r>
          </w:p>
        </w:tc>
      </w:tr>
    </w:tbl>
    <w:p w14:paraId="4C0024E1" w14:textId="2DF60D99" w:rsidR="00BF15F8" w:rsidRPr="00EF7CF9" w:rsidRDefault="00C71F89" w:rsidP="00BF15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ACB90CF" w14:textId="77777777" w:rsidR="009874AB" w:rsidRPr="00B05208" w:rsidRDefault="009874AB" w:rsidP="00517B7B">
      <w:pPr>
        <w:keepNext/>
        <w:pageBreakBefore/>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6" w:name="_Toc230011462"/>
      <w:r>
        <w:rPr>
          <w:rFonts w:ascii="Calibri Light" w:eastAsia="Calibri" w:hAnsi="Calibri Light" w:cs="Arial"/>
          <w:b/>
          <w:color w:val="0072C6"/>
          <w:sz w:val="28"/>
        </w:rPr>
        <w:t xml:space="preserve">Usługa </w:t>
      </w:r>
      <w:proofErr w:type="spellStart"/>
      <w:r>
        <w:rPr>
          <w:rFonts w:ascii="Calibri Light" w:eastAsia="Calibri" w:hAnsi="Calibri Light" w:cs="Arial"/>
          <w:b/>
          <w:color w:val="0072C6"/>
          <w:sz w:val="28"/>
        </w:rPr>
        <w:t>Foundry</w:t>
      </w:r>
      <w:proofErr w:type="spellEnd"/>
      <w:r>
        <w:rPr>
          <w:rFonts w:ascii="Calibri Light" w:eastAsia="Calibri" w:hAnsi="Calibri Light" w:cs="Arial"/>
          <w:b/>
          <w:color w:val="0072C6"/>
          <w:sz w:val="28"/>
        </w:rPr>
        <w:t xml:space="preserve"> Agent</w:t>
      </w:r>
      <w:bookmarkEnd w:id="366"/>
    </w:p>
    <w:p w14:paraId="0E7F2527" w14:textId="77777777" w:rsidR="009874AB" w:rsidRPr="00B05208" w:rsidRDefault="009874AB" w:rsidP="009874AB">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Dodatkowe definicje</w:t>
      </w:r>
      <w:r w:rsidRPr="00624A46">
        <w:rPr>
          <w:rFonts w:ascii="Calibri" w:eastAsia="Calibri" w:hAnsi="Calibri" w:cs="Arial"/>
          <w:b/>
          <w:color w:val="00188F"/>
          <w:sz w:val="18"/>
        </w:rPr>
        <w:t>:</w:t>
      </w:r>
    </w:p>
    <w:p w14:paraId="3EC0F560" w14:textId="77777777" w:rsidR="009874AB" w:rsidRPr="00B05208" w:rsidRDefault="009874AB" w:rsidP="009874AB">
      <w:pPr>
        <w:spacing w:after="0" w:line="240" w:lineRule="auto"/>
        <w:rPr>
          <w:rFonts w:ascii="Calibri" w:eastAsia="Aptos" w:hAnsi="Calibri" w:cs="Calibri"/>
          <w:sz w:val="18"/>
          <w:szCs w:val="18"/>
        </w:rPr>
      </w:pPr>
      <w:r w:rsidRPr="00F84ABE">
        <w:rPr>
          <w:rFonts w:ascii="Calibri" w:eastAsia="Aptos" w:hAnsi="Calibri" w:cs="Calibri"/>
          <w:b/>
          <w:color w:val="00188F"/>
          <w:sz w:val="18"/>
          <w:szCs w:val="18"/>
        </w:rPr>
        <w:t xml:space="preserve">„Zasób </w:t>
      </w:r>
      <w:proofErr w:type="spellStart"/>
      <w:r w:rsidRPr="00F84ABE">
        <w:rPr>
          <w:rFonts w:ascii="Calibri" w:eastAsia="Aptos" w:hAnsi="Calibri" w:cs="Calibri"/>
          <w:b/>
          <w:color w:val="00188F"/>
          <w:sz w:val="18"/>
          <w:szCs w:val="18"/>
        </w:rPr>
        <w:t>Azure</w:t>
      </w:r>
      <w:proofErr w:type="spellEnd"/>
      <w:r w:rsidRPr="00F84ABE">
        <w:rPr>
          <w:rFonts w:ascii="Calibri" w:eastAsia="Aptos" w:hAnsi="Calibri" w:cs="Calibri"/>
          <w:b/>
          <w:color w:val="00188F"/>
          <w:sz w:val="18"/>
          <w:szCs w:val="18"/>
        </w:rPr>
        <w:t xml:space="preserve"> AI </w:t>
      </w:r>
      <w:proofErr w:type="spellStart"/>
      <w:r w:rsidRPr="00F84ABE">
        <w:rPr>
          <w:rFonts w:ascii="Calibri" w:eastAsia="Aptos" w:hAnsi="Calibri" w:cs="Calibri"/>
          <w:b/>
          <w:color w:val="00188F"/>
          <w:sz w:val="18"/>
          <w:szCs w:val="18"/>
        </w:rPr>
        <w:t>Foundry</w:t>
      </w:r>
      <w:proofErr w:type="spellEnd"/>
      <w:r w:rsidRPr="00F84ABE">
        <w:rPr>
          <w:rFonts w:ascii="Calibri" w:eastAsia="Aptos" w:hAnsi="Calibri" w:cs="Calibri"/>
          <w:b/>
          <w:color w:val="00188F"/>
          <w:sz w:val="18"/>
          <w:szCs w:val="18"/>
        </w:rPr>
        <w:t>” </w:t>
      </w:r>
      <w:r>
        <w:rPr>
          <w:rFonts w:ascii="Calibri" w:eastAsia="Aptos" w:hAnsi="Calibri" w:cs="Calibri"/>
          <w:sz w:val="18"/>
          <w:szCs w:val="18"/>
        </w:rPr>
        <w:t xml:space="preserve">odnosi się do zasobu platformy </w:t>
      </w:r>
      <w:proofErr w:type="spellStart"/>
      <w:r>
        <w:rPr>
          <w:rFonts w:ascii="Calibri" w:eastAsia="Aptos" w:hAnsi="Calibri" w:cs="Calibri"/>
          <w:sz w:val="18"/>
          <w:szCs w:val="18"/>
        </w:rPr>
        <w:t>Azure</w:t>
      </w:r>
      <w:proofErr w:type="spellEnd"/>
      <w:r>
        <w:rPr>
          <w:rFonts w:ascii="Calibri" w:eastAsia="Aptos" w:hAnsi="Calibri" w:cs="Calibri"/>
          <w:sz w:val="18"/>
          <w:szCs w:val="18"/>
        </w:rPr>
        <w:t xml:space="preserve"> dla Microsoft </w:t>
      </w:r>
      <w:proofErr w:type="spellStart"/>
      <w:r>
        <w:rPr>
          <w:rFonts w:ascii="Calibri" w:eastAsia="Aptos" w:hAnsi="Calibri" w:cs="Calibri"/>
          <w:sz w:val="18"/>
          <w:szCs w:val="18"/>
        </w:rPr>
        <w:t>Foundry</w:t>
      </w:r>
      <w:proofErr w:type="spellEnd"/>
      <w:r>
        <w:rPr>
          <w:rFonts w:ascii="Calibri" w:eastAsia="Aptos" w:hAnsi="Calibri" w:cs="Calibri"/>
          <w:sz w:val="18"/>
          <w:szCs w:val="18"/>
        </w:rPr>
        <w:t xml:space="preserve"> utworzonego w regionie świadczenia platformy </w:t>
      </w:r>
      <w:proofErr w:type="spellStart"/>
      <w:r>
        <w:rPr>
          <w:rFonts w:ascii="Calibri" w:eastAsia="Aptos" w:hAnsi="Calibri" w:cs="Calibri"/>
          <w:sz w:val="18"/>
          <w:szCs w:val="18"/>
        </w:rPr>
        <w:t>Azure</w:t>
      </w:r>
      <w:proofErr w:type="spellEnd"/>
      <w:r>
        <w:rPr>
          <w:rFonts w:ascii="Calibri" w:eastAsia="Aptos" w:hAnsi="Calibri" w:cs="Calibri"/>
          <w:sz w:val="18"/>
          <w:szCs w:val="18"/>
        </w:rPr>
        <w:t xml:space="preserve"> w ramach subskrypcji Microsoft </w:t>
      </w:r>
      <w:proofErr w:type="spellStart"/>
      <w:r>
        <w:rPr>
          <w:rFonts w:ascii="Calibri" w:eastAsia="Aptos" w:hAnsi="Calibri" w:cs="Calibri"/>
          <w:sz w:val="18"/>
          <w:szCs w:val="18"/>
        </w:rPr>
        <w:t>Azure</w:t>
      </w:r>
      <w:proofErr w:type="spellEnd"/>
      <w:r>
        <w:rPr>
          <w:rFonts w:ascii="Calibri" w:eastAsia="Aptos" w:hAnsi="Calibri" w:cs="Calibri"/>
          <w:sz w:val="18"/>
          <w:szCs w:val="18"/>
        </w:rPr>
        <w:t>.</w:t>
      </w:r>
    </w:p>
    <w:p w14:paraId="0B924429" w14:textId="77777777" w:rsidR="009874AB" w:rsidRPr="00B05208" w:rsidRDefault="009874AB" w:rsidP="009874AB">
      <w:pPr>
        <w:tabs>
          <w:tab w:val="left" w:pos="360"/>
          <w:tab w:val="left" w:pos="720"/>
          <w:tab w:val="left" w:pos="1080"/>
        </w:tabs>
        <w:spacing w:after="0" w:line="240" w:lineRule="auto"/>
        <w:rPr>
          <w:rFonts w:ascii="Calibri" w:eastAsia="Aptos" w:hAnsi="Calibri" w:cs="Calibri"/>
          <w:sz w:val="18"/>
          <w:szCs w:val="18"/>
        </w:rPr>
      </w:pPr>
      <w:r w:rsidRPr="00F84ABE">
        <w:rPr>
          <w:rFonts w:ascii="Calibri" w:eastAsia="Aptos" w:hAnsi="Calibri" w:cs="Calibri"/>
          <w:b/>
          <w:color w:val="00188F"/>
          <w:sz w:val="18"/>
          <w:szCs w:val="18"/>
        </w:rPr>
        <w:t>„Żądanie” </w:t>
      </w:r>
      <w:r>
        <w:rPr>
          <w:rFonts w:ascii="Calibri" w:eastAsia="Aptos" w:hAnsi="Calibri" w:cs="Calibri"/>
          <w:sz w:val="18"/>
          <w:szCs w:val="18"/>
        </w:rPr>
        <w:t xml:space="preserve">jest wywołaniem interfejsu API do punktu końcowego w Zasobie Microsoft </w:t>
      </w:r>
      <w:proofErr w:type="spellStart"/>
      <w:r>
        <w:rPr>
          <w:rFonts w:ascii="Calibri" w:eastAsia="Aptos" w:hAnsi="Calibri" w:cs="Calibri"/>
          <w:sz w:val="18"/>
          <w:szCs w:val="18"/>
        </w:rPr>
        <w:t>Foundry</w:t>
      </w:r>
      <w:proofErr w:type="spellEnd"/>
      <w:r>
        <w:rPr>
          <w:rFonts w:ascii="Calibri" w:eastAsia="Aptos" w:hAnsi="Calibri" w:cs="Calibri"/>
          <w:sz w:val="18"/>
          <w:szCs w:val="18"/>
        </w:rPr>
        <w:t>.</w:t>
      </w:r>
    </w:p>
    <w:p w14:paraId="054D9C09" w14:textId="77777777" w:rsidR="009874AB" w:rsidRPr="00B05208" w:rsidRDefault="009874AB" w:rsidP="009874AB">
      <w:pPr>
        <w:tabs>
          <w:tab w:val="left" w:pos="360"/>
          <w:tab w:val="left" w:pos="720"/>
          <w:tab w:val="left" w:pos="1080"/>
        </w:tabs>
        <w:spacing w:after="0" w:line="240" w:lineRule="auto"/>
        <w:rPr>
          <w:rFonts w:ascii="Calibri" w:eastAsia="Aptos" w:hAnsi="Calibri" w:cs="Calibri"/>
          <w:sz w:val="18"/>
          <w:szCs w:val="18"/>
        </w:rPr>
      </w:pPr>
      <w:r w:rsidRPr="00F84ABE">
        <w:rPr>
          <w:rFonts w:ascii="Calibri" w:eastAsia="Aptos" w:hAnsi="Calibri" w:cs="Calibri"/>
          <w:b/>
          <w:color w:val="00188F"/>
          <w:sz w:val="18"/>
          <w:szCs w:val="18"/>
        </w:rPr>
        <w:t>„Średnia Częstość Błędów” </w:t>
      </w:r>
      <w:r>
        <w:rPr>
          <w:rFonts w:ascii="Calibri" w:eastAsia="Aptos" w:hAnsi="Calibri" w:cs="Calibri"/>
          <w:sz w:val="18"/>
          <w:szCs w:val="18"/>
        </w:rPr>
        <w:t>we Właściwym Okresie to suma Częstości Błędów dla każdej minuty we Właściwym Okresie podzielona przez łączną liczbę minut we Właściwym Okresie.</w:t>
      </w:r>
    </w:p>
    <w:p w14:paraId="0D67AF28" w14:textId="77777777" w:rsidR="009874AB" w:rsidRPr="00B05208" w:rsidRDefault="009874AB" w:rsidP="009874AB">
      <w:pPr>
        <w:tabs>
          <w:tab w:val="left" w:pos="360"/>
          <w:tab w:val="left" w:pos="720"/>
          <w:tab w:val="left" w:pos="1080"/>
        </w:tabs>
        <w:spacing w:after="0" w:line="240" w:lineRule="auto"/>
        <w:rPr>
          <w:rFonts w:ascii="Calibri" w:eastAsia="Aptos" w:hAnsi="Calibri" w:cs="Calibri"/>
          <w:sz w:val="18"/>
          <w:szCs w:val="18"/>
        </w:rPr>
      </w:pPr>
      <w:r w:rsidRPr="00F84ABE">
        <w:rPr>
          <w:rFonts w:ascii="Calibri" w:eastAsia="Aptos" w:hAnsi="Calibri" w:cs="Calibri"/>
          <w:b/>
          <w:color w:val="00188F"/>
          <w:sz w:val="18"/>
          <w:szCs w:val="18"/>
        </w:rPr>
        <w:t>„Częstość Błędów” </w:t>
      </w:r>
      <w:r>
        <w:rPr>
          <w:rFonts w:ascii="Calibri" w:eastAsia="Aptos" w:hAnsi="Calibri" w:cs="Calibri"/>
          <w:sz w:val="18"/>
          <w:szCs w:val="18"/>
        </w:rPr>
        <w:t>to łączna liczba Żądań, które zwracają Kod Błędu, podzielona przez łączną liczbę Żądań w ciągu minuty. Jeśli łączna liczba Żądań w danym przedziale jednominutowym wynosi zero, częstość błędów dla tego przedziału wynosi 0%.</w:t>
      </w:r>
    </w:p>
    <w:p w14:paraId="5DB7599C" w14:textId="77777777" w:rsidR="009874AB" w:rsidRPr="00B05208" w:rsidRDefault="009874AB" w:rsidP="009874AB">
      <w:pPr>
        <w:tabs>
          <w:tab w:val="left" w:pos="360"/>
          <w:tab w:val="left" w:pos="720"/>
          <w:tab w:val="left" w:pos="1080"/>
        </w:tabs>
        <w:spacing w:after="0" w:line="240" w:lineRule="auto"/>
        <w:rPr>
          <w:rFonts w:ascii="Aptos" w:eastAsia="Aptos" w:hAnsi="Aptos" w:cs="Times New Roman"/>
          <w:sz w:val="18"/>
          <w:szCs w:val="18"/>
        </w:rPr>
      </w:pPr>
      <w:r w:rsidRPr="00F84ABE">
        <w:rPr>
          <w:rFonts w:ascii="Calibri" w:eastAsia="Aptos" w:hAnsi="Calibri" w:cs="Calibri"/>
          <w:b/>
          <w:color w:val="00188F"/>
          <w:sz w:val="18"/>
          <w:szCs w:val="18"/>
        </w:rPr>
        <w:t>„Procent Czasu Sprawnego Działania” </w:t>
      </w:r>
      <w:r>
        <w:rPr>
          <w:rFonts w:ascii="Calibri" w:eastAsia="Aptos" w:hAnsi="Calibri" w:cs="Calibri"/>
          <w:sz w:val="18"/>
          <w:szCs w:val="18"/>
        </w:rPr>
        <w:t>przedstawia się za pomocą następującego wzoru:</w:t>
      </w:r>
      <w:r>
        <w:br/>
      </w:r>
    </w:p>
    <w:p w14:paraId="5DF5ABD5" w14:textId="77777777" w:rsidR="009874AB" w:rsidRPr="00B05208" w:rsidRDefault="009874AB" w:rsidP="003951D3">
      <w:pPr>
        <w:tabs>
          <w:tab w:val="left" w:pos="360"/>
          <w:tab w:val="left" w:pos="720"/>
          <w:tab w:val="left" w:pos="1080"/>
        </w:tabs>
        <w:spacing w:after="120" w:line="240" w:lineRule="auto"/>
        <w:rPr>
          <w:rFonts w:ascii="Aptos" w:eastAsia="Aptos" w:hAnsi="Aptos" w:cs="Times New Roman"/>
          <w:b/>
          <w:color w:val="00188F"/>
          <w:sz w:val="18"/>
        </w:rPr>
      </w:pPr>
      <m:oMathPara>
        <m:oMath>
          <m:r>
            <w:rPr>
              <w:rFonts w:ascii="Cambria Math" w:eastAsia="Aptos" w:hAnsi="Cambria Math" w:cs="Tahoma"/>
              <w:sz w:val="18"/>
              <w:szCs w:val="18"/>
            </w:rPr>
            <m:t>Procent Czasu Sprawnego Działania w Miesiącu = 100% - Średnia Częstość Błędów</m:t>
          </m:r>
        </m:oMath>
      </m:oMathPara>
    </w:p>
    <w:p w14:paraId="34CDF561" w14:textId="77777777" w:rsidR="009874AB" w:rsidRPr="00B05208" w:rsidRDefault="009874AB" w:rsidP="009874AB">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Środki Serwisowe na Używanie Usług</w:t>
      </w:r>
      <w:r w:rsidRPr="00624A46">
        <w:rPr>
          <w:rFonts w:ascii="Calibri" w:eastAsia="Calibri" w:hAnsi="Calibri" w:cs="Arial"/>
          <w:b/>
          <w:color w:val="00188F"/>
          <w:sz w:val="18"/>
        </w:rPr>
        <w:t>:</w:t>
      </w:r>
    </w:p>
    <w:tbl>
      <w:tblPr>
        <w:tblW w:w="0" w:type="auto"/>
        <w:tblInd w:w="5" w:type="dxa"/>
        <w:shd w:val="clear" w:color="auto" w:fill="FFFFFF"/>
        <w:tblLook w:val="04A0" w:firstRow="1" w:lastRow="0" w:firstColumn="1" w:lastColumn="0" w:noHBand="0" w:noVBand="1"/>
      </w:tblPr>
      <w:tblGrid>
        <w:gridCol w:w="5394"/>
        <w:gridCol w:w="5381"/>
      </w:tblGrid>
      <w:tr w:rsidR="009874AB" w14:paraId="65EA2F20" w14:textId="77777777" w:rsidTr="00E1735E">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5C4B4C66" w14:textId="77777777" w:rsidR="009874AB" w:rsidRPr="00B05208" w:rsidRDefault="009874AB"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 Czasu Sprawnego Działania</w:t>
            </w:r>
          </w:p>
        </w:tc>
        <w:tc>
          <w:tcPr>
            <w:tcW w:w="5381" w:type="dxa"/>
            <w:tcBorders>
              <w:top w:val="single" w:sz="8" w:space="0" w:color="000000"/>
              <w:left w:val="nil"/>
              <w:bottom w:val="single" w:sz="8" w:space="0" w:color="000000"/>
              <w:right w:val="single" w:sz="8" w:space="0" w:color="000000"/>
            </w:tcBorders>
            <w:shd w:val="clear" w:color="auto" w:fill="0072C6"/>
            <w:hideMark/>
          </w:tcPr>
          <w:p w14:paraId="4FBECDCE" w14:textId="77777777" w:rsidR="009874AB" w:rsidRPr="00B05208" w:rsidRDefault="009874AB"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Środki Serwisowe na Używanie Usług</w:t>
            </w:r>
          </w:p>
        </w:tc>
      </w:tr>
      <w:tr w:rsidR="009874AB" w14:paraId="6803B515"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641ECFEA" w14:textId="77777777" w:rsidR="009874AB" w:rsidRPr="00B05208" w:rsidRDefault="009874AB"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&lt;99,9%</w:t>
            </w:r>
          </w:p>
        </w:tc>
        <w:tc>
          <w:tcPr>
            <w:tcW w:w="5381" w:type="dxa"/>
            <w:tcBorders>
              <w:top w:val="nil"/>
              <w:left w:val="nil"/>
              <w:bottom w:val="single" w:sz="8" w:space="0" w:color="000000"/>
              <w:right w:val="single" w:sz="8" w:space="0" w:color="000000"/>
            </w:tcBorders>
            <w:shd w:val="clear" w:color="auto" w:fill="FFFFFF"/>
            <w:hideMark/>
          </w:tcPr>
          <w:p w14:paraId="0D1B366D" w14:textId="77777777" w:rsidR="009874AB" w:rsidRPr="00B05208" w:rsidRDefault="009874AB"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9874AB" w14:paraId="3A2DECE4" w14:textId="77777777" w:rsidTr="00E1735E">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146DD63" w14:textId="77777777" w:rsidR="009874AB" w:rsidRPr="00B05208" w:rsidRDefault="009874AB"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&lt;99%</w:t>
            </w:r>
          </w:p>
        </w:tc>
        <w:tc>
          <w:tcPr>
            <w:tcW w:w="5381" w:type="dxa"/>
            <w:tcBorders>
              <w:top w:val="nil"/>
              <w:left w:val="nil"/>
              <w:bottom w:val="single" w:sz="8" w:space="0" w:color="000000"/>
              <w:right w:val="single" w:sz="8" w:space="0" w:color="000000"/>
            </w:tcBorders>
            <w:shd w:val="clear" w:color="auto" w:fill="FFFFFF"/>
            <w:hideMark/>
          </w:tcPr>
          <w:p w14:paraId="46A81B59" w14:textId="77777777" w:rsidR="009874AB" w:rsidRPr="00B05208" w:rsidRDefault="009874AB" w:rsidP="00E1735E">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06705B6F" w14:textId="77777777" w:rsidR="009874AB" w:rsidRPr="00EF7CF9" w:rsidRDefault="009874AB" w:rsidP="009874A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F32F0A1" w14:textId="18AC11E0" w:rsidR="003951D3" w:rsidRPr="0097016C" w:rsidRDefault="003951D3" w:rsidP="003951D3">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7" w:name="_Toc230011463"/>
      <w:proofErr w:type="spellStart"/>
      <w:r>
        <w:rPr>
          <w:rFonts w:ascii="Calibri Light" w:eastAsia="Calibri" w:hAnsi="Calibri Light" w:cs="Arial"/>
          <w:b/>
          <w:color w:val="0072C6"/>
          <w:sz w:val="28"/>
        </w:rPr>
        <w:t>Foundry</w:t>
      </w:r>
      <w:proofErr w:type="spellEnd"/>
      <w:r>
        <w:rPr>
          <w:rFonts w:ascii="Calibri Light" w:eastAsia="Calibri" w:hAnsi="Calibri Light" w:cs="Arial"/>
          <w:b/>
          <w:color w:val="0072C6"/>
          <w:sz w:val="28"/>
        </w:rPr>
        <w:t xml:space="preserve"> Content </w:t>
      </w:r>
      <w:proofErr w:type="spellStart"/>
      <w:r>
        <w:rPr>
          <w:rFonts w:ascii="Calibri Light" w:eastAsia="Calibri" w:hAnsi="Calibri Light" w:cs="Arial"/>
          <w:b/>
          <w:color w:val="0072C6"/>
          <w:sz w:val="28"/>
        </w:rPr>
        <w:t>Safety</w:t>
      </w:r>
      <w:bookmarkEnd w:id="367"/>
      <w:proofErr w:type="spellEnd"/>
    </w:p>
    <w:p w14:paraId="40464574" w14:textId="77777777" w:rsidR="003951D3" w:rsidRPr="0097016C" w:rsidRDefault="003951D3" w:rsidP="003951D3">
      <w:pPr>
        <w:tabs>
          <w:tab w:val="left" w:pos="360"/>
          <w:tab w:val="left" w:pos="720"/>
          <w:tab w:val="left" w:pos="1080"/>
        </w:tabs>
        <w:spacing w:after="0" w:line="240" w:lineRule="auto"/>
        <w:rPr>
          <w:rFonts w:ascii="Calibri" w:eastAsia="Aptos" w:hAnsi="Calibri" w:cs="Calibri"/>
          <w:sz w:val="18"/>
        </w:rPr>
      </w:pPr>
      <w:r>
        <w:rPr>
          <w:rFonts w:ascii="Calibri" w:eastAsia="Aptos" w:hAnsi="Calibri" w:cs="Calibri"/>
          <w:b/>
          <w:color w:val="00188F"/>
          <w:sz w:val="18"/>
        </w:rPr>
        <w:t>Dodatkowe definicje</w:t>
      </w:r>
      <w:r w:rsidRPr="00F84ABE">
        <w:rPr>
          <w:rFonts w:ascii="Calibri" w:eastAsia="Aptos" w:hAnsi="Calibri" w:cs="Calibri"/>
          <w:b/>
          <w:bCs/>
          <w:sz w:val="18"/>
        </w:rPr>
        <w:t>:</w:t>
      </w:r>
    </w:p>
    <w:p w14:paraId="62E33B5F" w14:textId="77777777" w:rsidR="003951D3" w:rsidRPr="0097016C" w:rsidRDefault="003951D3" w:rsidP="003951D3">
      <w:pPr>
        <w:spacing w:after="0" w:line="240" w:lineRule="auto"/>
        <w:rPr>
          <w:rFonts w:ascii="Calibri" w:eastAsia="Aptos" w:hAnsi="Calibri" w:cs="Calibri"/>
          <w:sz w:val="18"/>
          <w:szCs w:val="18"/>
        </w:rPr>
      </w:pPr>
      <w:r w:rsidRPr="00F84ABE">
        <w:rPr>
          <w:rFonts w:ascii="Calibri" w:eastAsia="Aptos" w:hAnsi="Calibri" w:cs="Calibri"/>
          <w:b/>
          <w:color w:val="00188F"/>
          <w:sz w:val="18"/>
          <w:szCs w:val="18"/>
        </w:rPr>
        <w:t>„</w:t>
      </w:r>
      <w:r>
        <w:rPr>
          <w:rFonts w:ascii="Calibri" w:eastAsia="Aptos" w:hAnsi="Calibri" w:cs="Calibri"/>
          <w:b/>
          <w:color w:val="00188F"/>
          <w:sz w:val="18"/>
          <w:szCs w:val="18"/>
        </w:rPr>
        <w:t>Łączna Liczba Prób Transakcji</w:t>
      </w:r>
      <w:r w:rsidRPr="00F84ABE">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 xml:space="preserve">to łączna liczba uwierzytelnionych żądań interfejsu API klienta we Właściwym Okresie dla danego interfejsu API usługi </w:t>
      </w:r>
      <w:proofErr w:type="spellStart"/>
      <w:r>
        <w:rPr>
          <w:rFonts w:ascii="Calibri" w:eastAsia="Aptos" w:hAnsi="Calibri" w:cs="Calibri"/>
          <w:sz w:val="18"/>
          <w:szCs w:val="18"/>
        </w:rPr>
        <w:t>Azure</w:t>
      </w:r>
      <w:proofErr w:type="spellEnd"/>
      <w:r>
        <w:rPr>
          <w:rFonts w:ascii="Calibri" w:eastAsia="Aptos" w:hAnsi="Calibri" w:cs="Calibri"/>
          <w:sz w:val="18"/>
          <w:szCs w:val="18"/>
        </w:rPr>
        <w:t xml:space="preserve"> AI. Łączna Liczba Prób Transakcji nie obejmuje żądań interfejsu API zwracających Kod Błędu, które są stale powtarzane w ciągu pięciu minut od otrzymania pierwszego Kodu Błędu.</w:t>
      </w:r>
    </w:p>
    <w:p w14:paraId="4269893F" w14:textId="77777777" w:rsidR="003951D3" w:rsidRPr="0097016C" w:rsidRDefault="003951D3" w:rsidP="003951D3">
      <w:pPr>
        <w:spacing w:after="0" w:line="240" w:lineRule="auto"/>
        <w:rPr>
          <w:rFonts w:ascii="Calibri" w:eastAsia="PMingLiU" w:hAnsi="Calibri" w:cs="Calibri"/>
          <w:sz w:val="18"/>
          <w:szCs w:val="18"/>
        </w:rPr>
      </w:pPr>
      <w:r w:rsidRPr="00F84ABE">
        <w:rPr>
          <w:rFonts w:ascii="Calibri" w:eastAsia="Aptos" w:hAnsi="Calibri" w:cs="Calibri"/>
          <w:b/>
          <w:color w:val="00188F"/>
          <w:sz w:val="18"/>
          <w:szCs w:val="18"/>
        </w:rPr>
        <w:t>„</w:t>
      </w:r>
      <w:r>
        <w:rPr>
          <w:rFonts w:ascii="Calibri" w:eastAsia="Aptos" w:hAnsi="Calibri" w:cs="Calibri"/>
          <w:b/>
          <w:color w:val="00188F"/>
          <w:sz w:val="18"/>
          <w:szCs w:val="18"/>
        </w:rPr>
        <w:t>Transakcje Zakończone Niepowodzeniem</w:t>
      </w:r>
      <w:r w:rsidRPr="00F84ABE">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 xml:space="preserve">to zbiór wszystkich żądań do interfejsu API usługi </w:t>
      </w:r>
      <w:proofErr w:type="spellStart"/>
      <w:r>
        <w:rPr>
          <w:rFonts w:ascii="Calibri" w:eastAsia="Aptos" w:hAnsi="Calibri" w:cs="Calibri"/>
          <w:sz w:val="18"/>
          <w:szCs w:val="18"/>
        </w:rPr>
        <w:t>Foundry</w:t>
      </w:r>
      <w:proofErr w:type="spellEnd"/>
      <w:r>
        <w:rPr>
          <w:rFonts w:ascii="Calibri" w:eastAsia="Aptos" w:hAnsi="Calibri" w:cs="Calibri"/>
          <w:sz w:val="18"/>
          <w:szCs w:val="18"/>
        </w:rPr>
        <w:t xml:space="preserve"> Content </w:t>
      </w:r>
      <w:proofErr w:type="spellStart"/>
      <w:r>
        <w:rPr>
          <w:rFonts w:ascii="Calibri" w:eastAsia="Aptos" w:hAnsi="Calibri" w:cs="Calibri"/>
          <w:sz w:val="18"/>
          <w:szCs w:val="18"/>
        </w:rPr>
        <w:t>Safety</w:t>
      </w:r>
      <w:proofErr w:type="spellEnd"/>
      <w:r>
        <w:rPr>
          <w:rFonts w:ascii="Calibri" w:eastAsia="Aptos" w:hAnsi="Calibri" w:cs="Calibri"/>
          <w:sz w:val="18"/>
          <w:szCs w:val="18"/>
        </w:rPr>
        <w:t xml:space="preserve"> w ramach Łącznej Liczby Prób Transakcji, które zwracają Kod Błędu. Próby Transakcji Zakończone Niepowodzeniem nie obejmują żądań interfejsu API zwracających Kod Błędu, które są stale powtarzane w ciągu pięciu minut od otrzymania pierwszego Kodu Błędu.</w:t>
      </w:r>
    </w:p>
    <w:p w14:paraId="65C318A4" w14:textId="77777777" w:rsidR="003951D3" w:rsidRPr="0097016C" w:rsidRDefault="003951D3" w:rsidP="003951D3">
      <w:pPr>
        <w:spacing w:after="0" w:line="240" w:lineRule="auto"/>
        <w:rPr>
          <w:rFonts w:ascii="Calibri" w:eastAsia="Aptos" w:hAnsi="Calibri" w:cs="Calibri"/>
          <w:sz w:val="18"/>
          <w:szCs w:val="18"/>
        </w:rPr>
      </w:pPr>
      <w:r w:rsidRPr="00F84ABE">
        <w:rPr>
          <w:rFonts w:ascii="Calibri" w:eastAsia="Aptos" w:hAnsi="Calibri" w:cs="Calibri"/>
          <w:b/>
          <w:color w:val="00188F"/>
          <w:sz w:val="18"/>
          <w:szCs w:val="18"/>
        </w:rPr>
        <w:t>„</w:t>
      </w:r>
      <w:r>
        <w:rPr>
          <w:rFonts w:ascii="Calibri" w:eastAsia="Aptos" w:hAnsi="Calibri" w:cs="Calibri"/>
          <w:b/>
          <w:color w:val="00188F"/>
          <w:sz w:val="18"/>
          <w:szCs w:val="18"/>
        </w:rPr>
        <w:t>Procent Czasu Sprawnego Działania</w:t>
      </w:r>
      <w:r w:rsidRPr="00F84ABE">
        <w:rPr>
          <w:rFonts w:ascii="Calibri" w:eastAsia="Aptos" w:hAnsi="Calibri" w:cs="Calibri"/>
          <w:b/>
          <w:color w:val="00188F"/>
          <w:sz w:val="18"/>
          <w:szCs w:val="18"/>
        </w:rPr>
        <w:t>”</w:t>
      </w:r>
      <w:r>
        <w:rPr>
          <w:rFonts w:ascii="Calibri" w:eastAsia="PMingLiU" w:hAnsi="Calibri" w:cs="Calibri"/>
          <w:sz w:val="18"/>
          <w:szCs w:val="18"/>
        </w:rPr>
        <w:t xml:space="preserve"> </w:t>
      </w:r>
      <w:r>
        <w:rPr>
          <w:rFonts w:ascii="Calibri" w:eastAsia="Aptos" w:hAnsi="Calibri" w:cs="Calibri"/>
          <w:sz w:val="18"/>
          <w:szCs w:val="18"/>
        </w:rPr>
        <w:t>dla każdej Usługi API jest obliczany jako Łączna Liczba Prób Transakcji pomniejszona o Transakcje Zakończone Niepowodzeniem podzielona przez Łączną Liczbę Prób Transakcji we Właściwym Okresie dla danej subskrypcji API.</w:t>
      </w:r>
    </w:p>
    <w:p w14:paraId="089534DB" w14:textId="77777777" w:rsidR="003951D3" w:rsidRPr="0097016C" w:rsidRDefault="003951D3" w:rsidP="003951D3">
      <w:pPr>
        <w:spacing w:after="0" w:line="240" w:lineRule="auto"/>
        <w:rPr>
          <w:rFonts w:ascii="Calibri" w:eastAsia="PMingLiU" w:hAnsi="Calibri" w:cs="Calibri"/>
          <w:sz w:val="18"/>
          <w:szCs w:val="18"/>
        </w:rPr>
      </w:pPr>
      <w:r>
        <w:rPr>
          <w:rFonts w:ascii="Calibri" w:eastAsia="Aptos" w:hAnsi="Calibri" w:cs="Calibri"/>
          <w:sz w:val="18"/>
          <w:szCs w:val="18"/>
        </w:rPr>
        <w:t>Procent Czasu Sprawnego Działania przedstawia się za pomocą następującego wzoru</w:t>
      </w:r>
      <w:r>
        <w:rPr>
          <w:rFonts w:ascii="Calibri" w:eastAsia="PMingLiU" w:hAnsi="Calibri" w:cs="Calibri"/>
          <w:sz w:val="18"/>
          <w:szCs w:val="18"/>
        </w:rPr>
        <w:t>:</w:t>
      </w:r>
    </w:p>
    <w:p w14:paraId="5F1970E6" w14:textId="77777777" w:rsidR="003951D3" w:rsidRPr="0097016C" w:rsidRDefault="003951D3" w:rsidP="003951D3">
      <w:pPr>
        <w:spacing w:before="120" w:after="0" w:line="240" w:lineRule="auto"/>
        <w:ind w:left="-369" w:right="-54"/>
        <w:rPr>
          <w:rFonts w:ascii="Cambria Math" w:eastAsia="Aptos" w:hAnsi="Cambria Math" w:cs="Tahoma"/>
          <w:i/>
          <w:color w:val="000000"/>
          <w:sz w:val="18"/>
          <w:szCs w:val="18"/>
        </w:rPr>
      </w:pPr>
      <m:oMathPara>
        <m:oMath>
          <m:r>
            <w:rPr>
              <w:rFonts w:ascii="Cambria Math" w:eastAsia="Aptos" w:hAnsi="Cambria Math" w:cs="Tahoma"/>
              <w:sz w:val="18"/>
              <w:szCs w:val="18"/>
            </w:rPr>
            <m:t xml:space="preserve">Procent Czasu Sprawnego Działania w Miesiącu = </m:t>
          </m:r>
          <m:f>
            <m:fPr>
              <m:ctrlPr>
                <w:rPr>
                  <w:rFonts w:ascii="Cambria Math" w:eastAsia="Aptos" w:hAnsi="Cambria Math" w:cs="Tahoma"/>
                  <w:color w:val="000000"/>
                  <w:sz w:val="18"/>
                  <w:szCs w:val="18"/>
                </w:rPr>
              </m:ctrlPr>
            </m:fPr>
            <m:num>
              <m:r>
                <w:rPr>
                  <w:rFonts w:ascii="Cambria Math" w:eastAsia="Aptos" w:hAnsi="Cambria Math" w:cs="Tahoma"/>
                  <w:color w:val="000000"/>
                  <w:sz w:val="18"/>
                  <w:szCs w:val="18"/>
                </w:rPr>
                <m:t>(Łączna Liczba Prób Transakcji - Transakcje Zakończone Niepowodzeniem)</m:t>
              </m:r>
            </m:num>
            <m:den>
              <m:r>
                <w:rPr>
                  <w:rFonts w:ascii="Cambria Math" w:eastAsia="Aptos" w:hAnsi="Cambria Math" w:cs="Tahoma"/>
                  <w:color w:val="000000"/>
                  <w:sz w:val="18"/>
                  <w:szCs w:val="18"/>
                </w:rPr>
                <m:t>Łączna Liczba Prób Transakcji</m:t>
              </m:r>
            </m:den>
          </m:f>
          <m:r>
            <w:rPr>
              <w:rFonts w:ascii="Cambria Math" w:eastAsia="Aptos" w:hAnsi="Cambria Math" w:cs="Tahoma"/>
              <w:color w:val="000000"/>
              <w:sz w:val="18"/>
              <w:szCs w:val="18"/>
            </w:rPr>
            <m:t xml:space="preserve"> x 100</m:t>
          </m:r>
        </m:oMath>
      </m:oMathPara>
    </w:p>
    <w:p w14:paraId="6E0D225C" w14:textId="77777777" w:rsidR="003951D3" w:rsidRPr="0097016C" w:rsidRDefault="003951D3" w:rsidP="003951D3">
      <w:pPr>
        <w:spacing w:after="0" w:line="240" w:lineRule="auto"/>
        <w:rPr>
          <w:rFonts w:ascii="Calibri" w:eastAsia="PMingLiU" w:hAnsi="Calibri" w:cs="Calibri"/>
          <w:sz w:val="18"/>
          <w:szCs w:val="18"/>
        </w:rPr>
      </w:pPr>
      <w:r>
        <w:rPr>
          <w:rFonts w:ascii="Calibri" w:eastAsia="PMingLiU" w:hAnsi="Calibri" w:cs="Calibri"/>
          <w:b/>
          <w:color w:val="00188F"/>
          <w:sz w:val="18"/>
          <w:szCs w:val="18"/>
        </w:rPr>
        <w:t>Środki Serwisowe na Używanie Usług</w:t>
      </w:r>
      <w:r w:rsidRPr="00624A46">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3951D3" w14:paraId="32F3C388" w14:textId="77777777" w:rsidTr="00E1735E">
        <w:trPr>
          <w:tblHeader/>
        </w:trPr>
        <w:tc>
          <w:tcPr>
            <w:tcW w:w="5400" w:type="dxa"/>
            <w:shd w:val="clear" w:color="auto" w:fill="0072C6"/>
          </w:tcPr>
          <w:p w14:paraId="08EC1877" w14:textId="77777777" w:rsidR="003951D3" w:rsidRPr="0097016C" w:rsidRDefault="003951D3"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64733637" w14:textId="77777777" w:rsidR="003951D3" w:rsidRPr="0097016C" w:rsidRDefault="003951D3"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3951D3" w14:paraId="4A9F2DCF" w14:textId="77777777" w:rsidTr="00E1735E">
        <w:tc>
          <w:tcPr>
            <w:tcW w:w="5400" w:type="dxa"/>
          </w:tcPr>
          <w:p w14:paraId="4CA1134B" w14:textId="77777777" w:rsidR="003951D3" w:rsidRPr="0097016C" w:rsidRDefault="003951D3"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w:t>
            </w:r>
          </w:p>
        </w:tc>
        <w:tc>
          <w:tcPr>
            <w:tcW w:w="5400" w:type="dxa"/>
          </w:tcPr>
          <w:p w14:paraId="5A6E0ABF" w14:textId="77777777" w:rsidR="003951D3" w:rsidRPr="0097016C" w:rsidRDefault="003951D3"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3951D3" w14:paraId="7349C604" w14:textId="77777777" w:rsidTr="00E1735E">
        <w:tc>
          <w:tcPr>
            <w:tcW w:w="5400" w:type="dxa"/>
          </w:tcPr>
          <w:p w14:paraId="57AD31AB" w14:textId="77777777" w:rsidR="003951D3" w:rsidRPr="0097016C" w:rsidRDefault="003951D3"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2A57544D" w14:textId="77777777" w:rsidR="003951D3" w:rsidRPr="0097016C" w:rsidRDefault="003951D3"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703E828F" w14:textId="77777777" w:rsidR="003951D3" w:rsidRPr="0097016C" w:rsidRDefault="003951D3" w:rsidP="003951D3">
      <w:pPr>
        <w:spacing w:before="120" w:after="0" w:line="240" w:lineRule="auto"/>
        <w:rPr>
          <w:rFonts w:ascii="Calibri" w:eastAsia="Aptos" w:hAnsi="Calibri" w:cs="Calibri"/>
          <w:sz w:val="18"/>
          <w:szCs w:val="18"/>
        </w:rPr>
      </w:pPr>
      <w:r>
        <w:rPr>
          <w:rFonts w:ascii="Calibri" w:eastAsia="Calibri" w:hAnsi="Calibri" w:cs="Calibri"/>
          <w:b/>
          <w:bCs/>
          <w:color w:val="00188F"/>
          <w:sz w:val="18"/>
          <w:szCs w:val="18"/>
        </w:rPr>
        <w:t>Wyjątki dotyczące Poziomu Usługi</w:t>
      </w:r>
      <w:r>
        <w:rPr>
          <w:rFonts w:ascii="Calibri" w:eastAsia="Calibri" w:hAnsi="Calibri" w:cs="Calibri"/>
          <w:sz w:val="18"/>
          <w:szCs w:val="18"/>
        </w:rPr>
        <w:t xml:space="preserve">. </w:t>
      </w:r>
      <w:r>
        <w:rPr>
          <w:rFonts w:ascii="Calibri" w:eastAsia="Aptos" w:hAnsi="Calibri" w:cs="Calibri"/>
          <w:sz w:val="18"/>
          <w:szCs w:val="18"/>
        </w:rPr>
        <w:t xml:space="preserve">Do usługi </w:t>
      </w:r>
      <w:proofErr w:type="spellStart"/>
      <w:r>
        <w:rPr>
          <w:rFonts w:ascii="Calibri" w:eastAsia="Aptos" w:hAnsi="Calibri" w:cs="Calibri"/>
          <w:sz w:val="18"/>
          <w:szCs w:val="18"/>
        </w:rPr>
        <w:t>Azure</w:t>
      </w:r>
      <w:proofErr w:type="spellEnd"/>
      <w:r>
        <w:rPr>
          <w:rFonts w:ascii="Calibri" w:eastAsia="Aptos" w:hAnsi="Calibri" w:cs="Calibri"/>
          <w:sz w:val="18"/>
          <w:szCs w:val="18"/>
        </w:rPr>
        <w:t xml:space="preserve"> </w:t>
      </w:r>
      <w:proofErr w:type="spellStart"/>
      <w:r>
        <w:rPr>
          <w:rFonts w:ascii="Calibri" w:eastAsia="Aptos" w:hAnsi="Calibri" w:cs="Calibri"/>
          <w:sz w:val="18"/>
          <w:szCs w:val="18"/>
        </w:rPr>
        <w:t>OpenAI</w:t>
      </w:r>
      <w:proofErr w:type="spellEnd"/>
      <w:r>
        <w:rPr>
          <w:rFonts w:ascii="Calibri" w:eastAsia="Aptos" w:hAnsi="Calibri" w:cs="Calibri"/>
          <w:sz w:val="18"/>
          <w:szCs w:val="18"/>
        </w:rPr>
        <w:t xml:space="preserve"> Service ma zastosowanie odrębna umowa SLA.</w:t>
      </w:r>
    </w:p>
    <w:p w14:paraId="57BB0253" w14:textId="77777777" w:rsidR="003951D3" w:rsidRPr="00EF7CF9" w:rsidRDefault="003951D3" w:rsidP="003951D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B72D001" w14:textId="4D8A57FC" w:rsidR="00AA3975" w:rsidRPr="003162A8" w:rsidRDefault="00CF2115" w:rsidP="00AA3975">
      <w:pPr>
        <w:pStyle w:val="ProductList-Offering2Heading"/>
        <w:keepNext/>
        <w:tabs>
          <w:tab w:val="clear" w:pos="360"/>
          <w:tab w:val="clear" w:pos="720"/>
          <w:tab w:val="clear" w:pos="1080"/>
        </w:tabs>
        <w:outlineLvl w:val="2"/>
      </w:pPr>
      <w:bookmarkStart w:id="368" w:name="_Toc239175052"/>
      <w:r>
        <w:t xml:space="preserve">Modele </w:t>
      </w:r>
      <w:proofErr w:type="spellStart"/>
      <w:r>
        <w:t>Foundry</w:t>
      </w:r>
      <w:bookmarkEnd w:id="368"/>
      <w:proofErr w:type="spellEnd"/>
    </w:p>
    <w:p w14:paraId="2CEF6A8C" w14:textId="77777777" w:rsidR="006E3068" w:rsidRPr="003A2FA0" w:rsidRDefault="006E3068" w:rsidP="006E3068">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Obliczanie Czasu Sprawnego Działania i Poziomy Usługi dla modeli </w:t>
      </w:r>
      <w:proofErr w:type="spellStart"/>
      <w:r>
        <w:rPr>
          <w:rFonts w:ascii="Calibri" w:eastAsia="Times New Roman" w:hAnsi="Calibri" w:cs="Calibri"/>
          <w:b/>
          <w:bCs/>
          <w:color w:val="00188F"/>
          <w:sz w:val="18"/>
          <w:szCs w:val="18"/>
          <w:bdr w:val="none" w:sz="0" w:space="0" w:color="auto" w:frame="1"/>
        </w:rPr>
        <w:t>Azure</w:t>
      </w:r>
      <w:proofErr w:type="spellEnd"/>
      <w:r>
        <w:rPr>
          <w:rFonts w:ascii="Calibri" w:eastAsia="Times New Roman" w:hAnsi="Calibri" w:cs="Calibri"/>
          <w:b/>
          <w:bCs/>
          <w:color w:val="00188F"/>
          <w:sz w:val="18"/>
          <w:szCs w:val="18"/>
          <w:bdr w:val="none" w:sz="0" w:space="0" w:color="auto" w:frame="1"/>
        </w:rPr>
        <w:t xml:space="preserve"> AI </w:t>
      </w:r>
      <w:proofErr w:type="spellStart"/>
      <w:r>
        <w:rPr>
          <w:rFonts w:ascii="Calibri" w:eastAsia="Times New Roman" w:hAnsi="Calibri" w:cs="Calibri"/>
          <w:b/>
          <w:bCs/>
          <w:color w:val="00188F"/>
          <w:sz w:val="18"/>
          <w:szCs w:val="18"/>
          <w:bdr w:val="none" w:sz="0" w:space="0" w:color="auto" w:frame="1"/>
        </w:rPr>
        <w:t>Foundry</w:t>
      </w:r>
      <w:proofErr w:type="spellEnd"/>
    </w:p>
    <w:p w14:paraId="77D75AF7" w14:textId="77777777" w:rsidR="006E3068" w:rsidRPr="003A2FA0" w:rsidRDefault="006E3068" w:rsidP="006E3068">
      <w:pPr>
        <w:shd w:val="clear" w:color="auto" w:fill="FFFFFF"/>
        <w:spacing w:after="0" w:line="240" w:lineRule="auto"/>
        <w:rPr>
          <w:rFonts w:ascii="Calibri" w:eastAsia="Times New Roman" w:hAnsi="Calibri" w:cs="Calibri"/>
          <w:color w:val="000000"/>
          <w:sz w:val="18"/>
          <w:szCs w:val="18"/>
        </w:rPr>
      </w:pPr>
      <w:r>
        <w:rPr>
          <w:rFonts w:ascii="Calibri" w:eastAsia="Times New Roman" w:hAnsi="Calibri" w:cs="Calibri"/>
          <w:b/>
          <w:bCs/>
          <w:color w:val="00188F"/>
          <w:sz w:val="18"/>
          <w:szCs w:val="18"/>
          <w:bdr w:val="none" w:sz="0" w:space="0" w:color="auto" w:frame="1"/>
        </w:rPr>
        <w:t>Dodatkowe definicje</w:t>
      </w:r>
      <w:r>
        <w:rPr>
          <w:rFonts w:ascii="Calibri" w:eastAsia="Times New Roman" w:hAnsi="Calibri" w:cs="Calibri"/>
          <w:color w:val="000000"/>
          <w:sz w:val="18"/>
          <w:szCs w:val="18"/>
          <w:bdr w:val="none" w:sz="0" w:space="0" w:color="auto" w:frame="1"/>
        </w:rPr>
        <w:t>:</w:t>
      </w:r>
    </w:p>
    <w:p w14:paraId="1BC9BB55" w14:textId="77777777" w:rsidR="006E3068" w:rsidRPr="003A2FA0" w:rsidRDefault="006E3068" w:rsidP="006E3068">
      <w:pPr>
        <w:spacing w:after="0" w:line="240" w:lineRule="auto"/>
        <w:rPr>
          <w:rFonts w:ascii="Calibri" w:eastAsia="Calibri" w:hAnsi="Calibri" w:cs="Calibri"/>
          <w:b/>
          <w:bCs/>
        </w:rPr>
      </w:pPr>
      <w:r>
        <w:rPr>
          <w:rFonts w:ascii="Calibri" w:eastAsia="Times New Roman" w:hAnsi="Calibri" w:cs="Calibri"/>
          <w:b/>
          <w:bCs/>
          <w:color w:val="00188F"/>
          <w:sz w:val="18"/>
          <w:szCs w:val="18"/>
          <w:bdr w:val="none" w:sz="0" w:space="0" w:color="auto" w:frame="1"/>
        </w:rPr>
        <w:t xml:space="preserve">„Zasób </w:t>
      </w:r>
      <w:proofErr w:type="spellStart"/>
      <w:r>
        <w:rPr>
          <w:rFonts w:ascii="Calibri" w:eastAsia="Times New Roman" w:hAnsi="Calibri" w:cs="Calibri"/>
          <w:b/>
          <w:bCs/>
          <w:color w:val="00188F"/>
          <w:sz w:val="18"/>
          <w:szCs w:val="18"/>
          <w:bdr w:val="none" w:sz="0" w:space="0" w:color="auto" w:frame="1"/>
        </w:rPr>
        <w:t>Azure</w:t>
      </w:r>
      <w:proofErr w:type="spellEnd"/>
      <w:r>
        <w:rPr>
          <w:rFonts w:ascii="Calibri" w:eastAsia="Times New Roman" w:hAnsi="Calibri" w:cs="Calibri"/>
          <w:b/>
          <w:bCs/>
          <w:color w:val="00188F"/>
          <w:sz w:val="18"/>
          <w:szCs w:val="18"/>
          <w:bdr w:val="none" w:sz="0" w:space="0" w:color="auto" w:frame="1"/>
        </w:rPr>
        <w:t xml:space="preserve"> AI </w:t>
      </w:r>
      <w:proofErr w:type="spellStart"/>
      <w:r>
        <w:rPr>
          <w:rFonts w:ascii="Calibri" w:eastAsia="Times New Roman" w:hAnsi="Calibri" w:cs="Calibri"/>
          <w:b/>
          <w:bCs/>
          <w:color w:val="00188F"/>
          <w:sz w:val="18"/>
          <w:szCs w:val="18"/>
          <w:bdr w:val="none" w:sz="0" w:space="0" w:color="auto" w:frame="1"/>
        </w:rPr>
        <w:t>Foundry</w:t>
      </w:r>
      <w:proofErr w:type="spellEnd"/>
      <w:r>
        <w:rPr>
          <w:rFonts w:ascii="Calibri" w:eastAsia="Times New Roman" w:hAnsi="Calibri" w:cs="Calibri"/>
          <w:b/>
          <w:bCs/>
          <w:color w:val="00188F"/>
          <w:sz w:val="18"/>
          <w:szCs w:val="18"/>
          <w:bdr w:val="none" w:sz="0" w:space="0" w:color="auto" w:frame="1"/>
        </w:rPr>
        <w:t>”</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 xml:space="preserve">odnosi się do zasobu platformy </w:t>
      </w:r>
      <w:proofErr w:type="spellStart"/>
      <w:r>
        <w:rPr>
          <w:rFonts w:ascii="Calibri" w:eastAsia="Times New Roman" w:hAnsi="Calibri" w:cs="Calibri"/>
          <w:color w:val="000000"/>
          <w:sz w:val="18"/>
          <w:szCs w:val="18"/>
          <w:bdr w:val="none" w:sz="0" w:space="0" w:color="auto" w:frame="1"/>
        </w:rPr>
        <w:t>Azure</w:t>
      </w:r>
      <w:proofErr w:type="spellEnd"/>
      <w:r>
        <w:rPr>
          <w:rFonts w:ascii="Calibri" w:eastAsia="Times New Roman" w:hAnsi="Calibri" w:cs="Calibri"/>
          <w:color w:val="000000"/>
          <w:sz w:val="18"/>
          <w:szCs w:val="18"/>
          <w:bdr w:val="none" w:sz="0" w:space="0" w:color="auto" w:frame="1"/>
        </w:rPr>
        <w:t xml:space="preserve"> dla Microsoft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utworzonego w regionie świadczenia platformy </w:t>
      </w:r>
      <w:proofErr w:type="spellStart"/>
      <w:r>
        <w:rPr>
          <w:rFonts w:ascii="Calibri" w:eastAsia="Times New Roman" w:hAnsi="Calibri" w:cs="Calibri"/>
          <w:color w:val="000000"/>
          <w:sz w:val="18"/>
          <w:szCs w:val="18"/>
          <w:bdr w:val="none" w:sz="0" w:space="0" w:color="auto" w:frame="1"/>
        </w:rPr>
        <w:t>Azure</w:t>
      </w:r>
      <w:proofErr w:type="spellEnd"/>
      <w:r>
        <w:rPr>
          <w:rFonts w:ascii="Calibri" w:eastAsia="Times New Roman" w:hAnsi="Calibri" w:cs="Calibri"/>
          <w:color w:val="000000"/>
          <w:sz w:val="18"/>
          <w:szCs w:val="18"/>
          <w:bdr w:val="none" w:sz="0" w:space="0" w:color="auto" w:frame="1"/>
        </w:rPr>
        <w:t xml:space="preserve"> w ramach subskrypcji Microsoft </w:t>
      </w:r>
      <w:proofErr w:type="spellStart"/>
      <w:r>
        <w:rPr>
          <w:rFonts w:ascii="Calibri" w:eastAsia="Times New Roman" w:hAnsi="Calibri" w:cs="Calibri"/>
          <w:color w:val="000000"/>
          <w:sz w:val="18"/>
          <w:szCs w:val="18"/>
          <w:bdr w:val="none" w:sz="0" w:space="0" w:color="auto" w:frame="1"/>
        </w:rPr>
        <w:t>Azure</w:t>
      </w:r>
      <w:proofErr w:type="spellEnd"/>
      <w:r>
        <w:rPr>
          <w:rFonts w:ascii="Calibri" w:eastAsia="Times New Roman" w:hAnsi="Calibri" w:cs="Calibri"/>
          <w:color w:val="000000"/>
          <w:sz w:val="18"/>
          <w:szCs w:val="18"/>
          <w:bdr w:val="none" w:sz="0" w:space="0" w:color="auto" w:frame="1"/>
        </w:rPr>
        <w:t>.</w:t>
      </w:r>
    </w:p>
    <w:p w14:paraId="25245A43" w14:textId="77777777" w:rsidR="006E3068" w:rsidRPr="003A2FA0" w:rsidRDefault="006E3068" w:rsidP="006E3068">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„Żądanie”</w:t>
      </w:r>
      <w:r>
        <w:rPr>
          <w:rFonts w:ascii="Calibri" w:eastAsia="Calibri" w:hAnsi="Calibri" w:cs="Calibri"/>
        </w:rPr>
        <w:t xml:space="preserve"> </w:t>
      </w:r>
      <w:r>
        <w:rPr>
          <w:rFonts w:ascii="Calibri" w:eastAsia="Times New Roman" w:hAnsi="Calibri" w:cs="Calibri"/>
          <w:color w:val="000000"/>
          <w:sz w:val="18"/>
          <w:szCs w:val="18"/>
          <w:bdr w:val="none" w:sz="0" w:space="0" w:color="auto" w:frame="1"/>
        </w:rPr>
        <w:t xml:space="preserve">jest wywołaniem interfejsu API do punktu końcowego modelu w Zasobie Microsoft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w:t>
      </w:r>
    </w:p>
    <w:p w14:paraId="7EA78085" w14:textId="77777777" w:rsidR="006E3068" w:rsidRPr="003A2FA0" w:rsidRDefault="006E3068" w:rsidP="006E3068">
      <w:pPr>
        <w:spacing w:after="0" w:line="240" w:lineRule="auto"/>
        <w:rPr>
          <w:rFonts w:ascii="Calibri" w:eastAsia="Times New Roman" w:hAnsi="Calibri" w:cs="Calibri"/>
          <w:color w:val="000000"/>
          <w:sz w:val="18"/>
          <w:szCs w:val="18"/>
          <w:bdr w:val="none" w:sz="0" w:space="0" w:color="auto" w:frame="1"/>
        </w:rPr>
      </w:pPr>
      <w:r w:rsidRPr="0061511C">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Średnia Częstość Błędów</w:t>
      </w:r>
      <w:r w:rsidRPr="0061511C">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we Właściwym Okresie to suma współczynników błędów dla każdej godziny we Właściwym Okresie podzielona przez całkowitą liczbę minut we Właściwym Okresie.</w:t>
      </w:r>
    </w:p>
    <w:p w14:paraId="7AFA79C1" w14:textId="77777777" w:rsidR="006E3068" w:rsidRPr="003A2FA0" w:rsidRDefault="006E3068" w:rsidP="006E3068">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„Częstość Błędów”</w:t>
      </w:r>
      <w:r>
        <w:rPr>
          <w:rFonts w:ascii="Calibri" w:eastAsia="Times New Roman" w:hAnsi="Calibri" w:cs="Calibri"/>
          <w:color w:val="000000"/>
          <w:sz w:val="18"/>
          <w:szCs w:val="18"/>
          <w:bdr w:val="none" w:sz="0" w:space="0" w:color="auto" w:frame="1"/>
        </w:rPr>
        <w:t xml:space="preserve"> to</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całkowita liczba żądań, które zwracają kod błędu, podzielona przez całkowitą liczbę żądań w ciągu minuty. Jeśli łączna liczba Żądań w danym przedziale jednominutowym wynosi zero, częstość błędów dla tego przedziału wynosi 0%.</w:t>
      </w:r>
    </w:p>
    <w:p w14:paraId="761DE2A9" w14:textId="77777777" w:rsidR="006E3068" w:rsidRPr="003A2FA0" w:rsidRDefault="006E3068" w:rsidP="006E3068">
      <w:pPr>
        <w:spacing w:after="0" w:line="240" w:lineRule="auto"/>
        <w:rPr>
          <w:rFonts w:ascii="Calibri" w:eastAsia="Times New Roman" w:hAnsi="Calibri" w:cs="Calibri"/>
          <w:color w:val="000000"/>
          <w:sz w:val="18"/>
          <w:szCs w:val="18"/>
          <w:bdr w:val="none" w:sz="0" w:space="0" w:color="auto" w:frame="1"/>
        </w:rPr>
      </w:pPr>
      <w:r>
        <w:rPr>
          <w:rFonts w:ascii="Calibri" w:eastAsia="Times New Roman" w:hAnsi="Calibri" w:cs="Calibri"/>
          <w:b/>
          <w:bCs/>
          <w:color w:val="00188F"/>
          <w:sz w:val="18"/>
          <w:szCs w:val="18"/>
          <w:bdr w:val="none" w:sz="0" w:space="0" w:color="auto" w:frame="1"/>
        </w:rPr>
        <w:t>„Procent Czasu Sprawnego Działa”</w:t>
      </w:r>
      <w:r>
        <w:rPr>
          <w:rFonts w:ascii="Calibri" w:eastAsia="Calibri" w:hAnsi="Calibri" w:cs="Calibri"/>
          <w:b/>
          <w:bCs/>
        </w:rPr>
        <w:t xml:space="preserve"> </w:t>
      </w:r>
      <w:r>
        <w:rPr>
          <w:rFonts w:ascii="Calibri" w:eastAsia="Times New Roman" w:hAnsi="Calibri" w:cs="Calibri"/>
          <w:color w:val="000000"/>
          <w:sz w:val="18"/>
          <w:szCs w:val="18"/>
          <w:bdr w:val="none" w:sz="0" w:space="0" w:color="auto" w:frame="1"/>
        </w:rPr>
        <w:t>przedstawia się za pomocą następującego wzoru</w:t>
      </w:r>
    </w:p>
    <w:p w14:paraId="738D6FD8" w14:textId="77777777" w:rsidR="006E3068" w:rsidRPr="003A2FA0" w:rsidRDefault="006E3068" w:rsidP="006E3068">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Średnia Częstość Błędów</m:t>
          </m:r>
        </m:oMath>
      </m:oMathPara>
    </w:p>
    <w:p w14:paraId="14089474" w14:textId="77777777" w:rsidR="006E3068" w:rsidRPr="003A2FA0" w:rsidRDefault="006E3068" w:rsidP="006E3068">
      <w:pPr>
        <w:shd w:val="clear" w:color="auto" w:fill="FFFFFF"/>
        <w:spacing w:after="0" w:line="240" w:lineRule="auto"/>
        <w:rPr>
          <w:rFonts w:ascii="Calibri" w:eastAsia="Times New Roman" w:hAnsi="Calibri" w:cs="Calibri"/>
          <w:color w:val="00188F"/>
          <w:sz w:val="18"/>
          <w:szCs w:val="18"/>
        </w:rPr>
      </w:pPr>
      <w:r>
        <w:rPr>
          <w:rFonts w:ascii="Calibri" w:eastAsia="Times New Roman" w:hAnsi="Calibri" w:cs="Calibri"/>
          <w:b/>
          <w:bCs/>
          <w:color w:val="00188F"/>
          <w:sz w:val="18"/>
          <w:szCs w:val="18"/>
          <w:bdr w:val="none" w:sz="0" w:space="0" w:color="auto" w:frame="1"/>
        </w:rPr>
        <w:t>Środki Serwisowe na Używanie Usług</w:t>
      </w:r>
      <w:r>
        <w:rPr>
          <w:rFonts w:ascii="Calibri" w:eastAsia="Times New Roman" w:hAnsi="Calibri" w:cs="Calibri"/>
          <w:color w:val="00188F"/>
          <w:sz w:val="18"/>
          <w:szCs w:val="18"/>
          <w:bdr w:val="none" w:sz="0" w:space="0" w:color="auto" w:frame="1"/>
        </w:rPr>
        <w:t>:</w:t>
      </w:r>
    </w:p>
    <w:tbl>
      <w:tblPr>
        <w:tblW w:w="0" w:type="auto"/>
        <w:tblInd w:w="5" w:type="dxa"/>
        <w:shd w:val="clear" w:color="auto" w:fill="FFFFFF"/>
        <w:tblLook w:val="04A0" w:firstRow="1" w:lastRow="0" w:firstColumn="1" w:lastColumn="0" w:noHBand="0" w:noVBand="1"/>
      </w:tblPr>
      <w:tblGrid>
        <w:gridCol w:w="5394"/>
        <w:gridCol w:w="5381"/>
      </w:tblGrid>
      <w:tr w:rsidR="006E3068" w:rsidRPr="003A2FA0" w14:paraId="6DEF4EC5" w14:textId="77777777" w:rsidTr="000A3E72">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2833D7AC" w14:textId="77777777" w:rsidR="006E3068" w:rsidRPr="003A2FA0" w:rsidRDefault="006E3068"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 Czasu Sprawnego Działania</w:t>
            </w:r>
          </w:p>
        </w:tc>
        <w:tc>
          <w:tcPr>
            <w:tcW w:w="5381" w:type="dxa"/>
            <w:tcBorders>
              <w:top w:val="single" w:sz="8" w:space="0" w:color="000000"/>
              <w:left w:val="nil"/>
              <w:bottom w:val="single" w:sz="8" w:space="0" w:color="000000"/>
              <w:right w:val="single" w:sz="8" w:space="0" w:color="000000"/>
            </w:tcBorders>
            <w:shd w:val="clear" w:color="auto" w:fill="0072C6"/>
            <w:hideMark/>
          </w:tcPr>
          <w:p w14:paraId="67E5976E" w14:textId="77777777" w:rsidR="006E3068" w:rsidRPr="003A2FA0" w:rsidRDefault="006E3068"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Środki Serwisowe na Używanie Usług</w:t>
            </w:r>
          </w:p>
        </w:tc>
      </w:tr>
      <w:tr w:rsidR="006E3068" w:rsidRPr="003A2FA0" w14:paraId="56336873" w14:textId="77777777" w:rsidTr="000A3E7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10ADC66B" w14:textId="77777777" w:rsidR="006E3068" w:rsidRPr="003A2FA0" w:rsidRDefault="006E3068"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75A1AB3E" w14:textId="77777777" w:rsidR="006E3068" w:rsidRPr="003A2FA0" w:rsidRDefault="006E3068"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6E3068" w:rsidRPr="003A2FA0" w14:paraId="30911C92" w14:textId="77777777" w:rsidTr="000A3E7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0D3AF898" w14:textId="77777777" w:rsidR="006E3068" w:rsidRPr="003A2FA0" w:rsidRDefault="006E3068"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2A5F9984" w14:textId="77777777" w:rsidR="006E3068" w:rsidRPr="003A2FA0" w:rsidRDefault="006E3068" w:rsidP="000A3E7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13513235" w14:textId="77777777" w:rsidR="009F1DFF" w:rsidRPr="003A2FA0" w:rsidRDefault="009F1DFF" w:rsidP="009F1DFF">
      <w:pPr>
        <w:shd w:val="clear" w:color="auto" w:fill="FFFFFF"/>
        <w:spacing w:before="120"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Wyjątki dotyczące Poziomu Usługi</w:t>
      </w:r>
      <w:r w:rsidRPr="00624A46">
        <w:rPr>
          <w:rFonts w:ascii="Calibri" w:eastAsia="Calibri" w:hAnsi="Calibri" w:cs="Arial"/>
          <w:b/>
          <w:color w:val="00188F"/>
          <w:sz w:val="18"/>
        </w:rPr>
        <w:t>:</w:t>
      </w:r>
      <w:r>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Środki Serwisowe na Używanie Usług dotyczą wyłącznie modeli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sprzedawanych przez platformę </w:t>
      </w:r>
      <w:proofErr w:type="spellStart"/>
      <w:r>
        <w:rPr>
          <w:rFonts w:ascii="Calibri" w:eastAsia="Times New Roman" w:hAnsi="Calibri" w:cs="Calibri"/>
          <w:color w:val="000000"/>
          <w:sz w:val="18"/>
          <w:szCs w:val="18"/>
          <w:bdr w:val="none" w:sz="0" w:space="0" w:color="auto" w:frame="1"/>
        </w:rPr>
        <w:t>Azure</w:t>
      </w:r>
      <w:proofErr w:type="spellEnd"/>
      <w:r>
        <w:rPr>
          <w:rFonts w:ascii="Calibri" w:eastAsia="Times New Roman" w:hAnsi="Calibri" w:cs="Calibri"/>
          <w:color w:val="000000"/>
          <w:sz w:val="18"/>
          <w:szCs w:val="18"/>
          <w:bdr w:val="none" w:sz="0" w:space="0" w:color="auto" w:frame="1"/>
        </w:rPr>
        <w:t xml:space="preserve">. Poziom deweloperski usługi Modeli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nie jest objęty niniejszą umową SLA.</w:t>
      </w:r>
    </w:p>
    <w:p w14:paraId="2CFFDD0B" w14:textId="77777777" w:rsidR="009F1DFF" w:rsidRPr="003A2FA0" w:rsidRDefault="009F1DFF" w:rsidP="009F1DFF">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Obliczanie Opóźnień i Poziomów Usługi dla Dostarczonych Wdrożeń Zarządzanych i Przetwarzania Priorytetowego</w:t>
      </w:r>
    </w:p>
    <w:p w14:paraId="6ECFB4E7" w14:textId="77777777" w:rsidR="009F1DFF" w:rsidRPr="003A2FA0" w:rsidRDefault="009F1DFF" w:rsidP="009F1DFF">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Dodatkowe definicje</w:t>
      </w:r>
    </w:p>
    <w:p w14:paraId="315BEDD1"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Wdrożenie Priorytetowe</w:t>
      </w: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jest modelem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wykorzystującym Dostarczone Wdrożenie Zarządzane lub Przetwarzanie Priorytetowe w ramach danego Zasobu Microsoft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w:t>
      </w:r>
    </w:p>
    <w:p w14:paraId="2EBF33FB"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Maksymalny Rozmiar Żądania</w:t>
      </w: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to maksymalna liczba </w:t>
      </w:r>
      <w:proofErr w:type="spellStart"/>
      <w:r>
        <w:rPr>
          <w:rFonts w:ascii="Calibri" w:eastAsia="Times New Roman" w:hAnsi="Calibri" w:cs="Calibri"/>
          <w:color w:val="000000"/>
          <w:sz w:val="18"/>
          <w:szCs w:val="18"/>
          <w:bdr w:val="none" w:sz="0" w:space="0" w:color="auto" w:frame="1"/>
        </w:rPr>
        <w:t>tokenów</w:t>
      </w:r>
      <w:proofErr w:type="spellEnd"/>
      <w:r>
        <w:rPr>
          <w:rFonts w:ascii="Calibri" w:eastAsia="Times New Roman" w:hAnsi="Calibri" w:cs="Calibri"/>
          <w:color w:val="000000"/>
          <w:sz w:val="18"/>
          <w:szCs w:val="18"/>
          <w:bdr w:val="none" w:sz="0" w:space="0" w:color="auto" w:frame="1"/>
        </w:rPr>
        <w:t xml:space="preserve"> wejściowych i wyjściowych, które można uwzględnić w danym żądaniu dla określonego modelu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zgodnie ze specyfikacją w dokumentacji produktu.  </w:t>
      </w:r>
    </w:p>
    <w:p w14:paraId="783A01D7"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proofErr w:type="spellStart"/>
      <w:r>
        <w:rPr>
          <w:rFonts w:ascii="Calibri" w:eastAsia="Times New Roman" w:hAnsi="Calibri" w:cs="Calibri"/>
          <w:b/>
          <w:bCs/>
          <w:color w:val="00188F"/>
          <w:sz w:val="18"/>
          <w:szCs w:val="18"/>
          <w:bdr w:val="none" w:sz="0" w:space="0" w:color="auto" w:frame="1"/>
        </w:rPr>
        <w:t>Tokeny</w:t>
      </w:r>
      <w:proofErr w:type="spellEnd"/>
      <w:r>
        <w:rPr>
          <w:rFonts w:ascii="Calibri" w:eastAsia="Times New Roman" w:hAnsi="Calibri" w:cs="Calibri"/>
          <w:b/>
          <w:bCs/>
          <w:color w:val="00188F"/>
          <w:sz w:val="18"/>
          <w:szCs w:val="18"/>
          <w:bdr w:val="none" w:sz="0" w:space="0" w:color="auto" w:frame="1"/>
        </w:rPr>
        <w:t xml:space="preserve"> na Sekundę</w:t>
      </w: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to pomiar opóźnienia określający szybkość generowania odpowiedzi danego modelu </w:t>
      </w:r>
      <w:proofErr w:type="spellStart"/>
      <w:r>
        <w:rPr>
          <w:rFonts w:ascii="Calibri" w:eastAsia="Times New Roman" w:hAnsi="Calibri" w:cs="Calibri"/>
          <w:color w:val="000000"/>
          <w:sz w:val="18"/>
          <w:szCs w:val="18"/>
          <w:bdr w:val="none" w:sz="0" w:space="0" w:color="auto" w:frame="1"/>
        </w:rPr>
        <w:t>Azure</w:t>
      </w:r>
      <w:proofErr w:type="spellEnd"/>
      <w:r>
        <w:rPr>
          <w:rFonts w:ascii="Calibri" w:eastAsia="Times New Roman" w:hAnsi="Calibri" w:cs="Calibri"/>
          <w:color w:val="000000"/>
          <w:sz w:val="18"/>
          <w:szCs w:val="18"/>
          <w:bdr w:val="none" w:sz="0" w:space="0" w:color="auto" w:frame="1"/>
        </w:rPr>
        <w:t xml:space="preserve"> AI </w:t>
      </w:r>
      <w:proofErr w:type="spellStart"/>
      <w:r>
        <w:rPr>
          <w:rFonts w:ascii="Calibri" w:eastAsia="Times New Roman" w:hAnsi="Calibri" w:cs="Calibri"/>
          <w:color w:val="000000"/>
          <w:sz w:val="18"/>
          <w:szCs w:val="18"/>
          <w:bdr w:val="none" w:sz="0" w:space="0" w:color="auto" w:frame="1"/>
        </w:rPr>
        <w:t>Foundry</w:t>
      </w:r>
      <w:proofErr w:type="spellEnd"/>
      <w:r>
        <w:rPr>
          <w:rFonts w:ascii="Calibri" w:eastAsia="Times New Roman" w:hAnsi="Calibri" w:cs="Calibri"/>
          <w:color w:val="000000"/>
          <w:sz w:val="18"/>
          <w:szCs w:val="18"/>
          <w:bdr w:val="none" w:sz="0" w:space="0" w:color="auto" w:frame="1"/>
        </w:rPr>
        <w:t xml:space="preserve">. Łączna liczba wygenerowanych </w:t>
      </w:r>
      <w:proofErr w:type="spellStart"/>
      <w:r>
        <w:rPr>
          <w:rFonts w:ascii="Calibri" w:eastAsia="Times New Roman" w:hAnsi="Calibri" w:cs="Calibri"/>
          <w:color w:val="000000"/>
          <w:sz w:val="18"/>
          <w:szCs w:val="18"/>
          <w:bdr w:val="none" w:sz="0" w:space="0" w:color="auto" w:frame="1"/>
        </w:rPr>
        <w:t>tokenów</w:t>
      </w:r>
      <w:proofErr w:type="spellEnd"/>
      <w:r>
        <w:rPr>
          <w:rFonts w:ascii="Calibri" w:eastAsia="Times New Roman" w:hAnsi="Calibri" w:cs="Calibri"/>
          <w:color w:val="000000"/>
          <w:sz w:val="18"/>
          <w:szCs w:val="18"/>
          <w:bdr w:val="none" w:sz="0" w:space="0" w:color="auto" w:frame="1"/>
        </w:rPr>
        <w:t xml:space="preserve"> jest dzielona przez czas wygenerowania </w:t>
      </w:r>
      <w:proofErr w:type="spellStart"/>
      <w:r>
        <w:rPr>
          <w:rFonts w:ascii="Calibri" w:eastAsia="Times New Roman" w:hAnsi="Calibri" w:cs="Calibri"/>
          <w:color w:val="000000"/>
          <w:sz w:val="18"/>
          <w:szCs w:val="18"/>
          <w:bdr w:val="none" w:sz="0" w:space="0" w:color="auto" w:frame="1"/>
        </w:rPr>
        <w:t>tokenów</w:t>
      </w:r>
      <w:proofErr w:type="spellEnd"/>
      <w:r>
        <w:rPr>
          <w:rFonts w:ascii="Calibri" w:eastAsia="Times New Roman" w:hAnsi="Calibri" w:cs="Calibri"/>
          <w:color w:val="000000"/>
          <w:sz w:val="18"/>
          <w:szCs w:val="18"/>
          <w:bdr w:val="none" w:sz="0" w:space="0" w:color="auto" w:frame="1"/>
        </w:rPr>
        <w:t xml:space="preserve">. Wygenerowane </w:t>
      </w:r>
      <w:proofErr w:type="spellStart"/>
      <w:r>
        <w:rPr>
          <w:rFonts w:ascii="Calibri" w:eastAsia="Times New Roman" w:hAnsi="Calibri" w:cs="Calibri"/>
          <w:color w:val="000000"/>
          <w:sz w:val="18"/>
          <w:szCs w:val="18"/>
          <w:bdr w:val="none" w:sz="0" w:space="0" w:color="auto" w:frame="1"/>
        </w:rPr>
        <w:t>tokeny</w:t>
      </w:r>
      <w:proofErr w:type="spellEnd"/>
      <w:r>
        <w:rPr>
          <w:rFonts w:ascii="Calibri" w:eastAsia="Times New Roman" w:hAnsi="Calibri" w:cs="Calibri"/>
          <w:color w:val="000000"/>
          <w:sz w:val="18"/>
          <w:szCs w:val="18"/>
          <w:bdr w:val="none" w:sz="0" w:space="0" w:color="auto" w:frame="1"/>
        </w:rPr>
        <w:t xml:space="preserve"> liczą się jako wszystkie </w:t>
      </w:r>
      <w:proofErr w:type="spellStart"/>
      <w:r>
        <w:rPr>
          <w:rFonts w:ascii="Calibri" w:eastAsia="Times New Roman" w:hAnsi="Calibri" w:cs="Calibri"/>
          <w:color w:val="000000"/>
          <w:sz w:val="18"/>
          <w:szCs w:val="18"/>
          <w:bdr w:val="none" w:sz="0" w:space="0" w:color="auto" w:frame="1"/>
        </w:rPr>
        <w:t>tokeny</w:t>
      </w:r>
      <w:proofErr w:type="spellEnd"/>
      <w:r>
        <w:rPr>
          <w:rFonts w:ascii="Calibri" w:eastAsia="Times New Roman" w:hAnsi="Calibri" w:cs="Calibri"/>
          <w:color w:val="000000"/>
          <w:sz w:val="18"/>
          <w:szCs w:val="18"/>
          <w:bdr w:val="none" w:sz="0" w:space="0" w:color="auto" w:frame="1"/>
        </w:rPr>
        <w:t xml:space="preserve"> wygenerowane po pierwszym </w:t>
      </w:r>
      <w:proofErr w:type="spellStart"/>
      <w:r>
        <w:rPr>
          <w:rFonts w:ascii="Calibri" w:eastAsia="Times New Roman" w:hAnsi="Calibri" w:cs="Calibri"/>
          <w:color w:val="000000"/>
          <w:sz w:val="18"/>
          <w:szCs w:val="18"/>
          <w:bdr w:val="none" w:sz="0" w:space="0" w:color="auto" w:frame="1"/>
        </w:rPr>
        <w:t>tokenie</w:t>
      </w:r>
      <w:proofErr w:type="spellEnd"/>
      <w:r>
        <w:rPr>
          <w:rFonts w:ascii="Calibri" w:eastAsia="Times New Roman" w:hAnsi="Calibri" w:cs="Calibri"/>
          <w:color w:val="000000"/>
          <w:sz w:val="18"/>
          <w:szCs w:val="18"/>
          <w:bdr w:val="none" w:sz="0" w:space="0" w:color="auto" w:frame="1"/>
        </w:rPr>
        <w:t xml:space="preserve">. </w:t>
      </w:r>
    </w:p>
    <w:p w14:paraId="64659741"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Wartość Docelowa Opóźnienia SLA</w:t>
      </w: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jest docelowym opóźnieniem w </w:t>
      </w:r>
      <w:proofErr w:type="spellStart"/>
      <w:r>
        <w:rPr>
          <w:rFonts w:ascii="Calibri" w:eastAsia="Times New Roman" w:hAnsi="Calibri" w:cs="Calibri"/>
          <w:color w:val="000000"/>
          <w:sz w:val="18"/>
          <w:szCs w:val="18"/>
          <w:bdr w:val="none" w:sz="0" w:space="0" w:color="auto" w:frame="1"/>
        </w:rPr>
        <w:t>Tokenach</w:t>
      </w:r>
      <w:proofErr w:type="spellEnd"/>
      <w:r>
        <w:rPr>
          <w:rFonts w:ascii="Calibri" w:eastAsia="Times New Roman" w:hAnsi="Calibri" w:cs="Calibri"/>
          <w:color w:val="000000"/>
          <w:sz w:val="18"/>
          <w:szCs w:val="18"/>
          <w:bdr w:val="none" w:sz="0" w:space="0" w:color="auto" w:frame="1"/>
        </w:rPr>
        <w:t xml:space="preserve"> na Sekundę dla danego modelu, jak określono w dokumentacji produktu.</w:t>
      </w:r>
    </w:p>
    <w:p w14:paraId="28688616"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 xml:space="preserve">Mierzone </w:t>
      </w:r>
      <w:proofErr w:type="spellStart"/>
      <w:r>
        <w:rPr>
          <w:rFonts w:ascii="Calibri" w:eastAsia="Times New Roman" w:hAnsi="Calibri" w:cs="Calibri"/>
          <w:b/>
          <w:bCs/>
          <w:color w:val="00188F"/>
          <w:sz w:val="18"/>
          <w:szCs w:val="18"/>
          <w:bdr w:val="none" w:sz="0" w:space="0" w:color="auto" w:frame="1"/>
        </w:rPr>
        <w:t>Tokeny</w:t>
      </w:r>
      <w:proofErr w:type="spellEnd"/>
      <w:r>
        <w:rPr>
          <w:rFonts w:ascii="Calibri" w:eastAsia="Times New Roman" w:hAnsi="Calibri" w:cs="Calibri"/>
          <w:b/>
          <w:bCs/>
          <w:color w:val="00188F"/>
          <w:sz w:val="18"/>
          <w:szCs w:val="18"/>
          <w:bdr w:val="none" w:sz="0" w:space="0" w:color="auto" w:frame="1"/>
        </w:rPr>
        <w:t xml:space="preserve"> na Sekundę</w:t>
      </w:r>
      <w:r w:rsidRPr="00F84ABE">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są obliczane jako mediana (P50) </w:t>
      </w:r>
      <w:proofErr w:type="spellStart"/>
      <w:r>
        <w:rPr>
          <w:rFonts w:ascii="Calibri" w:eastAsia="Times New Roman" w:hAnsi="Calibri" w:cs="Calibri"/>
          <w:color w:val="000000"/>
          <w:sz w:val="18"/>
          <w:szCs w:val="18"/>
          <w:bdr w:val="none" w:sz="0" w:space="0" w:color="auto" w:frame="1"/>
        </w:rPr>
        <w:t>Tokenów</w:t>
      </w:r>
      <w:proofErr w:type="spellEnd"/>
      <w:r>
        <w:rPr>
          <w:rFonts w:ascii="Calibri" w:eastAsia="Times New Roman" w:hAnsi="Calibri" w:cs="Calibri"/>
          <w:color w:val="000000"/>
          <w:sz w:val="18"/>
          <w:szCs w:val="18"/>
          <w:bdr w:val="none" w:sz="0" w:space="0" w:color="auto" w:frame="1"/>
        </w:rPr>
        <w:t xml:space="preserve"> na Sekundę dla każdego 5-minutowego interwału lub średnia </w:t>
      </w:r>
      <w:proofErr w:type="spellStart"/>
      <w:r>
        <w:rPr>
          <w:rFonts w:ascii="Calibri" w:eastAsia="Times New Roman" w:hAnsi="Calibri" w:cs="Calibri"/>
          <w:color w:val="000000"/>
          <w:sz w:val="18"/>
          <w:szCs w:val="18"/>
          <w:bdr w:val="none" w:sz="0" w:space="0" w:color="auto" w:frame="1"/>
        </w:rPr>
        <w:t>Tokenów</w:t>
      </w:r>
      <w:proofErr w:type="spellEnd"/>
      <w:r>
        <w:rPr>
          <w:rFonts w:ascii="Calibri" w:eastAsia="Times New Roman" w:hAnsi="Calibri" w:cs="Calibri"/>
          <w:color w:val="000000"/>
          <w:sz w:val="18"/>
          <w:szCs w:val="18"/>
          <w:bdr w:val="none" w:sz="0" w:space="0" w:color="auto" w:frame="1"/>
        </w:rPr>
        <w:t xml:space="preserve"> na Sekundę dla każdego jednominutowego interwału, zgodnie z definicją zawartą w dokumentacji produktu. </w:t>
      </w:r>
    </w:p>
    <w:p w14:paraId="4CECBBEE"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Minuty Nadmiernego Opóźnienia</w:t>
      </w: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to całkowita liczbą minut we Właściwym Okresie, w których średnia liczba Mierzonych </w:t>
      </w:r>
      <w:proofErr w:type="spellStart"/>
      <w:r>
        <w:rPr>
          <w:rFonts w:ascii="Calibri" w:eastAsia="Times New Roman" w:hAnsi="Calibri" w:cs="Calibri"/>
          <w:color w:val="000000"/>
          <w:sz w:val="18"/>
          <w:szCs w:val="18"/>
          <w:bdr w:val="none" w:sz="0" w:space="0" w:color="auto" w:frame="1"/>
        </w:rPr>
        <w:t>Tokenów</w:t>
      </w:r>
      <w:proofErr w:type="spellEnd"/>
      <w:r>
        <w:rPr>
          <w:rFonts w:ascii="Calibri" w:eastAsia="Times New Roman" w:hAnsi="Calibri" w:cs="Calibri"/>
          <w:color w:val="000000"/>
          <w:sz w:val="18"/>
          <w:szCs w:val="18"/>
          <w:bdr w:val="none" w:sz="0" w:space="0" w:color="auto" w:frame="1"/>
        </w:rPr>
        <w:t xml:space="preserve"> na Sekundę jest mniejsza od Wartości Docelowej Opóźnienia SLA. Nie dotyczy to przedziałów, w których (i) Żądanie zwróciło Kod Błędu, (ii) Żądanie przekroczyło Maksymalny Rozmiar Żądania lub (iii) Żądanie wygenerowało mniej niż 1 </w:t>
      </w:r>
      <w:proofErr w:type="spellStart"/>
      <w:r>
        <w:rPr>
          <w:rFonts w:ascii="Calibri" w:eastAsia="Times New Roman" w:hAnsi="Calibri" w:cs="Calibri"/>
          <w:color w:val="000000"/>
          <w:sz w:val="18"/>
          <w:szCs w:val="18"/>
          <w:bdr w:val="none" w:sz="0" w:space="0" w:color="auto" w:frame="1"/>
        </w:rPr>
        <w:t>token</w:t>
      </w:r>
      <w:proofErr w:type="spellEnd"/>
      <w:r>
        <w:rPr>
          <w:rFonts w:ascii="Calibri" w:eastAsia="Times New Roman" w:hAnsi="Calibri" w:cs="Calibri"/>
          <w:color w:val="000000"/>
          <w:sz w:val="18"/>
          <w:szCs w:val="18"/>
          <w:bdr w:val="none" w:sz="0" w:space="0" w:color="auto" w:frame="1"/>
        </w:rPr>
        <w:t xml:space="preserve">. </w:t>
      </w:r>
    </w:p>
    <w:p w14:paraId="30F26D4F"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Wskaźnik Nadmiernego Opóźnienia</w:t>
      </w:r>
      <w:r w:rsidRPr="00F84ABE">
        <w:rPr>
          <w:rFonts w:ascii="Calibri" w:eastAsia="Times New Roman" w:hAnsi="Calibri" w:cs="Calibri"/>
          <w:b/>
          <w:bCs/>
          <w:color w:val="00188F"/>
          <w:sz w:val="18"/>
          <w:szCs w:val="18"/>
          <w:bdr w:val="none" w:sz="0" w:space="0" w:color="auto" w:frame="1"/>
        </w:rPr>
        <w:t xml:space="preserve">” </w:t>
      </w:r>
      <w:r>
        <w:rPr>
          <w:rFonts w:ascii="Calibri" w:eastAsia="Times New Roman" w:hAnsi="Calibri" w:cs="Calibri"/>
          <w:color w:val="000000"/>
          <w:sz w:val="18"/>
          <w:szCs w:val="18"/>
          <w:bdr w:val="none" w:sz="0" w:space="0" w:color="auto" w:frame="1"/>
        </w:rPr>
        <w:t xml:space="preserve">dla danego Wdrożenia Priorytetowego to łączna Liczba Minut Nadmiernego Opóźnienia podzielona przez łączną liczbę minut we Właściwym Okresie.  </w:t>
      </w:r>
    </w:p>
    <w:p w14:paraId="5F582CFD" w14:textId="77777777" w:rsidR="009F1DFF" w:rsidRPr="003A2FA0" w:rsidRDefault="009F1DFF" w:rsidP="009F1DFF">
      <w:pPr>
        <w:shd w:val="clear" w:color="auto" w:fill="FFFFFF"/>
        <w:spacing w:after="0" w:line="240" w:lineRule="auto"/>
        <w:rPr>
          <w:rFonts w:ascii="Calibri" w:eastAsia="Times New Roman" w:hAnsi="Calibri" w:cs="Calibri"/>
          <w:color w:val="000000"/>
          <w:sz w:val="18"/>
          <w:szCs w:val="18"/>
          <w:bdr w:val="none" w:sz="0" w:space="0" w:color="auto" w:frame="1"/>
        </w:rPr>
      </w:pP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b/>
          <w:bCs/>
          <w:color w:val="00188F"/>
          <w:sz w:val="18"/>
          <w:szCs w:val="18"/>
          <w:bdr w:val="none" w:sz="0" w:space="0" w:color="auto" w:frame="1"/>
        </w:rPr>
        <w:t>Procent Zmaterializowanych Opóźnień</w:t>
      </w:r>
      <w:r w:rsidRPr="00F84ABE">
        <w:rPr>
          <w:rFonts w:ascii="Calibri" w:eastAsia="Times New Roman" w:hAnsi="Calibri" w:cs="Calibri"/>
          <w:b/>
          <w:bCs/>
          <w:color w:val="00188F"/>
          <w:sz w:val="18"/>
          <w:szCs w:val="18"/>
          <w:bdr w:val="none" w:sz="0" w:space="0" w:color="auto" w:frame="1"/>
        </w:rPr>
        <w:t>”</w:t>
      </w:r>
      <w:r>
        <w:rPr>
          <w:rFonts w:ascii="Calibri" w:eastAsia="Times New Roman" w:hAnsi="Calibri" w:cs="Calibri"/>
          <w:color w:val="000000"/>
          <w:sz w:val="18"/>
          <w:szCs w:val="18"/>
          <w:bdr w:val="none" w:sz="0" w:space="0" w:color="auto" w:frame="1"/>
        </w:rPr>
        <w:t xml:space="preserve"> przedstawia się za pomocą następującego wzoru: </w:t>
      </w:r>
    </w:p>
    <w:p w14:paraId="54C2D614" w14:textId="77777777" w:rsidR="009F1DFF" w:rsidRPr="003A2FA0" w:rsidRDefault="009F1DFF" w:rsidP="009F1DFF">
      <w:pPr>
        <w:shd w:val="clear" w:color="auto" w:fill="FFFFFF"/>
        <w:spacing w:before="120" w:after="0" w:line="240" w:lineRule="auto"/>
        <w:rPr>
          <w:rFonts w:ascii="Calibri" w:eastAsia="Times New Roman" w:hAnsi="Calibri" w:cs="Calibri"/>
          <w:sz w:val="18"/>
          <w:szCs w:val="18"/>
        </w:rPr>
      </w:pPr>
      <m:oMathPara>
        <m:oMath>
          <m:r>
            <w:rPr>
              <w:rFonts w:ascii="Cambria Math" w:eastAsia="Calibri" w:hAnsi="Cambria Math" w:cs="Arial"/>
              <w:sz w:val="18"/>
              <w:szCs w:val="18"/>
            </w:rPr>
            <m:t>100% - Średni Wskaźnik Nadmiernego Opóźnienia</m:t>
          </m:r>
        </m:oMath>
      </m:oMathPara>
    </w:p>
    <w:p w14:paraId="519B93E2" w14:textId="77777777" w:rsidR="009F1DFF" w:rsidRPr="003A2FA0" w:rsidRDefault="009F1DFF" w:rsidP="009F1DFF">
      <w:pPr>
        <w:shd w:val="clear" w:color="auto" w:fill="FFFFFF"/>
        <w:spacing w:after="0" w:line="240" w:lineRule="auto"/>
        <w:rPr>
          <w:rFonts w:ascii="Calibri" w:eastAsia="Times New Roman" w:hAnsi="Calibri" w:cs="Calibri"/>
          <w:b/>
          <w:bCs/>
          <w:color w:val="00188F"/>
          <w:sz w:val="18"/>
          <w:szCs w:val="18"/>
          <w:bdr w:val="none" w:sz="0" w:space="0" w:color="auto" w:frame="1"/>
        </w:rPr>
      </w:pPr>
      <w:r>
        <w:rPr>
          <w:rFonts w:ascii="Calibri" w:eastAsia="Times New Roman" w:hAnsi="Calibri" w:cs="Calibri"/>
          <w:b/>
          <w:bCs/>
          <w:color w:val="00188F"/>
          <w:sz w:val="18"/>
          <w:szCs w:val="18"/>
          <w:bdr w:val="none" w:sz="0" w:space="0" w:color="auto" w:frame="1"/>
        </w:rPr>
        <w:t>Środki Serwisowe na Używanie Usług: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9F1DFF" w14:paraId="3DB3CE69" w14:textId="77777777" w:rsidTr="00E1735E">
        <w:trPr>
          <w:tblHeader/>
        </w:trPr>
        <w:tc>
          <w:tcPr>
            <w:tcW w:w="5400" w:type="dxa"/>
            <w:shd w:val="clear" w:color="auto" w:fill="0072C6"/>
          </w:tcPr>
          <w:p w14:paraId="58851E0A" w14:textId="77777777" w:rsidR="009F1DFF" w:rsidRPr="003A2FA0" w:rsidRDefault="009F1DFF"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Zmaterializowanych Opóźnień</w:t>
            </w:r>
          </w:p>
        </w:tc>
        <w:tc>
          <w:tcPr>
            <w:tcW w:w="5400" w:type="dxa"/>
            <w:shd w:val="clear" w:color="auto" w:fill="0072C6"/>
          </w:tcPr>
          <w:p w14:paraId="05DE56C7" w14:textId="77777777" w:rsidR="009F1DFF" w:rsidRPr="003A2FA0" w:rsidRDefault="009F1DFF"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9F1DFF" w14:paraId="6755733D" w14:textId="77777777" w:rsidTr="00E1735E">
        <w:tc>
          <w:tcPr>
            <w:tcW w:w="5400" w:type="dxa"/>
          </w:tcPr>
          <w:p w14:paraId="36025BE0" w14:textId="77777777" w:rsidR="009F1DFF" w:rsidRPr="003A2FA0" w:rsidRDefault="009F1DFF"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 99%</w:t>
            </w:r>
          </w:p>
        </w:tc>
        <w:tc>
          <w:tcPr>
            <w:tcW w:w="5400" w:type="dxa"/>
          </w:tcPr>
          <w:p w14:paraId="138B7007" w14:textId="77777777" w:rsidR="009F1DFF" w:rsidRPr="003A2FA0" w:rsidRDefault="009F1DFF"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bl>
    <w:p w14:paraId="5432DBED" w14:textId="77777777" w:rsidR="009F1DFF" w:rsidRPr="00E928BA" w:rsidRDefault="009F1DFF" w:rsidP="009F1DFF">
      <w:pPr>
        <w:shd w:val="clear" w:color="auto" w:fill="FFFFFF"/>
        <w:spacing w:before="120" w:after="120" w:line="240" w:lineRule="auto"/>
        <w:rPr>
          <w:rFonts w:ascii="Calibri" w:eastAsia="Times New Roman" w:hAnsi="Calibri" w:cs="Calibri"/>
          <w:sz w:val="18"/>
          <w:szCs w:val="18"/>
          <w:bdr w:val="none" w:sz="0" w:space="0" w:color="auto" w:frame="1"/>
        </w:rPr>
      </w:pPr>
      <w:r>
        <w:rPr>
          <w:rFonts w:ascii="Calibri" w:eastAsia="Times New Roman" w:hAnsi="Calibri" w:cs="Calibri"/>
          <w:b/>
          <w:bCs/>
          <w:color w:val="00188F"/>
          <w:sz w:val="18"/>
          <w:szCs w:val="18"/>
          <w:bdr w:val="none" w:sz="0" w:space="0" w:color="auto" w:frame="1"/>
        </w:rPr>
        <w:t xml:space="preserve">Wyjątki dotyczące Poziomu Usługi: </w:t>
      </w:r>
      <w:r>
        <w:rPr>
          <w:rFonts w:ascii="Calibri" w:eastAsia="Times New Roman" w:hAnsi="Calibri" w:cs="Calibri"/>
          <w:sz w:val="18"/>
          <w:szCs w:val="18"/>
          <w:bdr w:val="none" w:sz="0" w:space="0" w:color="auto" w:frame="1"/>
        </w:rPr>
        <w:t xml:space="preserve">Środki Serwisowe na Używanie Usług dotyczą wyłącznie modeli </w:t>
      </w:r>
      <w:proofErr w:type="spellStart"/>
      <w:r>
        <w:rPr>
          <w:rFonts w:ascii="Calibri" w:eastAsia="Times New Roman" w:hAnsi="Calibri" w:cs="Calibri"/>
          <w:sz w:val="18"/>
          <w:szCs w:val="18"/>
          <w:bdr w:val="none" w:sz="0" w:space="0" w:color="auto" w:frame="1"/>
        </w:rPr>
        <w:t>Foundry</w:t>
      </w:r>
      <w:proofErr w:type="spellEnd"/>
      <w:r>
        <w:rPr>
          <w:rFonts w:ascii="Calibri" w:eastAsia="Times New Roman" w:hAnsi="Calibri" w:cs="Calibri"/>
          <w:sz w:val="18"/>
          <w:szCs w:val="18"/>
          <w:bdr w:val="none" w:sz="0" w:space="0" w:color="auto" w:frame="1"/>
        </w:rPr>
        <w:t xml:space="preserve"> sprzedawanych przez platformę </w:t>
      </w:r>
      <w:proofErr w:type="spellStart"/>
      <w:r>
        <w:rPr>
          <w:rFonts w:ascii="Calibri" w:eastAsia="Times New Roman" w:hAnsi="Calibri" w:cs="Calibri"/>
          <w:sz w:val="18"/>
          <w:szCs w:val="18"/>
          <w:bdr w:val="none" w:sz="0" w:space="0" w:color="auto" w:frame="1"/>
        </w:rPr>
        <w:t>Azure</w:t>
      </w:r>
      <w:proofErr w:type="spellEnd"/>
      <w:r>
        <w:rPr>
          <w:rFonts w:ascii="Calibri" w:eastAsia="Times New Roman" w:hAnsi="Calibri" w:cs="Calibri"/>
          <w:sz w:val="18"/>
          <w:szCs w:val="18"/>
          <w:bdr w:val="none" w:sz="0" w:space="0" w:color="auto" w:frame="1"/>
        </w:rPr>
        <w:t xml:space="preserve">, gdzie Wartość Docelowa Opóźnienia SLA jest zdefiniowana w dokumentacji produktu. Poziom deweloperski usługi Modeli </w:t>
      </w:r>
      <w:proofErr w:type="spellStart"/>
      <w:r>
        <w:rPr>
          <w:rFonts w:ascii="Calibri" w:eastAsia="Times New Roman" w:hAnsi="Calibri" w:cs="Calibri"/>
          <w:sz w:val="18"/>
          <w:szCs w:val="18"/>
          <w:bdr w:val="none" w:sz="0" w:space="0" w:color="auto" w:frame="1"/>
        </w:rPr>
        <w:t>Foundry</w:t>
      </w:r>
      <w:proofErr w:type="spellEnd"/>
      <w:r>
        <w:rPr>
          <w:rFonts w:ascii="Calibri" w:eastAsia="Times New Roman" w:hAnsi="Calibri" w:cs="Calibri"/>
          <w:sz w:val="18"/>
          <w:szCs w:val="18"/>
          <w:bdr w:val="none" w:sz="0" w:space="0" w:color="auto" w:frame="1"/>
        </w:rPr>
        <w:t xml:space="preserve"> nie jest objęty niniejszą umową SLA.</w:t>
      </w:r>
    </w:p>
    <w:p w14:paraId="509A5131" w14:textId="0B8B7F4C" w:rsidR="00AA3975" w:rsidRPr="00EF7CF9" w:rsidRDefault="00C71F89" w:rsidP="00D952C5">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19534E3" w14:textId="77777777" w:rsidR="00F71289" w:rsidRPr="00CC6940" w:rsidRDefault="00F71289" w:rsidP="00F71289">
      <w:pPr>
        <w:keepNext/>
        <w:pBdr>
          <w:bottom w:val="single" w:sz="4" w:space="1" w:color="595959"/>
        </w:pBdr>
        <w:spacing w:before="60" w:after="60" w:line="240" w:lineRule="auto"/>
        <w:ind w:firstLine="187"/>
        <w:outlineLvl w:val="2"/>
        <w:rPr>
          <w:rFonts w:ascii="Calibri Light" w:eastAsia="Calibri" w:hAnsi="Calibri Light" w:cs="Arial"/>
          <w:b/>
          <w:color w:val="0072C6"/>
          <w:sz w:val="28"/>
        </w:rPr>
      </w:pPr>
      <w:bookmarkStart w:id="369" w:name="_Toc230011465"/>
      <w:proofErr w:type="spellStart"/>
      <w:r>
        <w:rPr>
          <w:rFonts w:ascii="Calibri Light" w:eastAsia="Calibri" w:hAnsi="Calibri Light" w:cs="Arial"/>
          <w:b/>
          <w:color w:val="0072C6"/>
          <w:sz w:val="28"/>
        </w:rPr>
        <w:t>Foundry</w:t>
      </w:r>
      <w:proofErr w:type="spellEnd"/>
      <w:r>
        <w:rPr>
          <w:rFonts w:ascii="Calibri Light" w:eastAsia="Calibri" w:hAnsi="Calibri Light" w:cs="Arial"/>
          <w:b/>
          <w:color w:val="0072C6"/>
          <w:sz w:val="28"/>
        </w:rPr>
        <w:t xml:space="preserve"> </w:t>
      </w:r>
      <w:proofErr w:type="spellStart"/>
      <w:r>
        <w:rPr>
          <w:rFonts w:ascii="Calibri Light" w:eastAsia="Calibri" w:hAnsi="Calibri Light" w:cs="Arial"/>
          <w:b/>
          <w:color w:val="0072C6"/>
          <w:sz w:val="28"/>
        </w:rPr>
        <w:t>Observability</w:t>
      </w:r>
      <w:bookmarkEnd w:id="369"/>
      <w:proofErr w:type="spellEnd"/>
    </w:p>
    <w:p w14:paraId="641ACA18"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Dodatkowe definicje</w:t>
      </w:r>
      <w:r w:rsidRPr="00624A46">
        <w:rPr>
          <w:rFonts w:ascii="Calibri" w:eastAsia="Calibri" w:hAnsi="Calibri" w:cs="Arial"/>
          <w:b/>
          <w:color w:val="00188F"/>
          <w:sz w:val="18"/>
        </w:rPr>
        <w:t>:</w:t>
      </w:r>
    </w:p>
    <w:p w14:paraId="72C7EE8E"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sz w:val="18"/>
        </w:rPr>
      </w:pPr>
      <w:r w:rsidRPr="00F84ABE">
        <w:rPr>
          <w:rFonts w:ascii="Calibri" w:eastAsia="Aptos" w:hAnsi="Calibri" w:cs="Calibri"/>
          <w:b/>
          <w:color w:val="00188F"/>
          <w:sz w:val="18"/>
        </w:rPr>
        <w:t>„</w:t>
      </w:r>
      <w:r>
        <w:rPr>
          <w:rFonts w:ascii="Calibri" w:eastAsia="Aptos" w:hAnsi="Calibri" w:cs="Calibri"/>
          <w:b/>
          <w:color w:val="00188F"/>
          <w:sz w:val="18"/>
        </w:rPr>
        <w:t xml:space="preserve">Zasób </w:t>
      </w:r>
      <w:proofErr w:type="spellStart"/>
      <w:r>
        <w:rPr>
          <w:rFonts w:ascii="Calibri" w:eastAsia="Aptos" w:hAnsi="Calibri" w:cs="Calibri"/>
          <w:b/>
          <w:color w:val="00188F"/>
          <w:sz w:val="18"/>
        </w:rPr>
        <w:t>Azure</w:t>
      </w:r>
      <w:proofErr w:type="spellEnd"/>
      <w:r>
        <w:rPr>
          <w:rFonts w:ascii="Calibri" w:eastAsia="Aptos" w:hAnsi="Calibri" w:cs="Calibri"/>
          <w:b/>
          <w:color w:val="00188F"/>
          <w:sz w:val="18"/>
        </w:rPr>
        <w:t xml:space="preserve"> AI </w:t>
      </w:r>
      <w:proofErr w:type="spellStart"/>
      <w:r>
        <w:rPr>
          <w:rFonts w:ascii="Calibri" w:eastAsia="Aptos" w:hAnsi="Calibri" w:cs="Calibri"/>
          <w:b/>
          <w:color w:val="00188F"/>
          <w:sz w:val="18"/>
        </w:rPr>
        <w:t>Foundry</w:t>
      </w:r>
      <w:proofErr w:type="spellEnd"/>
      <w:r w:rsidRPr="00F84ABE">
        <w:rPr>
          <w:rFonts w:ascii="Calibri" w:eastAsia="Aptos" w:hAnsi="Calibri" w:cs="Calibri"/>
          <w:b/>
          <w:color w:val="00188F"/>
          <w:sz w:val="18"/>
        </w:rPr>
        <w:t>” </w:t>
      </w:r>
      <w:r>
        <w:rPr>
          <w:rFonts w:ascii="Calibri" w:eastAsia="Aptos" w:hAnsi="Calibri" w:cs="Calibri"/>
          <w:sz w:val="18"/>
        </w:rPr>
        <w:t xml:space="preserve">odnosi się do zasobu platformy </w:t>
      </w:r>
      <w:proofErr w:type="spellStart"/>
      <w:r>
        <w:rPr>
          <w:rFonts w:ascii="Calibri" w:eastAsia="Aptos" w:hAnsi="Calibri" w:cs="Calibri"/>
          <w:sz w:val="18"/>
        </w:rPr>
        <w:t>Azure</w:t>
      </w:r>
      <w:proofErr w:type="spellEnd"/>
      <w:r>
        <w:rPr>
          <w:rFonts w:ascii="Calibri" w:eastAsia="Aptos" w:hAnsi="Calibri" w:cs="Calibri"/>
          <w:sz w:val="18"/>
        </w:rPr>
        <w:t xml:space="preserve"> dla Microsoft </w:t>
      </w:r>
      <w:proofErr w:type="spellStart"/>
      <w:r>
        <w:rPr>
          <w:rFonts w:ascii="Calibri" w:eastAsia="Aptos" w:hAnsi="Calibri" w:cs="Calibri"/>
          <w:sz w:val="18"/>
        </w:rPr>
        <w:t>Foundry</w:t>
      </w:r>
      <w:proofErr w:type="spellEnd"/>
      <w:r>
        <w:rPr>
          <w:rFonts w:ascii="Calibri" w:eastAsia="Aptos" w:hAnsi="Calibri" w:cs="Calibri"/>
          <w:sz w:val="18"/>
        </w:rPr>
        <w:t xml:space="preserve"> utworzonego w regionie świadczenia platformy </w:t>
      </w:r>
      <w:proofErr w:type="spellStart"/>
      <w:r>
        <w:rPr>
          <w:rFonts w:ascii="Calibri" w:eastAsia="Aptos" w:hAnsi="Calibri" w:cs="Calibri"/>
          <w:sz w:val="18"/>
        </w:rPr>
        <w:t>Azure</w:t>
      </w:r>
      <w:proofErr w:type="spellEnd"/>
      <w:r>
        <w:rPr>
          <w:rFonts w:ascii="Calibri" w:eastAsia="Aptos" w:hAnsi="Calibri" w:cs="Calibri"/>
          <w:sz w:val="18"/>
        </w:rPr>
        <w:t xml:space="preserve"> w ramach subskrypcji Microsoft </w:t>
      </w:r>
      <w:proofErr w:type="spellStart"/>
      <w:r>
        <w:rPr>
          <w:rFonts w:ascii="Calibri" w:eastAsia="Aptos" w:hAnsi="Calibri" w:cs="Calibri"/>
          <w:sz w:val="18"/>
        </w:rPr>
        <w:t>Azure</w:t>
      </w:r>
      <w:proofErr w:type="spellEnd"/>
      <w:r>
        <w:rPr>
          <w:rFonts w:ascii="Calibri" w:eastAsia="Aptos" w:hAnsi="Calibri" w:cs="Calibri"/>
          <w:sz w:val="18"/>
        </w:rPr>
        <w:t>.</w:t>
      </w:r>
    </w:p>
    <w:p w14:paraId="7B17B6BE"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sz w:val="18"/>
        </w:rPr>
      </w:pPr>
      <w:r w:rsidRPr="00F84ABE">
        <w:rPr>
          <w:rFonts w:ascii="Calibri" w:eastAsia="Aptos" w:hAnsi="Calibri" w:cs="Calibri"/>
          <w:b/>
          <w:color w:val="00188F"/>
          <w:sz w:val="18"/>
        </w:rPr>
        <w:t>„</w:t>
      </w:r>
      <w:r>
        <w:rPr>
          <w:rFonts w:ascii="Calibri" w:eastAsia="Aptos" w:hAnsi="Calibri" w:cs="Calibri"/>
          <w:b/>
          <w:color w:val="00188F"/>
          <w:sz w:val="18"/>
        </w:rPr>
        <w:t>Żądanie</w:t>
      </w:r>
      <w:r w:rsidRPr="00F84ABE">
        <w:rPr>
          <w:rFonts w:ascii="Calibri" w:eastAsia="Aptos" w:hAnsi="Calibri" w:cs="Calibri"/>
          <w:b/>
          <w:color w:val="00188F"/>
          <w:sz w:val="18"/>
        </w:rPr>
        <w:t>”</w:t>
      </w:r>
      <w:r>
        <w:rPr>
          <w:rFonts w:ascii="Calibri" w:eastAsia="Aptos" w:hAnsi="Calibri" w:cs="Calibri"/>
          <w:sz w:val="18"/>
        </w:rPr>
        <w:t xml:space="preserve"> jest wywołaniem interfejsu API do punktu końcowego w Zasobie Microsoft </w:t>
      </w:r>
      <w:proofErr w:type="spellStart"/>
      <w:r>
        <w:rPr>
          <w:rFonts w:ascii="Calibri" w:eastAsia="Aptos" w:hAnsi="Calibri" w:cs="Calibri"/>
          <w:sz w:val="18"/>
        </w:rPr>
        <w:t>Foundry</w:t>
      </w:r>
      <w:proofErr w:type="spellEnd"/>
      <w:r>
        <w:rPr>
          <w:rFonts w:ascii="Calibri" w:eastAsia="Aptos" w:hAnsi="Calibri" w:cs="Calibri"/>
          <w:sz w:val="18"/>
        </w:rPr>
        <w:t>.</w:t>
      </w:r>
    </w:p>
    <w:p w14:paraId="57CA8C49"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sz w:val="18"/>
        </w:rPr>
      </w:pPr>
      <w:r w:rsidRPr="00F84ABE">
        <w:rPr>
          <w:rFonts w:ascii="Calibri" w:eastAsia="Aptos" w:hAnsi="Calibri" w:cs="Calibri"/>
          <w:b/>
          <w:color w:val="00188F"/>
          <w:sz w:val="18"/>
        </w:rPr>
        <w:t>„</w:t>
      </w:r>
      <w:r>
        <w:rPr>
          <w:rFonts w:ascii="Calibri" w:eastAsia="Aptos" w:hAnsi="Calibri" w:cs="Calibri"/>
          <w:b/>
          <w:color w:val="00188F"/>
          <w:sz w:val="18"/>
        </w:rPr>
        <w:t>Średnia Częstość Błędów</w:t>
      </w:r>
      <w:r w:rsidRPr="00F84ABE">
        <w:rPr>
          <w:rFonts w:ascii="Calibri" w:eastAsia="Aptos" w:hAnsi="Calibri" w:cs="Calibri"/>
          <w:b/>
          <w:color w:val="00188F"/>
          <w:sz w:val="18"/>
        </w:rPr>
        <w:t>” </w:t>
      </w:r>
      <w:r>
        <w:rPr>
          <w:rFonts w:ascii="Calibri" w:eastAsia="Aptos" w:hAnsi="Calibri" w:cs="Calibri"/>
          <w:sz w:val="18"/>
        </w:rPr>
        <w:t>we Właściwym Okresie to suma Częstości Błędów dla każdej minuty we Właściwym Okresie podzielona przez łączną liczbę minut we Właściwym Okresie.</w:t>
      </w:r>
    </w:p>
    <w:p w14:paraId="1074B0B4"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sz w:val="18"/>
        </w:rPr>
      </w:pPr>
      <w:r w:rsidRPr="00F84ABE">
        <w:rPr>
          <w:rFonts w:ascii="Calibri" w:eastAsia="Aptos" w:hAnsi="Calibri" w:cs="Calibri"/>
          <w:b/>
          <w:color w:val="00188F"/>
          <w:sz w:val="18"/>
        </w:rPr>
        <w:t>„</w:t>
      </w:r>
      <w:r>
        <w:rPr>
          <w:rFonts w:ascii="Calibri" w:eastAsia="Aptos" w:hAnsi="Calibri" w:cs="Calibri"/>
          <w:b/>
          <w:color w:val="00188F"/>
          <w:sz w:val="18"/>
        </w:rPr>
        <w:t>Częstość Błędów</w:t>
      </w:r>
      <w:r w:rsidRPr="00F84ABE">
        <w:rPr>
          <w:rFonts w:ascii="Calibri" w:eastAsia="Aptos" w:hAnsi="Calibri" w:cs="Calibri"/>
          <w:b/>
          <w:color w:val="00188F"/>
          <w:sz w:val="18"/>
        </w:rPr>
        <w:t>”</w:t>
      </w:r>
      <w:r>
        <w:rPr>
          <w:rFonts w:ascii="Calibri" w:eastAsia="Aptos" w:hAnsi="Calibri" w:cs="Calibri"/>
          <w:sz w:val="18"/>
        </w:rPr>
        <w:t> to łączna liczba Żądań, które zwracają Kod Błędu, podzielona przez łączną liczbę Żądań w ciągu minuty. Jeśli łączna liczba Żądań w danym przedziale jednominutowym wynosi zero, częstość błędów dla tego przedziału wynosi 0%.</w:t>
      </w:r>
    </w:p>
    <w:p w14:paraId="67AB973F"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sz w:val="18"/>
        </w:rPr>
      </w:pPr>
      <w:r w:rsidRPr="00F84ABE">
        <w:rPr>
          <w:rFonts w:ascii="Calibri" w:eastAsia="Aptos" w:hAnsi="Calibri" w:cs="Calibri"/>
          <w:b/>
          <w:color w:val="00188F"/>
          <w:sz w:val="18"/>
        </w:rPr>
        <w:t>„</w:t>
      </w:r>
      <w:r>
        <w:rPr>
          <w:rFonts w:ascii="Calibri" w:eastAsia="Aptos" w:hAnsi="Calibri" w:cs="Calibri"/>
          <w:b/>
          <w:color w:val="00188F"/>
          <w:sz w:val="18"/>
        </w:rPr>
        <w:t>Procent Czasu Sprawnego Działania</w:t>
      </w:r>
      <w:r w:rsidRPr="00F84ABE">
        <w:rPr>
          <w:rFonts w:ascii="Calibri" w:eastAsia="Aptos" w:hAnsi="Calibri" w:cs="Calibri"/>
          <w:b/>
          <w:color w:val="00188F"/>
          <w:sz w:val="18"/>
        </w:rPr>
        <w:t>”</w:t>
      </w:r>
      <w:r>
        <w:rPr>
          <w:rFonts w:ascii="Calibri" w:eastAsia="Aptos" w:hAnsi="Calibri" w:cs="Calibri"/>
          <w:sz w:val="18"/>
        </w:rPr>
        <w:t> przedstawia się za pomocą następującego wzoru:</w:t>
      </w:r>
    </w:p>
    <w:p w14:paraId="3CD62C05" w14:textId="77777777" w:rsidR="00F71289" w:rsidRPr="00CC6940" w:rsidRDefault="00F71289" w:rsidP="00F71289">
      <w:pPr>
        <w:tabs>
          <w:tab w:val="left" w:pos="360"/>
          <w:tab w:val="left" w:pos="720"/>
          <w:tab w:val="left" w:pos="1080"/>
        </w:tabs>
        <w:spacing w:before="120" w:after="0" w:line="240" w:lineRule="auto"/>
        <w:rPr>
          <w:rFonts w:ascii="Aptos" w:eastAsia="Aptos" w:hAnsi="Aptos" w:cs="Times New Roman"/>
          <w:sz w:val="18"/>
        </w:rPr>
      </w:pPr>
      <m:oMathPara>
        <m:oMath>
          <m:r>
            <w:rPr>
              <w:rFonts w:ascii="Cambria Math" w:eastAsia="Aptos" w:hAnsi="Cambria Math" w:cs="Tahoma"/>
              <w:color w:val="000000"/>
              <w:sz w:val="18"/>
              <w:szCs w:val="18"/>
            </w:rPr>
            <m:t>100% - Średnia Częstość Błędów</m:t>
          </m:r>
        </m:oMath>
      </m:oMathPara>
    </w:p>
    <w:p w14:paraId="7F639760" w14:textId="77777777" w:rsidR="00F71289" w:rsidRPr="00CC6940" w:rsidRDefault="00F71289" w:rsidP="00F71289">
      <w:pPr>
        <w:tabs>
          <w:tab w:val="left" w:pos="360"/>
          <w:tab w:val="left" w:pos="720"/>
          <w:tab w:val="left" w:pos="1080"/>
        </w:tabs>
        <w:spacing w:after="0" w:line="240" w:lineRule="auto"/>
        <w:rPr>
          <w:rFonts w:ascii="Calibri" w:eastAsia="Aptos" w:hAnsi="Calibri" w:cs="Calibri"/>
          <w:b/>
          <w:color w:val="00188F"/>
          <w:sz w:val="18"/>
        </w:rPr>
      </w:pPr>
      <w:r>
        <w:rPr>
          <w:rFonts w:ascii="Calibri" w:eastAsia="Aptos" w:hAnsi="Calibri" w:cs="Calibri"/>
          <w:b/>
          <w:color w:val="00188F"/>
          <w:sz w:val="18"/>
        </w:rPr>
        <w:t>Środki Serwisowe na Używanie Usług</w:t>
      </w:r>
      <w:r w:rsidRPr="00624A46">
        <w:rPr>
          <w:rFonts w:ascii="Calibri" w:eastAsia="Calibri" w:hAnsi="Calibri" w:cs="Arial"/>
          <w:b/>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71289" w14:paraId="25607C6B" w14:textId="77777777" w:rsidTr="00E1735E">
        <w:trPr>
          <w:tblHeader/>
        </w:trPr>
        <w:tc>
          <w:tcPr>
            <w:tcW w:w="5400" w:type="dxa"/>
            <w:shd w:val="clear" w:color="auto" w:fill="0072C6"/>
          </w:tcPr>
          <w:p w14:paraId="2AB33CBB" w14:textId="77777777" w:rsidR="00F71289" w:rsidRPr="00CC6940" w:rsidRDefault="00F71289"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Procent Czasu Sprawnego Działania</w:t>
            </w:r>
          </w:p>
        </w:tc>
        <w:tc>
          <w:tcPr>
            <w:tcW w:w="5400" w:type="dxa"/>
            <w:shd w:val="clear" w:color="auto" w:fill="0072C6"/>
          </w:tcPr>
          <w:p w14:paraId="392D9957" w14:textId="77777777" w:rsidR="00F71289" w:rsidRPr="00CC6940" w:rsidRDefault="00F71289" w:rsidP="00E1735E">
            <w:pPr>
              <w:tabs>
                <w:tab w:val="left" w:pos="360"/>
                <w:tab w:val="left" w:pos="720"/>
                <w:tab w:val="left" w:pos="1080"/>
              </w:tabs>
              <w:spacing w:before="20" w:after="20" w:line="240" w:lineRule="auto"/>
              <w:ind w:left="-14" w:right="-101"/>
              <w:jc w:val="center"/>
              <w:rPr>
                <w:rFonts w:ascii="Calibri" w:eastAsia="Calibri" w:hAnsi="Calibri" w:cs="Arial"/>
                <w:color w:val="FFFFFF"/>
                <w:sz w:val="16"/>
              </w:rPr>
            </w:pPr>
            <w:r>
              <w:rPr>
                <w:rFonts w:ascii="Calibri" w:eastAsia="Calibri" w:hAnsi="Calibri" w:cs="Arial"/>
                <w:color w:val="FFFFFF"/>
                <w:sz w:val="16"/>
              </w:rPr>
              <w:t>Środki Serwisowe na Używanie Usług</w:t>
            </w:r>
          </w:p>
        </w:tc>
      </w:tr>
      <w:tr w:rsidR="00F71289" w14:paraId="3BEB4093" w14:textId="77777777" w:rsidTr="00E1735E">
        <w:tc>
          <w:tcPr>
            <w:tcW w:w="5400" w:type="dxa"/>
          </w:tcPr>
          <w:p w14:paraId="0191D83C" w14:textId="77777777" w:rsidR="00F71289" w:rsidRPr="00CC6940" w:rsidRDefault="00F71289"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&lt;99,9%</w:t>
            </w:r>
          </w:p>
        </w:tc>
        <w:tc>
          <w:tcPr>
            <w:tcW w:w="5400" w:type="dxa"/>
          </w:tcPr>
          <w:p w14:paraId="53213496" w14:textId="77777777" w:rsidR="00F71289" w:rsidRPr="00CC6940" w:rsidRDefault="00F71289"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10%</w:t>
            </w:r>
          </w:p>
        </w:tc>
      </w:tr>
      <w:tr w:rsidR="00F71289" w14:paraId="02B67CD7" w14:textId="77777777" w:rsidTr="00E1735E">
        <w:tc>
          <w:tcPr>
            <w:tcW w:w="5400" w:type="dxa"/>
          </w:tcPr>
          <w:p w14:paraId="4B1923CA" w14:textId="77777777" w:rsidR="00F71289" w:rsidRPr="00CC6940" w:rsidRDefault="00F71289"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&lt;99%</w:t>
            </w:r>
          </w:p>
        </w:tc>
        <w:tc>
          <w:tcPr>
            <w:tcW w:w="5400" w:type="dxa"/>
          </w:tcPr>
          <w:p w14:paraId="1E7ED4CD" w14:textId="77777777" w:rsidR="00F71289" w:rsidRPr="00CC6940" w:rsidRDefault="00F71289" w:rsidP="00E1735E">
            <w:pPr>
              <w:tabs>
                <w:tab w:val="left" w:pos="360"/>
                <w:tab w:val="left" w:pos="720"/>
                <w:tab w:val="left" w:pos="1080"/>
              </w:tabs>
              <w:spacing w:before="20" w:after="20" w:line="240" w:lineRule="auto"/>
              <w:ind w:left="-14" w:right="-101"/>
              <w:jc w:val="center"/>
              <w:rPr>
                <w:rFonts w:ascii="Calibri" w:eastAsia="Calibri" w:hAnsi="Calibri" w:cs="Arial"/>
                <w:sz w:val="16"/>
              </w:rPr>
            </w:pPr>
            <w:r>
              <w:rPr>
                <w:rFonts w:ascii="Calibri" w:eastAsia="Calibri" w:hAnsi="Calibri" w:cs="Arial"/>
                <w:sz w:val="16"/>
              </w:rPr>
              <w:t>25%</w:t>
            </w:r>
          </w:p>
        </w:tc>
      </w:tr>
    </w:tbl>
    <w:p w14:paraId="2DDFF8B5" w14:textId="77777777" w:rsidR="00F71289" w:rsidRPr="00CC6940" w:rsidRDefault="00F71289" w:rsidP="00F71289">
      <w:pPr>
        <w:spacing w:before="120" w:after="120" w:line="240" w:lineRule="auto"/>
        <w:rPr>
          <w:rFonts w:ascii="Calibri" w:eastAsia="Aptos" w:hAnsi="Calibri" w:cs="Calibri"/>
          <w:sz w:val="18"/>
          <w:szCs w:val="18"/>
        </w:rPr>
      </w:pPr>
      <w:r>
        <w:rPr>
          <w:rFonts w:ascii="Calibri" w:eastAsia="Calibri" w:hAnsi="Calibri" w:cs="Calibri"/>
          <w:b/>
          <w:bCs/>
          <w:color w:val="00188F"/>
          <w:sz w:val="18"/>
          <w:szCs w:val="18"/>
        </w:rPr>
        <w:t>Wyjątki dotyczące Poziomu Usługi</w:t>
      </w:r>
      <w:r w:rsidRPr="00F84ABE">
        <w:rPr>
          <w:rFonts w:ascii="Calibri" w:eastAsia="Calibri" w:hAnsi="Calibri" w:cs="Calibri"/>
          <w:b/>
          <w:bCs/>
          <w:sz w:val="18"/>
          <w:szCs w:val="18"/>
        </w:rPr>
        <w:t>.</w:t>
      </w:r>
      <w:r>
        <w:rPr>
          <w:rFonts w:ascii="Calibri" w:eastAsia="Calibri" w:hAnsi="Calibri" w:cs="Calibri"/>
          <w:sz w:val="18"/>
          <w:szCs w:val="18"/>
        </w:rPr>
        <w:t xml:space="preserve"> </w:t>
      </w:r>
      <w:r>
        <w:rPr>
          <w:rFonts w:ascii="Calibri" w:eastAsia="Aptos" w:hAnsi="Calibri" w:cs="Calibri"/>
          <w:sz w:val="18"/>
        </w:rPr>
        <w:t>nie jest uwzględniana realizacja zadań długotrwałych.</w:t>
      </w:r>
    </w:p>
    <w:p w14:paraId="7F0C6348" w14:textId="77777777" w:rsidR="00F71289" w:rsidRPr="00EF7CF9" w:rsidRDefault="00F71289" w:rsidP="00D952C5">
      <w:pPr>
        <w:pStyle w:val="ProductList-Body"/>
        <w:shd w:val="clear" w:color="auto" w:fill="808080" w:themeFill="background1" w:themeFillShade="80"/>
        <w:tabs>
          <w:tab w:val="clear" w:pos="360"/>
          <w:tab w:val="clear" w:pos="720"/>
          <w:tab w:val="clear" w:pos="1080"/>
        </w:tabs>
        <w:spacing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8FB0E87" w14:textId="5F610374" w:rsidR="0057584E" w:rsidRPr="0057584E" w:rsidRDefault="0057584E" w:rsidP="0057584E">
      <w:pPr>
        <w:pStyle w:val="ProductList-Offering2Heading"/>
        <w:keepNext/>
        <w:tabs>
          <w:tab w:val="clear" w:pos="360"/>
          <w:tab w:val="clear" w:pos="720"/>
          <w:tab w:val="clear" w:pos="1080"/>
        </w:tabs>
        <w:outlineLvl w:val="2"/>
      </w:pPr>
      <w:bookmarkStart w:id="370" w:name="_Toc239175053"/>
      <w:r w:rsidRPr="0057584E">
        <w:t>Replikacja Obiektów - Replikacja Priorytetowa</w:t>
      </w:r>
      <w:bookmarkEnd w:id="370"/>
    </w:p>
    <w:p w14:paraId="52695BF6" w14:textId="77777777" w:rsidR="0057584E" w:rsidRDefault="0057584E" w:rsidP="0057584E">
      <w:pPr>
        <w:spacing w:after="0"/>
        <w:rPr>
          <w:rFonts w:ascii="Calibri" w:eastAsia="Calibri" w:hAnsi="Calibri" w:cs="Calibri"/>
          <w:sz w:val="18"/>
          <w:szCs w:val="18"/>
        </w:rPr>
      </w:pPr>
      <w:r>
        <w:rPr>
          <w:rFonts w:ascii="Calibri" w:eastAsia="Calibri" w:hAnsi="Calibri" w:cs="Calibri"/>
          <w:sz w:val="18"/>
          <w:szCs w:val="18"/>
        </w:rPr>
        <w:t>Niniejsza umowa SLA ma zastosowanie do każdych Zasad dotyczących Replikacji, w których Konto Źródłowe Magazynu i Konto Docelowe Magazynu znajdują się na tym samym kontynencie i kwalifikują się do Replikacji Priorytetowej.</w:t>
      </w:r>
    </w:p>
    <w:p w14:paraId="2EF9BD37" w14:textId="77777777" w:rsidR="0057584E" w:rsidRDefault="0057584E" w:rsidP="0057584E">
      <w:pPr>
        <w:spacing w:after="0"/>
        <w:rPr>
          <w:rFonts w:ascii="Calibri" w:eastAsia="Calibri" w:hAnsi="Calibri" w:cs="Calibri"/>
          <w:sz w:val="18"/>
          <w:szCs w:val="18"/>
        </w:rPr>
      </w:pPr>
    </w:p>
    <w:p w14:paraId="3DDCC072" w14:textId="77777777" w:rsidR="0057584E" w:rsidRPr="004948E2" w:rsidRDefault="0057584E" w:rsidP="0057584E">
      <w:pPr>
        <w:pStyle w:val="ProductList-Body"/>
        <w:rPr>
          <w:rFonts w:ascii="Calibri" w:hAnsi="Calibri" w:cs="Calibri"/>
          <w:b/>
          <w:bCs/>
          <w:color w:val="00188F"/>
        </w:rPr>
      </w:pPr>
      <w:r>
        <w:rPr>
          <w:rFonts w:ascii="Calibri" w:hAnsi="Calibri" w:cs="Calibri"/>
          <w:b/>
          <w:bCs/>
          <w:color w:val="00188F"/>
        </w:rPr>
        <w:t>Dodatkowe definicje</w:t>
      </w:r>
      <w:r>
        <w:rPr>
          <w:rFonts w:ascii="Calibri" w:hAnsi="Calibri" w:cs="Calibri"/>
        </w:rPr>
        <w:t>:</w:t>
      </w:r>
    </w:p>
    <w:p w14:paraId="58CFAA9B"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Kontener Docelowy</w:t>
      </w:r>
      <w:r>
        <w:rPr>
          <w:rFonts w:ascii="Calibri" w:eastAsia="Calibri" w:hAnsi="Calibri" w:cs="Arial"/>
          <w:sz w:val="18"/>
        </w:rPr>
        <w:t>” to kontener, do którego operacje są asynchronicznie replikowane w ramach Zasad Replikacji Obiektów.</w:t>
      </w:r>
    </w:p>
    <w:p w14:paraId="31D0EA4E"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Konto Magazynu Docelowego</w:t>
      </w:r>
      <w:r>
        <w:rPr>
          <w:rFonts w:ascii="Calibri" w:eastAsia="Calibri" w:hAnsi="Calibri" w:cs="Arial"/>
          <w:sz w:val="18"/>
        </w:rPr>
        <w:t>” to konto magazynu, do którego operacje są asynchronicznie replikowane na podstawie Zasad Replikacji skonfigurowanych przez użytkownika za pomocą Replikacji Obiektów na Koncie Magazynu Źródłowego.</w:t>
      </w:r>
    </w:p>
    <w:p w14:paraId="36B97EB0"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2060"/>
          <w:sz w:val="18"/>
        </w:rPr>
        <w:t>Przekroczone Opóźnienie Operacji</w:t>
      </w:r>
      <w:r>
        <w:rPr>
          <w:rFonts w:ascii="Calibri" w:eastAsia="Calibri" w:hAnsi="Calibri" w:cs="Arial"/>
          <w:sz w:val="18"/>
        </w:rPr>
        <w:t>” to dowolna operacja (dane, metadane, właściwości lub usunięcia), która oczekuje na replikację dłużej niż 15 minut lub której replikacja z Konta Magazynu Źródłowego na Konto Docelowe Magazynu trwa dłużej niż 15 minut w trakcie miesiąca rozliczeniowego.</w:t>
      </w:r>
    </w:p>
    <w:p w14:paraId="053E034D"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lang w:eastAsia="zh-TW"/>
        </w:rPr>
      </w:pPr>
      <w:r>
        <w:rPr>
          <w:rFonts w:ascii="Calibri" w:eastAsia="Calibri" w:hAnsi="Calibri" w:cs="Arial"/>
          <w:sz w:val="18"/>
        </w:rPr>
        <w:t>„</w:t>
      </w:r>
      <w:r>
        <w:rPr>
          <w:rFonts w:ascii="Calibri" w:eastAsia="Calibri" w:hAnsi="Calibri" w:cs="Arial"/>
          <w:b/>
          <w:bCs/>
          <w:color w:val="00188F"/>
          <w:sz w:val="18"/>
        </w:rPr>
        <w:t>Replikacja Obiektu</w:t>
      </w:r>
      <w:r>
        <w:rPr>
          <w:rFonts w:ascii="Calibri" w:eastAsia="Calibri" w:hAnsi="Calibri" w:cs="Arial"/>
          <w:sz w:val="18"/>
        </w:rPr>
        <w:t xml:space="preserve">” to funkcja konta magazynu, która asynchronicznie kopiuje bloki </w:t>
      </w:r>
      <w:proofErr w:type="spellStart"/>
      <w:r>
        <w:rPr>
          <w:rFonts w:ascii="Calibri" w:eastAsia="Calibri" w:hAnsi="Calibri" w:cs="Arial"/>
          <w:sz w:val="18"/>
        </w:rPr>
        <w:t>blobu</w:t>
      </w:r>
      <w:proofErr w:type="spellEnd"/>
      <w:r>
        <w:rPr>
          <w:rFonts w:ascii="Calibri" w:eastAsia="Calibri" w:hAnsi="Calibri" w:cs="Arial"/>
          <w:sz w:val="18"/>
        </w:rPr>
        <w:t xml:space="preserve"> ze Konta Magazynu Źródłowego na Konto Docelowe Magazynu. Bloki </w:t>
      </w:r>
      <w:proofErr w:type="spellStart"/>
      <w:r>
        <w:rPr>
          <w:rFonts w:ascii="Calibri" w:eastAsia="Calibri" w:hAnsi="Calibri" w:cs="Arial"/>
          <w:sz w:val="18"/>
        </w:rPr>
        <w:t>blob</w:t>
      </w:r>
      <w:proofErr w:type="spellEnd"/>
      <w:r>
        <w:rPr>
          <w:rFonts w:ascii="Calibri" w:eastAsia="Calibri" w:hAnsi="Calibri" w:cs="Arial"/>
          <w:sz w:val="18"/>
        </w:rPr>
        <w:t xml:space="preserve"> w kontenerze są replikowane zgodnie z Regułami Replikacji skonfigurowanymi przez użytkownika. Zawartość </w:t>
      </w:r>
      <w:proofErr w:type="spellStart"/>
      <w:r>
        <w:rPr>
          <w:rFonts w:ascii="Calibri" w:eastAsia="Calibri" w:hAnsi="Calibri" w:cs="Arial"/>
          <w:sz w:val="18"/>
        </w:rPr>
        <w:t>blobu</w:t>
      </w:r>
      <w:proofErr w:type="spellEnd"/>
      <w:r>
        <w:rPr>
          <w:rFonts w:ascii="Calibri" w:eastAsia="Calibri" w:hAnsi="Calibri" w:cs="Arial"/>
          <w:sz w:val="18"/>
        </w:rPr>
        <w:t xml:space="preserve">, wszelkie wersje skojarzone z </w:t>
      </w:r>
      <w:proofErr w:type="spellStart"/>
      <w:r>
        <w:rPr>
          <w:rFonts w:ascii="Calibri" w:eastAsia="Calibri" w:hAnsi="Calibri" w:cs="Arial"/>
          <w:sz w:val="18"/>
        </w:rPr>
        <w:t>blobem</w:t>
      </w:r>
      <w:proofErr w:type="spellEnd"/>
      <w:r>
        <w:rPr>
          <w:rFonts w:ascii="Calibri" w:eastAsia="Calibri" w:hAnsi="Calibri" w:cs="Arial"/>
          <w:sz w:val="18"/>
        </w:rPr>
        <w:t xml:space="preserve">, a także metadane, właściwości i usunięcia </w:t>
      </w:r>
      <w:proofErr w:type="spellStart"/>
      <w:r>
        <w:rPr>
          <w:rFonts w:ascii="Calibri" w:eastAsia="Calibri" w:hAnsi="Calibri" w:cs="Arial"/>
          <w:sz w:val="18"/>
        </w:rPr>
        <w:t>blobu</w:t>
      </w:r>
      <w:proofErr w:type="spellEnd"/>
      <w:r>
        <w:rPr>
          <w:rFonts w:ascii="Calibri" w:eastAsia="Calibri" w:hAnsi="Calibri" w:cs="Arial"/>
          <w:sz w:val="18"/>
        </w:rPr>
        <w:t xml:space="preserve"> są kopiowane z Kontenera Źródłowego do Kontenera Docelowego.</w:t>
      </w:r>
    </w:p>
    <w:p w14:paraId="371160E3"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Opóźnienie Replikacji</w:t>
      </w:r>
      <w:r>
        <w:rPr>
          <w:rFonts w:ascii="Calibri" w:eastAsia="Calibri" w:hAnsi="Calibri" w:cs="Arial"/>
          <w:sz w:val="18"/>
        </w:rPr>
        <w:t>” wskazuje czas, jaki upłynął między momentem wykonania operacji na Koncie Magazynu Źródłowego a momentem jej replikacji na Koncie Magazynu Docelowego.</w:t>
      </w:r>
    </w:p>
    <w:p w14:paraId="30BEBBFB"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Zasady Replikacji</w:t>
      </w:r>
      <w:r>
        <w:rPr>
          <w:rFonts w:ascii="Calibri" w:eastAsia="Calibri" w:hAnsi="Calibri" w:cs="Arial"/>
          <w:sz w:val="18"/>
        </w:rPr>
        <w:t xml:space="preserve">” określają Konto Magazynu Źródłowego i Konto Magazynu Docelowego. Zasady replikacji obejmują jedną lub więcej reguł, które określają Kontener Źródłowy i Kontener Docelowy oraz wskazują, które bloki </w:t>
      </w:r>
      <w:proofErr w:type="spellStart"/>
      <w:r>
        <w:rPr>
          <w:rFonts w:ascii="Calibri" w:eastAsia="Calibri" w:hAnsi="Calibri" w:cs="Arial"/>
          <w:sz w:val="18"/>
        </w:rPr>
        <w:t>blobu</w:t>
      </w:r>
      <w:proofErr w:type="spellEnd"/>
      <w:r>
        <w:rPr>
          <w:rFonts w:ascii="Calibri" w:eastAsia="Calibri" w:hAnsi="Calibri" w:cs="Arial"/>
          <w:sz w:val="18"/>
        </w:rPr>
        <w:t xml:space="preserve"> w Kontenerze Źródłowym zostaną zreplikowane.</w:t>
      </w:r>
    </w:p>
    <w:p w14:paraId="203E6C05"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Reguła Replikacji</w:t>
      </w:r>
      <w:r>
        <w:rPr>
          <w:rFonts w:ascii="Calibri" w:eastAsia="Calibri" w:hAnsi="Calibri" w:cs="Arial"/>
          <w:sz w:val="18"/>
        </w:rPr>
        <w:t xml:space="preserve">” określa sposób, w jaki </w:t>
      </w:r>
      <w:proofErr w:type="spellStart"/>
      <w:r>
        <w:rPr>
          <w:rFonts w:ascii="Calibri" w:eastAsia="Calibri" w:hAnsi="Calibri" w:cs="Arial"/>
          <w:sz w:val="18"/>
        </w:rPr>
        <w:t>Azure</w:t>
      </w:r>
      <w:proofErr w:type="spellEnd"/>
      <w:r>
        <w:rPr>
          <w:rFonts w:ascii="Calibri" w:eastAsia="Calibri" w:hAnsi="Calibri" w:cs="Arial"/>
          <w:sz w:val="18"/>
        </w:rPr>
        <w:t xml:space="preserve"> Storage będzie replikować operacje z Kontenera Źródłowego do Kontenera Docelowego.</w:t>
      </w:r>
    </w:p>
    <w:p w14:paraId="15C2BB82"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Kontener Źródłowy</w:t>
      </w:r>
      <w:r>
        <w:rPr>
          <w:rFonts w:ascii="Calibri" w:eastAsia="Calibri" w:hAnsi="Calibri" w:cs="Arial"/>
          <w:sz w:val="18"/>
        </w:rPr>
        <w:t>” to kontener, do którego operacja została pierwotnie przesłana w ramach Zasad Replikacji.</w:t>
      </w:r>
    </w:p>
    <w:p w14:paraId="6AA02CD6" w14:textId="77777777" w:rsidR="0057584E" w:rsidRPr="00C853AB" w:rsidRDefault="0057584E" w:rsidP="0057584E">
      <w:pPr>
        <w:spacing w:after="0"/>
        <w:rPr>
          <w:rFonts w:ascii="Calibri" w:eastAsia="Yu Mincho" w:hAnsi="Calibri" w:cs="Arial"/>
          <w:sz w:val="18"/>
          <w:szCs w:val="18"/>
          <w:lang w:eastAsia="zh-TW"/>
        </w:rPr>
      </w:pPr>
      <w:r>
        <w:rPr>
          <w:rFonts w:ascii="Calibri" w:eastAsia="Yu Mincho" w:hAnsi="Calibri" w:cs="Arial"/>
          <w:sz w:val="18"/>
          <w:szCs w:val="18"/>
        </w:rPr>
        <w:t>„</w:t>
      </w:r>
      <w:r>
        <w:rPr>
          <w:rFonts w:ascii="Calibri" w:eastAsia="Yu Mincho" w:hAnsi="Calibri" w:cs="Arial"/>
          <w:b/>
          <w:bCs/>
          <w:color w:val="00188F"/>
          <w:sz w:val="18"/>
          <w:szCs w:val="18"/>
        </w:rPr>
        <w:t>Konto Magazynu Źródłowego</w:t>
      </w:r>
      <w:r>
        <w:rPr>
          <w:rFonts w:ascii="Calibri" w:eastAsia="Yu Mincho" w:hAnsi="Calibri" w:cs="Arial"/>
          <w:sz w:val="18"/>
          <w:szCs w:val="18"/>
        </w:rPr>
        <w:t>” to konto magazynu, na którym tworzone są Zasady Replikacji i Reguły Replikacji. Operacje są wykonywane na tym koncie magazynu, a następnie asynchronicznie replikowane na Koncie Magazynu Docelowego.</w:t>
      </w:r>
    </w:p>
    <w:p w14:paraId="1DE4F9F1"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bCs/>
          <w:color w:val="00188F"/>
          <w:sz w:val="18"/>
        </w:rPr>
        <w:t>Całkowita Liczba Operacji</w:t>
      </w:r>
      <w:r>
        <w:rPr>
          <w:rFonts w:ascii="Calibri" w:eastAsia="Calibri" w:hAnsi="Calibri" w:cs="Arial"/>
          <w:sz w:val="18"/>
        </w:rPr>
        <w:t>” to całkowita liczba operacji, które zostały zreplikowane lub oczekują na replikację przez Replikację Obiektu w odpowiednim okresie w miesiącu rozliczeniowym.</w:t>
      </w:r>
    </w:p>
    <w:p w14:paraId="7455511D" w14:textId="77777777" w:rsidR="0057584E" w:rsidRPr="00C853AB" w:rsidRDefault="0057584E" w:rsidP="0057584E">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sz w:val="18"/>
        </w:rPr>
        <w:t xml:space="preserve">„Miesięczny </w:t>
      </w:r>
      <w:r>
        <w:rPr>
          <w:rFonts w:ascii="Calibri" w:eastAsia="Calibri" w:hAnsi="Calibri" w:cs="Arial"/>
          <w:b/>
          <w:bCs/>
          <w:color w:val="00188F"/>
          <w:sz w:val="18"/>
        </w:rPr>
        <w:t>Procent Zgodności</w:t>
      </w:r>
      <w:r>
        <w:rPr>
          <w:rFonts w:ascii="Calibri" w:eastAsia="Calibri" w:hAnsi="Calibri" w:cs="Arial"/>
          <w:sz w:val="18"/>
        </w:rPr>
        <w:t>”: Miesięczny Procent Zgodności jest obliczany przy użyciu następującego wzoru:</w:t>
      </w:r>
    </w:p>
    <w:p w14:paraId="4469EB57" w14:textId="77777777" w:rsidR="0057584E" w:rsidRPr="004E133B" w:rsidRDefault="00000000" w:rsidP="0057584E">
      <w:pPr>
        <w:pStyle w:val="ProductList-Body"/>
        <w:spacing w:before="120"/>
        <w:jc w:val="center"/>
      </w:pPr>
      <m:oMathPara>
        <m:oMath>
          <m:f>
            <m:fPr>
              <m:ctrlPr>
                <w:rPr>
                  <w:rFonts w:ascii="Cambria Math" w:hAnsi="Cambria Math"/>
                </w:rPr>
              </m:ctrlPr>
            </m:fPr>
            <m:num>
              <m:r>
                <w:rPr>
                  <w:rFonts w:ascii="Cambria Math" w:hAnsi="Cambria Math"/>
                </w:rPr>
                <m:t>Całkowita Liczba Operacji- Przekroczone Opóźnienie Operacji </m:t>
              </m:r>
            </m:num>
            <m:den>
              <m:r>
                <w:rPr>
                  <w:rFonts w:ascii="Cambria Math" w:hAnsi="Cambria Math"/>
                </w:rPr>
                <m:t>Całkowita Liczba Operacji</m:t>
              </m:r>
            </m:den>
          </m:f>
          <m:r>
            <w:rPr>
              <w:rFonts w:ascii="Cambria Math" w:hAnsi="Cambria Math"/>
            </w:rPr>
            <m:t> x 100</m:t>
          </m:r>
        </m:oMath>
      </m:oMathPara>
    </w:p>
    <w:p w14:paraId="2E762F7D" w14:textId="77777777" w:rsidR="0057584E" w:rsidRPr="004948E2" w:rsidRDefault="0057584E" w:rsidP="0057584E">
      <w:pPr>
        <w:pStyle w:val="ProductList-Body"/>
        <w:keepNext/>
        <w:rPr>
          <w:rFonts w:ascii="Calibri" w:hAnsi="Calibri" w:cs="Calibri"/>
        </w:rPr>
      </w:pPr>
      <w:r>
        <w:rPr>
          <w:rFonts w:ascii="Calibri" w:hAnsi="Calibri" w:cs="Calibri"/>
          <w:b/>
          <w:color w:val="00188F"/>
        </w:rPr>
        <w:t>Środki Serwisowe na Używanie Usług</w:t>
      </w:r>
      <w:r>
        <w:rPr>
          <w:rFonts w:ascii="Calibri" w:hAnsi="Calibri" w:cs="Calibri"/>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7584E" w:rsidRPr="0084755E" w14:paraId="7BF05486" w14:textId="77777777" w:rsidTr="00954FA1">
        <w:trPr>
          <w:trHeight w:val="245"/>
          <w:tblHeader/>
        </w:trPr>
        <w:tc>
          <w:tcPr>
            <w:tcW w:w="5400" w:type="dxa"/>
            <w:shd w:val="clear" w:color="auto" w:fill="0072C6"/>
          </w:tcPr>
          <w:p w14:paraId="0708A1CF" w14:textId="4753C9DA" w:rsidR="0057584E" w:rsidRPr="0084755E" w:rsidRDefault="00FC0D07"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Miesięczny Procent Zgodności</w:t>
            </w:r>
          </w:p>
        </w:tc>
        <w:tc>
          <w:tcPr>
            <w:tcW w:w="5400" w:type="dxa"/>
            <w:shd w:val="clear" w:color="auto" w:fill="0072C6"/>
          </w:tcPr>
          <w:p w14:paraId="71343C0B" w14:textId="77777777" w:rsidR="0057584E" w:rsidRPr="0084755E" w:rsidRDefault="0057584E" w:rsidP="00954FA1">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57584E" w:rsidRPr="0084755E" w14:paraId="735D880F" w14:textId="77777777" w:rsidTr="00954FA1">
        <w:trPr>
          <w:trHeight w:val="245"/>
        </w:trPr>
        <w:tc>
          <w:tcPr>
            <w:tcW w:w="5400" w:type="dxa"/>
          </w:tcPr>
          <w:p w14:paraId="4DE7937D" w14:textId="77777777" w:rsidR="0057584E" w:rsidRPr="0084755E" w:rsidRDefault="0057584E" w:rsidP="00954FA1">
            <w:pPr>
              <w:pStyle w:val="ProductList-OfferingBody"/>
              <w:jc w:val="center"/>
              <w:rPr>
                <w:rFonts w:ascii="Calibri" w:hAnsi="Calibri" w:cs="Calibri"/>
                <w:szCs w:val="16"/>
              </w:rPr>
            </w:pPr>
            <w:r>
              <w:rPr>
                <w:rFonts w:ascii="Calibri" w:eastAsia="Times New Roman" w:hAnsi="Calibri" w:cs="Calibri"/>
                <w:szCs w:val="16"/>
              </w:rPr>
              <w:t>Poniżej 99,0%, ale nie mniej niż 95,0% </w:t>
            </w:r>
          </w:p>
        </w:tc>
        <w:tc>
          <w:tcPr>
            <w:tcW w:w="5400" w:type="dxa"/>
          </w:tcPr>
          <w:p w14:paraId="4811F129" w14:textId="77777777" w:rsidR="0057584E" w:rsidRPr="0084755E" w:rsidRDefault="0057584E" w:rsidP="00954FA1">
            <w:pPr>
              <w:pStyle w:val="ProductList-OfferingBody"/>
              <w:jc w:val="center"/>
              <w:rPr>
                <w:rFonts w:ascii="Calibri" w:hAnsi="Calibri" w:cs="Calibri"/>
                <w:szCs w:val="16"/>
              </w:rPr>
            </w:pPr>
            <w:r>
              <w:rPr>
                <w:rFonts w:ascii="Calibri" w:hAnsi="Calibri" w:cs="Calibri"/>
                <w:szCs w:val="16"/>
              </w:rPr>
              <w:t>10%</w:t>
            </w:r>
          </w:p>
        </w:tc>
      </w:tr>
      <w:tr w:rsidR="0057584E" w:rsidRPr="0084755E" w14:paraId="06875C36" w14:textId="77777777" w:rsidTr="00954FA1">
        <w:trPr>
          <w:trHeight w:val="245"/>
        </w:trPr>
        <w:tc>
          <w:tcPr>
            <w:tcW w:w="5400" w:type="dxa"/>
          </w:tcPr>
          <w:p w14:paraId="6639A34E" w14:textId="77777777" w:rsidR="0057584E" w:rsidRPr="0084755E" w:rsidRDefault="0057584E" w:rsidP="00954FA1">
            <w:pPr>
              <w:pStyle w:val="ProductList-OfferingBody"/>
              <w:jc w:val="center"/>
              <w:rPr>
                <w:rFonts w:ascii="Calibri" w:hAnsi="Calibri" w:cs="Calibri"/>
                <w:szCs w:val="16"/>
              </w:rPr>
            </w:pPr>
            <w:r>
              <w:rPr>
                <w:rFonts w:ascii="Calibri" w:eastAsia="Times New Roman" w:hAnsi="Calibri" w:cs="Calibri"/>
                <w:szCs w:val="16"/>
              </w:rPr>
              <w:t>Poniżej 95,0%, ale nie mniej niż 90,0% </w:t>
            </w:r>
          </w:p>
        </w:tc>
        <w:tc>
          <w:tcPr>
            <w:tcW w:w="5400" w:type="dxa"/>
          </w:tcPr>
          <w:p w14:paraId="4C3ACAEA" w14:textId="77777777" w:rsidR="0057584E" w:rsidRPr="0084755E" w:rsidRDefault="0057584E" w:rsidP="00954FA1">
            <w:pPr>
              <w:pStyle w:val="ProductList-OfferingBody"/>
              <w:jc w:val="center"/>
              <w:rPr>
                <w:rFonts w:ascii="Calibri" w:hAnsi="Calibri" w:cs="Calibri"/>
                <w:szCs w:val="16"/>
              </w:rPr>
            </w:pPr>
            <w:r>
              <w:rPr>
                <w:rFonts w:ascii="Calibri" w:hAnsi="Calibri" w:cs="Calibri"/>
                <w:szCs w:val="16"/>
              </w:rPr>
              <w:t>25%</w:t>
            </w:r>
          </w:p>
        </w:tc>
      </w:tr>
      <w:tr w:rsidR="0057584E" w:rsidRPr="0084755E" w14:paraId="51D27D68" w14:textId="77777777" w:rsidTr="00954FA1">
        <w:trPr>
          <w:trHeight w:val="245"/>
        </w:trPr>
        <w:tc>
          <w:tcPr>
            <w:tcW w:w="5400" w:type="dxa"/>
          </w:tcPr>
          <w:p w14:paraId="11E937FF" w14:textId="77777777" w:rsidR="0057584E" w:rsidRPr="0084755E" w:rsidRDefault="0057584E" w:rsidP="00954FA1">
            <w:pPr>
              <w:pStyle w:val="ProductList-OfferingBody"/>
              <w:jc w:val="center"/>
              <w:rPr>
                <w:rFonts w:ascii="Calibri" w:hAnsi="Calibri" w:cs="Calibri"/>
                <w:szCs w:val="16"/>
              </w:rPr>
            </w:pPr>
            <w:r>
              <w:rPr>
                <w:rFonts w:ascii="Calibri" w:eastAsia="Times New Roman" w:hAnsi="Calibri" w:cs="Calibri"/>
                <w:szCs w:val="16"/>
              </w:rPr>
              <w:t>&lt;90,00% </w:t>
            </w:r>
          </w:p>
        </w:tc>
        <w:tc>
          <w:tcPr>
            <w:tcW w:w="5400" w:type="dxa"/>
          </w:tcPr>
          <w:p w14:paraId="3B15E3D7" w14:textId="77777777" w:rsidR="0057584E" w:rsidRPr="0084755E" w:rsidRDefault="0057584E" w:rsidP="00954FA1">
            <w:pPr>
              <w:pStyle w:val="ProductList-OfferingBody"/>
              <w:jc w:val="center"/>
              <w:rPr>
                <w:rFonts w:ascii="Calibri" w:hAnsi="Calibri" w:cs="Calibri"/>
                <w:szCs w:val="16"/>
              </w:rPr>
            </w:pPr>
            <w:r>
              <w:rPr>
                <w:rFonts w:ascii="Calibri" w:hAnsi="Calibri" w:cs="Calibri"/>
                <w:szCs w:val="16"/>
              </w:rPr>
              <w:t>100%</w:t>
            </w:r>
          </w:p>
        </w:tc>
      </w:tr>
    </w:tbl>
    <w:p w14:paraId="1321D181" w14:textId="77777777" w:rsidR="0057584E" w:rsidRPr="0089329F" w:rsidRDefault="0057584E" w:rsidP="0057584E">
      <w:pPr>
        <w:spacing w:before="120" w:after="0" w:line="240" w:lineRule="auto"/>
        <w:rPr>
          <w:rFonts w:ascii="Calibri" w:eastAsia="Aptos" w:hAnsi="Calibri" w:cs="Calibri"/>
          <w:color w:val="000000" w:themeColor="text1"/>
          <w:sz w:val="18"/>
          <w:szCs w:val="18"/>
        </w:rPr>
      </w:pPr>
      <w:r>
        <w:rPr>
          <w:rFonts w:ascii="Calibri" w:eastAsia="Times New Roman" w:hAnsi="Calibri" w:cs="Calibri"/>
          <w:b/>
          <w:bCs/>
          <w:color w:val="00188F"/>
          <w:sz w:val="18"/>
          <w:szCs w:val="18"/>
        </w:rPr>
        <w:t>Wyjątki dotyczące Poziomu Usługi.</w:t>
      </w:r>
      <w:r>
        <w:rPr>
          <w:rFonts w:ascii="Calibri" w:eastAsia="Times New Roman" w:hAnsi="Calibri" w:cs="Calibri"/>
          <w:color w:val="000000"/>
          <w:sz w:val="18"/>
          <w:szCs w:val="18"/>
        </w:rPr>
        <w:t xml:space="preserve"> </w:t>
      </w:r>
      <w:r>
        <w:rPr>
          <w:rFonts w:ascii="Calibri" w:eastAsia="Aptos" w:hAnsi="Calibri" w:cs="Calibri"/>
          <w:color w:val="000000" w:themeColor="text1"/>
          <w:sz w:val="18"/>
          <w:szCs w:val="18"/>
        </w:rPr>
        <w:t>Niniejsza umowa SLA nie ma zastosowania do następujących obszarów:</w:t>
      </w:r>
    </w:p>
    <w:p w14:paraId="136F09B9" w14:textId="77777777" w:rsidR="0057584E" w:rsidRPr="0089329F" w:rsidRDefault="0057584E" w:rsidP="0057584E">
      <w:pPr>
        <w:pStyle w:val="ListParagraph"/>
        <w:numPr>
          <w:ilvl w:val="0"/>
          <w:numId w:val="38"/>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Kont magazynu, na których nie włączono funkcji Priorytetowej Replikacji Obiektów,</w:t>
      </w:r>
    </w:p>
    <w:p w14:paraId="25D4B91A" w14:textId="77777777" w:rsidR="0057584E" w:rsidRPr="0089329F" w:rsidRDefault="0057584E" w:rsidP="0057584E">
      <w:pPr>
        <w:pStyle w:val="ListParagraph"/>
        <w:numPr>
          <w:ilvl w:val="0"/>
          <w:numId w:val="38"/>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Obiektów, których rozmiar przekracza 5 gigabajtów (GB),</w:t>
      </w:r>
    </w:p>
    <w:p w14:paraId="6CCDEB71" w14:textId="77777777" w:rsidR="0057584E" w:rsidRPr="0089329F" w:rsidRDefault="0057584E" w:rsidP="0057584E">
      <w:pPr>
        <w:pStyle w:val="ListParagraph"/>
        <w:numPr>
          <w:ilvl w:val="0"/>
          <w:numId w:val="38"/>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Obiektów, które są modyfikowane częściej niż 10 razy na sekundę,</w:t>
      </w:r>
    </w:p>
    <w:p w14:paraId="32CE3574" w14:textId="77777777" w:rsidR="0057584E" w:rsidRPr="0089329F" w:rsidRDefault="0057584E" w:rsidP="0057584E">
      <w:pPr>
        <w:pStyle w:val="ListParagraph"/>
        <w:numPr>
          <w:ilvl w:val="0"/>
          <w:numId w:val="38"/>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Zasad Replikacji Obiektów, w których Konto Magazynu Źródłowego i Konto Magazynu Docelowego nie znajdują się na tym samym kontynencie,</w:t>
      </w:r>
    </w:p>
    <w:p w14:paraId="2BE57018" w14:textId="77777777" w:rsidR="0057584E" w:rsidRPr="00A7322E" w:rsidRDefault="0057584E" w:rsidP="0057584E">
      <w:pPr>
        <w:pStyle w:val="ListParagraph"/>
        <w:numPr>
          <w:ilvl w:val="0"/>
          <w:numId w:val="38"/>
        </w:numPr>
        <w:spacing w:after="0" w:line="240" w:lineRule="auto"/>
        <w:rPr>
          <w:rFonts w:ascii="Calibri" w:eastAsia="Aptos" w:hAnsi="Calibri" w:cs="Calibri"/>
          <w:color w:val="000000" w:themeColor="text1"/>
          <w:sz w:val="18"/>
          <w:szCs w:val="18"/>
        </w:rPr>
      </w:pPr>
      <w:r>
        <w:rPr>
          <w:rFonts w:ascii="Calibri" w:eastAsia="Aptos" w:hAnsi="Calibri" w:cs="Calibri"/>
          <w:color w:val="000000" w:themeColor="text1"/>
          <w:sz w:val="18"/>
          <w:szCs w:val="18"/>
        </w:rPr>
        <w:t xml:space="preserve">Kont magazynów, które są (a) większe niż 5 </w:t>
      </w:r>
      <w:proofErr w:type="spellStart"/>
      <w:r>
        <w:rPr>
          <w:rFonts w:ascii="Calibri" w:eastAsia="Aptos" w:hAnsi="Calibri" w:cs="Calibri"/>
          <w:color w:val="000000" w:themeColor="text1"/>
          <w:sz w:val="18"/>
          <w:szCs w:val="18"/>
        </w:rPr>
        <w:t>petabajtów</w:t>
      </w:r>
      <w:proofErr w:type="spellEnd"/>
      <w:r>
        <w:rPr>
          <w:rFonts w:ascii="Calibri" w:eastAsia="Aptos" w:hAnsi="Calibri" w:cs="Calibri"/>
          <w:color w:val="000000" w:themeColor="text1"/>
          <w:sz w:val="18"/>
          <w:szCs w:val="18"/>
        </w:rPr>
        <w:t xml:space="preserve"> (PB) lub (b) mają więcej niż</w:t>
      </w:r>
      <w:r>
        <w:rPr>
          <w:rFonts w:ascii="Calibri" w:eastAsia="Aptos" w:hAnsi="Calibri" w:cs="Calibri"/>
          <w:sz w:val="18"/>
          <w:szCs w:val="18"/>
        </w:rPr>
        <w:t xml:space="preserve">10 miliardów </w:t>
      </w:r>
      <w:proofErr w:type="spellStart"/>
      <w:r>
        <w:rPr>
          <w:rFonts w:ascii="Calibri" w:eastAsia="Aptos" w:hAnsi="Calibri" w:cs="Calibri"/>
          <w:sz w:val="18"/>
          <w:szCs w:val="18"/>
        </w:rPr>
        <w:t>blobów</w:t>
      </w:r>
      <w:proofErr w:type="spellEnd"/>
      <w:r>
        <w:rPr>
          <w:rFonts w:ascii="Calibri" w:eastAsia="Aptos" w:hAnsi="Calibri" w:cs="Calibri"/>
          <w:sz w:val="18"/>
          <w:szCs w:val="18"/>
        </w:rPr>
        <w:t xml:space="preserve"> i</w:t>
      </w:r>
    </w:p>
    <w:p w14:paraId="1C0A111A" w14:textId="77777777" w:rsidR="0057584E" w:rsidRPr="00A7322E" w:rsidRDefault="0057584E" w:rsidP="0057584E">
      <w:pPr>
        <w:pStyle w:val="ListParagraph"/>
        <w:numPr>
          <w:ilvl w:val="0"/>
          <w:numId w:val="38"/>
        </w:numPr>
        <w:spacing w:after="120" w:line="240" w:lineRule="auto"/>
        <w:contextualSpacing w:val="0"/>
        <w:rPr>
          <w:rFonts w:ascii="Calibri" w:eastAsia="Aptos" w:hAnsi="Calibri" w:cs="Calibri"/>
          <w:color w:val="000000" w:themeColor="text1"/>
          <w:sz w:val="18"/>
          <w:szCs w:val="18"/>
        </w:rPr>
      </w:pPr>
      <w:r>
        <w:rPr>
          <w:rFonts w:ascii="Calibri" w:eastAsia="Aptos" w:hAnsi="Calibri" w:cs="Calibri"/>
          <w:color w:val="000000" w:themeColor="text1"/>
          <w:sz w:val="18"/>
          <w:szCs w:val="18"/>
        </w:rPr>
        <w:t>W okresach, w których (a) szybkość przesyłania danych na koncie magazynu lub w ramach Zasad Replikacji przekracza 1 gigabit na sekundę (</w:t>
      </w:r>
      <w:proofErr w:type="spellStart"/>
      <w:r>
        <w:rPr>
          <w:rFonts w:ascii="Calibri" w:eastAsia="Aptos" w:hAnsi="Calibri" w:cs="Calibri"/>
          <w:color w:val="000000" w:themeColor="text1"/>
          <w:sz w:val="18"/>
          <w:szCs w:val="18"/>
        </w:rPr>
        <w:t>Gb</w:t>
      </w:r>
      <w:proofErr w:type="spellEnd"/>
      <w:r>
        <w:rPr>
          <w:rFonts w:ascii="Calibri" w:eastAsia="Aptos" w:hAnsi="Calibri" w:cs="Calibri"/>
          <w:color w:val="000000" w:themeColor="text1"/>
          <w:sz w:val="18"/>
          <w:szCs w:val="18"/>
        </w:rPr>
        <w:t xml:space="preserve">/s), a wynikające z tego zaległości w zapisach są replikowane, (b) liczba operacji na koncie magazynu lub w ramach Zasad Replikacji przekracza 1000 operacji PUT lub DELETE na sekundę, a wynikające z tego zaległości w zapisach są replikowane oraz (c) istniejąca replikacja obiektów </w:t>
      </w:r>
      <w:proofErr w:type="spellStart"/>
      <w:r>
        <w:rPr>
          <w:rFonts w:ascii="Calibri" w:eastAsia="Aptos" w:hAnsi="Calibri" w:cs="Calibri"/>
          <w:color w:val="000000" w:themeColor="text1"/>
          <w:sz w:val="18"/>
          <w:szCs w:val="18"/>
        </w:rPr>
        <w:t>blob</w:t>
      </w:r>
      <w:proofErr w:type="spellEnd"/>
      <w:r>
        <w:rPr>
          <w:rFonts w:ascii="Calibri" w:eastAsia="Aptos" w:hAnsi="Calibri" w:cs="Calibri"/>
          <w:color w:val="000000" w:themeColor="text1"/>
          <w:sz w:val="18"/>
          <w:szCs w:val="18"/>
        </w:rPr>
        <w:t xml:space="preserve"> jest w toku po niedawnym utworzeniu lub aktualizacji Zasad Replikacji. Szacuje się, że obecnie replikacja obiektów </w:t>
      </w:r>
      <w:proofErr w:type="spellStart"/>
      <w:r>
        <w:rPr>
          <w:rFonts w:ascii="Calibri" w:eastAsia="Aptos" w:hAnsi="Calibri" w:cs="Calibri"/>
          <w:color w:val="000000" w:themeColor="text1"/>
          <w:sz w:val="18"/>
          <w:szCs w:val="18"/>
        </w:rPr>
        <w:t>blob</w:t>
      </w:r>
      <w:proofErr w:type="spellEnd"/>
      <w:r>
        <w:rPr>
          <w:rFonts w:ascii="Calibri" w:eastAsia="Aptos" w:hAnsi="Calibri" w:cs="Calibri"/>
          <w:color w:val="000000" w:themeColor="text1"/>
          <w:sz w:val="18"/>
          <w:szCs w:val="18"/>
        </w:rPr>
        <w:t xml:space="preserve"> postępuje średnio o 100 TB dziennie, jednak prędkość może być niższa, gdy obecnych jest wiele wersji obiektów </w:t>
      </w:r>
      <w:proofErr w:type="spellStart"/>
      <w:r>
        <w:rPr>
          <w:rFonts w:ascii="Calibri" w:eastAsia="Aptos" w:hAnsi="Calibri" w:cs="Calibri"/>
          <w:color w:val="000000" w:themeColor="text1"/>
          <w:sz w:val="18"/>
          <w:szCs w:val="18"/>
        </w:rPr>
        <w:t>blob</w:t>
      </w:r>
      <w:proofErr w:type="spellEnd"/>
      <w:r>
        <w:rPr>
          <w:rFonts w:ascii="Calibri" w:eastAsia="Aptos" w:hAnsi="Calibri" w:cs="Calibri"/>
          <w:color w:val="000000" w:themeColor="text1"/>
          <w:sz w:val="18"/>
          <w:szCs w:val="18"/>
        </w:rPr>
        <w:t>.</w:t>
      </w:r>
    </w:p>
    <w:p w14:paraId="6801D3DF" w14:textId="77777777" w:rsidR="0057584E" w:rsidRPr="00EF7CF9" w:rsidRDefault="0057584E" w:rsidP="0057584E">
      <w:pPr>
        <w:pStyle w:val="ProductList-Body"/>
        <w:shd w:val="clear" w:color="auto" w:fill="808080" w:themeFill="background1" w:themeFillShade="80"/>
        <w:tabs>
          <w:tab w:val="clear" w:pos="360"/>
          <w:tab w:val="clear" w:pos="720"/>
          <w:tab w:val="clear" w:pos="1080"/>
        </w:tabs>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40685B0" w14:textId="36EB199A" w:rsidR="00E13755" w:rsidRDefault="00E13755" w:rsidP="000146AE">
      <w:pPr>
        <w:pStyle w:val="ProductList-Offering2Heading"/>
        <w:keepNext/>
        <w:tabs>
          <w:tab w:val="clear" w:pos="360"/>
          <w:tab w:val="clear" w:pos="720"/>
          <w:tab w:val="clear" w:pos="1080"/>
        </w:tabs>
        <w:outlineLvl w:val="2"/>
      </w:pPr>
      <w:bookmarkStart w:id="371" w:name="_Toc239175054"/>
      <w:proofErr w:type="spellStart"/>
      <w:r>
        <w:t>Azure</w:t>
      </w:r>
      <w:proofErr w:type="spellEnd"/>
      <w:r>
        <w:t xml:space="preserve"> Operator Manager</w:t>
      </w:r>
      <w:bookmarkEnd w:id="371"/>
    </w:p>
    <w:p w14:paraId="1F195538" w14:textId="77777777" w:rsidR="00A45D0E" w:rsidRPr="00FE394E" w:rsidRDefault="00A45D0E" w:rsidP="00A45D0E">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Dodatkowe definicje</w:t>
      </w:r>
      <w:r w:rsidRPr="00664F9B">
        <w:rPr>
          <w:rFonts w:ascii="Calibri" w:eastAsia="Times New Roman" w:hAnsi="Calibri" w:cs="Calibri"/>
          <w:b/>
          <w:bCs/>
          <w:sz w:val="18"/>
          <w:szCs w:val="18"/>
        </w:rPr>
        <w:t>:</w:t>
      </w:r>
    </w:p>
    <w:p w14:paraId="29E6FC31" w14:textId="77777777" w:rsidR="00A45D0E" w:rsidRPr="00FE394E" w:rsidRDefault="00A45D0E" w:rsidP="00A45D0E">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 xml:space="preserve">„Właściwe Opłaty za </w:t>
      </w:r>
      <w:proofErr w:type="spellStart"/>
      <w:r>
        <w:rPr>
          <w:rFonts w:ascii="Calibri" w:eastAsia="Times New Roman" w:hAnsi="Calibri" w:cs="Calibri"/>
          <w:b/>
          <w:bCs/>
          <w:color w:val="00188F"/>
          <w:sz w:val="18"/>
          <w:szCs w:val="18"/>
        </w:rPr>
        <w:t>Usługi”</w:t>
      </w:r>
      <w:r>
        <w:rPr>
          <w:rFonts w:ascii="Calibri" w:eastAsia="Times New Roman" w:hAnsi="Calibri" w:cs="Calibri"/>
          <w:color w:val="000000"/>
          <w:sz w:val="18"/>
          <w:szCs w:val="18"/>
        </w:rPr>
        <w:t>to</w:t>
      </w:r>
      <w:proofErr w:type="spellEnd"/>
      <w:r>
        <w:rPr>
          <w:rFonts w:ascii="Calibri" w:eastAsia="Times New Roman" w:hAnsi="Calibri" w:cs="Calibri"/>
          <w:color w:val="000000"/>
          <w:sz w:val="18"/>
          <w:szCs w:val="18"/>
        </w:rPr>
        <w:t xml:space="preserve"> łączne opłaty faktycznie uiszczone przez Klienta za Usługę, dotyczące Właściwego Okresu, w którym należne są Środki Serwisowe na Używanie Usług.</w:t>
      </w:r>
    </w:p>
    <w:p w14:paraId="1D65BC25" w14:textId="77777777" w:rsidR="00A45D0E" w:rsidRPr="00FE394E" w:rsidRDefault="00A45D0E" w:rsidP="00A45D0E">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„Poziom Usług”</w:t>
      </w:r>
      <w:r>
        <w:rPr>
          <w:rFonts w:ascii="Calibri" w:eastAsia="Times New Roman" w:hAnsi="Calibri" w:cs="Calibri"/>
          <w:color w:val="000000"/>
          <w:sz w:val="18"/>
          <w:szCs w:val="18"/>
        </w:rPr>
        <w:t xml:space="preserve"> to wskaźniki wydajności ustalone w niniejszej umowie SLA, które Microsoft zgadza się osiągnąć w toku świadczenia Usług.</w:t>
      </w:r>
    </w:p>
    <w:p w14:paraId="62EF90D6" w14:textId="77777777" w:rsidR="00A45D0E" w:rsidRPr="00FE394E" w:rsidRDefault="00A45D0E" w:rsidP="00A45D0E">
      <w:pPr>
        <w:shd w:val="clear" w:color="auto" w:fill="FFFFFF"/>
        <w:spacing w:after="0" w:line="240" w:lineRule="auto"/>
        <w:textAlignment w:val="baseline"/>
        <w:rPr>
          <w:rFonts w:ascii="Calibri" w:eastAsia="Times New Roman" w:hAnsi="Calibri" w:cs="Calibri"/>
          <w:sz w:val="18"/>
          <w:szCs w:val="18"/>
        </w:rPr>
      </w:pPr>
      <w:r w:rsidRPr="005A3207">
        <w:rPr>
          <w:rFonts w:ascii="Calibri" w:eastAsia="Times New Roman" w:hAnsi="Calibri" w:cs="Calibri"/>
          <w:b/>
          <w:bCs/>
          <w:color w:val="00188F"/>
          <w:sz w:val="18"/>
          <w:szCs w:val="18"/>
        </w:rPr>
        <w:t>„</w:t>
      </w:r>
      <w:r>
        <w:rPr>
          <w:rFonts w:ascii="Calibri" w:eastAsia="Times New Roman" w:hAnsi="Calibri" w:cs="Calibri"/>
          <w:b/>
          <w:bCs/>
          <w:color w:val="00188F"/>
          <w:sz w:val="18"/>
          <w:szCs w:val="18"/>
        </w:rPr>
        <w:t>Maksymalna Liczba Dostępnych Minut</w:t>
      </w:r>
      <w:r w:rsidRPr="005A3207">
        <w:rPr>
          <w:rFonts w:ascii="Calibri" w:eastAsia="Times New Roman" w:hAnsi="Calibri" w:cs="Calibri"/>
          <w:b/>
          <w:bCs/>
          <w:color w:val="000000"/>
          <w:sz w:val="18"/>
          <w:szCs w:val="18"/>
        </w:rPr>
        <w:t>”</w:t>
      </w:r>
      <w:r>
        <w:rPr>
          <w:rFonts w:ascii="Calibri" w:eastAsia="Times New Roman" w:hAnsi="Calibri" w:cs="Calibri"/>
          <w:color w:val="000000"/>
          <w:sz w:val="18"/>
          <w:szCs w:val="18"/>
        </w:rPr>
        <w:t xml:space="preserve"> to łączna zakumulowana liczba minut we Właściwym Okresie, podczas których wdrożono co najmniej jeden zasób usługi sieciowej lokacji </w:t>
      </w:r>
      <w:proofErr w:type="spellStart"/>
      <w:r>
        <w:rPr>
          <w:rFonts w:ascii="Calibri" w:eastAsia="Times New Roman" w:hAnsi="Calibri" w:cs="Calibri"/>
          <w:color w:val="000000"/>
          <w:sz w:val="18"/>
          <w:szCs w:val="18"/>
        </w:rPr>
        <w:t>Azure</w:t>
      </w:r>
      <w:proofErr w:type="spellEnd"/>
      <w:r>
        <w:rPr>
          <w:rFonts w:ascii="Calibri" w:eastAsia="Times New Roman" w:hAnsi="Calibri" w:cs="Calibri"/>
          <w:color w:val="000000"/>
          <w:sz w:val="18"/>
          <w:szCs w:val="18"/>
        </w:rPr>
        <w:t xml:space="preserve"> Operator Service Manager w ramach subskrypcji Microsoft </w:t>
      </w:r>
      <w:proofErr w:type="spellStart"/>
      <w:r>
        <w:rPr>
          <w:rFonts w:ascii="Calibri" w:eastAsia="Times New Roman" w:hAnsi="Calibri" w:cs="Calibri"/>
          <w:color w:val="000000"/>
          <w:sz w:val="18"/>
          <w:szCs w:val="18"/>
        </w:rPr>
        <w:t>Azure</w:t>
      </w:r>
      <w:proofErr w:type="spellEnd"/>
      <w:r>
        <w:rPr>
          <w:rFonts w:ascii="Calibri" w:eastAsia="Times New Roman" w:hAnsi="Calibri" w:cs="Calibri"/>
          <w:color w:val="000000"/>
          <w:sz w:val="18"/>
          <w:szCs w:val="18"/>
        </w:rPr>
        <w:t>.</w:t>
      </w:r>
    </w:p>
    <w:p w14:paraId="1B9440D4" w14:textId="77777777" w:rsidR="00A45D0E" w:rsidRPr="00FE394E" w:rsidRDefault="00A45D0E" w:rsidP="00A45D0E">
      <w:pPr>
        <w:shd w:val="clear" w:color="auto" w:fill="FFFFFF"/>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„Przestój</w:t>
      </w:r>
      <w:r w:rsidRPr="005A3207">
        <w:rPr>
          <w:rFonts w:ascii="Calibri" w:eastAsia="Times New Roman" w:hAnsi="Calibri" w:cs="Calibri"/>
          <w:b/>
          <w:bCs/>
          <w:color w:val="00188F"/>
          <w:sz w:val="18"/>
          <w:szCs w:val="18"/>
        </w:rPr>
        <w:t>”</w:t>
      </w:r>
      <w:r>
        <w:rPr>
          <w:rFonts w:ascii="Calibri" w:eastAsia="Times New Roman" w:hAnsi="Calibri" w:cs="Calibri"/>
          <w:color w:val="000000"/>
          <w:sz w:val="18"/>
          <w:szCs w:val="18"/>
        </w:rPr>
        <w:t xml:space="preserve"> Minutę uważa się za minutę przestoju, jeśli wszystkie ciągłe próby utworzenia, aktualizacji lub przeglądania zasobów usługi w ciągu tej minuty zwracają Kod Błędu lub nie zwracają Kodu Sukcesu w ciągu dwóch minut.</w:t>
      </w:r>
    </w:p>
    <w:p w14:paraId="2187CBC0" w14:textId="77777777" w:rsidR="00A45D0E" w:rsidRDefault="00A45D0E" w:rsidP="00A45D0E">
      <w:pPr>
        <w:shd w:val="clear" w:color="auto" w:fill="FFFFFF"/>
        <w:spacing w:after="0" w:line="240" w:lineRule="auto"/>
        <w:textAlignment w:val="baseline"/>
        <w:rPr>
          <w:rFonts w:ascii="Calibri" w:eastAsia="Times New Roman" w:hAnsi="Calibri" w:cs="Calibri"/>
          <w:color w:val="000000"/>
          <w:sz w:val="18"/>
          <w:szCs w:val="18"/>
        </w:rPr>
      </w:pPr>
      <w:r>
        <w:rPr>
          <w:rFonts w:ascii="Calibri" w:eastAsia="Times New Roman" w:hAnsi="Calibri" w:cs="Calibri"/>
          <w:b/>
          <w:bCs/>
          <w:color w:val="00188F"/>
          <w:sz w:val="18"/>
          <w:szCs w:val="18"/>
        </w:rPr>
        <w:t>„Obliczanie Czasu Sprawnego Działania”</w:t>
      </w:r>
      <w:r>
        <w:rPr>
          <w:rFonts w:ascii="Calibri" w:eastAsia="Times New Roman" w:hAnsi="Calibri" w:cs="Calibri"/>
          <w:color w:val="000000"/>
          <w:sz w:val="18"/>
          <w:szCs w:val="18"/>
        </w:rPr>
        <w:t xml:space="preserve"> dla </w:t>
      </w:r>
      <w:proofErr w:type="spellStart"/>
      <w:r>
        <w:rPr>
          <w:rFonts w:ascii="Calibri" w:eastAsia="Times New Roman" w:hAnsi="Calibri" w:cs="Calibri"/>
          <w:color w:val="000000"/>
          <w:sz w:val="18"/>
          <w:szCs w:val="18"/>
        </w:rPr>
        <w:t>Azure</w:t>
      </w:r>
      <w:proofErr w:type="spellEnd"/>
      <w:r>
        <w:rPr>
          <w:rFonts w:ascii="Calibri" w:eastAsia="Times New Roman" w:hAnsi="Calibri" w:cs="Calibri"/>
          <w:color w:val="000000"/>
          <w:sz w:val="18"/>
          <w:szCs w:val="18"/>
        </w:rPr>
        <w:t xml:space="preserve"> Operator Service Manager to Maksymalna Liczba Dostępnych Minut pomniejszona o Przestój podzielona przez Maksymalną Liczbę Dostępnych Minut we Właściwym Okresie. Procent Czasu Sprawnego Działania jest obliczany dla każdego regionu i przedstawiany za pomocą następującego wzoru:</w:t>
      </w:r>
    </w:p>
    <w:p w14:paraId="71A04A35" w14:textId="77777777" w:rsidR="00A45D0E" w:rsidRPr="00A45D0E" w:rsidRDefault="00A45D0E" w:rsidP="00A45D0E">
      <w:pPr>
        <w:shd w:val="clear" w:color="auto" w:fill="FFFFFF"/>
        <w:spacing w:after="0" w:line="240" w:lineRule="auto"/>
        <w:textAlignment w:val="baseline"/>
        <w:rPr>
          <w:rFonts w:ascii="Calibri" w:eastAsia="Times New Roman" w:hAnsi="Calibri" w:cs="Calibri"/>
          <w:color w:val="000000"/>
          <w:sz w:val="12"/>
          <w:szCs w:val="12"/>
        </w:rPr>
      </w:pPr>
    </w:p>
    <w:p w14:paraId="2D4BBBB5" w14:textId="77777777" w:rsidR="00A45D0E" w:rsidRPr="00A45D0E" w:rsidRDefault="00A45D0E" w:rsidP="004468D6">
      <w:pPr>
        <w:shd w:val="clear" w:color="auto" w:fill="FFFFFF"/>
        <w:spacing w:before="120" w:after="0" w:line="240" w:lineRule="auto"/>
        <w:jc w:val="center"/>
        <w:rPr>
          <w:rFonts w:ascii="Cambria Math" w:eastAsia="Times New Roman" w:hAnsi="Cambria Math" w:cs="Calibri"/>
          <w:i/>
          <w:color w:val="000000"/>
          <w:sz w:val="18"/>
          <w:szCs w:val="18"/>
        </w:rPr>
      </w:pPr>
      <w:r w:rsidRPr="00A45D0E">
        <w:rPr>
          <w:rFonts w:ascii="Cambria Math" w:eastAsia="Times New Roman" w:hAnsi="Cambria Math" w:cs="Calibri"/>
          <w:i/>
          <w:color w:val="000000"/>
          <w:sz w:val="18"/>
          <w:szCs w:val="18"/>
          <w:bdr w:val="none" w:sz="0" w:space="0" w:color="auto" w:frame="1"/>
        </w:rPr>
        <w:t>Miesięczny Procent Czasu Sprawnego Działania % = (Maksymalna Liczba Dostępnych Minut - Przestój)/Maksymalna Liczba Dostępnych Minut x 100</w:t>
      </w:r>
    </w:p>
    <w:p w14:paraId="619A9523" w14:textId="77777777" w:rsidR="00A45D0E" w:rsidRDefault="00A45D0E" w:rsidP="00A45D0E">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Środki Serwisowe na Używanie Usług</w:t>
      </w:r>
      <w:r w:rsidRPr="008839B1">
        <w:rPr>
          <w:rFonts w:ascii="Calibri" w:eastAsia="Times New Roman" w:hAnsi="Calibri" w:cs="Calibri"/>
          <w:b/>
          <w:bCs/>
          <w:sz w:val="18"/>
          <w:szCs w:val="18"/>
        </w:rPr>
        <w:t>:</w:t>
      </w:r>
    </w:p>
    <w:tbl>
      <w:tblPr>
        <w:tblW w:w="0" w:type="auto"/>
        <w:tblInd w:w="5" w:type="dxa"/>
        <w:shd w:val="clear" w:color="auto" w:fill="FFFFFF"/>
        <w:tblLook w:val="04A0" w:firstRow="1" w:lastRow="0" w:firstColumn="1" w:lastColumn="0" w:noHBand="0" w:noVBand="1"/>
      </w:tblPr>
      <w:tblGrid>
        <w:gridCol w:w="5394"/>
        <w:gridCol w:w="5381"/>
      </w:tblGrid>
      <w:tr w:rsidR="00A45D0E" w:rsidRPr="00CF77C2" w14:paraId="50FF79B8" w14:textId="77777777" w:rsidTr="00167C62">
        <w:trPr>
          <w:trHeight w:val="250"/>
        </w:trPr>
        <w:tc>
          <w:tcPr>
            <w:tcW w:w="5394" w:type="dxa"/>
            <w:tcBorders>
              <w:top w:val="single" w:sz="8" w:space="0" w:color="000000"/>
              <w:left w:val="single" w:sz="8" w:space="0" w:color="000000"/>
              <w:bottom w:val="single" w:sz="8" w:space="0" w:color="000000"/>
              <w:right w:val="single" w:sz="8" w:space="0" w:color="000000"/>
            </w:tcBorders>
            <w:shd w:val="clear" w:color="auto" w:fill="0072C6"/>
            <w:hideMark/>
          </w:tcPr>
          <w:p w14:paraId="02584865" w14:textId="77777777" w:rsidR="00A45D0E" w:rsidRDefault="00A45D0E"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Procent Czasu Sprawnego Działania</w:t>
            </w:r>
          </w:p>
        </w:tc>
        <w:tc>
          <w:tcPr>
            <w:tcW w:w="5381" w:type="dxa"/>
            <w:tcBorders>
              <w:top w:val="single" w:sz="8" w:space="0" w:color="000000"/>
              <w:left w:val="nil"/>
              <w:bottom w:val="single" w:sz="8" w:space="0" w:color="000000"/>
              <w:right w:val="single" w:sz="8" w:space="0" w:color="000000"/>
            </w:tcBorders>
            <w:shd w:val="clear" w:color="auto" w:fill="0072C6"/>
            <w:hideMark/>
          </w:tcPr>
          <w:p w14:paraId="0FDDF4A8" w14:textId="77777777" w:rsidR="00A45D0E" w:rsidRDefault="00A45D0E"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FFFFFF"/>
                <w:sz w:val="16"/>
                <w:szCs w:val="16"/>
                <w:bdr w:val="none" w:sz="0" w:space="0" w:color="auto" w:frame="1"/>
              </w:rPr>
              <w:t>Środki Serwisowe na Używanie Usług</w:t>
            </w:r>
          </w:p>
        </w:tc>
      </w:tr>
      <w:tr w:rsidR="00A45D0E" w:rsidRPr="00CF77C2" w14:paraId="3D5A4160" w14:textId="77777777" w:rsidTr="00167C6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73ED6A85" w14:textId="77777777" w:rsidR="00A45D0E" w:rsidRDefault="00A45D0E"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99,9%</w:t>
            </w:r>
          </w:p>
        </w:tc>
        <w:tc>
          <w:tcPr>
            <w:tcW w:w="5381" w:type="dxa"/>
            <w:tcBorders>
              <w:top w:val="nil"/>
              <w:left w:val="nil"/>
              <w:bottom w:val="single" w:sz="8" w:space="0" w:color="000000"/>
              <w:right w:val="single" w:sz="8" w:space="0" w:color="000000"/>
            </w:tcBorders>
            <w:shd w:val="clear" w:color="auto" w:fill="FFFFFF"/>
            <w:hideMark/>
          </w:tcPr>
          <w:p w14:paraId="761C78FC" w14:textId="77777777" w:rsidR="00A45D0E" w:rsidRDefault="00A45D0E"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10%</w:t>
            </w:r>
          </w:p>
        </w:tc>
      </w:tr>
      <w:tr w:rsidR="00A45D0E" w:rsidRPr="00CF77C2" w14:paraId="253728DE" w14:textId="77777777" w:rsidTr="00167C62">
        <w:trPr>
          <w:trHeight w:val="250"/>
        </w:trPr>
        <w:tc>
          <w:tcPr>
            <w:tcW w:w="5394" w:type="dxa"/>
            <w:tcBorders>
              <w:top w:val="nil"/>
              <w:left w:val="single" w:sz="8" w:space="0" w:color="000000"/>
              <w:bottom w:val="single" w:sz="8" w:space="0" w:color="000000"/>
              <w:right w:val="single" w:sz="8" w:space="0" w:color="000000"/>
            </w:tcBorders>
            <w:shd w:val="clear" w:color="auto" w:fill="FFFFFF"/>
            <w:hideMark/>
          </w:tcPr>
          <w:p w14:paraId="4A8AD405" w14:textId="77777777" w:rsidR="00A45D0E" w:rsidRDefault="00A45D0E"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&lt; 99%</w:t>
            </w:r>
          </w:p>
        </w:tc>
        <w:tc>
          <w:tcPr>
            <w:tcW w:w="5381" w:type="dxa"/>
            <w:tcBorders>
              <w:top w:val="nil"/>
              <w:left w:val="nil"/>
              <w:bottom w:val="single" w:sz="8" w:space="0" w:color="000000"/>
              <w:right w:val="single" w:sz="8" w:space="0" w:color="000000"/>
            </w:tcBorders>
            <w:shd w:val="clear" w:color="auto" w:fill="FFFFFF"/>
            <w:hideMark/>
          </w:tcPr>
          <w:p w14:paraId="4AF49CFB" w14:textId="77777777" w:rsidR="00A45D0E" w:rsidRDefault="00A45D0E" w:rsidP="00167C62">
            <w:pPr>
              <w:spacing w:before="20" w:after="20" w:line="240" w:lineRule="auto"/>
              <w:ind w:left="-144" w:right="-101"/>
              <w:jc w:val="center"/>
              <w:rPr>
                <w:rFonts w:ascii="Calibri" w:eastAsia="Times New Roman" w:hAnsi="Calibri" w:cs="Calibri"/>
                <w:color w:val="000000"/>
                <w:sz w:val="16"/>
                <w:szCs w:val="16"/>
              </w:rPr>
            </w:pPr>
            <w:r>
              <w:rPr>
                <w:rFonts w:ascii="Calibri" w:eastAsia="Times New Roman" w:hAnsi="Calibri" w:cs="Calibri"/>
                <w:color w:val="000000"/>
                <w:sz w:val="16"/>
                <w:szCs w:val="16"/>
                <w:bdr w:val="none" w:sz="0" w:space="0" w:color="auto" w:frame="1"/>
              </w:rPr>
              <w:t>25%</w:t>
            </w:r>
          </w:p>
        </w:tc>
      </w:tr>
    </w:tbl>
    <w:p w14:paraId="5027A4C3" w14:textId="77777777" w:rsidR="00A45D0E" w:rsidRPr="00A45D0E" w:rsidRDefault="00A45D0E" w:rsidP="00A45D0E">
      <w:pPr>
        <w:spacing w:after="0" w:line="240" w:lineRule="auto"/>
        <w:textAlignment w:val="baseline"/>
        <w:rPr>
          <w:rFonts w:ascii="Calibri" w:eastAsia="Times New Roman" w:hAnsi="Calibri" w:cs="Calibri"/>
          <w:sz w:val="12"/>
          <w:szCs w:val="12"/>
        </w:rPr>
      </w:pPr>
    </w:p>
    <w:p w14:paraId="1BE8BE0F" w14:textId="77777777" w:rsidR="00A45D0E" w:rsidRPr="00FE394E" w:rsidRDefault="00A45D0E" w:rsidP="00A45D0E">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Wyjątki dotyczące Poziomu Usług</w:t>
      </w:r>
      <w:r w:rsidRPr="00035BBF">
        <w:rPr>
          <w:rFonts w:ascii="Calibri" w:eastAsia="Times New Roman" w:hAnsi="Calibri" w:cs="Calibri"/>
          <w:b/>
          <w:bCs/>
          <w:sz w:val="18"/>
          <w:szCs w:val="18"/>
        </w:rPr>
        <w:t>:</w:t>
      </w:r>
    </w:p>
    <w:p w14:paraId="4AD00A88" w14:textId="77777777" w:rsidR="00A45D0E" w:rsidRPr="00FE394E" w:rsidRDefault="00A45D0E" w:rsidP="00A45D0E">
      <w:p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 xml:space="preserve">Problemy dotyczące jakości lub dostępności wynikające z: </w:t>
      </w:r>
    </w:p>
    <w:p w14:paraId="2A30EF61" w14:textId="77777777" w:rsidR="00A45D0E" w:rsidRPr="00FE394E" w:rsidRDefault="00A45D0E" w:rsidP="00DB4449">
      <w:pPr>
        <w:pStyle w:val="ListParagraph"/>
        <w:numPr>
          <w:ilvl w:val="0"/>
          <w:numId w:val="27"/>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Niezastosowanie się do wymaganych konfiguracji, niekorzystanie z obsługiwanych platform, nieprzestrzeganie zasad dopuszczalnego użytkowania lub korzystanie z Usługi w sposób niezgodny z funkcjami i funkcjonalnością Usługi (na przykład próby wykonywania operacji, które nie są obsługiwane) lub niezgodne z naszymi opublikowanymi wytycznymi.</w:t>
      </w:r>
    </w:p>
    <w:p w14:paraId="325C2C43" w14:textId="77777777" w:rsidR="00A45D0E" w:rsidRDefault="00A45D0E" w:rsidP="00DB4449">
      <w:pPr>
        <w:pStyle w:val="ListParagraph"/>
        <w:numPr>
          <w:ilvl w:val="0"/>
          <w:numId w:val="27"/>
        </w:numPr>
        <w:spacing w:after="0" w:line="240" w:lineRule="auto"/>
        <w:textAlignment w:val="baseline"/>
        <w:rPr>
          <w:rFonts w:ascii="Calibri" w:eastAsia="Times New Roman" w:hAnsi="Calibri" w:cs="Calibri"/>
          <w:sz w:val="18"/>
          <w:szCs w:val="18"/>
        </w:rPr>
      </w:pPr>
      <w:r>
        <w:rPr>
          <w:rFonts w:ascii="Calibri" w:eastAsia="Times New Roman" w:hAnsi="Calibri" w:cs="Calibri"/>
          <w:sz w:val="18"/>
          <w:szCs w:val="18"/>
        </w:rPr>
        <w:t>Próby wykonywania operacji które przekraczają ustalone przydziały lub wynikają z ograniczenia przez Microsoft podejrzanych szkodliwych działań.</w:t>
      </w:r>
    </w:p>
    <w:p w14:paraId="4430C290" w14:textId="77777777" w:rsidR="00A45D0E" w:rsidRPr="00CF77C2" w:rsidRDefault="00A45D0E" w:rsidP="00A45D0E">
      <w:pPr>
        <w:pStyle w:val="ProductList-Body"/>
        <w:shd w:val="clear" w:color="auto" w:fill="808080" w:themeFill="background1" w:themeFillShade="80"/>
        <w:tabs>
          <w:tab w:val="clear" w:pos="360"/>
          <w:tab w:val="clear" w:pos="720"/>
          <w:tab w:val="clear" w:pos="1080"/>
        </w:tabs>
        <w:spacing w:before="120" w:after="240"/>
        <w:jc w:val="right"/>
        <w:rPr>
          <w:rFonts w:ascii="Calibri" w:hAnsi="Calibri" w:cs="Calibri"/>
          <w:sz w:val="16"/>
          <w:szCs w:val="16"/>
        </w:rPr>
      </w:pPr>
      <w:hyperlink w:anchor="TOC" w:tooltip="Spis treści" w:history="1">
        <w:r>
          <w:rPr>
            <w:rStyle w:val="Hyperlink"/>
            <w:rFonts w:ascii="Calibri" w:hAnsi="Calibri" w:cs="Calibri"/>
            <w:sz w:val="16"/>
            <w:szCs w:val="16"/>
          </w:rPr>
          <w:t>Spis treści</w:t>
        </w:r>
      </w:hyperlink>
      <w:r>
        <w:rPr>
          <w:rFonts w:ascii="Calibri" w:hAnsi="Calibri" w:cs="Calibri"/>
          <w:sz w:val="16"/>
          <w:szCs w:val="16"/>
        </w:rPr>
        <w:t xml:space="preserve"> / </w:t>
      </w:r>
      <w:hyperlink w:anchor="Definicje" w:tooltip="Definicje" w:history="1">
        <w:r>
          <w:rPr>
            <w:rStyle w:val="Hyperlink"/>
            <w:rFonts w:ascii="Calibri" w:hAnsi="Calibri" w:cs="Calibri"/>
            <w:sz w:val="16"/>
            <w:szCs w:val="16"/>
          </w:rPr>
          <w:t>Definicje</w:t>
        </w:r>
      </w:hyperlink>
    </w:p>
    <w:p w14:paraId="4F4794A3" w14:textId="021ED60E" w:rsidR="000146AE" w:rsidRPr="000146AE" w:rsidRDefault="000146AE" w:rsidP="000146AE">
      <w:pPr>
        <w:pStyle w:val="ProductList-Offering2Heading"/>
        <w:keepNext/>
        <w:tabs>
          <w:tab w:val="clear" w:pos="360"/>
          <w:tab w:val="clear" w:pos="720"/>
          <w:tab w:val="clear" w:pos="1080"/>
        </w:tabs>
        <w:outlineLvl w:val="2"/>
      </w:pPr>
      <w:bookmarkStart w:id="372" w:name="_Toc239175055"/>
      <w:r>
        <w:t xml:space="preserve">Stacja Naziemna </w:t>
      </w:r>
      <w:proofErr w:type="spellStart"/>
      <w:r>
        <w:t>Azure</w:t>
      </w:r>
      <w:proofErr w:type="spellEnd"/>
      <w:r>
        <w:t xml:space="preserve"> Orbital</w:t>
      </w:r>
      <w:bookmarkEnd w:id="372"/>
    </w:p>
    <w:p w14:paraId="081E007E" w14:textId="77777777" w:rsidR="000146AE" w:rsidRPr="000146AE" w:rsidRDefault="000146AE" w:rsidP="000146AE">
      <w:pPr>
        <w:pStyle w:val="ProductList-Body"/>
        <w:keepNext/>
        <w:rPr>
          <w:b/>
          <w:bCs/>
          <w:color w:val="00188F"/>
        </w:rPr>
      </w:pPr>
      <w:r>
        <w:rPr>
          <w:b/>
          <w:bCs/>
          <w:color w:val="00188F"/>
        </w:rPr>
        <w:t>Dodatkowe definicje</w:t>
      </w:r>
    </w:p>
    <w:p w14:paraId="1C717DDD" w14:textId="77777777" w:rsidR="00743E4D" w:rsidRPr="008B7B5F" w:rsidRDefault="00743E4D" w:rsidP="00743E4D">
      <w:p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w:t>
      </w:r>
      <w:r>
        <w:rPr>
          <w:rFonts w:ascii="Calibri" w:eastAsia="Calibri" w:hAnsi="Calibri" w:cs="Calibri"/>
          <w:b/>
          <w:bCs/>
          <w:color w:val="00188F"/>
          <w:sz w:val="18"/>
        </w:rPr>
        <w:t xml:space="preserve">Usługa </w:t>
      </w:r>
      <w:proofErr w:type="spellStart"/>
      <w:r>
        <w:rPr>
          <w:rFonts w:ascii="Calibri" w:eastAsia="Calibri" w:hAnsi="Calibri" w:cs="Calibri"/>
          <w:b/>
          <w:bCs/>
          <w:color w:val="00188F"/>
          <w:sz w:val="18"/>
        </w:rPr>
        <w:t>Azure</w:t>
      </w:r>
      <w:proofErr w:type="spellEnd"/>
      <w:r>
        <w:rPr>
          <w:rFonts w:ascii="Calibri" w:eastAsia="Calibri" w:hAnsi="Calibri" w:cs="Calibri"/>
          <w:b/>
          <w:bCs/>
          <w:color w:val="00188F"/>
          <w:sz w:val="18"/>
        </w:rPr>
        <w:t xml:space="preserve"> Orbital </w:t>
      </w:r>
      <w:proofErr w:type="spellStart"/>
      <w:r>
        <w:rPr>
          <w:rFonts w:ascii="Calibri" w:eastAsia="Calibri" w:hAnsi="Calibri" w:cs="Calibri"/>
          <w:b/>
          <w:bCs/>
          <w:color w:val="00188F"/>
          <w:sz w:val="18"/>
        </w:rPr>
        <w:t>Ground</w:t>
      </w:r>
      <w:proofErr w:type="spellEnd"/>
      <w:r>
        <w:rPr>
          <w:rFonts w:ascii="Calibri" w:eastAsia="Calibri" w:hAnsi="Calibri" w:cs="Calibri"/>
          <w:b/>
          <w:bCs/>
          <w:color w:val="00188F"/>
          <w:sz w:val="18"/>
        </w:rPr>
        <w:t xml:space="preserve"> Station Service</w:t>
      </w:r>
      <w:r>
        <w:rPr>
          <w:rFonts w:ascii="Calibri" w:eastAsia="Calibri" w:hAnsi="Calibri" w:cs="Calibri"/>
          <w:sz w:val="18"/>
        </w:rPr>
        <w:t xml:space="preserve">” to w pełni zarządzana usługa stacji naziemnej zapewniająca łączność o niskim opóźnieniu z satelitów klientów na orbicie do chmury Microsoft </w:t>
      </w:r>
      <w:proofErr w:type="spellStart"/>
      <w:r>
        <w:rPr>
          <w:rFonts w:ascii="Calibri" w:eastAsia="Calibri" w:hAnsi="Calibri" w:cs="Calibri"/>
          <w:sz w:val="18"/>
        </w:rPr>
        <w:t>Azure</w:t>
      </w:r>
      <w:proofErr w:type="spellEnd"/>
      <w:r>
        <w:rPr>
          <w:rFonts w:ascii="Calibri" w:eastAsia="Calibri" w:hAnsi="Calibri" w:cs="Calibri"/>
          <w:sz w:val="18"/>
        </w:rPr>
        <w:t xml:space="preserve">. Na potrzeby niniejszej umowy SLA Usługa obejmuje łączność wyłącznie ze stacjami naziemnymi będącymi własnością firmy Microsoft i przez nią obsługiwanymi, a nie stacjami naziemnymi będącymi własnością zewnętrznych dostawców stacji naziemnych lub przez nich obsługiwanymi, skonfigurowanymi przez klientów do współpracy z usługą </w:t>
      </w:r>
      <w:proofErr w:type="spellStart"/>
      <w:r>
        <w:rPr>
          <w:rFonts w:ascii="Calibri" w:eastAsia="Calibri" w:hAnsi="Calibri" w:cs="Calibri"/>
          <w:sz w:val="18"/>
        </w:rPr>
        <w:t>Azure</w:t>
      </w:r>
      <w:proofErr w:type="spellEnd"/>
      <w:r>
        <w:rPr>
          <w:rFonts w:ascii="Calibri" w:eastAsia="Calibri" w:hAnsi="Calibri" w:cs="Calibri"/>
          <w:sz w:val="18"/>
        </w:rPr>
        <w:t xml:space="preserve"> Orbital </w:t>
      </w:r>
      <w:proofErr w:type="spellStart"/>
      <w:r>
        <w:rPr>
          <w:rFonts w:ascii="Calibri" w:eastAsia="Calibri" w:hAnsi="Calibri" w:cs="Calibri"/>
          <w:sz w:val="18"/>
        </w:rPr>
        <w:t>Ground</w:t>
      </w:r>
      <w:proofErr w:type="spellEnd"/>
      <w:r>
        <w:rPr>
          <w:rFonts w:ascii="Calibri" w:eastAsia="Calibri" w:hAnsi="Calibri" w:cs="Calibri"/>
          <w:sz w:val="18"/>
        </w:rPr>
        <w:t xml:space="preserve"> Station.</w:t>
      </w:r>
    </w:p>
    <w:p w14:paraId="2986B906" w14:textId="77777777" w:rsidR="00743E4D" w:rsidRPr="008B7B5F" w:rsidRDefault="00743E4D" w:rsidP="00743E4D">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Zaplanowany kontakt</w:t>
      </w:r>
      <w:r>
        <w:rPr>
          <w:rFonts w:ascii="Calibri" w:eastAsia="Calibri" w:hAnsi="Calibri" w:cs="Calibri"/>
          <w:sz w:val="18"/>
          <w:szCs w:val="18"/>
        </w:rPr>
        <w:t xml:space="preserve">” to czas, w którym klient zażądał połączenia między stacją naziemną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Orbital </w:t>
      </w:r>
      <w:proofErr w:type="spellStart"/>
      <w:r>
        <w:rPr>
          <w:rFonts w:ascii="Calibri" w:eastAsia="Calibri" w:hAnsi="Calibri" w:cs="Calibri"/>
          <w:sz w:val="18"/>
          <w:szCs w:val="18"/>
        </w:rPr>
        <w:t>Ground</w:t>
      </w:r>
      <w:proofErr w:type="spellEnd"/>
      <w:r>
        <w:rPr>
          <w:rFonts w:ascii="Calibri" w:eastAsia="Calibri" w:hAnsi="Calibri" w:cs="Calibri"/>
          <w:sz w:val="18"/>
          <w:szCs w:val="18"/>
        </w:rPr>
        <w:t xml:space="preserve"> Station będącą własnością firmy Microsoft i przez nią zarządzaną a satelitą klienta (za pośrednictwem portalu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lub interfejsu API) i kontakt taki został potwierdzony zgodnie z harmonogramem przez firmę Microsoft (tj. żądany kontakt posiada status „Zaplanowany” w portalu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lub interfejsie API).</w:t>
      </w:r>
    </w:p>
    <w:p w14:paraId="0CAA2EE3" w14:textId="77777777" w:rsidR="00743E4D" w:rsidRPr="008B7B5F" w:rsidRDefault="00743E4D" w:rsidP="00743E4D">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b/>
          <w:bCs/>
          <w:color w:val="00188F"/>
          <w:sz w:val="18"/>
          <w:szCs w:val="18"/>
        </w:rPr>
        <w:t>Przestój</w:t>
      </w:r>
      <w:r w:rsidRPr="00175B14">
        <w:rPr>
          <w:rFonts w:ascii="Calibri" w:eastAsia="Calibri" w:hAnsi="Calibri" w:cs="Calibri"/>
          <w:sz w:val="18"/>
          <w:szCs w:val="18"/>
        </w:rPr>
        <w:t xml:space="preserve">” </w:t>
      </w:r>
      <w:r>
        <w:rPr>
          <w:rFonts w:ascii="Calibri" w:eastAsia="Calibri" w:hAnsi="Calibri" w:cs="Calibri"/>
          <w:sz w:val="18"/>
          <w:szCs w:val="18"/>
        </w:rPr>
        <w:t xml:space="preserve">to okres podczas Zaplanowanego kontaktu, w którym klient nie może kompleksowo przekazać danych do lub z, satelitów klienta do punktu końcowego sieci wirtualnej klienta na platformie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w obu przypadkach z powodu awarii, którą można przypisać konkretnie usłudze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Orbital </w:t>
      </w:r>
      <w:proofErr w:type="spellStart"/>
      <w:r>
        <w:rPr>
          <w:rFonts w:ascii="Calibri" w:eastAsia="Calibri" w:hAnsi="Calibri" w:cs="Calibri"/>
          <w:sz w:val="18"/>
          <w:szCs w:val="18"/>
        </w:rPr>
        <w:t>Ground</w:t>
      </w:r>
      <w:proofErr w:type="spellEnd"/>
      <w:r>
        <w:rPr>
          <w:rFonts w:ascii="Calibri" w:eastAsia="Calibri" w:hAnsi="Calibri" w:cs="Calibri"/>
          <w:sz w:val="18"/>
          <w:szCs w:val="18"/>
        </w:rPr>
        <w:t xml:space="preserve"> Station lub z powodu lub z powodu anulowania wcześniej potwierdzonego Zaplanowanego kontaktu (na co wskazuje zmiana statusu pola </w:t>
      </w:r>
      <w:proofErr w:type="spellStart"/>
      <w:r>
        <w:rPr>
          <w:rFonts w:ascii="Calibri" w:eastAsia="Calibri" w:hAnsi="Calibri" w:cs="Calibri"/>
          <w:sz w:val="18"/>
          <w:szCs w:val="18"/>
        </w:rPr>
        <w:t>ContactsStatus</w:t>
      </w:r>
      <w:proofErr w:type="spellEnd"/>
      <w:r>
        <w:rPr>
          <w:rFonts w:ascii="Calibri" w:eastAsia="Calibri" w:hAnsi="Calibri" w:cs="Calibri"/>
          <w:sz w:val="18"/>
          <w:szCs w:val="18"/>
        </w:rPr>
        <w:t xml:space="preserve"> z „Zaplanowany” na „Nie powiodło się” lub „Dostawca anulowany”).</w:t>
      </w:r>
    </w:p>
    <w:p w14:paraId="77D573DB" w14:textId="77777777" w:rsidR="00743E4D" w:rsidRPr="008B7B5F" w:rsidRDefault="00743E4D" w:rsidP="00743E4D">
      <w:pPr>
        <w:tabs>
          <w:tab w:val="left" w:pos="360"/>
          <w:tab w:val="left" w:pos="720"/>
          <w:tab w:val="left" w:pos="1080"/>
        </w:tabs>
        <w:spacing w:after="0" w:line="240" w:lineRule="auto"/>
        <w:rPr>
          <w:rFonts w:ascii="Calibri" w:eastAsia="Calibri" w:hAnsi="Calibri" w:cs="Calibri"/>
          <w:sz w:val="18"/>
        </w:rPr>
      </w:pPr>
    </w:p>
    <w:p w14:paraId="52CA9E01" w14:textId="77777777" w:rsidR="00743E4D" w:rsidRPr="008B7B5F" w:rsidRDefault="00743E4D" w:rsidP="00743E4D">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 xml:space="preserve">Przestój nie obejmuje żadnego okresu podczas Zaplanowanego kontaktu, w którym klient nie jest w stanie kompleksowo przekazać danych z powodu (i) dowolnych okoliczności objętych poniższymi wyjątkami dotyczącymi poziomu usług; lub (ii) dowolnych okoliczności uniemożliwiających usłudze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Orbital </w:t>
      </w:r>
      <w:proofErr w:type="spellStart"/>
      <w:r>
        <w:rPr>
          <w:rFonts w:ascii="Calibri" w:eastAsia="Calibri" w:hAnsi="Calibri" w:cs="Calibri"/>
          <w:sz w:val="18"/>
          <w:szCs w:val="18"/>
        </w:rPr>
        <w:t>Ground</w:t>
      </w:r>
      <w:proofErr w:type="spellEnd"/>
      <w:r>
        <w:rPr>
          <w:rFonts w:ascii="Calibri" w:eastAsia="Calibri" w:hAnsi="Calibri" w:cs="Calibri"/>
          <w:sz w:val="18"/>
          <w:szCs w:val="18"/>
        </w:rPr>
        <w:t xml:space="preserve"> Station potwierdzenie żądanego kontaktu jako Zaplanowanego kontaktu. Na potrzeby Usługi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Orbital </w:t>
      </w:r>
      <w:proofErr w:type="spellStart"/>
      <w:r>
        <w:rPr>
          <w:rFonts w:ascii="Calibri" w:eastAsia="Calibri" w:hAnsi="Calibri" w:cs="Calibri"/>
          <w:sz w:val="18"/>
          <w:szCs w:val="18"/>
        </w:rPr>
        <w:t>Ground</w:t>
      </w:r>
      <w:proofErr w:type="spellEnd"/>
      <w:r>
        <w:rPr>
          <w:rFonts w:ascii="Calibri" w:eastAsia="Calibri" w:hAnsi="Calibri" w:cs="Calibri"/>
          <w:sz w:val="18"/>
          <w:szCs w:val="18"/>
        </w:rPr>
        <w:t xml:space="preserve"> Station Przestój nie obejmuje Planowanych Przestojów związanych z konserwacją lub naprawami w lokalizacjach Usługi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Orbital </w:t>
      </w:r>
      <w:proofErr w:type="spellStart"/>
      <w:r>
        <w:rPr>
          <w:rFonts w:ascii="Calibri" w:eastAsia="Calibri" w:hAnsi="Calibri" w:cs="Calibri"/>
          <w:sz w:val="18"/>
          <w:szCs w:val="18"/>
        </w:rPr>
        <w:t>Ground</w:t>
      </w:r>
      <w:proofErr w:type="spellEnd"/>
      <w:r>
        <w:rPr>
          <w:rFonts w:ascii="Calibri" w:eastAsia="Calibri" w:hAnsi="Calibri" w:cs="Calibri"/>
          <w:sz w:val="18"/>
          <w:szCs w:val="18"/>
        </w:rPr>
        <w:t xml:space="preserve"> Station.</w:t>
      </w:r>
    </w:p>
    <w:p w14:paraId="596F4932" w14:textId="77777777" w:rsidR="00743E4D" w:rsidRPr="008B7B5F" w:rsidRDefault="00743E4D" w:rsidP="00743E4D">
      <w:p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b/>
          <w:bCs/>
          <w:color w:val="00188F"/>
          <w:sz w:val="18"/>
          <w:szCs w:val="18"/>
        </w:rPr>
        <w:t>Wyjątki dotyczące Poziomu Usług</w:t>
      </w:r>
      <w:r w:rsidRPr="006B2BD2">
        <w:rPr>
          <w:rFonts w:ascii="Calibri" w:eastAsia="Calibri" w:hAnsi="Calibri" w:cs="Calibri"/>
          <w:b/>
          <w:bCs/>
          <w:sz w:val="18"/>
          <w:szCs w:val="18"/>
        </w:rPr>
        <w:t>:</w:t>
      </w:r>
    </w:p>
    <w:p w14:paraId="1D57E77F" w14:textId="77777777" w:rsidR="00743E4D" w:rsidRPr="008B7B5F" w:rsidRDefault="00743E4D" w:rsidP="00DB4449">
      <w:pPr>
        <w:numPr>
          <w:ilvl w:val="0"/>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Problemy dotyczące jakości lub dostępności wynikające z:</w:t>
      </w:r>
    </w:p>
    <w:p w14:paraId="5058AEEE" w14:textId="77777777" w:rsidR="00743E4D" w:rsidRPr="008B7B5F" w:rsidRDefault="00743E4D" w:rsidP="00DB4449">
      <w:pPr>
        <w:pStyle w:val="ListParagraph"/>
        <w:numPr>
          <w:ilvl w:val="1"/>
          <w:numId w:val="21"/>
        </w:numPr>
        <w:tabs>
          <w:tab w:val="left" w:pos="360"/>
          <w:tab w:val="left" w:pos="720"/>
          <w:tab w:val="left" w:pos="1080"/>
        </w:tabs>
        <w:spacing w:after="0" w:line="240" w:lineRule="auto"/>
        <w:rPr>
          <w:rFonts w:ascii="Calibri" w:eastAsia="Calibri" w:hAnsi="Calibri" w:cs="Calibri"/>
          <w:sz w:val="18"/>
        </w:rPr>
      </w:pPr>
      <w:r>
        <w:rPr>
          <w:rFonts w:ascii="Calibri" w:eastAsia="Calibri" w:hAnsi="Calibri" w:cs="Calibri"/>
          <w:sz w:val="18"/>
        </w:rPr>
        <w:t>Ograniczeń licencyjnych związanych z użytkowaniem pojazdu kosmicznego klienta nałożonych przez organ regulacyjny lub agencję rządową.</w:t>
      </w:r>
    </w:p>
    <w:p w14:paraId="753BB859" w14:textId="77777777" w:rsidR="00743E4D" w:rsidRPr="008B7B5F" w:rsidRDefault="00743E4D" w:rsidP="00DB4449">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Korzystania z usług, sprzętu lub oprogramowania niedostarczonego przez firmę Microsoft, w tym między innymi problemów wynikających z nieodpowiedniej przepustowości lub związanych z oprogramowaniem lub usługami stron trzecich.</w:t>
      </w:r>
    </w:p>
    <w:p w14:paraId="0F1C3103" w14:textId="77777777" w:rsidR="00743E4D" w:rsidRPr="00BF2922" w:rsidRDefault="00743E4D" w:rsidP="00DB4449">
      <w:pPr>
        <w:numPr>
          <w:ilvl w:val="1"/>
          <w:numId w:val="21"/>
        </w:numPr>
        <w:tabs>
          <w:tab w:val="left" w:pos="360"/>
          <w:tab w:val="left" w:pos="720"/>
          <w:tab w:val="left" w:pos="1080"/>
        </w:tabs>
        <w:spacing w:after="0" w:line="240" w:lineRule="auto"/>
        <w:rPr>
          <w:rFonts w:ascii="Calibri" w:eastAsia="Calibri" w:hAnsi="Calibri" w:cs="Calibri"/>
          <w:sz w:val="18"/>
          <w:szCs w:val="18"/>
        </w:rPr>
      </w:pPr>
      <w:r>
        <w:rPr>
          <w:rFonts w:ascii="Calibri" w:eastAsia="Calibri" w:hAnsi="Calibri" w:cs="Calibri"/>
          <w:sz w:val="18"/>
          <w:szCs w:val="18"/>
        </w:rPr>
        <w:t xml:space="preserve">Niezastosowanie się do wymaganych konfiguracji, niekorzystanie z obsługiwanych platform, nieprzestrzeganie zasad dopuszczalnego użytkowania lub korzystanie z Usługi </w:t>
      </w:r>
      <w:proofErr w:type="spellStart"/>
      <w:r>
        <w:rPr>
          <w:rFonts w:ascii="Calibri" w:eastAsia="Calibri" w:hAnsi="Calibri" w:cs="Calibri"/>
          <w:sz w:val="18"/>
          <w:szCs w:val="18"/>
        </w:rPr>
        <w:t>Azure</w:t>
      </w:r>
      <w:proofErr w:type="spellEnd"/>
      <w:r>
        <w:rPr>
          <w:rFonts w:ascii="Calibri" w:eastAsia="Calibri" w:hAnsi="Calibri" w:cs="Calibri"/>
          <w:sz w:val="18"/>
          <w:szCs w:val="18"/>
        </w:rPr>
        <w:t xml:space="preserve"> Orbital </w:t>
      </w:r>
      <w:proofErr w:type="spellStart"/>
      <w:r>
        <w:rPr>
          <w:rFonts w:ascii="Calibri" w:eastAsia="Calibri" w:hAnsi="Calibri" w:cs="Calibri"/>
          <w:sz w:val="18"/>
          <w:szCs w:val="18"/>
        </w:rPr>
        <w:t>Ground</w:t>
      </w:r>
      <w:proofErr w:type="spellEnd"/>
      <w:r>
        <w:rPr>
          <w:rFonts w:ascii="Calibri" w:eastAsia="Calibri" w:hAnsi="Calibri" w:cs="Calibri"/>
          <w:sz w:val="18"/>
          <w:szCs w:val="18"/>
        </w:rPr>
        <w:t xml:space="preserve"> Station Service w sposób niezgodny z jej funkcjami i funkcjonalnością (na przykład próby wykonywania operacji, które nie są obsługiwane) lub niezgodne z naszymi opublikowanymi wytycznymi lub dokumentacją.</w:t>
      </w:r>
    </w:p>
    <w:p w14:paraId="19F8C18A" w14:textId="4793B65D" w:rsidR="000146AE" w:rsidRPr="000146AE" w:rsidRDefault="000146AE" w:rsidP="00A860B2">
      <w:pPr>
        <w:pStyle w:val="ProductList-Body"/>
        <w:spacing w:before="120"/>
        <w:rPr>
          <w:b/>
          <w:bCs/>
          <w:color w:val="00188F"/>
        </w:rPr>
      </w:pPr>
      <w:r>
        <w:rPr>
          <w:b/>
          <w:bCs/>
          <w:color w:val="00188F"/>
        </w:rPr>
        <w:t>Obliczanie Procentu Kontaktów Zakończonych Powodzeniem i Poziomy Usługi</w:t>
      </w:r>
    </w:p>
    <w:p w14:paraId="77258D37" w14:textId="77777777" w:rsidR="000146AE" w:rsidRDefault="000146AE" w:rsidP="000146AE">
      <w:pPr>
        <w:pStyle w:val="ProductList-Body"/>
      </w:pPr>
      <w:r>
        <w:t>„</w:t>
      </w:r>
      <w:r>
        <w:rPr>
          <w:b/>
          <w:bCs/>
          <w:color w:val="00188F"/>
        </w:rPr>
        <w:t>Procent Kontaktów Zakończonych Powodzeniem</w:t>
      </w:r>
      <w:r>
        <w:t>” to łączna liczba minut Zaplanowanego Kontaktu pomniejszona o Przestój i podzielona przez łączna liczba minut Zaplanowanego Kontaktu. Wartość tę oblicza się według poniższego wzoru:</w:t>
      </w:r>
    </w:p>
    <w:p w14:paraId="0A64C922" w14:textId="0202C326" w:rsidR="00A860B2" w:rsidRPr="00EF7CF9" w:rsidRDefault="00000000" w:rsidP="008D2130">
      <w:pPr>
        <w:pStyle w:val="ListParagraph"/>
        <w:spacing w:before="16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Minut Zaplanowanego Kontaktu – Minuty Przestoju</m:t>
              </m:r>
            </m:num>
            <m:den>
              <m:r>
                <m:rPr>
                  <m:nor/>
                </m:rPr>
                <w:rPr>
                  <w:rFonts w:ascii="Cambria Math" w:hAnsi="Cambria Math" w:cs="Tahoma"/>
                  <w:i/>
                  <w:sz w:val="18"/>
                  <w:szCs w:val="18"/>
                </w:rPr>
                <m:t>Łączna Liczba Minut Zaplanowanego Kontaktu</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382EC6C6" w14:textId="72DFDF1D" w:rsidR="000146AE" w:rsidRPr="00482531" w:rsidRDefault="000146AE" w:rsidP="00444DA8">
      <w:pPr>
        <w:pStyle w:val="ProductList-Body"/>
        <w:keepNext/>
        <w:rPr>
          <w:b/>
          <w:bCs/>
          <w:color w:val="00188F"/>
        </w:rPr>
      </w:pPr>
      <w:r>
        <w:rPr>
          <w:b/>
          <w:bCs/>
          <w:color w:val="00188F"/>
        </w:rPr>
        <w:t xml:space="preserve">Następujące Poziomy Usługi i Środki Serwisowe na Używanie Usług mają zastosowanie do Usługi </w:t>
      </w:r>
      <w:proofErr w:type="spellStart"/>
      <w:r>
        <w:rPr>
          <w:b/>
          <w:bCs/>
          <w:color w:val="00188F"/>
        </w:rPr>
        <w:t>Azure</w:t>
      </w:r>
      <w:proofErr w:type="spellEnd"/>
      <w:r>
        <w:rPr>
          <w:b/>
          <w:bCs/>
          <w:color w:val="00188F"/>
        </w:rPr>
        <w:t xml:space="preserve"> Orbital </w:t>
      </w:r>
      <w:proofErr w:type="spellStart"/>
      <w:r>
        <w:rPr>
          <w:b/>
          <w:bCs/>
          <w:color w:val="00188F"/>
        </w:rPr>
        <w:t>Ground</w:t>
      </w:r>
      <w:proofErr w:type="spellEnd"/>
      <w:r>
        <w:rPr>
          <w:b/>
          <w:bCs/>
          <w:color w:val="00188F"/>
        </w:rPr>
        <w:t xml:space="preserve"> Station Service w</w:t>
      </w:r>
      <w:r w:rsidR="00C84B0F">
        <w:rPr>
          <w:b/>
          <w:bCs/>
          <w:color w:val="00188F"/>
        </w:rPr>
        <w:t> </w:t>
      </w:r>
      <w:r>
        <w:rPr>
          <w:b/>
          <w:bCs/>
          <w:color w:val="00188F"/>
        </w:rPr>
        <w:t>przypadku Właściwych Opłat za Usługi: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2531" w:rsidRPr="00B44CF9" w14:paraId="5AEFD6E7" w14:textId="77777777" w:rsidTr="00277097">
        <w:trPr>
          <w:tblHeader/>
        </w:trPr>
        <w:tc>
          <w:tcPr>
            <w:tcW w:w="5400" w:type="dxa"/>
            <w:shd w:val="clear" w:color="auto" w:fill="0072C6"/>
          </w:tcPr>
          <w:p w14:paraId="532EF4C8" w14:textId="7B15D3E0" w:rsidR="00482531" w:rsidRPr="00EF7CF9" w:rsidRDefault="00482531" w:rsidP="000F31B4">
            <w:pPr>
              <w:pStyle w:val="ProductList-OfferingBody"/>
              <w:jc w:val="center"/>
              <w:rPr>
                <w:color w:val="FFFFFF" w:themeColor="background1"/>
              </w:rPr>
            </w:pPr>
            <w:r>
              <w:rPr>
                <w:color w:val="FFFFFF" w:themeColor="background1"/>
              </w:rPr>
              <w:t>Procent Kontaktów Zakończonych Powodzeniem</w:t>
            </w:r>
          </w:p>
        </w:tc>
        <w:tc>
          <w:tcPr>
            <w:tcW w:w="5400" w:type="dxa"/>
            <w:shd w:val="clear" w:color="auto" w:fill="0072C6"/>
          </w:tcPr>
          <w:p w14:paraId="4B717705" w14:textId="77777777" w:rsidR="00482531" w:rsidRPr="00EF7CF9" w:rsidRDefault="00482531" w:rsidP="000F31B4">
            <w:pPr>
              <w:pStyle w:val="ProductList-OfferingBody"/>
              <w:jc w:val="center"/>
              <w:rPr>
                <w:color w:val="FFFFFF" w:themeColor="background1"/>
              </w:rPr>
            </w:pPr>
            <w:r>
              <w:rPr>
                <w:color w:val="FFFFFF" w:themeColor="background1"/>
              </w:rPr>
              <w:t>Środki Serwisowe na Używanie Usług</w:t>
            </w:r>
          </w:p>
        </w:tc>
      </w:tr>
      <w:tr w:rsidR="00482531" w:rsidRPr="00B44CF9" w14:paraId="046908F8" w14:textId="77777777" w:rsidTr="00277097">
        <w:tc>
          <w:tcPr>
            <w:tcW w:w="5400" w:type="dxa"/>
          </w:tcPr>
          <w:p w14:paraId="3E143ED3" w14:textId="77777777" w:rsidR="00482531" w:rsidRPr="00EF7CF9" w:rsidRDefault="00482531" w:rsidP="000F31B4">
            <w:pPr>
              <w:pStyle w:val="ProductList-OfferingBody"/>
              <w:jc w:val="center"/>
            </w:pPr>
            <w:r>
              <w:t>&lt; 99,9%</w:t>
            </w:r>
          </w:p>
        </w:tc>
        <w:tc>
          <w:tcPr>
            <w:tcW w:w="5400" w:type="dxa"/>
          </w:tcPr>
          <w:p w14:paraId="29BAF580" w14:textId="77777777" w:rsidR="00482531" w:rsidRPr="00EF7CF9" w:rsidRDefault="00482531" w:rsidP="000F31B4">
            <w:pPr>
              <w:pStyle w:val="ProductList-OfferingBody"/>
              <w:jc w:val="center"/>
            </w:pPr>
            <w:r>
              <w:t>10%</w:t>
            </w:r>
          </w:p>
        </w:tc>
      </w:tr>
      <w:tr w:rsidR="00482531" w:rsidRPr="00B44CF9" w14:paraId="31BDD149" w14:textId="77777777" w:rsidTr="00277097">
        <w:tc>
          <w:tcPr>
            <w:tcW w:w="5400" w:type="dxa"/>
          </w:tcPr>
          <w:p w14:paraId="4C89C0EC" w14:textId="4F74139B" w:rsidR="00482531" w:rsidRPr="00EF7CF9" w:rsidRDefault="00482531" w:rsidP="000F31B4">
            <w:pPr>
              <w:pStyle w:val="ProductList-OfferingBody"/>
              <w:jc w:val="center"/>
            </w:pPr>
            <w:r>
              <w:t>&lt; 98%</w:t>
            </w:r>
          </w:p>
        </w:tc>
        <w:tc>
          <w:tcPr>
            <w:tcW w:w="5400" w:type="dxa"/>
          </w:tcPr>
          <w:p w14:paraId="5BBB0BBA" w14:textId="77777777" w:rsidR="00482531" w:rsidRPr="00EF7CF9" w:rsidRDefault="00482531" w:rsidP="000F31B4">
            <w:pPr>
              <w:pStyle w:val="ProductList-OfferingBody"/>
              <w:jc w:val="center"/>
            </w:pPr>
            <w:r>
              <w:t>25%</w:t>
            </w:r>
          </w:p>
        </w:tc>
      </w:tr>
      <w:tr w:rsidR="00482531" w:rsidRPr="00B44CF9" w14:paraId="3876E0F8" w14:textId="77777777" w:rsidTr="00277097">
        <w:tc>
          <w:tcPr>
            <w:tcW w:w="5400" w:type="dxa"/>
          </w:tcPr>
          <w:p w14:paraId="5A12BAE1" w14:textId="77777777" w:rsidR="00482531" w:rsidRPr="00EF7CF9" w:rsidRDefault="00482531" w:rsidP="000F31B4">
            <w:pPr>
              <w:pStyle w:val="ProductList-OfferingBody"/>
              <w:jc w:val="center"/>
            </w:pPr>
            <w:r>
              <w:t>&lt; 95%</w:t>
            </w:r>
          </w:p>
        </w:tc>
        <w:tc>
          <w:tcPr>
            <w:tcW w:w="5400" w:type="dxa"/>
          </w:tcPr>
          <w:p w14:paraId="1B983005" w14:textId="77777777" w:rsidR="00482531" w:rsidRPr="00EF7CF9" w:rsidRDefault="00482531" w:rsidP="000F31B4">
            <w:pPr>
              <w:pStyle w:val="ProductList-OfferingBody"/>
              <w:jc w:val="center"/>
            </w:pPr>
            <w:r>
              <w:t>100%</w:t>
            </w:r>
          </w:p>
        </w:tc>
      </w:tr>
    </w:tbl>
    <w:p w14:paraId="168B8D3C" w14:textId="3918FA8D" w:rsidR="00482531" w:rsidRPr="00EF7CF9" w:rsidRDefault="00C71F89" w:rsidP="0048253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25D5876" w14:textId="77777777" w:rsidR="00745907" w:rsidRPr="008D2130" w:rsidRDefault="00745907" w:rsidP="00745907">
      <w:pPr>
        <w:pStyle w:val="ProductList-Offering2Heading"/>
        <w:keepNext/>
        <w:tabs>
          <w:tab w:val="clear" w:pos="360"/>
          <w:tab w:val="clear" w:pos="720"/>
          <w:tab w:val="clear" w:pos="1080"/>
        </w:tabs>
        <w:outlineLvl w:val="2"/>
      </w:pPr>
      <w:bookmarkStart w:id="373" w:name="_Toc239175056"/>
      <w:r w:rsidRPr="008D2130">
        <w:t xml:space="preserve">Microsoft </w:t>
      </w:r>
      <w:proofErr w:type="spellStart"/>
      <w:r w:rsidRPr="008D2130">
        <w:t>Playwright</w:t>
      </w:r>
      <w:proofErr w:type="spellEnd"/>
      <w:r w:rsidRPr="008D2130">
        <w:t xml:space="preserve"> </w:t>
      </w:r>
      <w:proofErr w:type="spellStart"/>
      <w:r w:rsidRPr="008D2130">
        <w:t>Testing</w:t>
      </w:r>
      <w:bookmarkEnd w:id="373"/>
      <w:proofErr w:type="spellEnd"/>
    </w:p>
    <w:p w14:paraId="72175A6A" w14:textId="77777777" w:rsidR="00745907" w:rsidRPr="00FD37EB" w:rsidRDefault="00745907" w:rsidP="00745907">
      <w:pPr>
        <w:tabs>
          <w:tab w:val="left" w:pos="360"/>
          <w:tab w:val="left" w:pos="720"/>
          <w:tab w:val="left" w:pos="1080"/>
        </w:tabs>
        <w:spacing w:after="0" w:line="240" w:lineRule="auto"/>
        <w:rPr>
          <w:rFonts w:ascii="Calibri" w:eastAsia="Calibri" w:hAnsi="Calibri" w:cs="Times New Roman"/>
          <w:b/>
          <w:color w:val="00188F"/>
          <w:sz w:val="18"/>
        </w:rPr>
      </w:pPr>
      <w:r>
        <w:rPr>
          <w:rFonts w:ascii="Calibri" w:eastAsia="Calibri" w:hAnsi="Calibri" w:cs="Times New Roman"/>
          <w:b/>
          <w:color w:val="00188F"/>
          <w:sz w:val="18"/>
        </w:rPr>
        <w:t>Dodatkowe definicje</w:t>
      </w:r>
    </w:p>
    <w:p w14:paraId="04F49384" w14:textId="77777777" w:rsidR="00745907" w:rsidRPr="008C6994" w:rsidRDefault="00745907" w:rsidP="00745907">
      <w:pPr>
        <w:shd w:val="clear" w:color="auto" w:fill="FFFFFF"/>
        <w:spacing w:after="0" w:line="240" w:lineRule="auto"/>
        <w:textAlignment w:val="baseline"/>
        <w:rPr>
          <w:rFonts w:ascii="Calibri" w:eastAsia="Calibri" w:hAnsi="Calibri" w:cs="Calibri"/>
          <w:sz w:val="18"/>
          <w:szCs w:val="18"/>
        </w:rPr>
      </w:pPr>
      <w:r w:rsidRPr="00200C51">
        <w:rPr>
          <w:rFonts w:ascii="Calibri" w:eastAsia="Calibri" w:hAnsi="Calibri" w:cs="Calibri"/>
          <w:color w:val="00188F"/>
          <w:sz w:val="18"/>
          <w:szCs w:val="18"/>
        </w:rPr>
        <w:t>„</w:t>
      </w:r>
      <w:r w:rsidRPr="008C6994">
        <w:rPr>
          <w:rFonts w:ascii="Calibri" w:eastAsia="Calibri" w:hAnsi="Calibri" w:cs="Calibri"/>
          <w:b/>
          <w:bCs/>
          <w:color w:val="00188F"/>
          <w:sz w:val="18"/>
          <w:szCs w:val="18"/>
        </w:rPr>
        <w:t>Minuty Wdrożenia</w:t>
      </w:r>
      <w:r w:rsidRPr="00200C51">
        <w:rPr>
          <w:rFonts w:ascii="Calibri" w:eastAsia="Calibri" w:hAnsi="Calibri" w:cs="Calibri"/>
          <w:color w:val="00188F"/>
          <w:sz w:val="18"/>
          <w:szCs w:val="18"/>
        </w:rPr>
        <w:t>”</w:t>
      </w:r>
      <w:r w:rsidRPr="008C6994">
        <w:rPr>
          <w:rFonts w:ascii="Calibri" w:hAnsi="Calibri" w:cs="Calibri"/>
          <w:sz w:val="18"/>
          <w:szCs w:val="18"/>
        </w:rPr>
        <w:t xml:space="preserve"> to </w:t>
      </w:r>
      <w:r w:rsidRPr="008C6994">
        <w:rPr>
          <w:rFonts w:ascii="Calibri" w:eastAsia="Calibri" w:hAnsi="Calibri" w:cs="Calibri"/>
          <w:sz w:val="18"/>
          <w:szCs w:val="18"/>
        </w:rPr>
        <w:t xml:space="preserve">łączna liczba minut, przez które dany zasób Usługi Microsoft </w:t>
      </w:r>
      <w:proofErr w:type="spellStart"/>
      <w:r w:rsidRPr="008C6994">
        <w:rPr>
          <w:rFonts w:ascii="Calibri" w:eastAsia="Calibri" w:hAnsi="Calibri" w:cs="Calibri"/>
          <w:sz w:val="18"/>
          <w:szCs w:val="18"/>
        </w:rPr>
        <w:t>Playwright</w:t>
      </w:r>
      <w:proofErr w:type="spellEnd"/>
      <w:r w:rsidRPr="008C6994">
        <w:rPr>
          <w:rFonts w:ascii="Calibri" w:eastAsia="Calibri" w:hAnsi="Calibri" w:cs="Calibri"/>
          <w:sz w:val="18"/>
          <w:szCs w:val="18"/>
        </w:rPr>
        <w:t xml:space="preserve"> </w:t>
      </w:r>
      <w:proofErr w:type="spellStart"/>
      <w:r w:rsidRPr="008C6994">
        <w:rPr>
          <w:rFonts w:ascii="Calibri" w:eastAsia="Calibri" w:hAnsi="Calibri" w:cs="Calibri"/>
          <w:sz w:val="18"/>
          <w:szCs w:val="18"/>
        </w:rPr>
        <w:t>Testing</w:t>
      </w:r>
      <w:proofErr w:type="spellEnd"/>
      <w:r w:rsidRPr="008C6994">
        <w:rPr>
          <w:rFonts w:ascii="Calibri" w:eastAsia="Calibri" w:hAnsi="Calibri" w:cs="Calibri"/>
          <w:sz w:val="18"/>
          <w:szCs w:val="18"/>
        </w:rPr>
        <w:t xml:space="preserve"> został wdrożony na platformie Microsoft </w:t>
      </w:r>
      <w:proofErr w:type="spellStart"/>
      <w:r w:rsidRPr="008C6994">
        <w:rPr>
          <w:rFonts w:ascii="Calibri" w:eastAsia="Calibri" w:hAnsi="Calibri" w:cs="Calibri"/>
          <w:sz w:val="18"/>
          <w:szCs w:val="18"/>
        </w:rPr>
        <w:t>Azure</w:t>
      </w:r>
      <w:proofErr w:type="spellEnd"/>
      <w:r w:rsidRPr="008C6994">
        <w:rPr>
          <w:rFonts w:ascii="Calibri" w:eastAsia="Calibri" w:hAnsi="Calibri" w:cs="Calibri"/>
          <w:sz w:val="18"/>
          <w:szCs w:val="18"/>
        </w:rPr>
        <w:t xml:space="preserve"> we Właściwym Okresie.</w:t>
      </w:r>
    </w:p>
    <w:p w14:paraId="35CBDDEF" w14:textId="77777777" w:rsidR="00745907" w:rsidRPr="008C6994" w:rsidRDefault="00745907" w:rsidP="00745907">
      <w:pPr>
        <w:shd w:val="clear" w:color="auto" w:fill="FFFFFF"/>
        <w:spacing w:after="0" w:line="240" w:lineRule="auto"/>
        <w:textAlignment w:val="baseline"/>
        <w:rPr>
          <w:rFonts w:ascii="Calibri" w:eastAsia="Calibri" w:hAnsi="Calibri" w:cs="Calibri"/>
          <w:sz w:val="18"/>
          <w:szCs w:val="18"/>
        </w:rPr>
      </w:pPr>
      <w:r w:rsidRPr="00200C51">
        <w:rPr>
          <w:rFonts w:ascii="Calibri" w:eastAsia="Calibri" w:hAnsi="Calibri" w:cs="Calibri"/>
          <w:color w:val="00188F"/>
          <w:sz w:val="18"/>
          <w:szCs w:val="18"/>
        </w:rPr>
        <w:t>„</w:t>
      </w:r>
      <w:r w:rsidRPr="008C6994">
        <w:rPr>
          <w:rFonts w:ascii="Calibri" w:eastAsia="Calibri" w:hAnsi="Calibri" w:cs="Calibri"/>
          <w:b/>
          <w:bCs/>
          <w:color w:val="00188F"/>
          <w:sz w:val="18"/>
          <w:szCs w:val="18"/>
        </w:rPr>
        <w:t>Maksymalna Liczba Dostępnych Minut</w:t>
      </w:r>
      <w:r w:rsidRPr="00334B14">
        <w:rPr>
          <w:rFonts w:ascii="Calibri" w:eastAsia="Calibri" w:hAnsi="Calibri" w:cs="Calibri"/>
          <w:color w:val="00188F"/>
          <w:sz w:val="18"/>
          <w:szCs w:val="18"/>
        </w:rPr>
        <w:t>”</w:t>
      </w:r>
      <w:r w:rsidRPr="008C6994">
        <w:rPr>
          <w:rFonts w:ascii="Calibri" w:hAnsi="Calibri" w:cs="Calibri"/>
          <w:sz w:val="18"/>
          <w:szCs w:val="18"/>
        </w:rPr>
        <w:t xml:space="preserve"> to </w:t>
      </w:r>
      <w:r w:rsidRPr="008C6994">
        <w:rPr>
          <w:rFonts w:ascii="Calibri" w:eastAsia="Calibri" w:hAnsi="Calibri" w:cs="Calibri"/>
          <w:sz w:val="18"/>
          <w:szCs w:val="18"/>
        </w:rPr>
        <w:t xml:space="preserve">suma wszystkich Minut Wdrożenia we wszystkich Zasobach Usługi Microsoft </w:t>
      </w:r>
      <w:proofErr w:type="spellStart"/>
      <w:r w:rsidRPr="008C6994">
        <w:rPr>
          <w:rFonts w:ascii="Calibri" w:eastAsia="Calibri" w:hAnsi="Calibri" w:cs="Calibri"/>
          <w:sz w:val="18"/>
          <w:szCs w:val="18"/>
        </w:rPr>
        <w:t>Playwright</w:t>
      </w:r>
      <w:proofErr w:type="spellEnd"/>
      <w:r w:rsidRPr="008C6994">
        <w:rPr>
          <w:rFonts w:ascii="Calibri" w:eastAsia="Calibri" w:hAnsi="Calibri" w:cs="Calibri"/>
          <w:sz w:val="18"/>
          <w:szCs w:val="18"/>
        </w:rPr>
        <w:t xml:space="preserve"> </w:t>
      </w:r>
      <w:proofErr w:type="spellStart"/>
      <w:r w:rsidRPr="008C6994">
        <w:rPr>
          <w:rFonts w:ascii="Calibri" w:eastAsia="Calibri" w:hAnsi="Calibri" w:cs="Calibri"/>
          <w:sz w:val="18"/>
          <w:szCs w:val="18"/>
        </w:rPr>
        <w:t>Testing</w:t>
      </w:r>
      <w:proofErr w:type="spellEnd"/>
      <w:r w:rsidRPr="008C6994">
        <w:rPr>
          <w:rFonts w:ascii="Calibri" w:eastAsia="Calibri" w:hAnsi="Calibri" w:cs="Calibri"/>
          <w:sz w:val="18"/>
          <w:szCs w:val="18"/>
        </w:rPr>
        <w:t xml:space="preserve"> wdrożonych przez użytkownika w ramach danej subskrypcji Microsoft </w:t>
      </w:r>
      <w:proofErr w:type="spellStart"/>
      <w:r w:rsidRPr="008C6994">
        <w:rPr>
          <w:rFonts w:ascii="Calibri" w:eastAsia="Calibri" w:hAnsi="Calibri" w:cs="Calibri"/>
          <w:sz w:val="18"/>
          <w:szCs w:val="18"/>
        </w:rPr>
        <w:t>Azure</w:t>
      </w:r>
      <w:proofErr w:type="spellEnd"/>
      <w:r w:rsidRPr="008C6994">
        <w:rPr>
          <w:rFonts w:ascii="Calibri" w:eastAsia="Calibri" w:hAnsi="Calibri" w:cs="Calibri"/>
          <w:sz w:val="18"/>
          <w:szCs w:val="18"/>
        </w:rPr>
        <w:t xml:space="preserve"> we Właściwym Okresie.</w:t>
      </w:r>
    </w:p>
    <w:p w14:paraId="690DEF64" w14:textId="77777777" w:rsidR="00745907" w:rsidRPr="008C6994" w:rsidRDefault="00745907" w:rsidP="00745907">
      <w:pPr>
        <w:shd w:val="clear" w:color="auto" w:fill="FFFFFF"/>
        <w:spacing w:after="0" w:line="240" w:lineRule="auto"/>
        <w:textAlignment w:val="baseline"/>
        <w:rPr>
          <w:rFonts w:ascii="Calibri" w:eastAsia="Calibri" w:hAnsi="Calibri" w:cs="Calibri"/>
          <w:sz w:val="18"/>
          <w:szCs w:val="18"/>
        </w:rPr>
      </w:pPr>
      <w:r w:rsidRPr="00200C51">
        <w:rPr>
          <w:rFonts w:ascii="Calibri" w:eastAsia="Calibri" w:hAnsi="Calibri" w:cs="Calibri"/>
          <w:color w:val="00188F"/>
          <w:sz w:val="18"/>
          <w:szCs w:val="18"/>
        </w:rPr>
        <w:t>„</w:t>
      </w:r>
      <w:r w:rsidRPr="008C6994">
        <w:rPr>
          <w:rFonts w:ascii="Calibri" w:eastAsia="Calibri" w:hAnsi="Calibri" w:cs="Calibri"/>
          <w:b/>
          <w:bCs/>
          <w:color w:val="00188F"/>
          <w:sz w:val="18"/>
          <w:szCs w:val="18"/>
        </w:rPr>
        <w:t>Przestój</w:t>
      </w:r>
      <w:r w:rsidRPr="00200C51">
        <w:rPr>
          <w:rFonts w:ascii="Calibri" w:eastAsia="Calibri" w:hAnsi="Calibri" w:cs="Calibri"/>
          <w:color w:val="00188F"/>
          <w:sz w:val="18"/>
          <w:szCs w:val="18"/>
        </w:rPr>
        <w:t>”</w:t>
      </w:r>
      <w:r w:rsidRPr="008C6994">
        <w:rPr>
          <w:rFonts w:ascii="Calibri" w:eastAsia="Calibri" w:hAnsi="Calibri" w:cs="Calibri"/>
          <w:sz w:val="18"/>
          <w:szCs w:val="18"/>
        </w:rPr>
        <w:t xml:space="preserve"> i to suma wszystkich Minut Wdrożenia we wszystkich Zasobach Usługi Microsoft </w:t>
      </w:r>
      <w:proofErr w:type="spellStart"/>
      <w:r w:rsidRPr="008C6994">
        <w:rPr>
          <w:rFonts w:ascii="Calibri" w:eastAsia="Calibri" w:hAnsi="Calibri" w:cs="Calibri"/>
          <w:sz w:val="18"/>
          <w:szCs w:val="18"/>
        </w:rPr>
        <w:t>Playwright</w:t>
      </w:r>
      <w:proofErr w:type="spellEnd"/>
      <w:r w:rsidRPr="008C6994">
        <w:rPr>
          <w:rFonts w:ascii="Calibri" w:eastAsia="Calibri" w:hAnsi="Calibri" w:cs="Calibri"/>
          <w:sz w:val="18"/>
          <w:szCs w:val="18"/>
        </w:rPr>
        <w:t xml:space="preserve"> </w:t>
      </w:r>
      <w:proofErr w:type="spellStart"/>
      <w:r w:rsidRPr="008C6994">
        <w:rPr>
          <w:rFonts w:ascii="Calibri" w:eastAsia="Calibri" w:hAnsi="Calibri" w:cs="Calibri"/>
          <w:sz w:val="18"/>
          <w:szCs w:val="18"/>
        </w:rPr>
        <w:t>Testing</w:t>
      </w:r>
      <w:proofErr w:type="spellEnd"/>
      <w:r w:rsidRPr="008C6994">
        <w:rPr>
          <w:rFonts w:ascii="Calibri" w:eastAsia="Calibri" w:hAnsi="Calibri" w:cs="Calibri"/>
          <w:sz w:val="18"/>
          <w:szCs w:val="18"/>
        </w:rPr>
        <w:t xml:space="preserve"> wdrożonych przez użytkownika w ramach danej subskrypcji Microsoft </w:t>
      </w:r>
      <w:proofErr w:type="spellStart"/>
      <w:r w:rsidRPr="008C6994">
        <w:rPr>
          <w:rFonts w:ascii="Calibri" w:eastAsia="Calibri" w:hAnsi="Calibri" w:cs="Calibri"/>
          <w:sz w:val="18"/>
          <w:szCs w:val="18"/>
        </w:rPr>
        <w:t>Azure</w:t>
      </w:r>
      <w:proofErr w:type="spellEnd"/>
      <w:r w:rsidRPr="008C6994">
        <w:rPr>
          <w:rFonts w:ascii="Calibri" w:eastAsia="Calibri" w:hAnsi="Calibri" w:cs="Calibri"/>
          <w:sz w:val="18"/>
          <w:szCs w:val="18"/>
        </w:rPr>
        <w:t xml:space="preserve"> we Właściwym Okresie, gdy Zasób Microsoft </w:t>
      </w:r>
      <w:proofErr w:type="spellStart"/>
      <w:r w:rsidRPr="008C6994">
        <w:rPr>
          <w:rFonts w:ascii="Calibri" w:eastAsia="Calibri" w:hAnsi="Calibri" w:cs="Calibri"/>
          <w:sz w:val="18"/>
          <w:szCs w:val="18"/>
        </w:rPr>
        <w:t>Playwright</w:t>
      </w:r>
      <w:proofErr w:type="spellEnd"/>
      <w:r w:rsidRPr="008C6994">
        <w:rPr>
          <w:rFonts w:ascii="Calibri" w:eastAsia="Calibri" w:hAnsi="Calibri" w:cs="Calibri"/>
          <w:sz w:val="18"/>
          <w:szCs w:val="18"/>
        </w:rPr>
        <w:t xml:space="preserve"> </w:t>
      </w:r>
      <w:proofErr w:type="spellStart"/>
      <w:r w:rsidRPr="008C6994">
        <w:rPr>
          <w:rFonts w:ascii="Calibri" w:eastAsia="Calibri" w:hAnsi="Calibri" w:cs="Calibri"/>
          <w:sz w:val="18"/>
          <w:szCs w:val="18"/>
        </w:rPr>
        <w:t>Testing</w:t>
      </w:r>
      <w:proofErr w:type="spellEnd"/>
      <w:r w:rsidRPr="008C6994">
        <w:rPr>
          <w:rFonts w:ascii="Calibri" w:eastAsia="Calibri" w:hAnsi="Calibri" w:cs="Calibri"/>
          <w:sz w:val="18"/>
          <w:szCs w:val="18"/>
        </w:rPr>
        <w:t xml:space="preserve"> jest niedostępny. Minuta jest uznawana za minutę niedostępności dla danej Usługi, jeśli wszystkie ciągłe żądania HTTP w celu wykonania operacji w ciągu tej minuty zwracają Kod Błędu lub nie zwracają odpowiedzi w ciągu 5 minut.</w:t>
      </w:r>
    </w:p>
    <w:p w14:paraId="56A5B9CD" w14:textId="77777777" w:rsidR="00745907" w:rsidRPr="008C6994" w:rsidRDefault="00745907" w:rsidP="00745907">
      <w:pPr>
        <w:tabs>
          <w:tab w:val="left" w:pos="360"/>
          <w:tab w:val="left" w:pos="720"/>
          <w:tab w:val="left" w:pos="1080"/>
        </w:tabs>
        <w:spacing w:after="0" w:line="240" w:lineRule="auto"/>
        <w:rPr>
          <w:rFonts w:ascii="Calibri" w:eastAsia="Calibri" w:hAnsi="Calibri" w:cs="Calibri"/>
          <w:sz w:val="18"/>
          <w:szCs w:val="18"/>
        </w:rPr>
      </w:pPr>
      <w:r w:rsidRPr="00200C51">
        <w:rPr>
          <w:rFonts w:ascii="Calibri" w:eastAsia="Calibri" w:hAnsi="Calibri" w:cs="Calibri"/>
          <w:color w:val="00188F"/>
          <w:sz w:val="18"/>
          <w:szCs w:val="18"/>
        </w:rPr>
        <w:t>„</w:t>
      </w:r>
      <w:r w:rsidRPr="008C6994">
        <w:rPr>
          <w:rFonts w:ascii="Calibri" w:eastAsia="Calibri" w:hAnsi="Calibri" w:cs="Calibri"/>
          <w:b/>
          <w:bCs/>
          <w:color w:val="00188F"/>
          <w:sz w:val="18"/>
          <w:szCs w:val="18"/>
        </w:rPr>
        <w:t>Procent Czasu Sprawnego Działania</w:t>
      </w:r>
      <w:r w:rsidRPr="00200C51">
        <w:rPr>
          <w:rFonts w:ascii="Calibri" w:eastAsia="Calibri" w:hAnsi="Calibri" w:cs="Calibri"/>
          <w:color w:val="00188F"/>
          <w:sz w:val="18"/>
          <w:szCs w:val="18"/>
        </w:rPr>
        <w:t>”</w:t>
      </w:r>
      <w:r w:rsidRPr="008C6994">
        <w:rPr>
          <w:rFonts w:ascii="Calibri" w:eastAsia="Calibri" w:hAnsi="Calibri" w:cs="Calibri"/>
          <w:sz w:val="18"/>
          <w:szCs w:val="18"/>
        </w:rPr>
        <w:t xml:space="preserve"> jest obliczany przy użyciu następującego wzoru:</w:t>
      </w:r>
    </w:p>
    <w:p w14:paraId="5AEFF25D" w14:textId="77777777" w:rsidR="00745907" w:rsidRPr="00724825" w:rsidRDefault="00000000" w:rsidP="008D2130">
      <w:pPr>
        <w:pStyle w:val="ListParagraph"/>
        <w:spacing w:before="120"/>
        <w:contextualSpacing w:val="0"/>
        <w:rPr>
          <w:rFonts w:ascii="Cambria Math" w:hAnsi="Cambria Math" w:cs="Tahoma"/>
          <w:i/>
          <w:sz w:val="18"/>
          <w:szCs w:val="18"/>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Minut Dostępności</m:t>
              </m:r>
            </m:den>
          </m:f>
          <m:r>
            <w:rPr>
              <w:rFonts w:ascii="Cambria Math" w:hAnsi="Cambria Math" w:cs="Tahoma"/>
              <w:sz w:val="18"/>
              <w:szCs w:val="18"/>
            </w:rPr>
            <m:t xml:space="preserve"> x 100</m:t>
          </m:r>
        </m:oMath>
      </m:oMathPara>
    </w:p>
    <w:p w14:paraId="4231AE74" w14:textId="20C2D4C1" w:rsidR="00745907" w:rsidRPr="00FD37EB" w:rsidRDefault="00745907" w:rsidP="00745907">
      <w:pPr>
        <w:keepNext/>
        <w:tabs>
          <w:tab w:val="left" w:pos="360"/>
          <w:tab w:val="left" w:pos="720"/>
          <w:tab w:val="left" w:pos="1080"/>
        </w:tabs>
        <w:spacing w:after="0" w:line="240" w:lineRule="auto"/>
        <w:rPr>
          <w:rFonts w:ascii="Calibri" w:eastAsia="Calibri" w:hAnsi="Calibri" w:cs="Arial"/>
          <w:b/>
          <w:bCs/>
          <w:color w:val="00188F"/>
          <w:sz w:val="18"/>
        </w:rPr>
      </w:pPr>
      <w:r>
        <w:rPr>
          <w:rFonts w:ascii="Calibri" w:eastAsia="Calibri" w:hAnsi="Calibri" w:cs="Times New Roman"/>
          <w:b/>
          <w:bCs/>
          <w:color w:val="00188F"/>
          <w:sz w:val="18"/>
        </w:rPr>
        <w:t xml:space="preserve">Następujące Poziomy Usługi i Środki na Używanie Usług mogą być wykorzystane przez klienta dla Microsoft </w:t>
      </w:r>
      <w:proofErr w:type="spellStart"/>
      <w:r>
        <w:rPr>
          <w:rFonts w:ascii="Calibri" w:eastAsia="Calibri" w:hAnsi="Calibri" w:cs="Times New Roman"/>
          <w:b/>
          <w:bCs/>
          <w:color w:val="00188F"/>
          <w:sz w:val="18"/>
        </w:rPr>
        <w:t>Playwright</w:t>
      </w:r>
      <w:proofErr w:type="spellEnd"/>
      <w:r>
        <w:rPr>
          <w:rFonts w:ascii="Calibri" w:eastAsia="Calibri" w:hAnsi="Calibri" w:cs="Times New Roman"/>
          <w:b/>
          <w:bCs/>
          <w:color w:val="00188F"/>
          <w:sz w:val="18"/>
        </w:rPr>
        <w:t xml:space="preserve"> </w:t>
      </w:r>
      <w:proofErr w:type="spellStart"/>
      <w:r>
        <w:rPr>
          <w:rFonts w:ascii="Calibri" w:eastAsia="Calibri" w:hAnsi="Calibri" w:cs="Times New Roman"/>
          <w:b/>
          <w:bCs/>
          <w:color w:val="00188F"/>
          <w:sz w:val="18"/>
        </w:rPr>
        <w:t>Testing</w:t>
      </w:r>
      <w:proofErr w:type="spellEnd"/>
      <w:r>
        <w:rPr>
          <w:rFonts w:ascii="Calibri" w:eastAsia="Calibri" w:hAnsi="Calibri" w:cs="Times New Roman"/>
          <w:b/>
          <w:bCs/>
          <w:color w:val="00188F"/>
          <w:sz w:val="18"/>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745907" w:rsidRPr="00FD37EB" w14:paraId="1EC91FBD" w14:textId="77777777" w:rsidTr="00C412BD">
        <w:trPr>
          <w:trHeight w:val="249"/>
          <w:tblHeader/>
        </w:trPr>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06FE7BB9" w14:textId="77777777" w:rsidR="00745907" w:rsidRPr="00FD37EB" w:rsidRDefault="00745907"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Procent Czasu Sprawnego Działania</w:t>
            </w:r>
          </w:p>
        </w:tc>
        <w:tc>
          <w:tcPr>
            <w:tcW w:w="5400" w:type="dxa"/>
            <w:tcBorders>
              <w:top w:val="single" w:sz="4" w:space="0" w:color="000000"/>
              <w:left w:val="single" w:sz="4" w:space="0" w:color="000000"/>
              <w:bottom w:val="single" w:sz="4" w:space="0" w:color="000000"/>
              <w:right w:val="single" w:sz="4" w:space="0" w:color="000000"/>
            </w:tcBorders>
            <w:shd w:val="clear" w:color="auto" w:fill="0072C6"/>
            <w:hideMark/>
          </w:tcPr>
          <w:p w14:paraId="6BDD2B0A" w14:textId="77777777" w:rsidR="00745907" w:rsidRPr="00FD37EB" w:rsidRDefault="00745907" w:rsidP="00C412BD">
            <w:pPr>
              <w:tabs>
                <w:tab w:val="left" w:pos="360"/>
                <w:tab w:val="left" w:pos="720"/>
                <w:tab w:val="left" w:pos="1080"/>
              </w:tabs>
              <w:spacing w:before="20" w:after="20" w:line="252" w:lineRule="auto"/>
              <w:ind w:left="-14" w:right="-101"/>
              <w:jc w:val="center"/>
              <w:rPr>
                <w:rFonts w:ascii="Calibri" w:eastAsia="Calibri" w:hAnsi="Calibri" w:cs="Times New Roman"/>
                <w:color w:val="FFFFFF"/>
                <w:sz w:val="16"/>
              </w:rPr>
            </w:pPr>
            <w:r>
              <w:rPr>
                <w:rFonts w:ascii="Calibri" w:eastAsia="Calibri" w:hAnsi="Calibri" w:cs="Times New Roman"/>
                <w:color w:val="FFFFFF"/>
                <w:sz w:val="16"/>
              </w:rPr>
              <w:t>Środki na Używanie Usług</w:t>
            </w:r>
          </w:p>
        </w:tc>
      </w:tr>
      <w:tr w:rsidR="00745907" w:rsidRPr="00FD37EB" w14:paraId="186E321B" w14:textId="77777777" w:rsidTr="00C412BD">
        <w:trPr>
          <w:trHeight w:val="242"/>
        </w:trPr>
        <w:tc>
          <w:tcPr>
            <w:tcW w:w="5400" w:type="dxa"/>
            <w:tcBorders>
              <w:top w:val="single" w:sz="4" w:space="0" w:color="000000"/>
              <w:left w:val="single" w:sz="4" w:space="0" w:color="000000"/>
              <w:bottom w:val="single" w:sz="4" w:space="0" w:color="000000"/>
              <w:right w:val="single" w:sz="4" w:space="0" w:color="000000"/>
            </w:tcBorders>
            <w:hideMark/>
          </w:tcPr>
          <w:p w14:paraId="24D347F0" w14:textId="77777777" w:rsidR="00745907" w:rsidRPr="00FD37EB" w:rsidRDefault="007459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99,9%</w:t>
            </w:r>
          </w:p>
        </w:tc>
        <w:tc>
          <w:tcPr>
            <w:tcW w:w="5400" w:type="dxa"/>
            <w:tcBorders>
              <w:top w:val="single" w:sz="4" w:space="0" w:color="000000"/>
              <w:left w:val="single" w:sz="4" w:space="0" w:color="000000"/>
              <w:bottom w:val="single" w:sz="4" w:space="0" w:color="000000"/>
              <w:right w:val="single" w:sz="4" w:space="0" w:color="000000"/>
            </w:tcBorders>
            <w:hideMark/>
          </w:tcPr>
          <w:p w14:paraId="587B9774" w14:textId="77777777" w:rsidR="00745907" w:rsidRPr="00FD37EB" w:rsidRDefault="007459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10%</w:t>
            </w:r>
          </w:p>
        </w:tc>
      </w:tr>
      <w:tr w:rsidR="00745907" w:rsidRPr="00FD37EB" w14:paraId="31122FE8" w14:textId="77777777" w:rsidTr="00C412BD">
        <w:trPr>
          <w:trHeight w:val="249"/>
        </w:trPr>
        <w:tc>
          <w:tcPr>
            <w:tcW w:w="5400" w:type="dxa"/>
            <w:tcBorders>
              <w:top w:val="single" w:sz="4" w:space="0" w:color="000000"/>
              <w:left w:val="single" w:sz="4" w:space="0" w:color="000000"/>
              <w:bottom w:val="single" w:sz="4" w:space="0" w:color="000000"/>
              <w:right w:val="single" w:sz="4" w:space="0" w:color="000000"/>
            </w:tcBorders>
            <w:hideMark/>
          </w:tcPr>
          <w:p w14:paraId="5684FE0A" w14:textId="77777777" w:rsidR="00745907" w:rsidRPr="00FD37EB" w:rsidRDefault="007459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&lt; 99%</w:t>
            </w:r>
          </w:p>
        </w:tc>
        <w:tc>
          <w:tcPr>
            <w:tcW w:w="5400" w:type="dxa"/>
            <w:tcBorders>
              <w:top w:val="single" w:sz="4" w:space="0" w:color="000000"/>
              <w:left w:val="single" w:sz="4" w:space="0" w:color="000000"/>
              <w:bottom w:val="single" w:sz="4" w:space="0" w:color="000000"/>
              <w:right w:val="single" w:sz="4" w:space="0" w:color="000000"/>
            </w:tcBorders>
            <w:hideMark/>
          </w:tcPr>
          <w:p w14:paraId="4712A35E" w14:textId="77777777" w:rsidR="00745907" w:rsidRPr="00FD37EB" w:rsidRDefault="00745907" w:rsidP="00C412BD">
            <w:pPr>
              <w:tabs>
                <w:tab w:val="left" w:pos="360"/>
                <w:tab w:val="left" w:pos="720"/>
                <w:tab w:val="left" w:pos="1080"/>
              </w:tabs>
              <w:spacing w:before="20" w:after="20" w:line="252" w:lineRule="auto"/>
              <w:ind w:left="-14" w:right="-101"/>
              <w:jc w:val="center"/>
              <w:rPr>
                <w:rFonts w:ascii="Calibri" w:eastAsia="Calibri" w:hAnsi="Calibri" w:cs="Times New Roman"/>
                <w:sz w:val="16"/>
              </w:rPr>
            </w:pPr>
            <w:r>
              <w:rPr>
                <w:rFonts w:ascii="Calibri" w:eastAsia="Calibri" w:hAnsi="Calibri" w:cs="Times New Roman"/>
                <w:sz w:val="16"/>
              </w:rPr>
              <w:t>25%</w:t>
            </w:r>
          </w:p>
        </w:tc>
      </w:tr>
    </w:tbl>
    <w:p w14:paraId="6EB8E4A4" w14:textId="77777777" w:rsidR="008D2130" w:rsidRPr="00C84B0F" w:rsidRDefault="008D2130" w:rsidP="008D2130">
      <w:pPr>
        <w:pStyle w:val="ProductList-Body"/>
        <w:shd w:val="clear" w:color="auto" w:fill="808080" w:themeFill="background1" w:themeFillShade="80"/>
        <w:tabs>
          <w:tab w:val="clear" w:pos="360"/>
          <w:tab w:val="clear" w:pos="720"/>
          <w:tab w:val="clear" w:pos="1080"/>
        </w:tabs>
        <w:spacing w:before="120" w:after="240"/>
        <w:jc w:val="right"/>
        <w:rPr>
          <w:sz w:val="16"/>
          <w:szCs w:val="16"/>
          <w:lang w:val="it-IT"/>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95B2E84" w14:textId="772A7038" w:rsidR="00995A2A" w:rsidRPr="00C84B0F" w:rsidRDefault="00995A2A" w:rsidP="00995A2A">
      <w:pPr>
        <w:pStyle w:val="ProductList-Offering2Heading"/>
        <w:keepNext/>
        <w:tabs>
          <w:tab w:val="clear" w:pos="360"/>
          <w:tab w:val="clear" w:pos="720"/>
          <w:tab w:val="clear" w:pos="1080"/>
        </w:tabs>
        <w:outlineLvl w:val="2"/>
        <w:rPr>
          <w:lang w:val="it-IT"/>
        </w:rPr>
      </w:pPr>
      <w:bookmarkStart w:id="374" w:name="_Toc239175057"/>
      <w:r w:rsidRPr="00C84B0F">
        <w:rPr>
          <w:lang w:val="it-IT"/>
        </w:rPr>
        <w:t>Azure Private Link</w:t>
      </w:r>
      <w:bookmarkEnd w:id="374"/>
    </w:p>
    <w:p w14:paraId="4A145F82" w14:textId="77777777" w:rsidR="00995A2A" w:rsidRPr="00995A2A" w:rsidRDefault="00995A2A" w:rsidP="00995A2A">
      <w:pPr>
        <w:pStyle w:val="ProductList-Body"/>
        <w:rPr>
          <w:b/>
          <w:bCs/>
          <w:color w:val="00188F"/>
        </w:rPr>
      </w:pPr>
      <w:r>
        <w:rPr>
          <w:b/>
          <w:bCs/>
          <w:color w:val="00188F"/>
        </w:rPr>
        <w:t>Dodatkowe definicje</w:t>
      </w:r>
    </w:p>
    <w:p w14:paraId="0AA0EB1A" w14:textId="77777777" w:rsidR="00995A2A" w:rsidRPr="00D011AB" w:rsidRDefault="00995A2A" w:rsidP="003B6EF7">
      <w:pPr>
        <w:pStyle w:val="ProductList-Body"/>
        <w:rPr>
          <w:szCs w:val="18"/>
        </w:rPr>
      </w:pPr>
      <w:r w:rsidRPr="00D011AB">
        <w:rPr>
          <w:szCs w:val="18"/>
        </w:rPr>
        <w:t>„</w:t>
      </w:r>
      <w:r w:rsidRPr="00D011AB">
        <w:rPr>
          <w:b/>
          <w:bCs/>
          <w:color w:val="00188F"/>
          <w:szCs w:val="18"/>
        </w:rPr>
        <w:t xml:space="preserve">Usługa Obsługująca </w:t>
      </w:r>
      <w:proofErr w:type="spellStart"/>
      <w:r w:rsidRPr="00D011AB">
        <w:rPr>
          <w:b/>
          <w:bCs/>
          <w:color w:val="00188F"/>
          <w:szCs w:val="18"/>
        </w:rPr>
        <w:t>Azure</w:t>
      </w:r>
      <w:proofErr w:type="spellEnd"/>
      <w:r w:rsidRPr="00D011AB">
        <w:rPr>
          <w:b/>
          <w:bCs/>
          <w:color w:val="00188F"/>
          <w:szCs w:val="18"/>
        </w:rPr>
        <w:t xml:space="preserve"> </w:t>
      </w:r>
      <w:proofErr w:type="spellStart"/>
      <w:r w:rsidRPr="00D011AB">
        <w:rPr>
          <w:b/>
          <w:bCs/>
          <w:color w:val="00188F"/>
          <w:szCs w:val="18"/>
        </w:rPr>
        <w:t>Private</w:t>
      </w:r>
      <w:proofErr w:type="spellEnd"/>
      <w:r w:rsidRPr="00D011AB">
        <w:rPr>
          <w:b/>
          <w:bCs/>
          <w:color w:val="00188F"/>
          <w:szCs w:val="18"/>
        </w:rPr>
        <w:t xml:space="preserve"> Link</w:t>
      </w:r>
      <w:r w:rsidRPr="00D011AB">
        <w:rPr>
          <w:szCs w:val="18"/>
        </w:rPr>
        <w:t xml:space="preserve">” to odniesienie do usługi Użytkownika włączonej dla usługi </w:t>
      </w:r>
      <w:proofErr w:type="spellStart"/>
      <w:r w:rsidRPr="00D011AB">
        <w:rPr>
          <w:szCs w:val="18"/>
        </w:rPr>
        <w:t>Azure</w:t>
      </w:r>
      <w:proofErr w:type="spellEnd"/>
      <w:r w:rsidRPr="00D011AB">
        <w:rPr>
          <w:szCs w:val="18"/>
        </w:rPr>
        <w:t xml:space="preserve"> </w:t>
      </w:r>
      <w:proofErr w:type="spellStart"/>
      <w:r w:rsidRPr="00D011AB">
        <w:rPr>
          <w:szCs w:val="18"/>
        </w:rPr>
        <w:t>Private</w:t>
      </w:r>
      <w:proofErr w:type="spellEnd"/>
      <w:r w:rsidRPr="00D011AB">
        <w:rPr>
          <w:szCs w:val="18"/>
        </w:rPr>
        <w:t xml:space="preserve"> Link i wdrożonej w ramach własnej sieci wirtualnej Użytkownika.</w:t>
      </w:r>
    </w:p>
    <w:p w14:paraId="612ECF73" w14:textId="77777777" w:rsidR="00995A2A" w:rsidRPr="00D011AB" w:rsidRDefault="00995A2A" w:rsidP="003B6EF7">
      <w:pPr>
        <w:pStyle w:val="ProductList-Body"/>
        <w:rPr>
          <w:szCs w:val="18"/>
        </w:rPr>
      </w:pPr>
      <w:r w:rsidRPr="00D011AB">
        <w:rPr>
          <w:szCs w:val="18"/>
        </w:rPr>
        <w:t>„</w:t>
      </w:r>
      <w:r w:rsidRPr="00D011AB">
        <w:rPr>
          <w:b/>
          <w:bCs/>
          <w:color w:val="00188F"/>
          <w:szCs w:val="18"/>
        </w:rPr>
        <w:t xml:space="preserve">Prywatny Punkt Końcowy </w:t>
      </w:r>
      <w:proofErr w:type="spellStart"/>
      <w:r w:rsidRPr="00D011AB">
        <w:rPr>
          <w:b/>
          <w:bCs/>
          <w:color w:val="00188F"/>
          <w:szCs w:val="18"/>
        </w:rPr>
        <w:t>Azure</w:t>
      </w:r>
      <w:proofErr w:type="spellEnd"/>
      <w:r w:rsidRPr="00D011AB">
        <w:rPr>
          <w:szCs w:val="18"/>
        </w:rPr>
        <w:t xml:space="preserve">” to interfejs sieciowy łączący usługę Użytkownika obsługującą usługę </w:t>
      </w:r>
      <w:proofErr w:type="spellStart"/>
      <w:r w:rsidRPr="00D011AB">
        <w:rPr>
          <w:szCs w:val="18"/>
        </w:rPr>
        <w:t>Azure</w:t>
      </w:r>
      <w:proofErr w:type="spellEnd"/>
      <w:r w:rsidRPr="00D011AB">
        <w:rPr>
          <w:szCs w:val="18"/>
        </w:rPr>
        <w:t xml:space="preserve"> </w:t>
      </w:r>
      <w:proofErr w:type="spellStart"/>
      <w:r w:rsidRPr="00D011AB">
        <w:rPr>
          <w:szCs w:val="18"/>
        </w:rPr>
        <w:t>Private</w:t>
      </w:r>
      <w:proofErr w:type="spellEnd"/>
      <w:r w:rsidRPr="00D011AB">
        <w:rPr>
          <w:szCs w:val="18"/>
        </w:rPr>
        <w:t xml:space="preserve"> Link z prywatnym adresem IP w sieci wirtualnej Użytkownika.</w:t>
      </w:r>
    </w:p>
    <w:p w14:paraId="3AC93B4D" w14:textId="45542685" w:rsidR="00995A2A" w:rsidRPr="00D011AB" w:rsidRDefault="00EE6E3C" w:rsidP="00A57C32">
      <w:pPr>
        <w:pStyle w:val="ProductList-Body"/>
        <w:rPr>
          <w:b/>
          <w:bCs/>
          <w:color w:val="00188F"/>
          <w:szCs w:val="18"/>
        </w:rPr>
      </w:pPr>
      <w:r w:rsidRPr="00D011AB">
        <w:rPr>
          <w:b/>
          <w:bCs/>
          <w:color w:val="00188F"/>
          <w:szCs w:val="18"/>
        </w:rPr>
        <w:t>Obliczanie Czasu Sprawnego Działania</w:t>
      </w:r>
    </w:p>
    <w:p w14:paraId="54F4DAFA" w14:textId="48568F90" w:rsidR="00995A2A" w:rsidRPr="00D011AB" w:rsidRDefault="00995A2A" w:rsidP="00995A2A">
      <w:pPr>
        <w:pStyle w:val="ProductList-Body"/>
        <w:rPr>
          <w:szCs w:val="18"/>
        </w:rPr>
      </w:pPr>
      <w:r w:rsidRPr="00D011AB">
        <w:rPr>
          <w:szCs w:val="18"/>
        </w:rPr>
        <w:t>„</w:t>
      </w:r>
      <w:r w:rsidRPr="00D011AB">
        <w:rPr>
          <w:b/>
          <w:bCs/>
          <w:color w:val="00188F"/>
          <w:szCs w:val="18"/>
        </w:rPr>
        <w:t>Maksymalna Liczba Dostępnych Minut</w:t>
      </w:r>
      <w:r w:rsidRPr="00D011AB">
        <w:rPr>
          <w:szCs w:val="18"/>
        </w:rPr>
        <w:t xml:space="preserve">” to łączna zakumulowana liczba minut we Właściwym Okresie, podczas których w ramach subskrypcji Microsoft </w:t>
      </w:r>
      <w:proofErr w:type="spellStart"/>
      <w:r w:rsidRPr="00D011AB">
        <w:rPr>
          <w:szCs w:val="18"/>
        </w:rPr>
        <w:t>Azure</w:t>
      </w:r>
      <w:proofErr w:type="spellEnd"/>
      <w:r w:rsidRPr="00D011AB">
        <w:rPr>
          <w:szCs w:val="18"/>
        </w:rPr>
        <w:t xml:space="preserve"> wdrożona była Usługa </w:t>
      </w:r>
      <w:proofErr w:type="spellStart"/>
      <w:r w:rsidRPr="00D011AB">
        <w:rPr>
          <w:szCs w:val="18"/>
        </w:rPr>
        <w:t>Azure</w:t>
      </w:r>
      <w:proofErr w:type="spellEnd"/>
      <w:r w:rsidRPr="00D011AB">
        <w:rPr>
          <w:szCs w:val="18"/>
        </w:rPr>
        <w:t xml:space="preserve"> </w:t>
      </w:r>
      <w:proofErr w:type="spellStart"/>
      <w:r w:rsidRPr="00D011AB">
        <w:rPr>
          <w:szCs w:val="18"/>
        </w:rPr>
        <w:t>Private</w:t>
      </w:r>
      <w:proofErr w:type="spellEnd"/>
      <w:r w:rsidRPr="00D011AB">
        <w:rPr>
          <w:szCs w:val="18"/>
        </w:rPr>
        <w:t xml:space="preserve"> Link lub wdrożony był Prywatny Punkt Końcowy </w:t>
      </w:r>
      <w:proofErr w:type="spellStart"/>
      <w:r w:rsidRPr="00D011AB">
        <w:rPr>
          <w:szCs w:val="18"/>
        </w:rPr>
        <w:t>Azure</w:t>
      </w:r>
      <w:proofErr w:type="spellEnd"/>
      <w:r w:rsidRPr="00D011AB">
        <w:rPr>
          <w:szCs w:val="18"/>
        </w:rPr>
        <w:t>.</w:t>
      </w:r>
    </w:p>
    <w:p w14:paraId="16DCB845" w14:textId="61892306" w:rsidR="00995A2A" w:rsidRPr="00D011AB" w:rsidRDefault="00995A2A" w:rsidP="00995A2A">
      <w:pPr>
        <w:pStyle w:val="ProductList-Body"/>
        <w:rPr>
          <w:szCs w:val="18"/>
        </w:rPr>
      </w:pPr>
      <w:r w:rsidRPr="00D011AB">
        <w:rPr>
          <w:szCs w:val="18"/>
        </w:rPr>
        <w:t>„</w:t>
      </w:r>
      <w:r w:rsidRPr="00D011AB">
        <w:rPr>
          <w:b/>
          <w:bCs/>
          <w:color w:val="00188F"/>
          <w:szCs w:val="18"/>
        </w:rPr>
        <w:t>Przestój</w:t>
      </w:r>
      <w:r w:rsidR="00D011AB" w:rsidRPr="00D011AB">
        <w:rPr>
          <w:szCs w:val="18"/>
        </w:rPr>
        <w:t>”</w:t>
      </w:r>
      <w:r w:rsidRPr="00D011AB">
        <w:rPr>
          <w:szCs w:val="18"/>
        </w:rPr>
        <w:t xml:space="preserve"> to łączna zakumulowana Maksymalna Liczba Dostępnych Minut we Właściwym Okresie dla danej Usługi </w:t>
      </w:r>
      <w:proofErr w:type="spellStart"/>
      <w:r w:rsidRPr="00D011AB">
        <w:rPr>
          <w:szCs w:val="18"/>
        </w:rPr>
        <w:t>Azure</w:t>
      </w:r>
      <w:proofErr w:type="spellEnd"/>
      <w:r w:rsidRPr="00D011AB">
        <w:rPr>
          <w:szCs w:val="18"/>
        </w:rPr>
        <w:t xml:space="preserve"> </w:t>
      </w:r>
      <w:proofErr w:type="spellStart"/>
      <w:r w:rsidRPr="00D011AB">
        <w:rPr>
          <w:szCs w:val="18"/>
        </w:rPr>
        <w:t>Private</w:t>
      </w:r>
      <w:proofErr w:type="spellEnd"/>
      <w:r w:rsidRPr="00D011AB">
        <w:rPr>
          <w:szCs w:val="18"/>
        </w:rPr>
        <w:t xml:space="preserve"> Link lub dla danego Prywatnego Punktu Końcowego </w:t>
      </w:r>
      <w:proofErr w:type="spellStart"/>
      <w:r w:rsidRPr="00D011AB">
        <w:rPr>
          <w:szCs w:val="18"/>
        </w:rPr>
        <w:t>Azure</w:t>
      </w:r>
      <w:proofErr w:type="spellEnd"/>
      <w:r w:rsidRPr="00D011AB">
        <w:rPr>
          <w:szCs w:val="18"/>
        </w:rPr>
        <w:t xml:space="preserve">, podczas których Usługa </w:t>
      </w:r>
      <w:proofErr w:type="spellStart"/>
      <w:r w:rsidRPr="00D011AB">
        <w:rPr>
          <w:szCs w:val="18"/>
        </w:rPr>
        <w:t>Azure</w:t>
      </w:r>
      <w:proofErr w:type="spellEnd"/>
      <w:r w:rsidRPr="00D011AB">
        <w:rPr>
          <w:szCs w:val="18"/>
        </w:rPr>
        <w:t xml:space="preserve"> </w:t>
      </w:r>
      <w:proofErr w:type="spellStart"/>
      <w:r w:rsidRPr="00D011AB">
        <w:rPr>
          <w:szCs w:val="18"/>
        </w:rPr>
        <w:t>Private</w:t>
      </w:r>
      <w:proofErr w:type="spellEnd"/>
      <w:r w:rsidRPr="00D011AB">
        <w:rPr>
          <w:szCs w:val="18"/>
        </w:rPr>
        <w:t xml:space="preserve"> Link lub Prywatny Punkt Końcowy </w:t>
      </w:r>
      <w:proofErr w:type="spellStart"/>
      <w:r w:rsidRPr="00D011AB">
        <w:rPr>
          <w:szCs w:val="18"/>
        </w:rPr>
        <w:t>Azure</w:t>
      </w:r>
      <w:proofErr w:type="spellEnd"/>
      <w:r w:rsidRPr="00D011AB">
        <w:rPr>
          <w:szCs w:val="18"/>
        </w:rPr>
        <w:t xml:space="preserve"> były niedostępne. Minuta jest uznawana za minutę niedostępności, jeśli wszystkie próby nawiązania łączności za pośrednictwem Prywatnego Punktu Końcowego </w:t>
      </w:r>
      <w:proofErr w:type="spellStart"/>
      <w:r w:rsidRPr="00D011AB">
        <w:rPr>
          <w:szCs w:val="18"/>
        </w:rPr>
        <w:t>Azure</w:t>
      </w:r>
      <w:proofErr w:type="spellEnd"/>
      <w:r w:rsidRPr="00D011AB">
        <w:rPr>
          <w:szCs w:val="18"/>
        </w:rPr>
        <w:t xml:space="preserve"> podejmowane w trakcie tej minuty kończą się niepowodzeniem.</w:t>
      </w:r>
    </w:p>
    <w:p w14:paraId="1181CDBC" w14:textId="65E9D889" w:rsidR="00995A2A" w:rsidRPr="00D011AB" w:rsidRDefault="00995A2A" w:rsidP="00995A2A">
      <w:pPr>
        <w:pStyle w:val="ProductList-Body"/>
        <w:rPr>
          <w:szCs w:val="18"/>
        </w:rPr>
      </w:pPr>
      <w:r w:rsidRPr="00D011AB">
        <w:rPr>
          <w:szCs w:val="18"/>
        </w:rPr>
        <w:t>„</w:t>
      </w:r>
      <w:r w:rsidRPr="00D011AB">
        <w:rPr>
          <w:b/>
          <w:bCs/>
          <w:color w:val="00188F"/>
          <w:szCs w:val="18"/>
        </w:rPr>
        <w:t>Procent Czasu Sprawnego Działania</w:t>
      </w:r>
      <w:r w:rsidRPr="00D011AB">
        <w:rPr>
          <w:szCs w:val="18"/>
        </w:rPr>
        <w:t>” jest obliczany przy użyciu następującego wzoru:</w:t>
      </w:r>
    </w:p>
    <w:p w14:paraId="7F689305" w14:textId="1E581084" w:rsidR="00995A2A" w:rsidRPr="00EF7CF9" w:rsidRDefault="00000000" w:rsidP="00A57C3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995A2A" w:rsidRPr="00B44CF9" w14:paraId="42380E04" w14:textId="77777777" w:rsidTr="00277097">
        <w:trPr>
          <w:tblHeader/>
        </w:trPr>
        <w:tc>
          <w:tcPr>
            <w:tcW w:w="5400" w:type="dxa"/>
            <w:shd w:val="clear" w:color="auto" w:fill="0072C6"/>
          </w:tcPr>
          <w:p w14:paraId="704BCFAA" w14:textId="5724F4E2" w:rsidR="00995A2A"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76AAB3D" w14:textId="77777777" w:rsidR="00995A2A" w:rsidRPr="005A3C16" w:rsidRDefault="00995A2A" w:rsidP="000F31B4">
            <w:pPr>
              <w:pStyle w:val="ProductList-OfferingBody"/>
              <w:jc w:val="center"/>
              <w:rPr>
                <w:color w:val="FFFFFF" w:themeColor="background1"/>
              </w:rPr>
            </w:pPr>
            <w:r>
              <w:rPr>
                <w:color w:val="FFFFFF" w:themeColor="background1"/>
              </w:rPr>
              <w:t>Środki Serwisowe na Używanie Usług</w:t>
            </w:r>
          </w:p>
        </w:tc>
      </w:tr>
      <w:tr w:rsidR="00995A2A" w:rsidRPr="00B44CF9" w14:paraId="4B4F241F" w14:textId="77777777" w:rsidTr="00277097">
        <w:tc>
          <w:tcPr>
            <w:tcW w:w="5400" w:type="dxa"/>
          </w:tcPr>
          <w:p w14:paraId="7B7E7489" w14:textId="40A57C82" w:rsidR="00995A2A" w:rsidRPr="005A3C16" w:rsidRDefault="00995A2A" w:rsidP="000F31B4">
            <w:pPr>
              <w:pStyle w:val="ProductList-OfferingBody"/>
              <w:jc w:val="center"/>
            </w:pPr>
            <w:r>
              <w:t>&lt; 99,99%</w:t>
            </w:r>
          </w:p>
        </w:tc>
        <w:tc>
          <w:tcPr>
            <w:tcW w:w="5400" w:type="dxa"/>
          </w:tcPr>
          <w:p w14:paraId="3D4997BE" w14:textId="77777777" w:rsidR="00995A2A" w:rsidRPr="005A3C16" w:rsidRDefault="00995A2A" w:rsidP="000F31B4">
            <w:pPr>
              <w:pStyle w:val="ProductList-OfferingBody"/>
              <w:jc w:val="center"/>
            </w:pPr>
            <w:r>
              <w:t>10%</w:t>
            </w:r>
          </w:p>
        </w:tc>
      </w:tr>
      <w:tr w:rsidR="00995A2A" w:rsidRPr="00B44CF9" w14:paraId="26F40E8F" w14:textId="77777777" w:rsidTr="00277097">
        <w:tc>
          <w:tcPr>
            <w:tcW w:w="5400" w:type="dxa"/>
          </w:tcPr>
          <w:p w14:paraId="362999C5" w14:textId="77777777" w:rsidR="00995A2A" w:rsidRPr="005A3C16" w:rsidRDefault="00995A2A" w:rsidP="000F31B4">
            <w:pPr>
              <w:pStyle w:val="ProductList-OfferingBody"/>
              <w:jc w:val="center"/>
            </w:pPr>
            <w:r>
              <w:t>&lt; 99%</w:t>
            </w:r>
          </w:p>
        </w:tc>
        <w:tc>
          <w:tcPr>
            <w:tcW w:w="5400" w:type="dxa"/>
          </w:tcPr>
          <w:p w14:paraId="74FCF29B" w14:textId="77777777" w:rsidR="00995A2A" w:rsidRPr="005A3C16" w:rsidRDefault="00995A2A" w:rsidP="000F31B4">
            <w:pPr>
              <w:pStyle w:val="ProductList-OfferingBody"/>
              <w:jc w:val="center"/>
            </w:pPr>
            <w:r>
              <w:t>25%</w:t>
            </w:r>
          </w:p>
        </w:tc>
      </w:tr>
    </w:tbl>
    <w:p w14:paraId="3E89A26A" w14:textId="0130CEEB" w:rsidR="00256320" w:rsidRPr="00EF7CF9" w:rsidRDefault="00C71F89" w:rsidP="0025632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1807CB1" w14:textId="77777777" w:rsidR="00FC1DF8" w:rsidRDefault="00FC1DF8" w:rsidP="00D84948">
      <w:pPr>
        <w:pStyle w:val="ProductList-Offering2Heading"/>
        <w:keepNext/>
        <w:pageBreakBefore/>
        <w:tabs>
          <w:tab w:val="clear" w:pos="360"/>
        </w:tabs>
        <w:outlineLvl w:val="2"/>
      </w:pPr>
      <w:bookmarkStart w:id="375" w:name="_Toc239175058"/>
      <w:r>
        <w:t xml:space="preserve">Microsoft </w:t>
      </w:r>
      <w:proofErr w:type="spellStart"/>
      <w:r>
        <w:t>Purview</w:t>
      </w:r>
      <w:bookmarkEnd w:id="375"/>
      <w:proofErr w:type="spellEnd"/>
    </w:p>
    <w:p w14:paraId="293C6207" w14:textId="77777777" w:rsidR="00FC1DF8" w:rsidRDefault="00FC1DF8" w:rsidP="00FC1DF8">
      <w:pPr>
        <w:pStyle w:val="ProductList-Body"/>
        <w:rPr>
          <w:b/>
          <w:color w:val="00188F"/>
        </w:rPr>
      </w:pPr>
      <w:r>
        <w:rPr>
          <w:b/>
          <w:color w:val="00188F"/>
        </w:rPr>
        <w:t>Dodatkowe definicje</w:t>
      </w:r>
      <w:r w:rsidRPr="0034704E">
        <w:rPr>
          <w:b/>
          <w:color w:val="00188F"/>
        </w:rPr>
        <w:t>:</w:t>
      </w:r>
    </w:p>
    <w:p w14:paraId="0C896436" w14:textId="29D34170" w:rsidR="00FC1DF8" w:rsidRDefault="00FC1DF8" w:rsidP="00D84948">
      <w:pPr>
        <w:pStyle w:val="ProductList-Body"/>
      </w:pPr>
      <w:r>
        <w:t>„</w:t>
      </w:r>
      <w:r>
        <w:rPr>
          <w:b/>
          <w:color w:val="00188F"/>
        </w:rPr>
        <w:t>Łączna Liczba Żądań</w:t>
      </w:r>
      <w:r w:rsidR="00D011AB" w:rsidRPr="00D011AB">
        <w:t xml:space="preserve">” </w:t>
      </w:r>
      <w:r>
        <w:t xml:space="preserve">to zbiór wszystkich uwierzytelnionych żądań interfejsu API (innych niż Żądania Nieuwzględnione) mających na celu wykonanie operacji usługi Microsoft </w:t>
      </w:r>
      <w:proofErr w:type="spellStart"/>
      <w:r>
        <w:t>Purview</w:t>
      </w:r>
      <w:proofErr w:type="spellEnd"/>
      <w:r>
        <w:t xml:space="preserve"> dla danej subskrypcji Microsoft </w:t>
      </w:r>
      <w:proofErr w:type="spellStart"/>
      <w:r>
        <w:t>Azure</w:t>
      </w:r>
      <w:proofErr w:type="spellEnd"/>
      <w:r>
        <w:t xml:space="preserve"> we Właściwym Okresie.</w:t>
      </w:r>
    </w:p>
    <w:p w14:paraId="0DD631E7" w14:textId="77777777" w:rsidR="00FC1DF8" w:rsidRDefault="00FC1DF8" w:rsidP="00D84948">
      <w:pPr>
        <w:pStyle w:val="ProductList-Body"/>
      </w:pPr>
      <w:r>
        <w:t>„</w:t>
      </w:r>
      <w:r>
        <w:rPr>
          <w:b/>
          <w:color w:val="00188F"/>
        </w:rPr>
        <w:t>Żądania Nieuwzględnione</w:t>
      </w:r>
      <w:r>
        <w:t>” to zbiór żądań zwracających kod stanu HTTP 4xx.</w:t>
      </w:r>
    </w:p>
    <w:p w14:paraId="6D452CED" w14:textId="77777777" w:rsidR="00FC1DF8" w:rsidRDefault="00FC1DF8" w:rsidP="00D84948">
      <w:pPr>
        <w:pStyle w:val="ProductList-Body"/>
      </w:pPr>
      <w:r>
        <w:t>„</w:t>
      </w:r>
      <w:r>
        <w:rPr>
          <w:b/>
          <w:color w:val="00188F"/>
        </w:rPr>
        <w:t>Transakcje Zakończone Niepowodzeniem</w:t>
      </w:r>
      <w:r>
        <w:t>” to zbiór wszystkich żądań w ramach Łącznej Liczby Żądań, które zwracają Kod Błędu.</w:t>
      </w:r>
    </w:p>
    <w:p w14:paraId="11D98147" w14:textId="6956500E" w:rsidR="00FC1DF8" w:rsidRDefault="00FC1DF8" w:rsidP="00D84948">
      <w:pPr>
        <w:pStyle w:val="ProductList-Body"/>
      </w:pPr>
      <w:r>
        <w:t>„</w:t>
      </w:r>
      <w:r>
        <w:rPr>
          <w:b/>
          <w:color w:val="00188F"/>
        </w:rPr>
        <w:t>Procent Czasu Sprawnego Działania</w:t>
      </w:r>
      <w:r w:rsidR="00D011AB" w:rsidRPr="00D011AB">
        <w:t>”</w:t>
      </w:r>
      <w:r>
        <w:t xml:space="preserve"> dla </w:t>
      </w:r>
      <w:proofErr w:type="spellStart"/>
      <w:r>
        <w:t>wywołań</w:t>
      </w:r>
      <w:proofErr w:type="spellEnd"/>
      <w:r>
        <w:t xml:space="preserve"> interfejsu API w ramach usługi Microsoft </w:t>
      </w:r>
      <w:proofErr w:type="spellStart"/>
      <w:r>
        <w:t>Purview</w:t>
      </w:r>
      <w:proofErr w:type="spellEnd"/>
      <w:r>
        <w:t xml:space="preserve"> to Łączna Liczba Żądań pomniejszona o</w:t>
      </w:r>
      <w:r w:rsidR="002C6BDF">
        <w:t> </w:t>
      </w:r>
      <w:r>
        <w:t xml:space="preserve">Żądania Zakończone Niepowodzeniem i podzielona przez Łączną Liczbę Żądań we Właściwym Okresie dla danej subskrypcji Microsoft </w:t>
      </w:r>
      <w:proofErr w:type="spellStart"/>
      <w:r>
        <w:t>Azure</w:t>
      </w:r>
      <w:proofErr w:type="spellEnd"/>
      <w:r>
        <w:t>.</w:t>
      </w:r>
    </w:p>
    <w:p w14:paraId="415982E9" w14:textId="0FB71C60" w:rsidR="00FC1DF8" w:rsidRDefault="00AC48A7" w:rsidP="00D84948">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73CFF85B" w14:textId="043756B7" w:rsidR="00FC1DF8" w:rsidRDefault="00000000" w:rsidP="00A57C32">
      <w:pPr>
        <w:pStyle w:val="ListParagraph"/>
        <w:spacing w:before="120" w:after="120" w:line="240" w:lineRule="auto"/>
        <w:contextualSpacing w:val="0"/>
        <w:rPr>
          <w:rFonts w:ascii="Cambria Math" w:hAnsi="Cambria Math" w:cs="Tahoma"/>
          <w:i/>
          <w:sz w:val="12"/>
          <w:szCs w:val="12"/>
        </w:rPr>
      </w:pPr>
      <m:oMathPara>
        <m:oMathParaPr>
          <m:jc m:val="center"/>
        </m:oMathParaPr>
        <m:oMath>
          <m:f>
            <m:fPr>
              <m:ctrlPr>
                <w:rPr>
                  <w:rFonts w:ascii="Cambria Math" w:hAnsi="Cambria Math" w:cs="Tahoma"/>
                  <w:i/>
                  <w:sz w:val="18"/>
                  <w:szCs w:val="18"/>
                </w:rPr>
              </m:ctrlPr>
            </m:fPr>
            <m:num>
              <m:r>
                <m:rPr>
                  <m:nor/>
                </m:rPr>
                <w:rPr>
                  <w:rFonts w:ascii="Cambria Math" w:hAnsi="Cambria Math" w:cs="Tahoma"/>
                  <w:i/>
                  <w:sz w:val="18"/>
                  <w:szCs w:val="18"/>
                </w:rPr>
                <m:t>Łączna Liczba Żądań - Żądania Zakończone Niepowodzeniem</m:t>
              </m:r>
            </m:num>
            <m:den>
              <m:r>
                <m:rPr>
                  <m:nor/>
                </m:rPr>
                <w:rPr>
                  <w:rFonts w:ascii="Cambria Math" w:hAnsi="Cambria Math" w:cs="Tahoma"/>
                  <w:i/>
                  <w:sz w:val="18"/>
                  <w:szCs w:val="18"/>
                </w:rPr>
                <m:t>Łączna Liczba Żądań</m:t>
              </m:r>
            </m:den>
          </m:f>
          <m:r>
            <w:rPr>
              <w:rFonts w:ascii="Cambria Math" w:hAnsi="Cambria Math" w:cs="Tahoma"/>
              <w:sz w:val="18"/>
              <w:szCs w:val="18"/>
            </w:rPr>
            <m:t xml:space="preserve"> x100</m:t>
          </m:r>
        </m:oMath>
      </m:oMathPara>
    </w:p>
    <w:p w14:paraId="0C77AE14" w14:textId="77777777" w:rsidR="00FC1DF8" w:rsidRDefault="00FC1DF8" w:rsidP="00FC1DF8">
      <w:pPr>
        <w:pStyle w:val="ProductList-Body"/>
        <w:spacing w:before="120"/>
      </w:pPr>
      <w:r>
        <w:rPr>
          <w:b/>
          <w:color w:val="00188F"/>
        </w:rPr>
        <w:t xml:space="preserve">Do używania przez Klienta </w:t>
      </w:r>
      <w:proofErr w:type="spellStart"/>
      <w:r>
        <w:rPr>
          <w:b/>
          <w:color w:val="00188F"/>
        </w:rPr>
        <w:t>wywołań</w:t>
      </w:r>
      <w:proofErr w:type="spellEnd"/>
      <w:r>
        <w:rPr>
          <w:b/>
          <w:color w:val="00188F"/>
        </w:rPr>
        <w:t xml:space="preserve"> interfejsu API w ramach usługi Microsoft </w:t>
      </w:r>
      <w:proofErr w:type="spellStart"/>
      <w:r>
        <w:rPr>
          <w:b/>
          <w:color w:val="00188F"/>
        </w:rPr>
        <w:t>Purview</w:t>
      </w:r>
      <w:proofErr w:type="spellEnd"/>
      <w:r>
        <w:rPr>
          <w:b/>
          <w:color w:val="00188F"/>
        </w:rPr>
        <w:t>* mają zastosowanie następujące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C1DF8" w14:paraId="44D8821D" w14:textId="77777777" w:rsidTr="00FC1DF8">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665DE1D9" w14:textId="7EC840B3" w:rsidR="00FC1DF8" w:rsidRDefault="00AC48A7">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AAE1E98" w14:textId="77777777" w:rsidR="00FC1DF8" w:rsidRDefault="00FC1DF8">
            <w:pPr>
              <w:pStyle w:val="ProductList-OfferingBody"/>
              <w:spacing w:line="256" w:lineRule="auto"/>
              <w:jc w:val="center"/>
              <w:rPr>
                <w:color w:val="FFFFFF" w:themeColor="background1"/>
                <w:kern w:val="2"/>
                <w14:ligatures w14:val="standardContextual"/>
              </w:rPr>
            </w:pPr>
            <w:r>
              <w:rPr>
                <w:color w:val="FFFFFF" w:themeColor="background1"/>
                <w14:ligatures w14:val="standardContextual"/>
              </w:rPr>
              <w:t>Środki Serwisowe na Używanie Usług</w:t>
            </w:r>
          </w:p>
        </w:tc>
      </w:tr>
      <w:tr w:rsidR="00FC1DF8" w14:paraId="039BE9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0464A8" w14:textId="77777777" w:rsidR="00FC1DF8" w:rsidRDefault="00FC1DF8">
            <w:pPr>
              <w:pStyle w:val="ProductList-OfferingBody"/>
              <w:spacing w:line="256" w:lineRule="auto"/>
              <w:jc w:val="center"/>
              <w:rPr>
                <w:kern w:val="2"/>
                <w14:ligatures w14:val="standardContextual"/>
              </w:rPr>
            </w:pPr>
            <w:r>
              <w:rPr>
                <w14:ligatures w14:val="standardContextual"/>
              </w:rP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65DDE" w14:textId="77777777" w:rsidR="00FC1DF8" w:rsidRDefault="00FC1DF8">
            <w:pPr>
              <w:pStyle w:val="ProductList-OfferingBody"/>
              <w:spacing w:line="256" w:lineRule="auto"/>
              <w:jc w:val="center"/>
              <w:rPr>
                <w:kern w:val="2"/>
                <w14:ligatures w14:val="standardContextual"/>
              </w:rPr>
            </w:pPr>
            <w:r>
              <w:rPr>
                <w14:ligatures w14:val="standardContextual"/>
              </w:rPr>
              <w:t>10%</w:t>
            </w:r>
          </w:p>
        </w:tc>
      </w:tr>
      <w:tr w:rsidR="00FC1DF8" w14:paraId="3625DE84" w14:textId="77777777" w:rsidTr="00FC1DF8">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5A1498" w14:textId="77777777" w:rsidR="00FC1DF8" w:rsidRDefault="00FC1DF8">
            <w:pPr>
              <w:pStyle w:val="ProductList-OfferingBody"/>
              <w:spacing w:line="256" w:lineRule="auto"/>
              <w:jc w:val="center"/>
              <w:rPr>
                <w:kern w:val="2"/>
                <w14:ligatures w14:val="standardContextual"/>
              </w:rPr>
            </w:pPr>
            <w:r>
              <w:rPr>
                <w14:ligatures w14:val="standardContextual"/>
              </w:rP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D4C212" w14:textId="77777777" w:rsidR="00FC1DF8" w:rsidRDefault="00FC1DF8">
            <w:pPr>
              <w:pStyle w:val="ProductList-OfferingBody"/>
              <w:spacing w:line="256" w:lineRule="auto"/>
              <w:jc w:val="center"/>
              <w:rPr>
                <w:kern w:val="2"/>
                <w14:ligatures w14:val="standardContextual"/>
              </w:rPr>
            </w:pPr>
            <w:r>
              <w:rPr>
                <w14:ligatures w14:val="standardContextual"/>
              </w:rPr>
              <w:t>25%</w:t>
            </w:r>
          </w:p>
        </w:tc>
      </w:tr>
    </w:tbl>
    <w:p w14:paraId="65D64DB6" w14:textId="77777777" w:rsidR="00FC1DF8" w:rsidRDefault="00FC1DF8" w:rsidP="00242E92">
      <w:pPr>
        <w:spacing w:before="120" w:after="0" w:line="240" w:lineRule="auto"/>
        <w:rPr>
          <w:sz w:val="18"/>
        </w:rPr>
      </w:pPr>
      <w:r>
        <w:rPr>
          <w:sz w:val="18"/>
        </w:rPr>
        <w:t xml:space="preserve">* Powyższe Środki Serwisowe na Używanie Usług są dostępne tylko dla części usługi Microsoft </w:t>
      </w:r>
      <w:proofErr w:type="spellStart"/>
      <w:r>
        <w:rPr>
          <w:sz w:val="18"/>
        </w:rPr>
        <w:t>Purview</w:t>
      </w:r>
      <w:proofErr w:type="spellEnd"/>
      <w:r>
        <w:rPr>
          <w:sz w:val="18"/>
        </w:rPr>
        <w:t xml:space="preserve">, które są oferowane na zasadzie subskrypcji (poprzednio </w:t>
      </w:r>
      <w:proofErr w:type="spellStart"/>
      <w:r>
        <w:rPr>
          <w:sz w:val="18"/>
        </w:rPr>
        <w:t>Azure</w:t>
      </w:r>
      <w:proofErr w:type="spellEnd"/>
      <w:r>
        <w:rPr>
          <w:sz w:val="18"/>
        </w:rPr>
        <w:t xml:space="preserve"> </w:t>
      </w:r>
      <w:proofErr w:type="spellStart"/>
      <w:r>
        <w:rPr>
          <w:sz w:val="18"/>
        </w:rPr>
        <w:t>Purview</w:t>
      </w:r>
      <w:proofErr w:type="spellEnd"/>
      <w:r>
        <w:rPr>
          <w:sz w:val="18"/>
        </w:rPr>
        <w:t>).</w:t>
      </w:r>
    </w:p>
    <w:p w14:paraId="0BF3F190" w14:textId="6F809A8A" w:rsidR="00FC1DF8" w:rsidRPr="00EF7CF9" w:rsidRDefault="00C71F89" w:rsidP="00FC1DF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C7403B8" w14:textId="3B7AE557" w:rsidR="00E1785C" w:rsidRPr="00E1785C" w:rsidRDefault="00E1785C" w:rsidP="00E05F09">
      <w:pPr>
        <w:pStyle w:val="ProductList-Offering2Heading"/>
        <w:keepNext/>
        <w:tabs>
          <w:tab w:val="clear" w:pos="360"/>
          <w:tab w:val="clear" w:pos="720"/>
          <w:tab w:val="clear" w:pos="1080"/>
        </w:tabs>
        <w:outlineLvl w:val="2"/>
      </w:pPr>
      <w:bookmarkStart w:id="376" w:name="_Toc239175059"/>
      <w:proofErr w:type="spellStart"/>
      <w:r>
        <w:t>Azure</w:t>
      </w:r>
      <w:proofErr w:type="spellEnd"/>
      <w:r>
        <w:t xml:space="preserve"> Red </w:t>
      </w:r>
      <w:proofErr w:type="spellStart"/>
      <w:r>
        <w:t>Hat</w:t>
      </w:r>
      <w:proofErr w:type="spellEnd"/>
      <w:r>
        <w:t xml:space="preserve"> </w:t>
      </w:r>
      <w:proofErr w:type="spellStart"/>
      <w:r>
        <w:t>OpenShift</w:t>
      </w:r>
      <w:bookmarkEnd w:id="376"/>
      <w:proofErr w:type="spellEnd"/>
    </w:p>
    <w:p w14:paraId="09BF9392" w14:textId="77777777" w:rsidR="00E1785C" w:rsidRPr="00E1785C" w:rsidRDefault="00E1785C" w:rsidP="00E1785C">
      <w:pPr>
        <w:pStyle w:val="ProductList-Body"/>
        <w:rPr>
          <w:b/>
          <w:bCs/>
          <w:color w:val="00188F"/>
        </w:rPr>
      </w:pPr>
      <w:r>
        <w:rPr>
          <w:b/>
          <w:bCs/>
          <w:color w:val="00188F"/>
        </w:rPr>
        <w:t>Dodatkowe definicje</w:t>
      </w:r>
    </w:p>
    <w:p w14:paraId="158D06E8" w14:textId="19B9070B" w:rsidR="00E1785C" w:rsidRDefault="00E1785C" w:rsidP="00E1785C">
      <w:pPr>
        <w:pStyle w:val="ProductList-Body"/>
      </w:pPr>
      <w:r w:rsidRPr="00D011AB">
        <w:t>„</w:t>
      </w:r>
      <w:r>
        <w:rPr>
          <w:b/>
          <w:bCs/>
          <w:color w:val="00188F"/>
        </w:rPr>
        <w:t>Maksymalna Liczba Dostępnych Minut</w:t>
      </w:r>
      <w:r w:rsidR="00D011AB" w:rsidRPr="00D011AB">
        <w:t>”</w:t>
      </w:r>
      <w:r>
        <w:t xml:space="preserve"> to łączna zakumulowana liczba minut we Właściwym Okresie, podczas których wdrożono klaster </w:t>
      </w:r>
      <w:proofErr w:type="spellStart"/>
      <w:r>
        <w:t>Azure</w:t>
      </w:r>
      <w:proofErr w:type="spellEnd"/>
      <w:r>
        <w:t xml:space="preserve"> Red </w:t>
      </w:r>
      <w:proofErr w:type="spellStart"/>
      <w:r>
        <w:t>Hat</w:t>
      </w:r>
      <w:proofErr w:type="spellEnd"/>
      <w:r>
        <w:t xml:space="preserve"> </w:t>
      </w:r>
      <w:proofErr w:type="spellStart"/>
      <w:r>
        <w:t>OpenShift</w:t>
      </w:r>
      <w:proofErr w:type="spellEnd"/>
      <w:r>
        <w:t xml:space="preserve"> w ramach danej subskrypcji Microsoft </w:t>
      </w:r>
      <w:proofErr w:type="spellStart"/>
      <w:r>
        <w:t>Azure</w:t>
      </w:r>
      <w:proofErr w:type="spellEnd"/>
      <w:r>
        <w:t>.</w:t>
      </w:r>
    </w:p>
    <w:p w14:paraId="0C815AE6" w14:textId="7D01A0D5" w:rsidR="00E1785C" w:rsidRDefault="00E1785C" w:rsidP="00E1785C">
      <w:pPr>
        <w:pStyle w:val="ProductList-Body"/>
      </w:pPr>
      <w:r>
        <w:t>„</w:t>
      </w:r>
      <w:r>
        <w:rPr>
          <w:b/>
          <w:bCs/>
          <w:color w:val="00188F"/>
        </w:rPr>
        <w:t>Przestój</w:t>
      </w:r>
      <w:r w:rsidR="00D011AB" w:rsidRPr="00D011AB">
        <w:t>”</w:t>
      </w:r>
      <w:r>
        <w:t xml:space="preserve"> to łączna zakumulowana Maksymalna Liczba Dostępnych Minut we Właściwym Okresie, podczas których punkt końcowy interfejsu API danego klastra </w:t>
      </w:r>
      <w:proofErr w:type="spellStart"/>
      <w:r>
        <w:t>Azure</w:t>
      </w:r>
      <w:proofErr w:type="spellEnd"/>
      <w:r>
        <w:t xml:space="preserve"> Red </w:t>
      </w:r>
      <w:proofErr w:type="spellStart"/>
      <w:r>
        <w:t>Hat</w:t>
      </w:r>
      <w:proofErr w:type="spellEnd"/>
      <w:r>
        <w:t xml:space="preserve"> </w:t>
      </w:r>
      <w:proofErr w:type="spellStart"/>
      <w:r>
        <w:t>OpenShift</w:t>
      </w:r>
      <w:proofErr w:type="spellEnd"/>
      <w:r>
        <w:t xml:space="preserve"> jest niedostępny. Minuta jest uznawana za minutę niedostępności, jeśli wszystkie próby nawiązania łączności z punktem końcowym interfejsu API klastra podejmowane w trakcie tej minuty zakończyły się niepowodzeniem.</w:t>
      </w:r>
    </w:p>
    <w:p w14:paraId="739FA18C" w14:textId="63B697EF" w:rsidR="00E1785C" w:rsidRDefault="00E1785C" w:rsidP="00E1785C">
      <w:pPr>
        <w:pStyle w:val="ProductList-Body"/>
      </w:pPr>
      <w:r>
        <w:t>„</w:t>
      </w:r>
      <w:r>
        <w:rPr>
          <w:b/>
          <w:bCs/>
          <w:color w:val="00188F"/>
        </w:rPr>
        <w:t>Procent Czasu Sprawnego Działania</w:t>
      </w:r>
      <w:r>
        <w:t>” jest obliczany przy użyciu następującego wzoru:</w:t>
      </w:r>
    </w:p>
    <w:p w14:paraId="60406EC3" w14:textId="5A0650FE" w:rsidR="00E1785C" w:rsidRPr="00F45455" w:rsidRDefault="00000000" w:rsidP="00295917">
      <w:pPr>
        <w:pStyle w:val="ListParagraph"/>
        <w:spacing w:before="120" w:after="120" w:line="240" w:lineRule="auto"/>
        <w:contextualSpacing w:val="0"/>
        <w:rPr>
          <w:rFonts w:ascii="Cambria Math" w:eastAsiaTheme="minorEastAsia" w:hAnsi="Cambria Math" w:cs="Tahoma"/>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E1785C" w:rsidRPr="00B44CF9" w14:paraId="26E0B1E1" w14:textId="77777777" w:rsidTr="00277097">
        <w:trPr>
          <w:tblHeader/>
        </w:trPr>
        <w:tc>
          <w:tcPr>
            <w:tcW w:w="5400" w:type="dxa"/>
            <w:shd w:val="clear" w:color="auto" w:fill="0072C6"/>
          </w:tcPr>
          <w:p w14:paraId="70E7B187" w14:textId="6EEF84E9" w:rsidR="00E1785C"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392840E" w14:textId="77777777" w:rsidR="00E1785C" w:rsidRPr="005A3C16" w:rsidRDefault="00E1785C" w:rsidP="000F31B4">
            <w:pPr>
              <w:pStyle w:val="ProductList-OfferingBody"/>
              <w:jc w:val="center"/>
              <w:rPr>
                <w:color w:val="FFFFFF" w:themeColor="background1"/>
              </w:rPr>
            </w:pPr>
            <w:r>
              <w:rPr>
                <w:color w:val="FFFFFF" w:themeColor="background1"/>
              </w:rPr>
              <w:t>Środki Serwisowe na Używanie Usług</w:t>
            </w:r>
          </w:p>
        </w:tc>
      </w:tr>
      <w:tr w:rsidR="00E1785C" w:rsidRPr="00B44CF9" w14:paraId="1F4416AC" w14:textId="77777777" w:rsidTr="00277097">
        <w:tc>
          <w:tcPr>
            <w:tcW w:w="5400" w:type="dxa"/>
          </w:tcPr>
          <w:p w14:paraId="1514BF56" w14:textId="3ED04E7C" w:rsidR="00E1785C" w:rsidRPr="005A3C16" w:rsidRDefault="00E1785C" w:rsidP="000F31B4">
            <w:pPr>
              <w:pStyle w:val="ProductList-OfferingBody"/>
              <w:jc w:val="center"/>
            </w:pPr>
            <w:r>
              <w:t>&lt; 99,95%</w:t>
            </w:r>
          </w:p>
        </w:tc>
        <w:tc>
          <w:tcPr>
            <w:tcW w:w="5400" w:type="dxa"/>
          </w:tcPr>
          <w:p w14:paraId="57FCFB5D" w14:textId="77777777" w:rsidR="00E1785C" w:rsidRPr="005A3C16" w:rsidRDefault="00E1785C" w:rsidP="000F31B4">
            <w:pPr>
              <w:pStyle w:val="ProductList-OfferingBody"/>
              <w:jc w:val="center"/>
            </w:pPr>
            <w:r>
              <w:t>10%</w:t>
            </w:r>
          </w:p>
        </w:tc>
      </w:tr>
      <w:tr w:rsidR="00E1785C" w:rsidRPr="00B44CF9" w14:paraId="2327B809" w14:textId="77777777" w:rsidTr="00277097">
        <w:tc>
          <w:tcPr>
            <w:tcW w:w="5400" w:type="dxa"/>
          </w:tcPr>
          <w:p w14:paraId="12268FF1" w14:textId="77777777" w:rsidR="00E1785C" w:rsidRPr="005A3C16" w:rsidRDefault="00E1785C" w:rsidP="000F31B4">
            <w:pPr>
              <w:pStyle w:val="ProductList-OfferingBody"/>
              <w:jc w:val="center"/>
            </w:pPr>
            <w:r>
              <w:t>&lt; 99%</w:t>
            </w:r>
          </w:p>
        </w:tc>
        <w:tc>
          <w:tcPr>
            <w:tcW w:w="5400" w:type="dxa"/>
          </w:tcPr>
          <w:p w14:paraId="6C6CC0A7" w14:textId="77777777" w:rsidR="00E1785C" w:rsidRPr="005A3C16" w:rsidRDefault="00E1785C" w:rsidP="000F31B4">
            <w:pPr>
              <w:pStyle w:val="ProductList-OfferingBody"/>
              <w:jc w:val="center"/>
            </w:pPr>
            <w:r>
              <w:t>25%</w:t>
            </w:r>
          </w:p>
        </w:tc>
      </w:tr>
    </w:tbl>
    <w:p w14:paraId="7155ED58" w14:textId="4A1B400E" w:rsidR="00E1785C" w:rsidRPr="00EF7CF9" w:rsidRDefault="00C71F89" w:rsidP="00E1785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C3A82C1" w14:textId="7DDA2269" w:rsidR="000C7D2A" w:rsidRPr="000C7D2A" w:rsidRDefault="000C7D2A" w:rsidP="00AE4B2E">
      <w:pPr>
        <w:pStyle w:val="ProductList-Offering2Heading"/>
        <w:tabs>
          <w:tab w:val="clear" w:pos="360"/>
          <w:tab w:val="clear" w:pos="720"/>
          <w:tab w:val="clear" w:pos="1080"/>
        </w:tabs>
        <w:outlineLvl w:val="2"/>
      </w:pPr>
      <w:bookmarkStart w:id="377" w:name="_Toc239175060"/>
      <w:r>
        <w:t>Remote Rendering</w:t>
      </w:r>
      <w:bookmarkEnd w:id="377"/>
    </w:p>
    <w:p w14:paraId="0BB6D47F" w14:textId="77777777" w:rsidR="000C7D2A" w:rsidRPr="000C7D2A" w:rsidRDefault="000C7D2A" w:rsidP="000C7D2A">
      <w:pPr>
        <w:pStyle w:val="ProductList-Body"/>
        <w:rPr>
          <w:b/>
          <w:bCs/>
          <w:color w:val="00188F"/>
        </w:rPr>
      </w:pPr>
      <w:r>
        <w:rPr>
          <w:b/>
          <w:bCs/>
          <w:color w:val="00188F"/>
        </w:rPr>
        <w:t>Dodatkowe definicje</w:t>
      </w:r>
    </w:p>
    <w:p w14:paraId="0002D053" w14:textId="77777777" w:rsidR="000C7D2A" w:rsidRDefault="000C7D2A" w:rsidP="000C7D2A">
      <w:pPr>
        <w:pStyle w:val="ProductList-Body"/>
      </w:pPr>
      <w:r>
        <w:t>„</w:t>
      </w:r>
      <w:r>
        <w:rPr>
          <w:b/>
          <w:bCs/>
          <w:color w:val="00188F"/>
        </w:rPr>
        <w:t>Konwersja</w:t>
      </w:r>
      <w:r>
        <w:t xml:space="preserve">” to proces, który przekształca modele 3D do formatu wymaganego podczas Sesji </w:t>
      </w:r>
      <w:proofErr w:type="spellStart"/>
      <w:r>
        <w:t>Renderowania</w:t>
      </w:r>
      <w:proofErr w:type="spellEnd"/>
      <w:r>
        <w:t>.</w:t>
      </w:r>
    </w:p>
    <w:p w14:paraId="75ED25C2" w14:textId="77777777" w:rsidR="000C7D2A" w:rsidRDefault="000C7D2A" w:rsidP="000C7D2A">
      <w:pPr>
        <w:pStyle w:val="ProductList-Body"/>
      </w:pPr>
      <w:r>
        <w:t>„</w:t>
      </w:r>
      <w:r>
        <w:rPr>
          <w:b/>
          <w:bCs/>
          <w:color w:val="00188F"/>
        </w:rPr>
        <w:t xml:space="preserve">Sesja </w:t>
      </w:r>
      <w:proofErr w:type="spellStart"/>
      <w:r>
        <w:rPr>
          <w:b/>
          <w:bCs/>
          <w:color w:val="00188F"/>
        </w:rPr>
        <w:t>Renderowania</w:t>
      </w:r>
      <w:proofErr w:type="spellEnd"/>
      <w:r>
        <w:t>” to interakcja z Usługą Remote Rendering.</w:t>
      </w:r>
    </w:p>
    <w:p w14:paraId="7FF93858" w14:textId="75CADDB8" w:rsidR="000C7D2A" w:rsidRPr="000C7D2A" w:rsidRDefault="00EE6E3C" w:rsidP="003B6EF7">
      <w:pPr>
        <w:pStyle w:val="ProductList-Body"/>
        <w:rPr>
          <w:b/>
          <w:bCs/>
          <w:color w:val="00188F"/>
        </w:rPr>
      </w:pPr>
      <w:r>
        <w:rPr>
          <w:b/>
          <w:bCs/>
          <w:color w:val="00188F"/>
        </w:rPr>
        <w:t>Obliczanie Czasu Sprawnego Działania i Poziomy Usługi dla transakcji interfejsu API REST dotyczących Konwersji</w:t>
      </w:r>
    </w:p>
    <w:p w14:paraId="16F38F71" w14:textId="40D27AF8" w:rsidR="000C7D2A" w:rsidRDefault="000C7D2A" w:rsidP="000C7D2A">
      <w:pPr>
        <w:pStyle w:val="ProductList-Body"/>
      </w:pPr>
      <w:r>
        <w:t>„</w:t>
      </w:r>
      <w:r>
        <w:rPr>
          <w:b/>
          <w:bCs/>
          <w:color w:val="00188F"/>
        </w:rPr>
        <w:t>Łączna Liczba Prób Transakcji</w:t>
      </w:r>
      <w:r w:rsidR="00D011AB">
        <w:t>”</w:t>
      </w:r>
      <w:r>
        <w:t xml:space="preserve"> to łączna liczba wszystkich uwierzytelnionych żądań interfejsu API REST dla funkcji Konwersja w Usłudze </w:t>
      </w:r>
      <w:proofErr w:type="spellStart"/>
      <w:r>
        <w:t>Azure</w:t>
      </w:r>
      <w:proofErr w:type="spellEnd"/>
      <w:r>
        <w:t xml:space="preserve"> Remote Rendering wykonanych przez Klienta we Właściwym Okresie dla danej subskrypcji. Łączna Liczba Prób Transakcji nie obejmuje żądań interfejsu REST API zwracających Kod Błędu, które są stale powtarzane w ciągu pięciu minut od otrzymania pierwszego Kodu Błędu.</w:t>
      </w:r>
    </w:p>
    <w:p w14:paraId="641512D0" w14:textId="77777777" w:rsidR="000C7D2A" w:rsidRDefault="000C7D2A" w:rsidP="000C7D2A">
      <w:pPr>
        <w:pStyle w:val="ProductList-Body"/>
      </w:pPr>
      <w:r>
        <w:t>„</w:t>
      </w:r>
      <w:r>
        <w:rPr>
          <w:b/>
          <w:bCs/>
          <w:color w:val="00188F"/>
        </w:rPr>
        <w:t>Transakcje Zakończone Niepowodzeniem</w:t>
      </w:r>
      <w:r>
        <w:t>” to zbiór wszystkich żądań w ramach Łącznej Liczby Prób Transakcji, które zwracają Kod Błędu w ciągu 30 sekund od otrzymania żądania przez Microsoft.</w:t>
      </w:r>
    </w:p>
    <w:p w14:paraId="62DEE59C" w14:textId="315DDF01" w:rsidR="000C7D2A" w:rsidRDefault="000C7D2A" w:rsidP="000C7D2A">
      <w:pPr>
        <w:pStyle w:val="ProductList-Body"/>
      </w:pPr>
      <w:r>
        <w:t>„</w:t>
      </w:r>
      <w:r>
        <w:rPr>
          <w:b/>
          <w:bCs/>
          <w:color w:val="00188F"/>
        </w:rPr>
        <w:t>Procent Czasu Sprawnego Działania</w:t>
      </w:r>
      <w:r w:rsidR="00D011AB">
        <w:t>”</w:t>
      </w:r>
      <w:r>
        <w:t xml:space="preserve"> dla Usługi </w:t>
      </w:r>
      <w:proofErr w:type="spellStart"/>
      <w:r>
        <w:t>Azure</w:t>
      </w:r>
      <w:proofErr w:type="spellEnd"/>
      <w:r>
        <w:t xml:space="preserve"> Remote Rendering to Łączna Liczba Prób Transakcji pomniejszona o Transakcje Zakończone Niepowodzeniem i podzielona przez Łączną Liczbę Prób Transakcji we Właściwym Okresie dla danej subskrypcji Microsoft </w:t>
      </w:r>
      <w:proofErr w:type="spellStart"/>
      <w:r>
        <w:t>Azure</w:t>
      </w:r>
      <w:proofErr w:type="spellEnd"/>
      <w:r>
        <w:t>. Procent Czasu Sprawnego Działania przedstawia się za pomocą następującego wzoru:</w:t>
      </w:r>
    </w:p>
    <w:p w14:paraId="1C1B87E9" w14:textId="224E3F34" w:rsidR="000C7D2A" w:rsidRPr="00EF7CF9" w:rsidRDefault="00000000" w:rsidP="00482E2E">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3E979A7C" w14:textId="77777777" w:rsidR="000C7D2A" w:rsidRPr="000C7D2A" w:rsidRDefault="000C7D2A" w:rsidP="000C7D2A">
      <w:pPr>
        <w:pStyle w:val="ProductList-Body"/>
        <w:rPr>
          <w:b/>
          <w:bCs/>
          <w:color w:val="00188F"/>
        </w:rPr>
      </w:pPr>
      <w:r>
        <w:rPr>
          <w:b/>
          <w:bCs/>
          <w:color w:val="00188F"/>
        </w:rPr>
        <w:t xml:space="preserve">Do używania przez Klienta funkcji Konwersja w ramach Usługi </w:t>
      </w:r>
      <w:proofErr w:type="spellStart"/>
      <w:r>
        <w:rPr>
          <w:b/>
          <w:bCs/>
          <w:color w:val="00188F"/>
        </w:rPr>
        <w:t>Azure</w:t>
      </w:r>
      <w:proofErr w:type="spellEnd"/>
      <w:r>
        <w:rPr>
          <w:b/>
          <w:bCs/>
          <w:color w:val="00188F"/>
        </w:rPr>
        <w:t xml:space="preserve"> Remote Rendering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C7D2A" w:rsidRPr="00B44CF9" w14:paraId="6E29C3E9" w14:textId="77777777" w:rsidTr="00277097">
        <w:trPr>
          <w:tblHeader/>
        </w:trPr>
        <w:tc>
          <w:tcPr>
            <w:tcW w:w="5400" w:type="dxa"/>
            <w:shd w:val="clear" w:color="auto" w:fill="0072C6"/>
          </w:tcPr>
          <w:p w14:paraId="7F8907B4" w14:textId="434AACEC" w:rsidR="000C7D2A"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6F989D6" w14:textId="77777777" w:rsidR="000C7D2A" w:rsidRPr="005A3C16" w:rsidRDefault="000C7D2A" w:rsidP="000F31B4">
            <w:pPr>
              <w:pStyle w:val="ProductList-OfferingBody"/>
              <w:jc w:val="center"/>
              <w:rPr>
                <w:color w:val="FFFFFF" w:themeColor="background1"/>
              </w:rPr>
            </w:pPr>
            <w:r>
              <w:rPr>
                <w:color w:val="FFFFFF" w:themeColor="background1"/>
              </w:rPr>
              <w:t>Środki Serwisowe na Używanie Usług</w:t>
            </w:r>
          </w:p>
        </w:tc>
      </w:tr>
      <w:tr w:rsidR="000C7D2A" w:rsidRPr="00B44CF9" w14:paraId="68A9EAD2" w14:textId="77777777" w:rsidTr="00277097">
        <w:tc>
          <w:tcPr>
            <w:tcW w:w="5400" w:type="dxa"/>
          </w:tcPr>
          <w:p w14:paraId="534DB46F" w14:textId="5C786BC4" w:rsidR="000C7D2A" w:rsidRPr="005A3C16" w:rsidRDefault="000C7D2A" w:rsidP="000F31B4">
            <w:pPr>
              <w:pStyle w:val="ProductList-OfferingBody"/>
              <w:jc w:val="center"/>
            </w:pPr>
            <w:r>
              <w:t>&lt; 99,9%</w:t>
            </w:r>
          </w:p>
        </w:tc>
        <w:tc>
          <w:tcPr>
            <w:tcW w:w="5400" w:type="dxa"/>
          </w:tcPr>
          <w:p w14:paraId="670FEAA7" w14:textId="77777777" w:rsidR="000C7D2A" w:rsidRPr="005A3C16" w:rsidRDefault="000C7D2A" w:rsidP="000F31B4">
            <w:pPr>
              <w:pStyle w:val="ProductList-OfferingBody"/>
              <w:jc w:val="center"/>
            </w:pPr>
            <w:r>
              <w:t>10%</w:t>
            </w:r>
          </w:p>
        </w:tc>
      </w:tr>
      <w:tr w:rsidR="000C7D2A" w:rsidRPr="00B44CF9" w14:paraId="51B0FEA5" w14:textId="77777777" w:rsidTr="00277097">
        <w:tc>
          <w:tcPr>
            <w:tcW w:w="5400" w:type="dxa"/>
          </w:tcPr>
          <w:p w14:paraId="59A2788B" w14:textId="77777777" w:rsidR="000C7D2A" w:rsidRPr="005A3C16" w:rsidRDefault="000C7D2A" w:rsidP="000F31B4">
            <w:pPr>
              <w:pStyle w:val="ProductList-OfferingBody"/>
              <w:jc w:val="center"/>
            </w:pPr>
            <w:r>
              <w:t>&lt; 99%</w:t>
            </w:r>
          </w:p>
        </w:tc>
        <w:tc>
          <w:tcPr>
            <w:tcW w:w="5400" w:type="dxa"/>
          </w:tcPr>
          <w:p w14:paraId="48F748CF" w14:textId="77777777" w:rsidR="000C7D2A" w:rsidRPr="005A3C16" w:rsidRDefault="000C7D2A" w:rsidP="000F31B4">
            <w:pPr>
              <w:pStyle w:val="ProductList-OfferingBody"/>
              <w:jc w:val="center"/>
            </w:pPr>
            <w:r>
              <w:t>25%</w:t>
            </w:r>
          </w:p>
        </w:tc>
      </w:tr>
    </w:tbl>
    <w:p w14:paraId="636C9D1C" w14:textId="22D8BB85" w:rsidR="000C7D2A" w:rsidRPr="004E4800" w:rsidRDefault="00EE6E3C" w:rsidP="003B6EF7">
      <w:pPr>
        <w:pStyle w:val="ProductList-Body"/>
        <w:spacing w:before="120"/>
        <w:rPr>
          <w:b/>
          <w:bCs/>
          <w:color w:val="00188F"/>
        </w:rPr>
      </w:pPr>
      <w:r>
        <w:rPr>
          <w:b/>
          <w:bCs/>
          <w:color w:val="00188F"/>
        </w:rPr>
        <w:t xml:space="preserve">Obliczanie Czasu Sprawnego Działania i Poziomy Usługi dla Sesji </w:t>
      </w:r>
      <w:proofErr w:type="spellStart"/>
      <w:r>
        <w:rPr>
          <w:b/>
          <w:bCs/>
          <w:color w:val="00188F"/>
        </w:rPr>
        <w:t>Renderowania</w:t>
      </w:r>
      <w:proofErr w:type="spellEnd"/>
    </w:p>
    <w:p w14:paraId="58D414EF" w14:textId="531FA7EF" w:rsidR="000C7D2A" w:rsidRDefault="000C7D2A" w:rsidP="000C7D2A">
      <w:pPr>
        <w:pStyle w:val="ProductList-Body"/>
      </w:pPr>
      <w:r>
        <w:t>„</w:t>
      </w:r>
      <w:r>
        <w:rPr>
          <w:b/>
          <w:bCs/>
          <w:color w:val="00188F"/>
        </w:rPr>
        <w:t>Minuty Wdrożenia</w:t>
      </w:r>
      <w:r w:rsidR="00D011AB">
        <w:t>”</w:t>
      </w:r>
      <w:r>
        <w:t xml:space="preserve"> to łączna liczba minut podczas Sesji </w:t>
      </w:r>
      <w:proofErr w:type="spellStart"/>
      <w:r>
        <w:t>Renderowania</w:t>
      </w:r>
      <w:proofErr w:type="spellEnd"/>
      <w:r>
        <w:t xml:space="preserve"> w danym Właściwym Okresie mierzona od momentu przydzielenia Sesji </w:t>
      </w:r>
      <w:proofErr w:type="spellStart"/>
      <w:r>
        <w:t>Renderowania</w:t>
      </w:r>
      <w:proofErr w:type="spellEnd"/>
      <w:r>
        <w:t xml:space="preserve"> w wyniku działania zainicjowanego przez Klienta do momentu zainicjowania przez Klienta działania powodującego zatrzymanie sesji.</w:t>
      </w:r>
    </w:p>
    <w:p w14:paraId="75D2D956" w14:textId="58E8A8C0" w:rsidR="000C7D2A" w:rsidRDefault="000C7D2A" w:rsidP="000C7D2A">
      <w:pPr>
        <w:pStyle w:val="ProductList-Body"/>
      </w:pPr>
      <w:r>
        <w:t>„</w:t>
      </w:r>
      <w:r>
        <w:rPr>
          <w:b/>
          <w:bCs/>
          <w:color w:val="00188F"/>
        </w:rPr>
        <w:t>Maksymalna Liczba Dostępnych Minut</w:t>
      </w:r>
      <w:r w:rsidR="00D011AB">
        <w:t>”</w:t>
      </w:r>
      <w:r>
        <w:t xml:space="preserve"> to suma wszystkich Minut Wdrożenia dla wszystkich Sesji </w:t>
      </w:r>
      <w:proofErr w:type="spellStart"/>
      <w:r>
        <w:t>Renderowania</w:t>
      </w:r>
      <w:proofErr w:type="spellEnd"/>
      <w:r>
        <w:t xml:space="preserve"> we Właściwym Okresie.</w:t>
      </w:r>
    </w:p>
    <w:p w14:paraId="5D2CD3DA" w14:textId="50CA889B" w:rsidR="000C7D2A" w:rsidRDefault="000C7D2A" w:rsidP="000C7D2A">
      <w:pPr>
        <w:pStyle w:val="ProductList-Body"/>
      </w:pPr>
      <w:r>
        <w:t>„</w:t>
      </w:r>
      <w:r>
        <w:rPr>
          <w:b/>
          <w:bCs/>
          <w:color w:val="00188F"/>
        </w:rPr>
        <w:t>Przestój</w:t>
      </w:r>
      <w:r>
        <w:t>” to łączna zakumulowana liczba Minut Wdrożenia, podczas których Usługa Remote Rendering jest niedostępna. Minuta jest uznawana za</w:t>
      </w:r>
      <w:r w:rsidR="00EB166D">
        <w:t> </w:t>
      </w:r>
      <w:r>
        <w:t xml:space="preserve">minutę niedostępności dla danej Sesji </w:t>
      </w:r>
      <w:proofErr w:type="spellStart"/>
      <w:r>
        <w:t>Renderowania</w:t>
      </w:r>
      <w:proofErr w:type="spellEnd"/>
      <w:r>
        <w:t xml:space="preserve">, jeśli w tym czasie taka Sesja </w:t>
      </w:r>
      <w:proofErr w:type="spellStart"/>
      <w:r>
        <w:t>Renderowania</w:t>
      </w:r>
      <w:proofErr w:type="spellEnd"/>
      <w:r>
        <w:t xml:space="preserve"> nie ma Łączności Zewnętrznej.</w:t>
      </w:r>
    </w:p>
    <w:p w14:paraId="7C5AEC4C" w14:textId="3DFF1822" w:rsidR="00482E2E" w:rsidRPr="00482E2E" w:rsidRDefault="000C7D2A" w:rsidP="00381981">
      <w:pPr>
        <w:pStyle w:val="ProductList-Body"/>
      </w:pPr>
      <w:r>
        <w:t>„</w:t>
      </w:r>
      <w:r>
        <w:rPr>
          <w:b/>
          <w:bCs/>
          <w:color w:val="00188F"/>
        </w:rPr>
        <w:t>Obliczanie Czasu Sprawnego Działania</w:t>
      </w:r>
      <w:r>
        <w:t xml:space="preserve">” dla Sesji </w:t>
      </w:r>
      <w:proofErr w:type="spellStart"/>
      <w:r>
        <w:t>Renderowania</w:t>
      </w:r>
      <w:proofErr w:type="spellEnd"/>
      <w:r>
        <w:t xml:space="preserve"> to Maksymalna Liczba Dostępnych Minut pomniejszona o Przestój podzielona przez Maksymalną Liczbę Dostępnych Minut we Właściwym Okresie dla danej subskrypcji </w:t>
      </w:r>
      <w:proofErr w:type="spellStart"/>
      <w:r>
        <w:t>Azure</w:t>
      </w:r>
      <w:proofErr w:type="spellEnd"/>
      <w:r>
        <w:t>. Procent Czasu Sprawnego Działania przedstawia się za pomocą następującego wzoru:</w:t>
      </w:r>
    </w:p>
    <w:p w14:paraId="22235A21" w14:textId="2EDB7958" w:rsidR="00381981" w:rsidRPr="00EF7CF9" w:rsidRDefault="00000000" w:rsidP="002149D5">
      <w:pPr>
        <w:spacing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E3B2938" w14:textId="4C28655C" w:rsidR="000C7D2A" w:rsidRPr="00CF7B6D" w:rsidRDefault="000C7D2A" w:rsidP="000C7D2A">
      <w:pPr>
        <w:pStyle w:val="ProductList-Body"/>
        <w:rPr>
          <w:b/>
          <w:bCs/>
          <w:color w:val="00188F"/>
        </w:rPr>
      </w:pPr>
      <w:r>
        <w:rPr>
          <w:b/>
          <w:bCs/>
          <w:color w:val="00188F"/>
        </w:rPr>
        <w:t xml:space="preserve">Do używania przez Klienta Sesji </w:t>
      </w:r>
      <w:proofErr w:type="spellStart"/>
      <w:r>
        <w:rPr>
          <w:b/>
          <w:bCs/>
          <w:color w:val="00188F"/>
        </w:rPr>
        <w:t>Renderowania</w:t>
      </w:r>
      <w:proofErr w:type="spellEnd"/>
      <w:r>
        <w:rPr>
          <w:b/>
          <w:bCs/>
          <w:color w:val="00188F"/>
        </w:rPr>
        <w:t xml:space="preserve"> w ramach Usługi </w:t>
      </w:r>
      <w:proofErr w:type="spellStart"/>
      <w:r>
        <w:rPr>
          <w:b/>
          <w:bCs/>
          <w:color w:val="00188F"/>
        </w:rPr>
        <w:t>Azure</w:t>
      </w:r>
      <w:proofErr w:type="spellEnd"/>
      <w:r>
        <w:rPr>
          <w:b/>
          <w:bCs/>
          <w:color w:val="00188F"/>
        </w:rPr>
        <w:t xml:space="preserve"> Remote Rendering mają zastosowanie następujące Poziomy Usługi i</w:t>
      </w:r>
      <w:r w:rsidR="00EF074B">
        <w:rPr>
          <w:b/>
          <w:bCs/>
          <w:color w:val="00188F"/>
        </w:rPr>
        <w:t> </w:t>
      </w: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81981" w:rsidRPr="00B44CF9" w14:paraId="0923EBC0" w14:textId="77777777" w:rsidTr="00277097">
        <w:trPr>
          <w:tblHeader/>
        </w:trPr>
        <w:tc>
          <w:tcPr>
            <w:tcW w:w="5400" w:type="dxa"/>
            <w:shd w:val="clear" w:color="auto" w:fill="0072C6"/>
          </w:tcPr>
          <w:p w14:paraId="561F2020" w14:textId="04BFB6B0" w:rsidR="00381981"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3204C83" w14:textId="77777777" w:rsidR="00381981" w:rsidRPr="005A3C16" w:rsidRDefault="00381981" w:rsidP="000F31B4">
            <w:pPr>
              <w:pStyle w:val="ProductList-OfferingBody"/>
              <w:jc w:val="center"/>
              <w:rPr>
                <w:color w:val="FFFFFF" w:themeColor="background1"/>
              </w:rPr>
            </w:pPr>
            <w:r>
              <w:rPr>
                <w:color w:val="FFFFFF" w:themeColor="background1"/>
              </w:rPr>
              <w:t>Środki Serwisowe na Używanie Usług</w:t>
            </w:r>
          </w:p>
        </w:tc>
      </w:tr>
      <w:tr w:rsidR="00381981" w:rsidRPr="00B44CF9" w14:paraId="2E8116D2" w14:textId="77777777" w:rsidTr="00277097">
        <w:tc>
          <w:tcPr>
            <w:tcW w:w="5400" w:type="dxa"/>
          </w:tcPr>
          <w:p w14:paraId="4217D408" w14:textId="77777777" w:rsidR="00381981" w:rsidRPr="005A3C16" w:rsidRDefault="00381981" w:rsidP="000F31B4">
            <w:pPr>
              <w:pStyle w:val="ProductList-OfferingBody"/>
              <w:jc w:val="center"/>
            </w:pPr>
            <w:r>
              <w:t>&lt; 99,9%</w:t>
            </w:r>
          </w:p>
        </w:tc>
        <w:tc>
          <w:tcPr>
            <w:tcW w:w="5400" w:type="dxa"/>
          </w:tcPr>
          <w:p w14:paraId="272E18FB" w14:textId="77777777" w:rsidR="00381981" w:rsidRPr="005A3C16" w:rsidRDefault="00381981" w:rsidP="000F31B4">
            <w:pPr>
              <w:pStyle w:val="ProductList-OfferingBody"/>
              <w:jc w:val="center"/>
            </w:pPr>
            <w:r>
              <w:t>10%</w:t>
            </w:r>
          </w:p>
        </w:tc>
      </w:tr>
      <w:tr w:rsidR="00381981" w:rsidRPr="00B44CF9" w14:paraId="0C18A53A" w14:textId="77777777" w:rsidTr="00277097">
        <w:tc>
          <w:tcPr>
            <w:tcW w:w="5400" w:type="dxa"/>
          </w:tcPr>
          <w:p w14:paraId="295554A0" w14:textId="77777777" w:rsidR="00381981" w:rsidRPr="005A3C16" w:rsidRDefault="00381981" w:rsidP="000F31B4">
            <w:pPr>
              <w:pStyle w:val="ProductList-OfferingBody"/>
              <w:jc w:val="center"/>
            </w:pPr>
            <w:r>
              <w:t>&lt; 99%</w:t>
            </w:r>
          </w:p>
        </w:tc>
        <w:tc>
          <w:tcPr>
            <w:tcW w:w="5400" w:type="dxa"/>
          </w:tcPr>
          <w:p w14:paraId="499C4BE6" w14:textId="77777777" w:rsidR="00381981" w:rsidRPr="005A3C16" w:rsidRDefault="00381981" w:rsidP="000F31B4">
            <w:pPr>
              <w:pStyle w:val="ProductList-OfferingBody"/>
              <w:jc w:val="center"/>
            </w:pPr>
            <w:r>
              <w:t>25%</w:t>
            </w:r>
          </w:p>
        </w:tc>
      </w:tr>
    </w:tbl>
    <w:p w14:paraId="6C8A7AC7" w14:textId="573F0F40" w:rsidR="00381981" w:rsidRPr="00EF7CF9" w:rsidRDefault="00C71F89" w:rsidP="0038198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8EB8223" w14:textId="77777777" w:rsidR="00A82CB1" w:rsidRPr="00A82CB1" w:rsidRDefault="00A82CB1" w:rsidP="00A82CB1">
      <w:pPr>
        <w:pStyle w:val="ProductList-Offering2Heading"/>
        <w:keepNext/>
        <w:tabs>
          <w:tab w:val="clear" w:pos="360"/>
          <w:tab w:val="clear" w:pos="720"/>
          <w:tab w:val="clear" w:pos="1080"/>
        </w:tabs>
        <w:outlineLvl w:val="2"/>
      </w:pPr>
      <w:bookmarkStart w:id="378" w:name="_Toc239175061"/>
      <w:proofErr w:type="spellStart"/>
      <w:r>
        <w:t>Azure</w:t>
      </w:r>
      <w:proofErr w:type="spellEnd"/>
      <w:r>
        <w:t xml:space="preserve"> </w:t>
      </w:r>
      <w:proofErr w:type="spellStart"/>
      <w:r>
        <w:t>Route</w:t>
      </w:r>
      <w:proofErr w:type="spellEnd"/>
      <w:r>
        <w:t xml:space="preserve"> Server</w:t>
      </w:r>
      <w:bookmarkEnd w:id="378"/>
    </w:p>
    <w:p w14:paraId="3DEC4CEF" w14:textId="49D02559" w:rsidR="00A82CB1" w:rsidRPr="00A82CB1" w:rsidRDefault="00EE6E3C" w:rsidP="00A82CB1">
      <w:pPr>
        <w:pStyle w:val="ProductList-Body"/>
        <w:keepNext/>
        <w:rPr>
          <w:b/>
          <w:bCs/>
          <w:color w:val="00188F"/>
        </w:rPr>
      </w:pPr>
      <w:r>
        <w:rPr>
          <w:b/>
          <w:bCs/>
          <w:color w:val="00188F"/>
        </w:rPr>
        <w:t>Obliczanie Czasu Sprawnego Działania</w:t>
      </w:r>
    </w:p>
    <w:p w14:paraId="2D504CF5" w14:textId="40284001" w:rsidR="00A82CB1" w:rsidRDefault="00A82CB1" w:rsidP="00A82CB1">
      <w:pPr>
        <w:pStyle w:val="ProductList-Body"/>
      </w:pPr>
      <w:r w:rsidRPr="00D011AB">
        <w:t>„</w:t>
      </w:r>
      <w:r>
        <w:rPr>
          <w:b/>
          <w:bCs/>
          <w:color w:val="00188F"/>
        </w:rPr>
        <w:t>Maksymalna Liczba Dostępnych Minut</w:t>
      </w:r>
      <w:r w:rsidR="00D011AB" w:rsidRPr="00D011AB">
        <w:t xml:space="preserve">” </w:t>
      </w:r>
      <w:r>
        <w:t xml:space="preserve">to łączna zakumulowana liczba minut we Właściwym Okresie, podczas których wdrożono Usługę </w:t>
      </w:r>
      <w:proofErr w:type="spellStart"/>
      <w:r>
        <w:t>Azure</w:t>
      </w:r>
      <w:proofErr w:type="spellEnd"/>
      <w:r>
        <w:t xml:space="preserve"> </w:t>
      </w:r>
      <w:proofErr w:type="spellStart"/>
      <w:r>
        <w:t>Route</w:t>
      </w:r>
      <w:proofErr w:type="spellEnd"/>
      <w:r>
        <w:t xml:space="preserve"> Server w ramach danej subskrypcji Microsoft </w:t>
      </w:r>
      <w:proofErr w:type="spellStart"/>
      <w:r>
        <w:t>Azure</w:t>
      </w:r>
      <w:proofErr w:type="spellEnd"/>
      <w:r>
        <w:t>.</w:t>
      </w:r>
    </w:p>
    <w:p w14:paraId="67F8492A" w14:textId="77777777" w:rsidR="00A82CB1" w:rsidRDefault="00A82CB1" w:rsidP="00A82CB1">
      <w:pPr>
        <w:pStyle w:val="ProductList-Body"/>
      </w:pPr>
      <w:r>
        <w:t>„</w:t>
      </w:r>
      <w:r>
        <w:rPr>
          <w:b/>
          <w:bCs/>
          <w:color w:val="00188F"/>
        </w:rPr>
        <w:t>Przestój</w:t>
      </w:r>
      <w:r>
        <w:t xml:space="preserve">” to łączna zakumulowana Maksymalna Liczba Dostępnych Minut, podczas których usługa </w:t>
      </w:r>
      <w:proofErr w:type="spellStart"/>
      <w:r>
        <w:t>Azure</w:t>
      </w:r>
      <w:proofErr w:type="spellEnd"/>
      <w:r>
        <w:t xml:space="preserve"> </w:t>
      </w:r>
      <w:proofErr w:type="spellStart"/>
      <w:r>
        <w:t>Route</w:t>
      </w:r>
      <w:proofErr w:type="spellEnd"/>
      <w:r>
        <w:t xml:space="preserve"> Server jest niedostępna. Minuta jest uznawana za minutę niedostępności, jeśli wszystkie próby nawiązania łączności z usługą </w:t>
      </w:r>
      <w:proofErr w:type="spellStart"/>
      <w:r>
        <w:t>Azure</w:t>
      </w:r>
      <w:proofErr w:type="spellEnd"/>
      <w:r>
        <w:t xml:space="preserve"> </w:t>
      </w:r>
      <w:proofErr w:type="spellStart"/>
      <w:r>
        <w:t>Route</w:t>
      </w:r>
      <w:proofErr w:type="spellEnd"/>
      <w:r>
        <w:t xml:space="preserve"> Server podejmowane w trakcie tej minuty kończą się niepowodzeniem.</w:t>
      </w:r>
    </w:p>
    <w:p w14:paraId="3255F05B" w14:textId="4E46D9D4" w:rsidR="00A82CB1" w:rsidRDefault="00A82CB1" w:rsidP="00A82CB1">
      <w:pPr>
        <w:pStyle w:val="ProductList-Body"/>
      </w:pPr>
      <w:r>
        <w:t>„</w:t>
      </w:r>
      <w:r>
        <w:rPr>
          <w:b/>
          <w:bCs/>
          <w:color w:val="00188F"/>
        </w:rPr>
        <w:t>Obliczanie Czasu Sprawnego Działania</w:t>
      </w:r>
      <w:r>
        <w:t xml:space="preserve">” dla danej Usługi </w:t>
      </w:r>
      <w:proofErr w:type="spellStart"/>
      <w:r>
        <w:t>Azure</w:t>
      </w:r>
      <w:proofErr w:type="spellEnd"/>
      <w:r>
        <w:t xml:space="preserve"> </w:t>
      </w:r>
      <w:proofErr w:type="spellStart"/>
      <w:r>
        <w:t>Route</w:t>
      </w:r>
      <w:proofErr w:type="spellEnd"/>
      <w:r>
        <w:t xml:space="preserve"> Server to Maksymalna Liczba Dostępnych Minut pomniejszona o Przestój podzielona przez Maksymalną Liczbę Dostępnych Minut we Właściwym Okresie dla danej subskrypcji Microsoft </w:t>
      </w:r>
      <w:proofErr w:type="spellStart"/>
      <w:r>
        <w:t>Azure</w:t>
      </w:r>
      <w:proofErr w:type="spellEnd"/>
      <w:r>
        <w:t>. Procent Czasu Sprawnego Działania przedstawia się za pomocą następującego wzoru:</w:t>
      </w:r>
    </w:p>
    <w:p w14:paraId="35981088" w14:textId="34CAFB70" w:rsidR="00A82CB1" w:rsidRPr="00EF7CF9" w:rsidRDefault="00000000" w:rsidP="008D2130">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7224F44" w14:textId="77777777" w:rsidR="00A82CB1" w:rsidRPr="00A82CB1" w:rsidRDefault="00A82CB1" w:rsidP="00A82CB1">
      <w:pPr>
        <w:pStyle w:val="ProductList-Body"/>
        <w:rPr>
          <w:b/>
          <w:bCs/>
          <w:color w:val="00188F"/>
        </w:rPr>
      </w:pPr>
      <w:r>
        <w:rPr>
          <w:b/>
          <w:bCs/>
          <w:color w:val="00188F"/>
        </w:rPr>
        <w:t xml:space="preserve">Do używania przez Klienta każdej Usługi </w:t>
      </w:r>
      <w:proofErr w:type="spellStart"/>
      <w:r>
        <w:rPr>
          <w:b/>
          <w:bCs/>
          <w:color w:val="00188F"/>
        </w:rPr>
        <w:t>Azure</w:t>
      </w:r>
      <w:proofErr w:type="spellEnd"/>
      <w:r>
        <w:rPr>
          <w:b/>
          <w:bCs/>
          <w:color w:val="00188F"/>
        </w:rPr>
        <w:t xml:space="preserve"> </w:t>
      </w:r>
      <w:proofErr w:type="spellStart"/>
      <w:r>
        <w:rPr>
          <w:b/>
          <w:bCs/>
          <w:color w:val="00188F"/>
        </w:rPr>
        <w:t>Route</w:t>
      </w:r>
      <w:proofErr w:type="spellEnd"/>
      <w:r>
        <w:rPr>
          <w:b/>
          <w:bCs/>
          <w:color w:val="00188F"/>
        </w:rPr>
        <w:t xml:space="preserve"> Server w ramach Rezerwacji na Żądanie dotyczącej Zdolności Produkcyjnych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A82CB1" w:rsidRPr="00B44CF9" w14:paraId="70116CD5" w14:textId="77777777" w:rsidTr="00277097">
        <w:trPr>
          <w:tblHeader/>
        </w:trPr>
        <w:tc>
          <w:tcPr>
            <w:tcW w:w="5400" w:type="dxa"/>
            <w:shd w:val="clear" w:color="auto" w:fill="0072C6"/>
          </w:tcPr>
          <w:p w14:paraId="4DC6BDBF" w14:textId="0F1F7834" w:rsidR="00A82CB1"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C6A2B71" w14:textId="77777777" w:rsidR="00A82CB1" w:rsidRPr="005A3C16" w:rsidRDefault="00A82CB1" w:rsidP="000F31B4">
            <w:pPr>
              <w:pStyle w:val="ProductList-OfferingBody"/>
              <w:jc w:val="center"/>
              <w:rPr>
                <w:color w:val="FFFFFF" w:themeColor="background1"/>
              </w:rPr>
            </w:pPr>
            <w:r>
              <w:rPr>
                <w:color w:val="FFFFFF" w:themeColor="background1"/>
              </w:rPr>
              <w:t>Środki Serwisowe na Używanie Usług</w:t>
            </w:r>
          </w:p>
        </w:tc>
      </w:tr>
      <w:tr w:rsidR="00A82CB1" w:rsidRPr="00B44CF9" w14:paraId="4A47106F" w14:textId="77777777" w:rsidTr="00277097">
        <w:tc>
          <w:tcPr>
            <w:tcW w:w="5400" w:type="dxa"/>
          </w:tcPr>
          <w:p w14:paraId="67891EF6" w14:textId="3A77A409" w:rsidR="00A82CB1" w:rsidRPr="005A3C16" w:rsidRDefault="00A82CB1" w:rsidP="000F31B4">
            <w:pPr>
              <w:pStyle w:val="ProductList-OfferingBody"/>
              <w:jc w:val="center"/>
            </w:pPr>
            <w:r>
              <w:t>&lt; 99,95%</w:t>
            </w:r>
          </w:p>
        </w:tc>
        <w:tc>
          <w:tcPr>
            <w:tcW w:w="5400" w:type="dxa"/>
          </w:tcPr>
          <w:p w14:paraId="1275BFAD" w14:textId="77777777" w:rsidR="00A82CB1" w:rsidRPr="005A3C16" w:rsidRDefault="00A82CB1" w:rsidP="000F31B4">
            <w:pPr>
              <w:pStyle w:val="ProductList-OfferingBody"/>
              <w:jc w:val="center"/>
            </w:pPr>
            <w:r>
              <w:t>10%</w:t>
            </w:r>
          </w:p>
        </w:tc>
      </w:tr>
      <w:tr w:rsidR="00A82CB1" w:rsidRPr="00B44CF9" w14:paraId="26BCF7B5" w14:textId="77777777" w:rsidTr="00277097">
        <w:tc>
          <w:tcPr>
            <w:tcW w:w="5400" w:type="dxa"/>
          </w:tcPr>
          <w:p w14:paraId="234E6232" w14:textId="77777777" w:rsidR="00A82CB1" w:rsidRPr="005A3C16" w:rsidRDefault="00A82CB1" w:rsidP="000F31B4">
            <w:pPr>
              <w:pStyle w:val="ProductList-OfferingBody"/>
              <w:jc w:val="center"/>
            </w:pPr>
            <w:r>
              <w:t>&lt; 99%</w:t>
            </w:r>
          </w:p>
        </w:tc>
        <w:tc>
          <w:tcPr>
            <w:tcW w:w="5400" w:type="dxa"/>
          </w:tcPr>
          <w:p w14:paraId="1119D2E9" w14:textId="77777777" w:rsidR="00A82CB1" w:rsidRPr="005A3C16" w:rsidRDefault="00A82CB1" w:rsidP="000F31B4">
            <w:pPr>
              <w:pStyle w:val="ProductList-OfferingBody"/>
              <w:jc w:val="center"/>
            </w:pPr>
            <w:r>
              <w:t>25%</w:t>
            </w:r>
          </w:p>
        </w:tc>
      </w:tr>
    </w:tbl>
    <w:p w14:paraId="20C42662" w14:textId="4FFCE482" w:rsidR="00A82CB1" w:rsidRPr="00EF7CF9" w:rsidRDefault="00C71F89" w:rsidP="00A82C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E054843" w14:textId="53F0F9AE" w:rsidR="00A1353F" w:rsidRDefault="00A1353F" w:rsidP="00A1353F">
      <w:pPr>
        <w:pStyle w:val="ProductList-Offering2Heading"/>
        <w:tabs>
          <w:tab w:val="clear" w:pos="360"/>
          <w:tab w:val="clear" w:pos="720"/>
          <w:tab w:val="clear" w:pos="1080"/>
        </w:tabs>
        <w:outlineLvl w:val="2"/>
      </w:pPr>
      <w:bookmarkStart w:id="379" w:name="_Toc510793702"/>
      <w:bookmarkStart w:id="380" w:name="_Toc52348978"/>
      <w:bookmarkStart w:id="381" w:name="_Toc239175062"/>
      <w:r>
        <w:t xml:space="preserve">SAP HANA on </w:t>
      </w:r>
      <w:proofErr w:type="spellStart"/>
      <w:r>
        <w:t>Azure</w:t>
      </w:r>
      <w:bookmarkEnd w:id="379"/>
      <w:bookmarkEnd w:id="380"/>
      <w:proofErr w:type="spellEnd"/>
      <w:r>
        <w:t xml:space="preserve"> — duże wystąpienia</w:t>
      </w:r>
      <w:bookmarkEnd w:id="381"/>
    </w:p>
    <w:p w14:paraId="4BB1F540" w14:textId="77777777" w:rsidR="00A1353F" w:rsidRDefault="00A1353F" w:rsidP="00A1353F">
      <w:pPr>
        <w:pStyle w:val="ProductList-Body"/>
      </w:pPr>
      <w:r>
        <w:rPr>
          <w:b/>
          <w:color w:val="00188F"/>
        </w:rPr>
        <w:t>Dodatkowe definicje</w:t>
      </w:r>
      <w:r w:rsidRPr="0034704E">
        <w:rPr>
          <w:b/>
          <w:color w:val="00188F"/>
        </w:rPr>
        <w:t>:</w:t>
      </w:r>
    </w:p>
    <w:p w14:paraId="051A79F6" w14:textId="77777777" w:rsidR="00A1353F" w:rsidRPr="00B44CF9" w:rsidRDefault="00A1353F" w:rsidP="003B6EF7">
      <w:pPr>
        <w:spacing w:after="0" w:line="240" w:lineRule="auto"/>
        <w:rPr>
          <w:sz w:val="18"/>
          <w:szCs w:val="18"/>
        </w:rPr>
      </w:pPr>
      <w:r>
        <w:rPr>
          <w:sz w:val="18"/>
        </w:rPr>
        <w:t>„</w:t>
      </w:r>
      <w:r>
        <w:rPr>
          <w:b/>
          <w:color w:val="00188F"/>
          <w:sz w:val="18"/>
        </w:rPr>
        <w:t>Zapowiedziana Konserwacja Pojedynczego Wystąpienia</w:t>
      </w:r>
      <w:r>
        <w:rPr>
          <w:sz w:val="18"/>
        </w:rPr>
        <w:t>” to okres Przestoju związany z wpływającą na Pojedyncze Wystąpienia konserwacją lub uaktualnieniem sieci, sprzętu lub Usługi. Na co najmniej pięć (5) dni przed takim Przestojem Microsoft opublikuje odpowiednią informację lub powiadomi o nim Klienta.</w:t>
      </w:r>
    </w:p>
    <w:p w14:paraId="63C58072" w14:textId="0E51C139" w:rsidR="00A1353F" w:rsidRPr="0069715D" w:rsidRDefault="00A1353F" w:rsidP="003B6EF7">
      <w:pPr>
        <w:spacing w:after="0" w:line="240" w:lineRule="auto"/>
        <w:rPr>
          <w:sz w:val="18"/>
        </w:rPr>
      </w:pPr>
      <w:r>
        <w:rPr>
          <w:sz w:val="18"/>
        </w:rPr>
        <w:t>„</w:t>
      </w:r>
      <w:r>
        <w:rPr>
          <w:b/>
          <w:color w:val="00188F"/>
          <w:sz w:val="18"/>
        </w:rPr>
        <w:t>Para o Wysokiej Dostępności</w:t>
      </w:r>
      <w:r>
        <w:rPr>
          <w:sz w:val="18"/>
        </w:rPr>
        <w:t>”</w:t>
      </w:r>
      <w:r>
        <w:rPr>
          <w:sz w:val="18"/>
          <w:szCs w:val="18"/>
        </w:rPr>
        <w:t xml:space="preserve"> </w:t>
      </w:r>
      <w:r>
        <w:rPr>
          <w:sz w:val="18"/>
        </w:rPr>
        <w:t>to co najmniej dwa identyczne duże wystąpienia usługi SAP HANA on Azure wdrożone w tym samym regionie i</w:t>
      </w:r>
      <w:r w:rsidR="00FF66A4">
        <w:rPr>
          <w:sz w:val="18"/>
        </w:rPr>
        <w:t> </w:t>
      </w:r>
      <w:r>
        <w:rPr>
          <w:sz w:val="18"/>
        </w:rPr>
        <w:t>skonfigurowane przez Klienta do replikacji systemu w warstwie aplikacji. Klient musi wskazać Microsoft elementy należące do Pary o Wysokiej Dostępności w trakcie procesu projektowania architektury.</w:t>
      </w:r>
    </w:p>
    <w:p w14:paraId="2ADD8A74" w14:textId="77777777" w:rsidR="00A1353F" w:rsidRDefault="00A1353F" w:rsidP="00D84948">
      <w:pPr>
        <w:keepNext/>
        <w:spacing w:after="0" w:line="240" w:lineRule="auto"/>
        <w:rPr>
          <w:sz w:val="18"/>
        </w:rPr>
      </w:pPr>
      <w:r>
        <w:rPr>
          <w:sz w:val="18"/>
        </w:rPr>
        <w:t>„</w:t>
      </w:r>
      <w:r>
        <w:rPr>
          <w:b/>
          <w:color w:val="00188F"/>
          <w:sz w:val="18"/>
        </w:rPr>
        <w:t>Łączność z Usługą SAP HANA on Azure</w:t>
      </w:r>
      <w:r>
        <w:rPr>
          <w:sz w:val="18"/>
        </w:rPr>
        <w:t>”</w:t>
      </w:r>
      <w:r>
        <w:rPr>
          <w:sz w:val="18"/>
          <w:szCs w:val="18"/>
        </w:rPr>
        <w:t xml:space="preserve"> </w:t>
      </w:r>
      <w:r>
        <w:rPr>
          <w:sz w:val="18"/>
        </w:rPr>
        <w:t>to dwukierunkowy ruch danych w sieci między dużym wystąpieniem usługi SAP HANA on Azure a innymi adresami IP realizowany za pośrednictwem protokołu sieciowego TCP lub UDP, w przypadku którego konfiguracja wystąpienia obsługuje dozwolony ruch danych. Adresy IP muszą być adresami IP w Sieci Wirtualnej związanej z subskrypcją Azure.</w:t>
      </w:r>
    </w:p>
    <w:p w14:paraId="10155358" w14:textId="77777777" w:rsidR="00A1353F" w:rsidRDefault="00A1353F" w:rsidP="00A1353F">
      <w:pPr>
        <w:spacing w:after="0" w:line="252" w:lineRule="auto"/>
        <w:rPr>
          <w:sz w:val="18"/>
        </w:rPr>
      </w:pPr>
      <w:r>
        <w:rPr>
          <w:sz w:val="18"/>
        </w:rPr>
        <w:t>„</w:t>
      </w:r>
      <w:r>
        <w:rPr>
          <w:b/>
          <w:color w:val="00188F"/>
          <w:sz w:val="18"/>
        </w:rPr>
        <w:t>Pojedyncze Wystąpienie</w:t>
      </w:r>
      <w:r>
        <w:rPr>
          <w:sz w:val="18"/>
        </w:rPr>
        <w:t>” to dowolny niewdrożony w ramach Pary o Wysokiej Dostępności komputer, na którym jest uruchomiona usługa Microsoft SAP HANA on Azure — duże wystąpienie.</w:t>
      </w:r>
    </w:p>
    <w:p w14:paraId="1733E97A" w14:textId="455322BB" w:rsidR="00A1353F" w:rsidRPr="00522FF8" w:rsidRDefault="00EE6E3C" w:rsidP="00A1353F">
      <w:pPr>
        <w:spacing w:after="0" w:line="252" w:lineRule="auto"/>
        <w:rPr>
          <w:b/>
          <w:color w:val="00188F"/>
          <w:sz w:val="18"/>
        </w:rPr>
      </w:pPr>
      <w:r>
        <w:rPr>
          <w:b/>
          <w:color w:val="00188F"/>
          <w:sz w:val="18"/>
        </w:rPr>
        <w:t>Obliczanie Czasu Sprawnego Działania i Poziomy Usługi dla usługi SAP HANA w ramach Pary o Wysokiej Dostępności Azure</w:t>
      </w:r>
    </w:p>
    <w:p w14:paraId="3D90ACB6" w14:textId="2168307C" w:rsidR="00A1353F" w:rsidRPr="0069715D" w:rsidRDefault="00A1353F" w:rsidP="00A1353F">
      <w:pPr>
        <w:spacing w:after="0" w:line="252" w:lineRule="auto"/>
        <w:ind w:left="720"/>
        <w:rPr>
          <w:sz w:val="18"/>
        </w:rPr>
      </w:pPr>
      <w:r>
        <w:rPr>
          <w:sz w:val="18"/>
        </w:rPr>
        <w:t>„</w:t>
      </w:r>
      <w:r>
        <w:rPr>
          <w:b/>
          <w:color w:val="0072C6"/>
          <w:sz w:val="18"/>
        </w:rPr>
        <w:t>Maksymalna Liczba Dostępnych Minut</w:t>
      </w:r>
      <w:r>
        <w:rPr>
          <w:sz w:val="18"/>
        </w:rPr>
        <w:t>”</w:t>
      </w:r>
      <w:r>
        <w:rPr>
          <w:sz w:val="18"/>
          <w:szCs w:val="18"/>
        </w:rPr>
        <w:t xml:space="preserve"> </w:t>
      </w:r>
      <w:r>
        <w:rPr>
          <w:sz w:val="18"/>
        </w:rPr>
        <w:t>to łączna zakumulowana liczba minut we Właściwym Okresie dla wszystkich wystąpień usługi SAP HANA on Azure wdrożonych w ramach tej samej Pary o Wysokiej Dostępności. Maksymalna Liczba Dostępnych Minut jest mierzona od momentu zainicjowanego przez Klienta uruchomienia co najmniej dwóch wystąpień w ramach tej samej Pary o Wysokiej Dostępności do momentu zainicjowanego przez Klienta zatrzymania tych wystąpień.</w:t>
      </w:r>
    </w:p>
    <w:p w14:paraId="65092DA9" w14:textId="77777777" w:rsidR="00A1353F" w:rsidRPr="0069715D" w:rsidRDefault="00A1353F" w:rsidP="00A1353F">
      <w:pPr>
        <w:spacing w:after="0" w:line="252" w:lineRule="auto"/>
        <w:ind w:left="720"/>
        <w:rPr>
          <w:sz w:val="18"/>
        </w:rPr>
      </w:pPr>
      <w:r>
        <w:rPr>
          <w:sz w:val="18"/>
        </w:rPr>
        <w:t>„</w:t>
      </w:r>
      <w:r>
        <w:rPr>
          <w:b/>
          <w:color w:val="0072C6"/>
          <w:sz w:val="18"/>
        </w:rPr>
        <w:t>Przestój</w:t>
      </w:r>
      <w:r>
        <w:rPr>
          <w:sz w:val="18"/>
        </w:rPr>
        <w:t>” to łączna zakumulowana liczba minut stanowiących część Maksymalnej Liczby Dostępnych Minut, podczas których nie ma Łączności z Usługą SAP HANA on Azure.</w:t>
      </w:r>
    </w:p>
    <w:p w14:paraId="20822FFE" w14:textId="5F908255" w:rsidR="00A1353F" w:rsidRDefault="00AC48A7" w:rsidP="00021976">
      <w:pPr>
        <w:pStyle w:val="ProductList-Body"/>
        <w:ind w:left="720"/>
      </w:pPr>
      <w:r>
        <w:rPr>
          <w:b/>
          <w:color w:val="0072C6"/>
        </w:rPr>
        <w:t>Procent Czasu Sprawnego Działania</w:t>
      </w:r>
      <w:r w:rsidRPr="0034704E">
        <w:rPr>
          <w:b/>
          <w:color w:val="0072C6"/>
        </w:rPr>
        <w:t>:</w:t>
      </w:r>
      <w:r>
        <w:t xml:space="preserve"> Procent Czasu Sprawnego Działania dla Usługi SAP HANA w ramach Pary o Wysokiej Dostępności Azure oblicza się według poniższego wzoru:</w:t>
      </w:r>
    </w:p>
    <w:p w14:paraId="3D77D4BA" w14:textId="6A1CC2B0" w:rsidR="00A1353F" w:rsidRPr="00434BE0" w:rsidRDefault="00000000" w:rsidP="004468D6">
      <w:pPr>
        <w:pStyle w:val="ListParagraph"/>
        <w:spacing w:before="120" w:after="120" w:line="240" w:lineRule="auto"/>
        <w:ind w:left="1440"/>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928B8EA" w14:textId="77777777" w:rsidR="00A1353F" w:rsidRPr="0034704E" w:rsidRDefault="00A1353F" w:rsidP="00A1353F">
      <w:pPr>
        <w:pStyle w:val="ProductList-Body"/>
        <w:ind w:left="720"/>
        <w:rPr>
          <w:b/>
          <w:color w:val="00188F"/>
        </w:rPr>
      </w:pPr>
      <w:r>
        <w:rPr>
          <w:b/>
          <w:color w:val="00188F"/>
        </w:rPr>
        <w:t>Środki Serwisowe na Używanie Usług dla usługi SAP HANA w ramach Pary o Wysokiej Dostępności Azure</w:t>
      </w:r>
      <w:r w:rsidRPr="0034704E">
        <w:rPr>
          <w:b/>
          <w:color w:val="00188F"/>
        </w:rPr>
        <w:t>:</w:t>
      </w:r>
    </w:p>
    <w:tbl>
      <w:tblPr>
        <w:tblW w:w="999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4950"/>
      </w:tblGrid>
      <w:tr w:rsidR="00A1353F" w:rsidRPr="00B44CF9" w14:paraId="0B9B2A7D" w14:textId="77777777" w:rsidTr="000F31B4">
        <w:trPr>
          <w:trHeight w:val="235"/>
          <w:tblHeader/>
        </w:trPr>
        <w:tc>
          <w:tcPr>
            <w:tcW w:w="5040" w:type="dxa"/>
            <w:shd w:val="clear" w:color="auto" w:fill="0072C6"/>
          </w:tcPr>
          <w:p w14:paraId="6A4ABE93" w14:textId="37943353" w:rsidR="00A1353F" w:rsidRPr="001A0074" w:rsidRDefault="00AC48A7" w:rsidP="000F31B4">
            <w:pPr>
              <w:pStyle w:val="ProductList-OfferingBody"/>
              <w:jc w:val="center"/>
              <w:rPr>
                <w:color w:val="FFFFFF" w:themeColor="background1"/>
              </w:rPr>
            </w:pPr>
            <w:r>
              <w:rPr>
                <w:color w:val="FFFFFF" w:themeColor="background1"/>
              </w:rPr>
              <w:t>Procent Czasu Sprawnego Działania</w:t>
            </w:r>
          </w:p>
        </w:tc>
        <w:tc>
          <w:tcPr>
            <w:tcW w:w="4950" w:type="dxa"/>
            <w:shd w:val="clear" w:color="auto" w:fill="0072C6"/>
          </w:tcPr>
          <w:p w14:paraId="507DF7E0" w14:textId="77777777" w:rsidR="00A1353F" w:rsidRPr="001A0074" w:rsidRDefault="00A1353F" w:rsidP="000F31B4">
            <w:pPr>
              <w:pStyle w:val="ProductList-OfferingBody"/>
              <w:jc w:val="center"/>
              <w:rPr>
                <w:color w:val="FFFFFF" w:themeColor="background1"/>
              </w:rPr>
            </w:pPr>
            <w:r>
              <w:rPr>
                <w:color w:val="FFFFFF" w:themeColor="background1"/>
              </w:rPr>
              <w:t>Środki Serwisowe na Używanie Usług</w:t>
            </w:r>
          </w:p>
        </w:tc>
      </w:tr>
      <w:tr w:rsidR="00A1353F" w:rsidRPr="00B44CF9" w14:paraId="1562CE3C" w14:textId="77777777" w:rsidTr="000F31B4">
        <w:trPr>
          <w:trHeight w:val="235"/>
        </w:trPr>
        <w:tc>
          <w:tcPr>
            <w:tcW w:w="5040" w:type="dxa"/>
          </w:tcPr>
          <w:p w14:paraId="5AB9B648" w14:textId="77777777" w:rsidR="00A1353F" w:rsidRPr="0076238C" w:rsidRDefault="00A1353F" w:rsidP="000F31B4">
            <w:pPr>
              <w:pStyle w:val="ProductList-OfferingBody"/>
              <w:jc w:val="center"/>
            </w:pPr>
            <w:r>
              <w:t>&lt; 99,99%</w:t>
            </w:r>
          </w:p>
        </w:tc>
        <w:tc>
          <w:tcPr>
            <w:tcW w:w="4950" w:type="dxa"/>
          </w:tcPr>
          <w:p w14:paraId="2192BCD4" w14:textId="77777777" w:rsidR="00A1353F" w:rsidRPr="0076238C" w:rsidRDefault="00A1353F" w:rsidP="000F31B4">
            <w:pPr>
              <w:pStyle w:val="ProductList-OfferingBody"/>
              <w:jc w:val="center"/>
            </w:pPr>
            <w:r>
              <w:t>10%</w:t>
            </w:r>
          </w:p>
        </w:tc>
      </w:tr>
      <w:tr w:rsidR="00A1353F" w:rsidRPr="00B44CF9" w14:paraId="73383C6B" w14:textId="77777777" w:rsidTr="000F31B4">
        <w:trPr>
          <w:trHeight w:val="236"/>
        </w:trPr>
        <w:tc>
          <w:tcPr>
            <w:tcW w:w="5040" w:type="dxa"/>
          </w:tcPr>
          <w:p w14:paraId="0A8E96A3" w14:textId="77777777" w:rsidR="00A1353F" w:rsidRPr="0076238C" w:rsidRDefault="00A1353F" w:rsidP="000F31B4">
            <w:pPr>
              <w:pStyle w:val="ProductList-OfferingBody"/>
              <w:jc w:val="center"/>
            </w:pPr>
            <w:r>
              <w:t>&lt; 99,9%</w:t>
            </w:r>
          </w:p>
        </w:tc>
        <w:tc>
          <w:tcPr>
            <w:tcW w:w="4950" w:type="dxa"/>
          </w:tcPr>
          <w:p w14:paraId="1B359F98" w14:textId="77777777" w:rsidR="00A1353F" w:rsidRPr="0076238C" w:rsidRDefault="00A1353F" w:rsidP="000F31B4">
            <w:pPr>
              <w:pStyle w:val="ProductList-OfferingBody"/>
              <w:jc w:val="center"/>
            </w:pPr>
            <w:r>
              <w:t>25%</w:t>
            </w:r>
          </w:p>
        </w:tc>
      </w:tr>
    </w:tbl>
    <w:p w14:paraId="01AA5F92" w14:textId="4B81D197" w:rsidR="00A1353F" w:rsidRPr="00F60A8A" w:rsidRDefault="00EE6E3C" w:rsidP="003B6EF7">
      <w:pPr>
        <w:spacing w:before="120" w:after="0" w:line="240" w:lineRule="auto"/>
        <w:rPr>
          <w:b/>
          <w:color w:val="00188F"/>
          <w:sz w:val="18"/>
        </w:rPr>
      </w:pPr>
      <w:r>
        <w:rPr>
          <w:b/>
          <w:color w:val="00188F"/>
          <w:sz w:val="18"/>
        </w:rPr>
        <w:t>Obliczanie Czasu Sprawnego Działania i Poziomy Usługi dla SAP HANA on Azure Single Instance</w:t>
      </w:r>
    </w:p>
    <w:p w14:paraId="00210C81" w14:textId="4E5270E9" w:rsidR="00A1353F" w:rsidRDefault="00A1353F" w:rsidP="00A1353F">
      <w:pPr>
        <w:spacing w:after="0" w:line="252" w:lineRule="auto"/>
        <w:ind w:left="720"/>
        <w:rPr>
          <w:sz w:val="18"/>
        </w:rPr>
      </w:pPr>
      <w:r>
        <w:rPr>
          <w:sz w:val="18"/>
        </w:rPr>
        <w:t>„</w:t>
      </w:r>
      <w:r>
        <w:rPr>
          <w:b/>
          <w:color w:val="0072C6"/>
          <w:sz w:val="18"/>
        </w:rPr>
        <w:t>Maksymalny Liczba Dostępnych Minut</w:t>
      </w:r>
      <w:r>
        <w:rPr>
          <w:sz w:val="18"/>
        </w:rPr>
        <w:t xml:space="preserve">” to łączna zakumulowana liczba minut dla wszystkich Pojedynczych Wystąpień usługi SAP HANA on Azure wdrożonych przez Klienta w ramach danej subskrypcji Microsoft Azure we Właściwym Okresie. </w:t>
      </w:r>
    </w:p>
    <w:p w14:paraId="2B39C096" w14:textId="159A32F4" w:rsidR="00A1353F" w:rsidRDefault="00A1353F" w:rsidP="00A1353F">
      <w:pPr>
        <w:spacing w:after="0" w:line="252" w:lineRule="auto"/>
        <w:ind w:left="720"/>
        <w:rPr>
          <w:sz w:val="18"/>
        </w:rPr>
      </w:pPr>
      <w:r>
        <w:rPr>
          <w:sz w:val="18"/>
        </w:rPr>
        <w:t>„</w:t>
      </w:r>
      <w:r>
        <w:rPr>
          <w:b/>
          <w:color w:val="0072C6"/>
          <w:sz w:val="18"/>
        </w:rPr>
        <w:t>Przestój</w:t>
      </w:r>
      <w:r>
        <w:rPr>
          <w:sz w:val="18"/>
        </w:rPr>
        <w:t>” to łączna zakumulowana liczba minut stanowiących część Maksymalnej Liczby Dostępnych Minut, podczas których nie ma</w:t>
      </w:r>
      <w:r w:rsidR="00FE1580">
        <w:rPr>
          <w:sz w:val="18"/>
        </w:rPr>
        <w:t> </w:t>
      </w:r>
      <w:r>
        <w:rPr>
          <w:sz w:val="18"/>
        </w:rPr>
        <w:t>Łączności z Usługą SAP HANA on Azure. Przestój nie obejmuje Zapowiedzianej Konserwacji Pojedynczego Wystąpienia.</w:t>
      </w:r>
    </w:p>
    <w:p w14:paraId="06346CF0" w14:textId="7EB9422E" w:rsidR="00A1353F" w:rsidRDefault="00AC48A7" w:rsidP="00A1353F">
      <w:pPr>
        <w:spacing w:after="0" w:line="252" w:lineRule="auto"/>
        <w:ind w:left="720"/>
        <w:rPr>
          <w:sz w:val="18"/>
        </w:rPr>
      </w:pPr>
      <w:r>
        <w:rPr>
          <w:b/>
          <w:color w:val="0072C6"/>
          <w:sz w:val="18"/>
        </w:rPr>
        <w:t>Procent Czasu Sprawnego Działania</w:t>
      </w:r>
      <w:r w:rsidRPr="0034704E">
        <w:rPr>
          <w:b/>
          <w:color w:val="0072C6"/>
          <w:sz w:val="18"/>
        </w:rPr>
        <w:t>:</w:t>
      </w:r>
      <w:r>
        <w:rPr>
          <w:sz w:val="18"/>
        </w:rPr>
        <w:t xml:space="preserve"> Procent Czasu Sprawnego Działania dla Usługi SAP HANA on Azure Single oblicza się według poniższego wzoru</w:t>
      </w:r>
    </w:p>
    <w:p w14:paraId="2443E2EB" w14:textId="6C65D352" w:rsidR="00A1353F" w:rsidRDefault="00000000" w:rsidP="00A1353F">
      <w:pPr>
        <w:pStyle w:val="ListParagraph"/>
        <w:ind w:left="144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B651FE5" w14:textId="77777777" w:rsidR="00A1353F" w:rsidRPr="003D6548" w:rsidRDefault="00A1353F" w:rsidP="00A1353F">
      <w:pPr>
        <w:spacing w:after="0" w:line="252" w:lineRule="auto"/>
        <w:ind w:left="720"/>
        <w:rPr>
          <w:sz w:val="18"/>
        </w:rPr>
      </w:pPr>
      <w:r>
        <w:rPr>
          <w:sz w:val="18"/>
        </w:rPr>
        <w:t>Do używania przez Klienta Pojedynczego Wystąpienia Usługi SAP HANA on Azure mają zastosowanie następujące Poziomy Usługi i Środki Serwisowe na Używanie Usług:</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30"/>
        <w:gridCol w:w="4950"/>
      </w:tblGrid>
      <w:tr w:rsidR="00A1353F" w:rsidRPr="00B44CF9" w14:paraId="5C67F509" w14:textId="77777777" w:rsidTr="000F31B4">
        <w:trPr>
          <w:trHeight w:val="248"/>
          <w:tblHeader/>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51857BD1" w14:textId="67DB0F7A" w:rsidR="00A1353F" w:rsidRDefault="00AC48A7" w:rsidP="000F31B4">
            <w:pPr>
              <w:pStyle w:val="ProductList-OfferingBody"/>
              <w:spacing w:line="256" w:lineRule="auto"/>
              <w:jc w:val="center"/>
              <w:rPr>
                <w:color w:val="FFFFFF" w:themeColor="background1"/>
              </w:rPr>
            </w:pPr>
            <w:r>
              <w:rPr>
                <w:color w:val="FFFFFF" w:themeColor="background1"/>
              </w:rPr>
              <w:t>Procent Czasu Sprawnego Działania</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8EBE2C9" w14:textId="77777777" w:rsidR="00A1353F" w:rsidRDefault="00A1353F" w:rsidP="000F31B4">
            <w:pPr>
              <w:pStyle w:val="ProductList-OfferingBody"/>
              <w:spacing w:line="256" w:lineRule="auto"/>
              <w:jc w:val="center"/>
              <w:rPr>
                <w:color w:val="FFFFFF" w:themeColor="background1"/>
              </w:rPr>
            </w:pPr>
            <w:r>
              <w:rPr>
                <w:color w:val="FFFFFF" w:themeColor="background1"/>
              </w:rPr>
              <w:t>Środki Serwisowe na Używanie Usług</w:t>
            </w:r>
          </w:p>
        </w:tc>
      </w:tr>
      <w:tr w:rsidR="00A1353F" w:rsidRPr="00B44CF9" w14:paraId="2DA0C933" w14:textId="77777777" w:rsidTr="000F31B4">
        <w:trPr>
          <w:trHeight w:val="248"/>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304711" w14:textId="77777777" w:rsidR="00A1353F" w:rsidRDefault="00A1353F" w:rsidP="000F31B4">
            <w:pPr>
              <w:pStyle w:val="ProductList-OfferingBody"/>
              <w:spacing w:line="256" w:lineRule="auto"/>
              <w:jc w:val="center"/>
            </w:pPr>
            <w:r>
              <w:t>&lt; 99,9%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32720" w14:textId="77777777" w:rsidR="00A1353F" w:rsidRDefault="00A1353F" w:rsidP="000F31B4">
            <w:pPr>
              <w:pStyle w:val="ProductList-OfferingBody"/>
              <w:spacing w:line="256" w:lineRule="auto"/>
              <w:jc w:val="center"/>
            </w:pPr>
            <w:r>
              <w:t>10%</w:t>
            </w:r>
          </w:p>
        </w:tc>
      </w:tr>
      <w:tr w:rsidR="00A1353F" w:rsidRPr="00B44CF9" w14:paraId="0358E243"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536373" w14:textId="77777777" w:rsidR="00A1353F" w:rsidRDefault="00A1353F" w:rsidP="000F31B4">
            <w:pPr>
              <w:pStyle w:val="ProductList-OfferingBody"/>
              <w:spacing w:line="256" w:lineRule="auto"/>
              <w:jc w:val="center"/>
            </w:pPr>
            <w:r>
              <w:t>&lt; 99%</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AF5E9" w14:textId="77777777" w:rsidR="00A1353F" w:rsidRDefault="00A1353F" w:rsidP="000F31B4">
            <w:pPr>
              <w:pStyle w:val="ProductList-OfferingBody"/>
              <w:spacing w:line="256" w:lineRule="auto"/>
              <w:jc w:val="center"/>
            </w:pPr>
            <w:r>
              <w:t>25%</w:t>
            </w:r>
          </w:p>
        </w:tc>
      </w:tr>
      <w:tr w:rsidR="00A1353F" w:rsidRPr="00B44CF9" w14:paraId="3724AEC7" w14:textId="77777777" w:rsidTr="000F31B4">
        <w:trPr>
          <w:trHeight w:val="249"/>
        </w:trPr>
        <w:tc>
          <w:tcPr>
            <w:tcW w:w="5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ECC623" w14:textId="77777777" w:rsidR="00A1353F" w:rsidRDefault="00A1353F" w:rsidP="000F31B4">
            <w:pPr>
              <w:pStyle w:val="ProductList-OfferingBody"/>
              <w:spacing w:line="256" w:lineRule="auto"/>
              <w:jc w:val="center"/>
            </w:pPr>
            <w:r>
              <w:t>&lt;95%</w:t>
            </w:r>
          </w:p>
        </w:tc>
        <w:tc>
          <w:tcPr>
            <w:tcW w:w="49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79DD1F" w14:textId="77777777" w:rsidR="00A1353F" w:rsidRDefault="00A1353F" w:rsidP="000F31B4">
            <w:pPr>
              <w:pStyle w:val="ProductList-OfferingBody"/>
              <w:spacing w:line="256" w:lineRule="auto"/>
              <w:jc w:val="center"/>
            </w:pPr>
            <w:r>
              <w:t>100%</w:t>
            </w:r>
          </w:p>
        </w:tc>
      </w:tr>
    </w:tbl>
    <w:p w14:paraId="1551CAD5" w14:textId="1A649578" w:rsidR="00A1353F" w:rsidRPr="00EF7CF9" w:rsidRDefault="00C71F89" w:rsidP="00A1353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8D9EF78" w14:textId="6EFFA676" w:rsidR="008A01B3" w:rsidRPr="00EF7CF9" w:rsidRDefault="008A01B3" w:rsidP="008A01B3">
      <w:pPr>
        <w:pStyle w:val="ProductList-Offering2Heading"/>
        <w:tabs>
          <w:tab w:val="clear" w:pos="360"/>
          <w:tab w:val="clear" w:pos="720"/>
          <w:tab w:val="clear" w:pos="1080"/>
        </w:tabs>
        <w:outlineLvl w:val="2"/>
      </w:pPr>
      <w:bookmarkStart w:id="382" w:name="_Toc457821569"/>
      <w:bookmarkStart w:id="383" w:name="_Toc52348979"/>
      <w:bookmarkStart w:id="384" w:name="_Toc239175063"/>
      <w:r>
        <w:t>Scheduler</w:t>
      </w:r>
      <w:bookmarkEnd w:id="382"/>
      <w:bookmarkEnd w:id="383"/>
      <w:bookmarkEnd w:id="384"/>
    </w:p>
    <w:p w14:paraId="2BC47509" w14:textId="77777777" w:rsidR="008A01B3" w:rsidRPr="00EF7CF9" w:rsidRDefault="008A01B3" w:rsidP="008A01B3">
      <w:pPr>
        <w:pStyle w:val="ProductList-Body"/>
      </w:pPr>
      <w:r>
        <w:rPr>
          <w:b/>
          <w:color w:val="00188F"/>
        </w:rPr>
        <w:t>Dodatkowe definicje</w:t>
      </w:r>
      <w:r w:rsidRPr="0034704E">
        <w:rPr>
          <w:b/>
          <w:color w:val="00188F"/>
        </w:rPr>
        <w:t>:</w:t>
      </w:r>
    </w:p>
    <w:p w14:paraId="2ACA94B7" w14:textId="59EDB228" w:rsidR="008A01B3" w:rsidRPr="00EF7CF9" w:rsidRDefault="008A01B3" w:rsidP="00CF61FD">
      <w:pPr>
        <w:pStyle w:val="ProductList-Body"/>
      </w:pPr>
      <w:r>
        <w:t>„</w:t>
      </w:r>
      <w:r>
        <w:rPr>
          <w:b/>
          <w:color w:val="00188F"/>
        </w:rPr>
        <w:t>Maksymalna Liczba Minut Dostępności</w:t>
      </w:r>
      <w:r>
        <w:t>” to łączna liczba minut we Właściwym Okresie.</w:t>
      </w:r>
    </w:p>
    <w:p w14:paraId="38B7FE08" w14:textId="77777777" w:rsidR="008A01B3" w:rsidRPr="00EF7CF9" w:rsidRDefault="008A01B3" w:rsidP="00CF61FD">
      <w:pPr>
        <w:pStyle w:val="ProductList-Body"/>
      </w:pPr>
      <w:r>
        <w:t>„</w:t>
      </w:r>
      <w:r>
        <w:rPr>
          <w:b/>
          <w:color w:val="00188F"/>
        </w:rPr>
        <w:t>Planowany Czas Wykonania</w:t>
      </w:r>
      <w:r>
        <w:t>” to zaplanowany czas rozpoczęcia wykonywania Zaplanowanego Zadania.</w:t>
      </w:r>
    </w:p>
    <w:p w14:paraId="059952AD" w14:textId="77777777" w:rsidR="008A01B3" w:rsidRPr="00EF7CF9" w:rsidRDefault="008A01B3" w:rsidP="008A01B3">
      <w:pPr>
        <w:pStyle w:val="ProductList-Body"/>
      </w:pPr>
      <w:r>
        <w:t>„</w:t>
      </w:r>
      <w:r>
        <w:rPr>
          <w:b/>
          <w:color w:val="00188F"/>
        </w:rPr>
        <w:t>Zaplanowane Zadanie</w:t>
      </w:r>
      <w:r>
        <w:t>” to określona przez Klienta czynność do wykonania w ramach platformy Microsoft Azure zgodnie z określonym planem.</w:t>
      </w:r>
    </w:p>
    <w:p w14:paraId="76881DF2" w14:textId="0ED88585" w:rsidR="008A01B3" w:rsidRPr="00EF7CF9" w:rsidRDefault="008A01B3" w:rsidP="008A01B3">
      <w:pPr>
        <w:pStyle w:val="ProductList-Body"/>
      </w:pPr>
      <w:r>
        <w:rPr>
          <w:b/>
          <w:color w:val="00188F"/>
        </w:rPr>
        <w:t>Przestój</w:t>
      </w:r>
      <w:r w:rsidRPr="0034704E">
        <w:rPr>
          <w:b/>
          <w:color w:val="00188F"/>
        </w:rPr>
        <w:t>:</w:t>
      </w:r>
      <w:r>
        <w:t xml:space="preserve"> to łączna zakumulowana liczba minut we Właściwym Okresie, podczas których co najmniej jedno wykonanie Zaplanowanego Zadania Klienta jest opóźnione. Wykonanie Zaplanowanego Zadania jest opóźnione, jeśli nie rozpoczęło się po upływie Planowanego Czasu Wykonania, o ile taki czas opóźnionego wykonania nie zostanie uznany za Przestój, jeśli wykonywanie Zaplanowanego Zadania rozpocznie się w ciągu trzydziestu (30) minut po Planowanym Czasie Wykonania.</w:t>
      </w:r>
    </w:p>
    <w:p w14:paraId="7B8ADE56" w14:textId="0D816BE0" w:rsidR="008A01B3" w:rsidRPr="00EF7CF9" w:rsidRDefault="00AC48A7" w:rsidP="008A01B3">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6F73F6C8" w14:textId="1968D485" w:rsidR="008A01B3" w:rsidRPr="00EF7CF9" w:rsidRDefault="00000000" w:rsidP="00D84948">
      <w:pPr>
        <w:pStyle w:val="ListParagraph"/>
        <w:spacing w:before="120" w:after="24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ECF4B18" w14:textId="77777777" w:rsidR="008A01B3" w:rsidRPr="00EF7CF9" w:rsidRDefault="008A01B3" w:rsidP="008A01B3">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1A2971D9" w14:textId="77777777" w:rsidTr="00277097">
        <w:trPr>
          <w:tblHeader/>
        </w:trPr>
        <w:tc>
          <w:tcPr>
            <w:tcW w:w="5400" w:type="dxa"/>
            <w:shd w:val="clear" w:color="auto" w:fill="0072C6"/>
          </w:tcPr>
          <w:p w14:paraId="0180BC0D" w14:textId="391427F9" w:rsidR="008A01B3"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2BAFA84" w14:textId="77777777" w:rsidR="008A01B3" w:rsidRPr="00EF7CF9" w:rsidRDefault="008A01B3" w:rsidP="000F31B4">
            <w:pPr>
              <w:pStyle w:val="ProductList-OfferingBody"/>
              <w:jc w:val="center"/>
              <w:rPr>
                <w:color w:val="FFFFFF" w:themeColor="background1"/>
              </w:rPr>
            </w:pPr>
            <w:r>
              <w:rPr>
                <w:color w:val="FFFFFF" w:themeColor="background1"/>
              </w:rPr>
              <w:t>Środki Serwisowe na Używanie Usług</w:t>
            </w:r>
          </w:p>
        </w:tc>
      </w:tr>
      <w:tr w:rsidR="008A01B3" w:rsidRPr="00B44CF9" w14:paraId="42193A91" w14:textId="77777777" w:rsidTr="00277097">
        <w:tc>
          <w:tcPr>
            <w:tcW w:w="5400" w:type="dxa"/>
          </w:tcPr>
          <w:p w14:paraId="4301533F" w14:textId="77777777" w:rsidR="008A01B3" w:rsidRPr="00EF7CF9" w:rsidRDefault="008A01B3" w:rsidP="000F31B4">
            <w:pPr>
              <w:pStyle w:val="ProductList-OfferingBody"/>
              <w:jc w:val="center"/>
            </w:pPr>
            <w:r>
              <w:t>&lt; 99,9%</w:t>
            </w:r>
          </w:p>
        </w:tc>
        <w:tc>
          <w:tcPr>
            <w:tcW w:w="5400" w:type="dxa"/>
          </w:tcPr>
          <w:p w14:paraId="24E36152" w14:textId="77777777" w:rsidR="008A01B3" w:rsidRPr="00EF7CF9" w:rsidRDefault="008A01B3" w:rsidP="000F31B4">
            <w:pPr>
              <w:pStyle w:val="ProductList-OfferingBody"/>
              <w:jc w:val="center"/>
            </w:pPr>
            <w:r>
              <w:t>10%</w:t>
            </w:r>
          </w:p>
        </w:tc>
      </w:tr>
      <w:tr w:rsidR="008A01B3" w:rsidRPr="00B44CF9" w14:paraId="196DBFBE" w14:textId="77777777" w:rsidTr="00277097">
        <w:tc>
          <w:tcPr>
            <w:tcW w:w="5400" w:type="dxa"/>
          </w:tcPr>
          <w:p w14:paraId="5CE893DB" w14:textId="77777777" w:rsidR="008A01B3" w:rsidRPr="00EF7CF9" w:rsidRDefault="008A01B3" w:rsidP="000F31B4">
            <w:pPr>
              <w:pStyle w:val="ProductList-OfferingBody"/>
              <w:jc w:val="center"/>
            </w:pPr>
            <w:r>
              <w:t>&lt; 99%</w:t>
            </w:r>
          </w:p>
        </w:tc>
        <w:tc>
          <w:tcPr>
            <w:tcW w:w="5400" w:type="dxa"/>
          </w:tcPr>
          <w:p w14:paraId="617D27D3" w14:textId="77777777" w:rsidR="008A01B3" w:rsidRPr="00EF7CF9" w:rsidRDefault="008A01B3" w:rsidP="000F31B4">
            <w:pPr>
              <w:pStyle w:val="ProductList-OfferingBody"/>
              <w:jc w:val="center"/>
            </w:pPr>
            <w:r>
              <w:t>25%</w:t>
            </w:r>
          </w:p>
        </w:tc>
      </w:tr>
    </w:tbl>
    <w:bookmarkStart w:id="385" w:name="_Toc457821570"/>
    <w:p w14:paraId="588E7567" w14:textId="55D76AF1" w:rsidR="006932CD" w:rsidRPr="00EF7CF9" w:rsidRDefault="00C71F89" w:rsidP="006932C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1551E196" w14:textId="01CE4791" w:rsidR="008A01B3" w:rsidRPr="00EF7CF9" w:rsidRDefault="008A01B3" w:rsidP="008A01B3">
      <w:pPr>
        <w:pStyle w:val="ProductList-Offering2Heading"/>
        <w:tabs>
          <w:tab w:val="clear" w:pos="360"/>
          <w:tab w:val="clear" w:pos="720"/>
          <w:tab w:val="clear" w:pos="1080"/>
        </w:tabs>
        <w:outlineLvl w:val="2"/>
      </w:pPr>
      <w:bookmarkStart w:id="386" w:name="_Toc457821574"/>
      <w:bookmarkStart w:id="387" w:name="_Toc52348984"/>
      <w:bookmarkStart w:id="388" w:name="_Toc239175064"/>
      <w:bookmarkStart w:id="389" w:name="ServiceBusServiceRelays"/>
      <w:bookmarkEnd w:id="385"/>
      <w:r>
        <w:t>Service-Bus</w:t>
      </w:r>
      <w:bookmarkEnd w:id="386"/>
      <w:bookmarkEnd w:id="387"/>
      <w:bookmarkEnd w:id="388"/>
    </w:p>
    <w:bookmarkEnd w:id="389"/>
    <w:p w14:paraId="0147F982" w14:textId="77777777" w:rsidR="008A01B3" w:rsidRPr="00EF7CF9" w:rsidRDefault="008A01B3" w:rsidP="008A01B3">
      <w:pPr>
        <w:pStyle w:val="ProductList-Body"/>
      </w:pPr>
      <w:r>
        <w:rPr>
          <w:b/>
          <w:color w:val="00188F"/>
        </w:rPr>
        <w:t>Dodatkowe definicje</w:t>
      </w:r>
      <w:r w:rsidRPr="0034704E">
        <w:rPr>
          <w:b/>
          <w:color w:val="00188F"/>
        </w:rPr>
        <w:t>:</w:t>
      </w:r>
    </w:p>
    <w:p w14:paraId="792DDA84" w14:textId="77777777" w:rsidR="004868BE" w:rsidRPr="00D6124B" w:rsidRDefault="004868BE" w:rsidP="004868BE">
      <w:pPr>
        <w:pStyle w:val="ProductList-Body"/>
        <w:rPr>
          <w:rFonts w:ascii="Calibri" w:hAnsi="Calibri" w:cs="Calibri"/>
        </w:rPr>
      </w:pPr>
      <w:bookmarkStart w:id="390" w:name="_Toc526859711"/>
      <w:bookmarkStart w:id="391" w:name="_Toc52348985"/>
      <w:bookmarkStart w:id="392" w:name="_Toc457821577"/>
      <w:r>
        <w:rPr>
          <w:rFonts w:ascii="Calibri" w:hAnsi="Calibri" w:cs="Calibri"/>
        </w:rPr>
        <w:t>„</w:t>
      </w:r>
      <w:r>
        <w:rPr>
          <w:rFonts w:ascii="Calibri" w:hAnsi="Calibri" w:cs="Calibri"/>
          <w:b/>
          <w:color w:val="00188F"/>
        </w:rPr>
        <w:t>Wiadomość</w:t>
      </w:r>
      <w:r>
        <w:rPr>
          <w:rFonts w:ascii="Calibri" w:hAnsi="Calibri" w:cs="Calibri"/>
        </w:rPr>
        <w:t>” to dowolna zdefiniowana przez użytkownika treść wysłana albo odebrana przez Przekaźniki, Kolejki lub Tematy usługi Service Bus przy użyciu dowolnego protokołu obsługiwanego przez usługę Service Bus.</w:t>
      </w:r>
    </w:p>
    <w:p w14:paraId="6F2504F1" w14:textId="77777777" w:rsidR="004868BE" w:rsidRPr="00D6124B" w:rsidRDefault="004868BE" w:rsidP="004868BE">
      <w:pPr>
        <w:pStyle w:val="ProductList-Body"/>
        <w:rPr>
          <w:rFonts w:ascii="Calibri" w:hAnsi="Calibri" w:cs="Calibri"/>
        </w:rPr>
      </w:pPr>
      <w:r>
        <w:rPr>
          <w:rFonts w:ascii="Calibri" w:hAnsi="Calibri" w:cs="Calibri"/>
        </w:rPr>
        <w:t>„</w:t>
      </w:r>
      <w:r>
        <w:rPr>
          <w:rFonts w:ascii="Calibri" w:hAnsi="Calibri" w:cs="Calibri"/>
          <w:b/>
          <w:bCs/>
          <w:color w:val="00188F"/>
        </w:rPr>
        <w:t>Strefa Dostępności</w:t>
      </w:r>
      <w:r>
        <w:rPr>
          <w:rFonts w:ascii="Calibri" w:hAnsi="Calibri" w:cs="Calibri"/>
        </w:rPr>
        <w:t>” to bezawaryjny obszar w regionie Azure zapewniający nadmiarowe zasilanie, chłodzenie i funkcje sieciowe.</w:t>
      </w:r>
    </w:p>
    <w:p w14:paraId="7A3B8FA7" w14:textId="77777777" w:rsidR="004868BE" w:rsidRPr="00D6124B" w:rsidRDefault="004868BE" w:rsidP="004868BE">
      <w:pPr>
        <w:pStyle w:val="ProductList-Body"/>
        <w:rPr>
          <w:rFonts w:ascii="Calibri" w:hAnsi="Calibri" w:cs="Calibri"/>
          <w:color w:val="000000" w:themeColor="text1"/>
        </w:rPr>
      </w:pPr>
      <w:r>
        <w:rPr>
          <w:rFonts w:ascii="Calibri" w:hAnsi="Calibri" w:cs="Calibri"/>
        </w:rPr>
        <w:t>„</w:t>
      </w:r>
      <w:r>
        <w:rPr>
          <w:rFonts w:ascii="Calibri" w:hAnsi="Calibri" w:cs="Calibri"/>
          <w:b/>
          <w:bCs/>
          <w:color w:val="00188F"/>
        </w:rPr>
        <w:t>Minuty Wdrożenia</w:t>
      </w:r>
      <w:r>
        <w:rPr>
          <w:rFonts w:ascii="Calibri" w:hAnsi="Calibri" w:cs="Calibri"/>
          <w:color w:val="000000" w:themeColor="text1"/>
        </w:rPr>
        <w:t>” to łączna liczba minut, przez które dany Przekaźnik, Kolejka lub Temat zostały wdrożone na platformie Microsoft Azure we Właściwym Okresie.</w:t>
      </w:r>
    </w:p>
    <w:p w14:paraId="5A02EE7B" w14:textId="77777777" w:rsidR="004868BE" w:rsidRPr="00D6124B" w:rsidRDefault="004868BE" w:rsidP="004868BE">
      <w:pPr>
        <w:pStyle w:val="ProductList-Body"/>
        <w:rPr>
          <w:rFonts w:ascii="Calibri" w:hAnsi="Calibri" w:cs="Calibri"/>
          <w:color w:val="000000" w:themeColor="text1"/>
        </w:rPr>
      </w:pPr>
      <w:r>
        <w:rPr>
          <w:rFonts w:ascii="Calibri" w:hAnsi="Calibri" w:cs="Calibri"/>
        </w:rPr>
        <w:t>„</w:t>
      </w:r>
      <w:r>
        <w:rPr>
          <w:rFonts w:ascii="Calibri" w:hAnsi="Calibri" w:cs="Calibri"/>
          <w:b/>
          <w:bCs/>
          <w:color w:val="00188F"/>
        </w:rPr>
        <w:t>Maksymalna Liczba Dostępnych Minut</w:t>
      </w:r>
      <w:r>
        <w:rPr>
          <w:rFonts w:ascii="Calibri" w:hAnsi="Calibri" w:cs="Calibri"/>
          <w:color w:val="000000" w:themeColor="text1"/>
        </w:rPr>
        <w:t>” to suma wszystkich Minut Wdrożenia dla wszystkich Przekaźników, Kolejek i Tematów wdrożonych przez Klienta w ramach danej subskrypcji Microsoft Azure we Właściwym Okresie.</w:t>
      </w:r>
    </w:p>
    <w:p w14:paraId="3D83C56B" w14:textId="77777777" w:rsidR="004868BE" w:rsidRPr="00D6124B" w:rsidRDefault="004868BE" w:rsidP="004868BE">
      <w:pPr>
        <w:pStyle w:val="ProductList-Body"/>
        <w:rPr>
          <w:rFonts w:ascii="Calibri" w:hAnsi="Calibri" w:cs="Calibri"/>
          <w:color w:val="000000" w:themeColor="text1"/>
        </w:rPr>
      </w:pPr>
      <w:r>
        <w:rPr>
          <w:rFonts w:ascii="Calibri" w:hAnsi="Calibri" w:cs="Calibri"/>
          <w:b/>
          <w:bCs/>
          <w:color w:val="00188F"/>
        </w:rPr>
        <w:t>Przestój:</w:t>
      </w:r>
      <w:r>
        <w:rPr>
          <w:rFonts w:ascii="Calibri" w:hAnsi="Calibri" w:cs="Calibri"/>
          <w:color w:val="000000" w:themeColor="text1"/>
        </w:rPr>
        <w:t xml:space="preserve"> to łączna liczba Minut Wdrożenia dla wszystkich Przekaźników, Kolejek i Tematów wdrożonych przez Klienta w ramach określonej subskrypcji Microsoft Azure, w czasie których Przekaźnik, Kolejka lub Temat są niedostępne. Minuta jest uznawana za minutę niedostępności dla danego Przekaźnika, Kolejki lub Tematu, jeśli wszystkie nieprzerwane próby wysłania lub otrzymania Wiadomości lub wykonania innych operacji związanych z Przekaźnikiem, Kolejką lub Tematem w ciągu tej minuty albo zwracają Kod Błędu, albo nie zwracają Kodu Sukcesu przed upływem pięciu minut.</w:t>
      </w:r>
    </w:p>
    <w:p w14:paraId="03396075" w14:textId="77777777" w:rsidR="004868BE" w:rsidRPr="00D6124B" w:rsidRDefault="004868BE" w:rsidP="004868BE">
      <w:pPr>
        <w:pStyle w:val="ProductList-Body"/>
        <w:rPr>
          <w:rFonts w:ascii="Calibri" w:hAnsi="Calibri" w:cs="Calibri"/>
          <w:color w:val="000000" w:themeColor="text1"/>
        </w:rPr>
      </w:pPr>
      <w:r>
        <w:rPr>
          <w:rFonts w:ascii="Calibri" w:hAnsi="Calibri" w:cs="Calibri"/>
          <w:b/>
          <w:bCs/>
          <w:color w:val="00188F"/>
        </w:rPr>
        <w:t>Procent Czasu Sprawnego Działania:</w:t>
      </w:r>
      <w:r>
        <w:rPr>
          <w:rFonts w:ascii="Calibri" w:hAnsi="Calibri" w:cs="Calibri"/>
          <w:color w:val="000000" w:themeColor="text1"/>
        </w:rPr>
        <w:t xml:space="preserve"> dla Przekaźników, Kolejek i Tematów to Maksymalna Liczba Dostępnych Minut pomniejszona o Przestój podzielona przez Maksymalną Liczbę Dostępnych Minut we Właściwym Okresie dla danej subskrypcji Microsoft Azure.</w:t>
      </w:r>
    </w:p>
    <w:p w14:paraId="4B362007" w14:textId="77777777" w:rsidR="004868BE" w:rsidRPr="00D6124B" w:rsidRDefault="004868BE" w:rsidP="004868BE">
      <w:pPr>
        <w:pStyle w:val="ProductList-Body"/>
        <w:rPr>
          <w:rFonts w:ascii="Calibri" w:hAnsi="Calibri" w:cs="Calibri"/>
          <w:color w:val="000000" w:themeColor="text1"/>
        </w:rPr>
      </w:pPr>
      <w:r>
        <w:rPr>
          <w:rFonts w:ascii="Calibri" w:hAnsi="Calibri" w:cs="Calibri"/>
          <w:color w:val="000000" w:themeColor="text1"/>
        </w:rPr>
        <w:t>Procent Czasu Sprawnego Działania przedstawia się za pomocą następującego wzoru:</w:t>
      </w:r>
    </w:p>
    <w:p w14:paraId="767776DF" w14:textId="77777777" w:rsidR="004868BE" w:rsidRPr="00EF7CF9" w:rsidRDefault="00000000" w:rsidP="004868B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018410C" w14:textId="77777777" w:rsidR="004868BE" w:rsidRPr="00513FBB" w:rsidRDefault="004868BE" w:rsidP="004868BE">
      <w:pPr>
        <w:pStyle w:val="ProductList-Body"/>
        <w:rPr>
          <w:rFonts w:ascii="Calibri" w:hAnsi="Calibri" w:cs="Calibri"/>
          <w:b/>
          <w:bCs/>
          <w:color w:val="00188F"/>
        </w:rPr>
      </w:pPr>
      <w:r>
        <w:rPr>
          <w:rFonts w:ascii="Calibri" w:hAnsi="Calibri" w:cs="Calibri"/>
          <w:b/>
          <w:bCs/>
          <w:color w:val="00188F"/>
        </w:rPr>
        <w:t>Obliczanie Czasu Sprawnego Działania i Poziomy Usługi dla Kolejek i Tematów</w:t>
      </w:r>
    </w:p>
    <w:p w14:paraId="1D8442E7" w14:textId="77777777" w:rsidR="004868BE" w:rsidRPr="00513FBB" w:rsidRDefault="004868BE" w:rsidP="004868BE">
      <w:pPr>
        <w:pStyle w:val="ProductList-Body"/>
        <w:rPr>
          <w:rFonts w:ascii="Calibri" w:hAnsi="Calibri" w:cs="Calibri"/>
          <w:b/>
          <w:bCs/>
          <w:color w:val="00188F"/>
        </w:rPr>
      </w:pPr>
      <w:r>
        <w:rPr>
          <w:rFonts w:ascii="Calibri" w:hAnsi="Calibri" w:cs="Calibri"/>
          <w:b/>
          <w:bCs/>
          <w:color w:val="00188F"/>
        </w:rPr>
        <w:t>Następujące Poziomy Usługi i Środki Serwisowe na Używanie Usług mają zastosowanie do korzystania przez Klienta z Kolejek i Tematów we wszystkich warstwach wdrożonych poza regionami obsługującymi Strefę Dostępności: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68BE" w:rsidRPr="00EF7CF9" w14:paraId="781A22DB" w14:textId="77777777" w:rsidTr="001255D6">
        <w:trPr>
          <w:tblHeader/>
        </w:trPr>
        <w:tc>
          <w:tcPr>
            <w:tcW w:w="5400" w:type="dxa"/>
            <w:shd w:val="clear" w:color="auto" w:fill="0072C6"/>
          </w:tcPr>
          <w:p w14:paraId="76074DB7" w14:textId="77777777" w:rsidR="004868BE" w:rsidRPr="00C311B3" w:rsidRDefault="004868BE"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113D4F5B" w14:textId="77777777" w:rsidR="004868BE" w:rsidRPr="00C311B3" w:rsidRDefault="004868BE"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4868BE" w:rsidRPr="00EF7CF9" w14:paraId="28CF57D0" w14:textId="77777777" w:rsidTr="001255D6">
        <w:tc>
          <w:tcPr>
            <w:tcW w:w="5400" w:type="dxa"/>
          </w:tcPr>
          <w:p w14:paraId="1DB832BB"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&lt;99,9%</w:t>
            </w:r>
          </w:p>
        </w:tc>
        <w:tc>
          <w:tcPr>
            <w:tcW w:w="5400" w:type="dxa"/>
          </w:tcPr>
          <w:p w14:paraId="3E7EFD7C"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10%</w:t>
            </w:r>
          </w:p>
        </w:tc>
      </w:tr>
      <w:tr w:rsidR="004868BE" w:rsidRPr="00EF7CF9" w14:paraId="2FAFFAD5" w14:textId="77777777" w:rsidTr="001255D6">
        <w:tc>
          <w:tcPr>
            <w:tcW w:w="5400" w:type="dxa"/>
          </w:tcPr>
          <w:p w14:paraId="35689144"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&lt;99%</w:t>
            </w:r>
          </w:p>
        </w:tc>
        <w:tc>
          <w:tcPr>
            <w:tcW w:w="5400" w:type="dxa"/>
          </w:tcPr>
          <w:p w14:paraId="0799BB38"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25%</w:t>
            </w:r>
          </w:p>
        </w:tc>
      </w:tr>
    </w:tbl>
    <w:p w14:paraId="0D368CA8" w14:textId="77777777" w:rsidR="004868BE" w:rsidRPr="00C311B3" w:rsidRDefault="004868BE" w:rsidP="004868BE">
      <w:pPr>
        <w:pStyle w:val="ProductList-Body"/>
        <w:spacing w:before="120"/>
        <w:rPr>
          <w:rFonts w:ascii="Calibri" w:hAnsi="Calibri" w:cs="Calibri"/>
          <w:b/>
          <w:bCs/>
          <w:color w:val="00188F"/>
        </w:rPr>
      </w:pPr>
      <w:r>
        <w:rPr>
          <w:rFonts w:ascii="Calibri" w:hAnsi="Calibri" w:cs="Calibri"/>
          <w:b/>
          <w:bCs/>
          <w:color w:val="00188F"/>
        </w:rPr>
        <w:t>Następujące Poziomy Usługi i Środki Serwisowe na Używanie Usług mają zastosowanie do korzystania przez Klienta z Kolejek i Tematów w warstwie Premium wdrożonej w regionach obsługujących Strefę Dostępności: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68BE" w:rsidRPr="00EF7CF9" w14:paraId="3081C31B" w14:textId="77777777" w:rsidTr="001255D6">
        <w:trPr>
          <w:tblHeader/>
        </w:trPr>
        <w:tc>
          <w:tcPr>
            <w:tcW w:w="5400" w:type="dxa"/>
            <w:shd w:val="clear" w:color="auto" w:fill="0072C6"/>
          </w:tcPr>
          <w:p w14:paraId="00BEC341" w14:textId="77777777" w:rsidR="004868BE" w:rsidRPr="00C311B3" w:rsidRDefault="004868BE"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31554D43" w14:textId="77777777" w:rsidR="004868BE" w:rsidRPr="00C311B3" w:rsidRDefault="004868BE"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4868BE" w:rsidRPr="00EF7CF9" w14:paraId="55E7F544" w14:textId="77777777" w:rsidTr="001255D6">
        <w:tc>
          <w:tcPr>
            <w:tcW w:w="5400" w:type="dxa"/>
          </w:tcPr>
          <w:p w14:paraId="7D26B7E3"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&lt;99,99%</w:t>
            </w:r>
          </w:p>
        </w:tc>
        <w:tc>
          <w:tcPr>
            <w:tcW w:w="5400" w:type="dxa"/>
          </w:tcPr>
          <w:p w14:paraId="51697630"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10%</w:t>
            </w:r>
          </w:p>
        </w:tc>
      </w:tr>
      <w:tr w:rsidR="004868BE" w:rsidRPr="00EF7CF9" w14:paraId="5B2B626E" w14:textId="77777777" w:rsidTr="001255D6">
        <w:tc>
          <w:tcPr>
            <w:tcW w:w="5400" w:type="dxa"/>
          </w:tcPr>
          <w:p w14:paraId="3EB905C6"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&lt;99%</w:t>
            </w:r>
          </w:p>
        </w:tc>
        <w:tc>
          <w:tcPr>
            <w:tcW w:w="5400" w:type="dxa"/>
          </w:tcPr>
          <w:p w14:paraId="5B1F4F20"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25%</w:t>
            </w:r>
          </w:p>
        </w:tc>
      </w:tr>
    </w:tbl>
    <w:p w14:paraId="2A6BEDB4" w14:textId="77777777" w:rsidR="004868BE" w:rsidRPr="00C311B3" w:rsidRDefault="004868BE" w:rsidP="004868BE">
      <w:pPr>
        <w:pStyle w:val="ProductList-Body"/>
        <w:spacing w:before="120"/>
        <w:rPr>
          <w:rFonts w:ascii="Calibri" w:hAnsi="Calibri" w:cs="Calibri"/>
          <w:szCs w:val="18"/>
        </w:rPr>
      </w:pPr>
      <w:r>
        <w:rPr>
          <w:rFonts w:ascii="Calibri" w:hAnsi="Calibri" w:cs="Calibri"/>
          <w:b/>
          <w:color w:val="00188F"/>
          <w:szCs w:val="18"/>
        </w:rPr>
        <w:t>Do używania przez Klienta Przekaźników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68BE" w:rsidRPr="00B44CF9" w14:paraId="633F4CED" w14:textId="77777777" w:rsidTr="001255D6">
        <w:trPr>
          <w:tblHeader/>
        </w:trPr>
        <w:tc>
          <w:tcPr>
            <w:tcW w:w="5400" w:type="dxa"/>
            <w:shd w:val="clear" w:color="auto" w:fill="0072C6"/>
          </w:tcPr>
          <w:p w14:paraId="098AE0C5" w14:textId="77777777" w:rsidR="004868BE" w:rsidRPr="00C311B3" w:rsidRDefault="004868BE"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2FDD98E5" w14:textId="77777777" w:rsidR="004868BE" w:rsidRPr="00C311B3" w:rsidRDefault="004868BE" w:rsidP="001255D6">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4868BE" w:rsidRPr="00B44CF9" w14:paraId="7E6FFEF0" w14:textId="77777777" w:rsidTr="001255D6">
        <w:tc>
          <w:tcPr>
            <w:tcW w:w="5400" w:type="dxa"/>
          </w:tcPr>
          <w:p w14:paraId="0E7701BC"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&lt;99,9%</w:t>
            </w:r>
          </w:p>
        </w:tc>
        <w:tc>
          <w:tcPr>
            <w:tcW w:w="5400" w:type="dxa"/>
          </w:tcPr>
          <w:p w14:paraId="068A306A"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10%</w:t>
            </w:r>
          </w:p>
        </w:tc>
      </w:tr>
      <w:tr w:rsidR="004868BE" w:rsidRPr="00B44CF9" w14:paraId="5BB8C676" w14:textId="77777777" w:rsidTr="001255D6">
        <w:tc>
          <w:tcPr>
            <w:tcW w:w="5400" w:type="dxa"/>
          </w:tcPr>
          <w:p w14:paraId="29943261"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&lt;99%</w:t>
            </w:r>
          </w:p>
        </w:tc>
        <w:tc>
          <w:tcPr>
            <w:tcW w:w="5400" w:type="dxa"/>
          </w:tcPr>
          <w:p w14:paraId="355D6A03" w14:textId="77777777" w:rsidR="004868BE" w:rsidRPr="00C311B3" w:rsidRDefault="004868BE" w:rsidP="001255D6">
            <w:pPr>
              <w:pStyle w:val="ProductList-OfferingBody"/>
              <w:jc w:val="center"/>
              <w:rPr>
                <w:rFonts w:ascii="Calibri" w:hAnsi="Calibri" w:cs="Calibri"/>
                <w:szCs w:val="16"/>
              </w:rPr>
            </w:pPr>
            <w:r>
              <w:rPr>
                <w:rFonts w:ascii="Calibri" w:hAnsi="Calibri" w:cs="Calibri"/>
                <w:szCs w:val="16"/>
              </w:rPr>
              <w:t>25%</w:t>
            </w:r>
          </w:p>
        </w:tc>
      </w:tr>
    </w:tbl>
    <w:p w14:paraId="53C46CCD" w14:textId="77777777" w:rsidR="00FC3B61" w:rsidRPr="00202E1D" w:rsidRDefault="00FC3B61" w:rsidP="00FC3B61">
      <w:pPr>
        <w:shd w:val="clear" w:color="auto" w:fill="808080"/>
        <w:spacing w:before="120" w:after="240" w:line="240" w:lineRule="auto"/>
        <w:jc w:val="right"/>
        <w:rPr>
          <w:rFonts w:ascii="Calibri" w:eastAsia="Calibri" w:hAnsi="Calibri" w:cs="Arial"/>
          <w:sz w:val="16"/>
          <w:szCs w:val="16"/>
        </w:rPr>
      </w:pPr>
      <w:hyperlink w:anchor="TOC" w:tooltip="Spis treści" w:history="1">
        <w:r>
          <w:rPr>
            <w:rFonts w:ascii="Calibri" w:eastAsia="Calibri" w:hAnsi="Calibri" w:cs="Arial"/>
            <w:color w:val="0563C1"/>
            <w:sz w:val="16"/>
            <w:szCs w:val="16"/>
            <w:u w:val="single"/>
          </w:rPr>
          <w:t>Spis treści</w:t>
        </w:r>
      </w:hyperlink>
      <w:r>
        <w:rPr>
          <w:rFonts w:ascii="Calibri" w:eastAsia="Calibri" w:hAnsi="Calibri" w:cs="Arial"/>
          <w:sz w:val="16"/>
          <w:szCs w:val="16"/>
        </w:rPr>
        <w:t xml:space="preserve"> / </w:t>
      </w:r>
      <w:hyperlink w:anchor="Definicje" w:tooltip="Definicje" w:history="1">
        <w:r>
          <w:rPr>
            <w:rFonts w:ascii="Calibri" w:eastAsia="Calibri" w:hAnsi="Calibri" w:cs="Arial"/>
            <w:color w:val="0563C1"/>
            <w:sz w:val="16"/>
            <w:szCs w:val="16"/>
            <w:u w:val="single"/>
          </w:rPr>
          <w:t>Definicje</w:t>
        </w:r>
      </w:hyperlink>
    </w:p>
    <w:p w14:paraId="1BB21621" w14:textId="09DC7217" w:rsidR="008A01B3" w:rsidRPr="00EF7CF9" w:rsidRDefault="008A01B3" w:rsidP="008A01B3">
      <w:pPr>
        <w:pStyle w:val="ProductList-Offering2Heading"/>
        <w:tabs>
          <w:tab w:val="clear" w:pos="360"/>
          <w:tab w:val="clear" w:pos="720"/>
          <w:tab w:val="clear" w:pos="1080"/>
        </w:tabs>
        <w:outlineLvl w:val="2"/>
      </w:pPr>
      <w:bookmarkStart w:id="393" w:name="_Toc239175065"/>
      <w:r>
        <w:t>Azure SignalR Service</w:t>
      </w:r>
      <w:bookmarkEnd w:id="390"/>
      <w:bookmarkEnd w:id="391"/>
      <w:bookmarkEnd w:id="393"/>
    </w:p>
    <w:p w14:paraId="1A07B706" w14:textId="77777777" w:rsidR="008A01B3" w:rsidRPr="0022248D" w:rsidRDefault="008A01B3" w:rsidP="008A01B3">
      <w:pPr>
        <w:pStyle w:val="ProductList-Body"/>
        <w:rPr>
          <w:b/>
          <w:color w:val="00188F"/>
        </w:rPr>
      </w:pPr>
      <w:r>
        <w:rPr>
          <w:b/>
          <w:color w:val="00188F"/>
        </w:rPr>
        <w:t>Dodatkowe definicje</w:t>
      </w:r>
      <w:r w:rsidRPr="0034704E">
        <w:rPr>
          <w:b/>
          <w:color w:val="00188F"/>
        </w:rPr>
        <w:t>:</w:t>
      </w:r>
    </w:p>
    <w:p w14:paraId="35051C26" w14:textId="7DBFF7AC" w:rsidR="008A01B3" w:rsidRPr="00B44CF9" w:rsidRDefault="008A01B3" w:rsidP="008A01B3">
      <w:pPr>
        <w:autoSpaceDE w:val="0"/>
        <w:autoSpaceDN w:val="0"/>
        <w:spacing w:after="0" w:line="240" w:lineRule="auto"/>
        <w:rPr>
          <w:rFonts w:ascii="Segoe UI" w:eastAsiaTheme="minorEastAsia" w:hAnsi="Segoe UI" w:cs="Segoe UI"/>
          <w:sz w:val="18"/>
          <w:szCs w:val="18"/>
          <w:lang w:eastAsia="zh-TW"/>
        </w:rPr>
      </w:pPr>
      <w:bookmarkStart w:id="394" w:name="_Hlk525654755"/>
      <w:r>
        <w:rPr>
          <w:sz w:val="18"/>
        </w:rPr>
        <w:t>„</w:t>
      </w:r>
      <w:r>
        <w:rPr>
          <w:b/>
          <w:color w:val="00188F"/>
          <w:sz w:val="18"/>
        </w:rPr>
        <w:t>Przestój</w:t>
      </w:r>
      <w:r>
        <w:rPr>
          <w:sz w:val="18"/>
        </w:rPr>
        <w:t>”</w:t>
      </w:r>
      <w:r>
        <w:rPr>
          <w:sz w:val="18"/>
          <w:szCs w:val="18"/>
        </w:rPr>
        <w:t xml:space="preserve"> </w:t>
      </w:r>
      <w:r>
        <w:rPr>
          <w:sz w:val="18"/>
        </w:rPr>
        <w:t>to łączna zakumulowana Maksymalna Liczba Dostępnych Minut we Właściwym Okresie dla usługi SignalR Service, podczas których usługa SignalR Service jest niedostępna. Minuta jest uznawana za minutę niedostępności, jeśli wszystkie próby wysłania Transakcji w Usłudze SignalR przeprowadzone w ciągu minuty zwracają Kod Błędu albo nie zwracają Kodu Sukcesu w ciągu tej minuty.</w:t>
      </w:r>
      <w:r>
        <w:rPr>
          <w:rFonts w:ascii="Segoe UI" w:eastAsiaTheme="minorEastAsia" w:hAnsi="Segoe UI" w:cs="Segoe UI"/>
          <w:color w:val="000000"/>
          <w:sz w:val="18"/>
          <w:szCs w:val="18"/>
        </w:rPr>
        <w:t xml:space="preserve"> </w:t>
      </w:r>
    </w:p>
    <w:p w14:paraId="2015B5C6" w14:textId="488D6EF4" w:rsidR="008A01B3" w:rsidRPr="00EF7CF9" w:rsidRDefault="008A01B3" w:rsidP="008A01B3">
      <w:pPr>
        <w:pStyle w:val="ProductList-Body"/>
      </w:pPr>
      <w:r>
        <w:t>„</w:t>
      </w:r>
      <w:r>
        <w:rPr>
          <w:b/>
          <w:color w:val="00188F"/>
        </w:rPr>
        <w:t>Maksymalna Liczba Dostępnych Minut</w:t>
      </w:r>
      <w:r>
        <w:t>” to łączna liczba minut, przez które Usługa SignalR Service jest wdrożona przez Klienta w ramach danej subskrypcji Microsoft Azure we Właściwym Okresie.</w:t>
      </w:r>
    </w:p>
    <w:p w14:paraId="7BEB29D8" w14:textId="77777777" w:rsidR="008A01B3" w:rsidRPr="0022248D" w:rsidRDefault="008A01B3" w:rsidP="008A01B3">
      <w:pPr>
        <w:pStyle w:val="ProductList-Body"/>
        <w:spacing w:after="40"/>
      </w:pPr>
      <w:r>
        <w:t>„</w:t>
      </w:r>
      <w:r>
        <w:rPr>
          <w:b/>
          <w:color w:val="00188F"/>
        </w:rPr>
        <w:t>Punkt Końcowy Usługi SignalR Service</w:t>
      </w:r>
      <w:r>
        <w:t>” to nazwa serwera, z którego serwery lub klienci uzyskują dostęp do usługi SignalR Service w celu wykonania Transakcji Usługi SignalR Service.</w:t>
      </w:r>
    </w:p>
    <w:p w14:paraId="07B13729" w14:textId="77777777" w:rsidR="008A01B3" w:rsidRPr="00EF7CF9" w:rsidRDefault="008A01B3" w:rsidP="008A01B3">
      <w:pPr>
        <w:pStyle w:val="ProductList-Body"/>
        <w:spacing w:after="40"/>
      </w:pPr>
      <w:r>
        <w:t>„</w:t>
      </w:r>
      <w:r>
        <w:rPr>
          <w:b/>
          <w:color w:val="00188F"/>
        </w:rPr>
        <w:t>Transakcje Usługi SignalR</w:t>
      </w:r>
      <w:r>
        <w:t>” to zestaw żądań transakcji wysyłanych z klienta do serwera lub z serwera do klienta za pośrednictwem Punktu Końcowego Usługi SignalR Service.</w:t>
      </w:r>
    </w:p>
    <w:bookmarkEnd w:id="394"/>
    <w:p w14:paraId="285D972F" w14:textId="473DC744" w:rsidR="008A01B3" w:rsidRPr="00EF7CF9" w:rsidRDefault="00AC48A7" w:rsidP="008A01B3">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52DA437F" w14:textId="63D9BD66" w:rsidR="008A01B3" w:rsidRPr="00EF7CF9" w:rsidRDefault="00000000" w:rsidP="00B4383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0F10A3F" w14:textId="6D4CEC83" w:rsidR="008A01B3" w:rsidRPr="007D6D82" w:rsidRDefault="008A01B3" w:rsidP="001235AF">
      <w:pPr>
        <w:pStyle w:val="ProductList-Body"/>
        <w:rPr>
          <w:b/>
          <w:color w:val="00188F"/>
        </w:rPr>
      </w:pPr>
      <w:r w:rsidRPr="007D6D82">
        <w:rPr>
          <w:b/>
          <w:color w:val="00188F"/>
        </w:rPr>
        <w:t>Następujące Poziomy Usługi i Zniżki mają zastosowanie do używania przez Klienta warstwy Standardowa w usłudze SignalR Service.</w:t>
      </w:r>
    </w:p>
    <w:p w14:paraId="1A23005C" w14:textId="77777777" w:rsidR="008A01B3" w:rsidRPr="00EF7CF9" w:rsidRDefault="008A01B3" w:rsidP="00D9543D">
      <w:pPr>
        <w:pStyle w:val="ProductList-Body"/>
        <w:keepNext/>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A01B3" w:rsidRPr="00B44CF9" w14:paraId="5735405B" w14:textId="77777777" w:rsidTr="00277097">
        <w:trPr>
          <w:tblHeader/>
        </w:trPr>
        <w:tc>
          <w:tcPr>
            <w:tcW w:w="5400" w:type="dxa"/>
            <w:shd w:val="clear" w:color="auto" w:fill="0072C6"/>
          </w:tcPr>
          <w:p w14:paraId="4BD18B5C" w14:textId="28125B3D" w:rsidR="008A01B3"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0DC1C44" w14:textId="77777777" w:rsidR="008A01B3" w:rsidRPr="005A3C16" w:rsidRDefault="008A01B3" w:rsidP="000F31B4">
            <w:pPr>
              <w:pStyle w:val="ProductList-OfferingBody"/>
              <w:jc w:val="center"/>
              <w:rPr>
                <w:color w:val="FFFFFF" w:themeColor="background1"/>
              </w:rPr>
            </w:pPr>
            <w:r>
              <w:rPr>
                <w:color w:val="FFFFFF" w:themeColor="background1"/>
              </w:rPr>
              <w:t>Środki Serwisowe na Używanie Usług</w:t>
            </w:r>
          </w:p>
        </w:tc>
      </w:tr>
      <w:tr w:rsidR="008A01B3" w:rsidRPr="00B44CF9" w14:paraId="4571EEE1" w14:textId="77777777" w:rsidTr="00277097">
        <w:tc>
          <w:tcPr>
            <w:tcW w:w="5400" w:type="dxa"/>
          </w:tcPr>
          <w:p w14:paraId="30F2D33A" w14:textId="77777777" w:rsidR="008A01B3" w:rsidRPr="005A3C16" w:rsidRDefault="008A01B3" w:rsidP="000F31B4">
            <w:pPr>
              <w:pStyle w:val="ProductList-OfferingBody"/>
              <w:jc w:val="center"/>
            </w:pPr>
            <w:r>
              <w:t>&lt; 99,9%</w:t>
            </w:r>
          </w:p>
        </w:tc>
        <w:tc>
          <w:tcPr>
            <w:tcW w:w="5400" w:type="dxa"/>
          </w:tcPr>
          <w:p w14:paraId="6E9E2EAF" w14:textId="77777777" w:rsidR="008A01B3" w:rsidRPr="005A3C16" w:rsidRDefault="008A01B3" w:rsidP="000F31B4">
            <w:pPr>
              <w:pStyle w:val="ProductList-OfferingBody"/>
              <w:jc w:val="center"/>
            </w:pPr>
            <w:r>
              <w:t>10%</w:t>
            </w:r>
          </w:p>
        </w:tc>
      </w:tr>
      <w:tr w:rsidR="008A01B3" w:rsidRPr="00B44CF9" w14:paraId="707209F1" w14:textId="77777777" w:rsidTr="00277097">
        <w:tc>
          <w:tcPr>
            <w:tcW w:w="5400" w:type="dxa"/>
          </w:tcPr>
          <w:p w14:paraId="3EE5F898" w14:textId="77777777" w:rsidR="008A01B3" w:rsidRPr="005A3C16" w:rsidRDefault="008A01B3" w:rsidP="000F31B4">
            <w:pPr>
              <w:pStyle w:val="ProductList-OfferingBody"/>
              <w:jc w:val="center"/>
            </w:pPr>
            <w:r>
              <w:t>&lt; 99%</w:t>
            </w:r>
          </w:p>
        </w:tc>
        <w:tc>
          <w:tcPr>
            <w:tcW w:w="5400" w:type="dxa"/>
          </w:tcPr>
          <w:p w14:paraId="177EA44E" w14:textId="77777777" w:rsidR="008A01B3" w:rsidRPr="005A3C16" w:rsidRDefault="008A01B3" w:rsidP="000F31B4">
            <w:pPr>
              <w:pStyle w:val="ProductList-OfferingBody"/>
              <w:jc w:val="center"/>
            </w:pPr>
            <w:r>
              <w:t>25%</w:t>
            </w:r>
          </w:p>
        </w:tc>
      </w:tr>
    </w:tbl>
    <w:p w14:paraId="61F458F0" w14:textId="1007472D" w:rsidR="008A01B3" w:rsidRPr="00EF7CF9" w:rsidRDefault="00C71F89" w:rsidP="008A01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3FE2B6D" w14:textId="77777777" w:rsidR="00A601A1" w:rsidRPr="00EF7CF9" w:rsidRDefault="00A601A1" w:rsidP="00A601A1">
      <w:pPr>
        <w:pStyle w:val="ProductList-Offering2Heading"/>
        <w:tabs>
          <w:tab w:val="clear" w:pos="360"/>
          <w:tab w:val="clear" w:pos="720"/>
          <w:tab w:val="clear" w:pos="1080"/>
        </w:tabs>
        <w:outlineLvl w:val="2"/>
      </w:pPr>
      <w:bookmarkStart w:id="395" w:name="AzureSiteRecoveryService_OnPremtoAzure"/>
      <w:bookmarkStart w:id="396" w:name="_Toc52349007"/>
      <w:bookmarkStart w:id="397" w:name="_Toc239175066"/>
      <w:bookmarkEnd w:id="392"/>
      <w:r>
        <w:t>Azure Site Recovery</w:t>
      </w:r>
      <w:bookmarkEnd w:id="395"/>
      <w:bookmarkEnd w:id="396"/>
      <w:bookmarkEnd w:id="397"/>
    </w:p>
    <w:p w14:paraId="58D4E4C4" w14:textId="77777777" w:rsidR="00A601A1" w:rsidRPr="00EF7CF9" w:rsidRDefault="00A601A1" w:rsidP="00A601A1">
      <w:pPr>
        <w:pStyle w:val="ProductList-Body"/>
      </w:pPr>
      <w:r>
        <w:rPr>
          <w:b/>
          <w:color w:val="00188F"/>
        </w:rPr>
        <w:t>Dodatkowe definicje</w:t>
      </w:r>
      <w:r w:rsidRPr="0034704E">
        <w:rPr>
          <w:b/>
          <w:color w:val="00188F"/>
        </w:rPr>
        <w:t>:</w:t>
      </w:r>
    </w:p>
    <w:p w14:paraId="55CA8DA6" w14:textId="77777777" w:rsidR="0062127C" w:rsidRPr="00053A2B" w:rsidRDefault="0062127C" w:rsidP="0062127C">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Tryb Failover</w:t>
      </w:r>
      <w:r>
        <w:rPr>
          <w:rFonts w:ascii="Calibri" w:hAnsi="Calibri" w:cs="Calibri"/>
          <w:szCs w:val="18"/>
        </w:rPr>
        <w:t>” to proces przenoszenia symulowanej lub rzeczywistej kontroli nad Wystąpieniem Chronionym z lokalizacji głównej do lokalizacji dodatkowej.</w:t>
      </w:r>
    </w:p>
    <w:p w14:paraId="56A8EDBF" w14:textId="77777777" w:rsidR="0062127C" w:rsidRPr="00053A2B" w:rsidRDefault="0062127C" w:rsidP="0062127C">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Tryb Failover z Lokacji Lokalnej do Lokacji Azure</w:t>
      </w:r>
      <w:r>
        <w:rPr>
          <w:rFonts w:ascii="Calibri" w:hAnsi="Calibri" w:cs="Calibri"/>
          <w:szCs w:val="18"/>
        </w:rPr>
        <w:t>” to tryb Failover Wystąpienia Chronionego z lokacji głównej innej niż Azure do lokacji dodatkowej Azure.</w:t>
      </w:r>
    </w:p>
    <w:p w14:paraId="29B5AD6D" w14:textId="77777777" w:rsidR="0062127C" w:rsidRPr="00053A2B" w:rsidRDefault="0062127C" w:rsidP="0062127C">
      <w:pPr>
        <w:pStyle w:val="ProductList-Body"/>
        <w:rPr>
          <w:rFonts w:ascii="Calibri" w:hAnsi="Calibri" w:cs="Calibri"/>
          <w:color w:val="505050"/>
          <w:szCs w:val="18"/>
          <w:highlight w:val="yellow"/>
        </w:rPr>
      </w:pPr>
      <w:r>
        <w:rPr>
          <w:rFonts w:ascii="Calibri" w:hAnsi="Calibri" w:cs="Calibri"/>
          <w:szCs w:val="18"/>
        </w:rPr>
        <w:t>„</w:t>
      </w:r>
      <w:r>
        <w:rPr>
          <w:rFonts w:ascii="Calibri" w:hAnsi="Calibri" w:cs="Calibri"/>
          <w:b/>
          <w:color w:val="00188F"/>
          <w:szCs w:val="18"/>
        </w:rPr>
        <w:t>Tryb Failover z Lokacji Azure do Lokacji Azure</w:t>
      </w:r>
      <w:r>
        <w:rPr>
          <w:rFonts w:ascii="Calibri" w:hAnsi="Calibri" w:cs="Calibri"/>
          <w:szCs w:val="18"/>
        </w:rPr>
        <w:t>”</w:t>
      </w:r>
      <w:r>
        <w:rPr>
          <w:rFonts w:ascii="Calibri" w:hAnsi="Calibri" w:cs="Calibri"/>
          <w:color w:val="505050"/>
          <w:szCs w:val="18"/>
        </w:rPr>
        <w:t xml:space="preserve"> </w:t>
      </w:r>
      <w:r>
        <w:rPr>
          <w:rFonts w:ascii="Calibri" w:hAnsi="Calibri" w:cs="Calibri"/>
          <w:szCs w:val="18"/>
        </w:rPr>
        <w:t>to tryb Failover Wystąpienia Chronionego z lokacji głównej Azure do lokacji dodatkowej Azure.</w:t>
      </w:r>
      <w:r>
        <w:rPr>
          <w:rFonts w:ascii="Calibri" w:hAnsi="Calibri" w:cs="Calibri"/>
          <w:color w:val="505050"/>
          <w:szCs w:val="18"/>
          <w:highlight w:val="yellow"/>
        </w:rPr>
        <w:t xml:space="preserve"> </w:t>
      </w:r>
    </w:p>
    <w:p w14:paraId="39CAFDCC" w14:textId="77777777" w:rsidR="0062127C" w:rsidRPr="00053A2B" w:rsidRDefault="0062127C" w:rsidP="0062127C">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Wystąpienie Chronione</w:t>
      </w:r>
      <w:r>
        <w:rPr>
          <w:rFonts w:ascii="Calibri" w:hAnsi="Calibri" w:cs="Calibri"/>
          <w:szCs w:val="18"/>
        </w:rPr>
        <w:t>” to wirtualna lub fizyczna maszyna skonfigurowana przez Usługę Site Recovery na potrzeby replikacji z lokacji głównej do lokacji dodatkowej. Wystąpienia Chronione zostały wyszczególnione w Portalu Zarządzania na karcie Elementów Chronionych w sekcji Usługi Odzyskiwania.</w:t>
      </w:r>
    </w:p>
    <w:p w14:paraId="3B7754B9" w14:textId="77777777" w:rsidR="0062127C" w:rsidRPr="00053A2B" w:rsidRDefault="0062127C" w:rsidP="0062127C">
      <w:pPr>
        <w:pStyle w:val="ProductList-Body"/>
        <w:rPr>
          <w:rFonts w:ascii="Calibri" w:hAnsi="Calibri" w:cs="Calibri"/>
          <w:b/>
          <w:color w:val="00188F"/>
          <w:szCs w:val="18"/>
        </w:rPr>
      </w:pPr>
      <w:r>
        <w:rPr>
          <w:rFonts w:ascii="Calibri" w:hAnsi="Calibri" w:cs="Calibri"/>
          <w:b/>
          <w:color w:val="00188F"/>
          <w:szCs w:val="18"/>
        </w:rPr>
        <w:t>Obliczanie Czasu Sprawnego Działania i Poziomów Usługi dla Trybu Failover z Lokacji Azure do Lokacji Azure lub z Lokacji Lokalnej do Lokacji Azure</w:t>
      </w:r>
    </w:p>
    <w:p w14:paraId="6BFA2056" w14:textId="77777777" w:rsidR="0062127C" w:rsidRPr="00053A2B" w:rsidRDefault="0062127C" w:rsidP="0062127C">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Minuty Działania w Trybie Failover</w:t>
      </w:r>
      <w:r>
        <w:rPr>
          <w:rFonts w:ascii="Calibri" w:hAnsi="Calibri" w:cs="Calibri"/>
          <w:szCs w:val="18"/>
        </w:rPr>
        <w:t>” to łączna liczba minut we Właściwym Okresie, podczas których było wykonywane, ale nie zostało zakończone Przełączanie w Trybie Failover Wystąpienia Chronionego mające na celu replikację z lokacji głównej do lokacji dodatkowej.</w:t>
      </w:r>
    </w:p>
    <w:p w14:paraId="75B768FE" w14:textId="77777777" w:rsidR="0062127C" w:rsidRPr="00053A2B" w:rsidRDefault="0062127C" w:rsidP="0062127C">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Maksymalna Liczba Dostępnych Minut</w:t>
      </w:r>
      <w:r>
        <w:rPr>
          <w:rFonts w:ascii="Calibri" w:hAnsi="Calibri" w:cs="Calibri"/>
          <w:szCs w:val="18"/>
        </w:rPr>
        <w:t>” oznacza łączną liczbę minut, na którą skonfigurowano dane Wystąpienie Chronione dla replikacji Lokacji Azure do Lokacji Azure lub z Lokacji Lokalnej do Lokacji Azure w ramach Usługi Azure Site Recovery we Właściwym Okresie.</w:t>
      </w:r>
    </w:p>
    <w:p w14:paraId="1843CBE4" w14:textId="77777777" w:rsidR="0062127C" w:rsidRPr="00053A2B" w:rsidRDefault="0062127C" w:rsidP="0062127C">
      <w:pPr>
        <w:pStyle w:val="ProductList-Body"/>
        <w:rPr>
          <w:rFonts w:ascii="Calibri" w:hAnsi="Calibri" w:cs="Calibri"/>
          <w:szCs w:val="18"/>
        </w:rPr>
      </w:pPr>
      <w:r>
        <w:rPr>
          <w:rFonts w:ascii="Calibri" w:hAnsi="Calibri" w:cs="Calibri"/>
          <w:szCs w:val="18"/>
        </w:rPr>
        <w:t>„</w:t>
      </w:r>
      <w:r>
        <w:rPr>
          <w:rFonts w:ascii="Calibri" w:hAnsi="Calibri" w:cs="Calibri"/>
          <w:b/>
          <w:color w:val="00188F"/>
          <w:szCs w:val="18"/>
        </w:rPr>
        <w:t>Wystąpienie Chronione</w:t>
      </w:r>
      <w:r>
        <w:rPr>
          <w:rFonts w:ascii="Calibri" w:hAnsi="Calibri" w:cs="Calibri"/>
          <w:szCs w:val="18"/>
        </w:rPr>
        <w:t>” to wirtualna lub fizyczna maszyna skonfigurowana przez usługę Azure Site Recovery na potrzeby replikacji z lokacji głównej do lokacji dodatkowej. Wystąpienia Chronione zostały wyszczególnione w Portalu Zarządzania na karcie Elementów Chronionych w sekcji Usługi Odzyskiwania.</w:t>
      </w:r>
    </w:p>
    <w:p w14:paraId="7BF1A7CA" w14:textId="77777777" w:rsidR="0062127C" w:rsidRPr="00053A2B" w:rsidRDefault="0062127C" w:rsidP="0062127C">
      <w:pPr>
        <w:pStyle w:val="ProductList-Body"/>
        <w:rPr>
          <w:rFonts w:ascii="Calibri" w:hAnsi="Calibri" w:cs="Calibri"/>
          <w:szCs w:val="18"/>
        </w:rPr>
      </w:pPr>
      <w:r>
        <w:rPr>
          <w:rFonts w:ascii="Calibri" w:hAnsi="Calibri" w:cs="Calibri"/>
          <w:b/>
          <w:color w:val="00188F"/>
          <w:szCs w:val="18"/>
        </w:rPr>
        <w:t>Przestój</w:t>
      </w:r>
      <w:r w:rsidRPr="000C56F5">
        <w:rPr>
          <w:rFonts w:ascii="Calibri" w:hAnsi="Calibri" w:cs="Calibri"/>
          <w:b/>
          <w:bCs/>
          <w:szCs w:val="18"/>
        </w:rPr>
        <w:t xml:space="preserve">: </w:t>
      </w:r>
      <w:r>
        <w:rPr>
          <w:rFonts w:ascii="Calibri" w:hAnsi="Calibri" w:cs="Calibri"/>
          <w:szCs w:val="18"/>
        </w:rPr>
        <w:t>to łączna zakumulowana liczba Minut Działania w Trybie Failover, podczas których Przełączanie w Trybie Failover Wystąpienia Chronionego kończy się niepowodzeniem z powodu niedostępności usługi Azure Site Recovery, o ile próby Przełączania w Trybie Failover Wystąpienia Chronionego są podejmowane nie rzadziej niż co trzydzieści minut.</w:t>
      </w:r>
    </w:p>
    <w:p w14:paraId="00BEF8E8" w14:textId="77777777" w:rsidR="0062127C" w:rsidRPr="00053A2B" w:rsidRDefault="0062127C" w:rsidP="0062127C">
      <w:pPr>
        <w:pStyle w:val="ProductList-Body"/>
        <w:keepNext/>
        <w:rPr>
          <w:rFonts w:ascii="Calibri" w:hAnsi="Calibri" w:cs="Calibri"/>
          <w:szCs w:val="18"/>
        </w:rPr>
      </w:pPr>
      <w:r>
        <w:rPr>
          <w:rFonts w:ascii="Calibri" w:hAnsi="Calibri" w:cs="Calibri"/>
          <w:b/>
          <w:color w:val="00188F"/>
          <w:szCs w:val="18"/>
        </w:rPr>
        <w:t>Procent Czasu Sprawnego Działania</w:t>
      </w:r>
      <w:r w:rsidRPr="00A93828">
        <w:rPr>
          <w:rFonts w:ascii="Calibri" w:hAnsi="Calibri" w:cs="Calibri"/>
          <w:b/>
          <w:bCs/>
          <w:szCs w:val="18"/>
        </w:rPr>
        <w:t xml:space="preserve">: </w:t>
      </w:r>
      <w:r>
        <w:rPr>
          <w:rFonts w:ascii="Calibri" w:hAnsi="Calibri" w:cs="Calibri"/>
          <w:szCs w:val="18"/>
        </w:rPr>
        <w:t xml:space="preserve">dla Trybu Failover Lokacji Azure do Lokacji Azure lub Lokacji Lokalnej do Lokacji Azure danego Wystąpienia Chronionego w danym Właściwym Okresie to Maksymalna Liczba Dostępnych Minut pomniejszona o Przestój i podzielna przez Maksymalną Liczbę Dostępnych Minut. </w:t>
      </w:r>
    </w:p>
    <w:p w14:paraId="395F8DF6" w14:textId="77777777" w:rsidR="0062127C" w:rsidRPr="00053A2B" w:rsidRDefault="0062127C" w:rsidP="0062127C">
      <w:pPr>
        <w:pStyle w:val="ProductList-Body"/>
        <w:keepNext/>
        <w:rPr>
          <w:rFonts w:ascii="Calibri" w:hAnsi="Calibri" w:cs="Calibri"/>
          <w:szCs w:val="18"/>
        </w:rPr>
      </w:pPr>
      <w:r>
        <w:rPr>
          <w:rFonts w:ascii="Calibri" w:hAnsi="Calibri" w:cs="Calibri"/>
          <w:szCs w:val="18"/>
        </w:rPr>
        <w:t>Procent Czasu Sprawnego Działania jest obliczany przy użyciu następującego wzoru:</w:t>
      </w:r>
    </w:p>
    <w:p w14:paraId="2422C449" w14:textId="77777777" w:rsidR="0062127C" w:rsidRPr="00EF7CF9" w:rsidRDefault="00000000" w:rsidP="00B43832">
      <w:pPr>
        <w:pStyle w:val="ListParagraph"/>
        <w:keepNext/>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64D0E1BC" w14:textId="77777777" w:rsidR="0062127C" w:rsidRDefault="0062127C" w:rsidP="0062127C">
      <w:pPr>
        <w:pStyle w:val="ProductList-Body"/>
        <w:rPr>
          <w:rFonts w:ascii="Calibri" w:hAnsi="Calibri" w:cs="Calibri"/>
          <w:b/>
          <w:color w:val="00188F"/>
        </w:rPr>
      </w:pPr>
      <w:r>
        <w:rPr>
          <w:rFonts w:ascii="Calibri" w:hAnsi="Calibri" w:cs="Calibri"/>
          <w:b/>
          <w:color w:val="00188F"/>
        </w:rPr>
        <w:t>Do korzystania przez Klienta z każdego Wystąpienia Chronionego w ramach Usługi Site Recovery w przypadku Trybu Failover Lokacji Azure do Lokacji Azure lub Lokacji Lokalnej do Lokacji Azure mają zastosowanie następujące Poziomy Usług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2127C" w:rsidRPr="00B44CF9" w14:paraId="1EEE65F1" w14:textId="77777777" w:rsidTr="009D172D">
        <w:trPr>
          <w:tblHeader/>
        </w:trPr>
        <w:tc>
          <w:tcPr>
            <w:tcW w:w="5400" w:type="dxa"/>
            <w:shd w:val="clear" w:color="auto" w:fill="0072C6"/>
          </w:tcPr>
          <w:p w14:paraId="3C70D27F" w14:textId="77777777" w:rsidR="0062127C" w:rsidRPr="00053A2B" w:rsidRDefault="0062127C"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4F482CE0" w14:textId="77777777" w:rsidR="0062127C" w:rsidRPr="00053A2B" w:rsidRDefault="0062127C" w:rsidP="009D172D">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62127C" w:rsidRPr="00B44CF9" w14:paraId="1FBBE43B" w14:textId="77777777" w:rsidTr="009D172D">
        <w:tc>
          <w:tcPr>
            <w:tcW w:w="5400" w:type="dxa"/>
          </w:tcPr>
          <w:p w14:paraId="3AC99CDA" w14:textId="77777777" w:rsidR="0062127C" w:rsidRPr="00053A2B" w:rsidRDefault="0062127C" w:rsidP="009D172D">
            <w:pPr>
              <w:pStyle w:val="ProductList-OfferingBody"/>
              <w:jc w:val="center"/>
              <w:rPr>
                <w:rFonts w:ascii="Calibri" w:hAnsi="Calibri" w:cs="Calibri"/>
                <w:szCs w:val="16"/>
              </w:rPr>
            </w:pPr>
            <w:r>
              <w:rPr>
                <w:rFonts w:ascii="Calibri" w:hAnsi="Calibri" w:cs="Calibri"/>
                <w:szCs w:val="16"/>
              </w:rPr>
              <w:t>&lt; 99,9%</w:t>
            </w:r>
          </w:p>
        </w:tc>
        <w:tc>
          <w:tcPr>
            <w:tcW w:w="5400" w:type="dxa"/>
          </w:tcPr>
          <w:p w14:paraId="639329EA" w14:textId="77777777" w:rsidR="0062127C" w:rsidRPr="00053A2B" w:rsidRDefault="0062127C" w:rsidP="009D172D">
            <w:pPr>
              <w:pStyle w:val="ProductList-OfferingBody"/>
              <w:jc w:val="center"/>
              <w:rPr>
                <w:rFonts w:ascii="Calibri" w:hAnsi="Calibri" w:cs="Calibri"/>
                <w:szCs w:val="16"/>
              </w:rPr>
            </w:pPr>
            <w:r>
              <w:rPr>
                <w:rFonts w:ascii="Calibri" w:hAnsi="Calibri" w:cs="Calibri"/>
                <w:szCs w:val="16"/>
              </w:rPr>
              <w:t>10%</w:t>
            </w:r>
          </w:p>
        </w:tc>
      </w:tr>
      <w:tr w:rsidR="0062127C" w:rsidRPr="00B44CF9" w14:paraId="2C2A09FE" w14:textId="77777777" w:rsidTr="009D172D">
        <w:tc>
          <w:tcPr>
            <w:tcW w:w="5400" w:type="dxa"/>
          </w:tcPr>
          <w:p w14:paraId="062F6655" w14:textId="77777777" w:rsidR="0062127C" w:rsidRPr="00053A2B" w:rsidRDefault="0062127C" w:rsidP="009D172D">
            <w:pPr>
              <w:pStyle w:val="ProductList-OfferingBody"/>
              <w:jc w:val="center"/>
              <w:rPr>
                <w:rFonts w:ascii="Calibri" w:hAnsi="Calibri" w:cs="Calibri"/>
                <w:szCs w:val="16"/>
              </w:rPr>
            </w:pPr>
            <w:r>
              <w:rPr>
                <w:rFonts w:ascii="Calibri" w:hAnsi="Calibri" w:cs="Calibri"/>
                <w:szCs w:val="16"/>
              </w:rPr>
              <w:t>&lt; 99%</w:t>
            </w:r>
          </w:p>
        </w:tc>
        <w:tc>
          <w:tcPr>
            <w:tcW w:w="5400" w:type="dxa"/>
          </w:tcPr>
          <w:p w14:paraId="63757583" w14:textId="77777777" w:rsidR="0062127C" w:rsidRPr="00053A2B" w:rsidRDefault="0062127C" w:rsidP="009D172D">
            <w:pPr>
              <w:pStyle w:val="ProductList-OfferingBody"/>
              <w:jc w:val="center"/>
              <w:rPr>
                <w:rFonts w:ascii="Calibri" w:hAnsi="Calibri" w:cs="Calibri"/>
                <w:szCs w:val="16"/>
              </w:rPr>
            </w:pPr>
            <w:r>
              <w:rPr>
                <w:rFonts w:ascii="Calibri" w:hAnsi="Calibri" w:cs="Calibri"/>
                <w:szCs w:val="16"/>
              </w:rPr>
              <w:t>25%</w:t>
            </w:r>
          </w:p>
        </w:tc>
      </w:tr>
    </w:tbl>
    <w:p w14:paraId="63CE2239" w14:textId="77777777" w:rsidR="0062127C" w:rsidRPr="00053A2B" w:rsidRDefault="0062127C" w:rsidP="0062127C">
      <w:pPr>
        <w:pStyle w:val="ProductList-Body"/>
        <w:spacing w:before="120"/>
        <w:rPr>
          <w:rFonts w:ascii="Calibri" w:hAnsi="Calibri" w:cs="Calibri"/>
          <w:b/>
          <w:bCs/>
          <w:color w:val="00188F"/>
        </w:rPr>
      </w:pPr>
      <w:r>
        <w:rPr>
          <w:rFonts w:ascii="Calibri" w:hAnsi="Calibri" w:cs="Calibri"/>
          <w:b/>
          <w:bCs/>
          <w:color w:val="00188F"/>
        </w:rPr>
        <w:t>Obliczanie Docelowego Czasu Odzyskiwania i Poziomy Usługi dla Przełączania w Trybie Failover z Lokacji Lokalnej do Lokacji Azure.</w:t>
      </w:r>
    </w:p>
    <w:p w14:paraId="7603D373" w14:textId="77777777" w:rsidR="0062127C" w:rsidRPr="00053A2B" w:rsidRDefault="0062127C" w:rsidP="0062127C">
      <w:pPr>
        <w:pStyle w:val="ProductList-Body"/>
        <w:rPr>
          <w:rFonts w:ascii="Calibri" w:hAnsi="Calibri" w:cs="Calibri"/>
        </w:rPr>
      </w:pPr>
      <w:r>
        <w:rPr>
          <w:rFonts w:ascii="Calibri" w:hAnsi="Calibri" w:cs="Calibri"/>
        </w:rPr>
        <w:t>„</w:t>
      </w:r>
      <w:r>
        <w:rPr>
          <w:rFonts w:ascii="Calibri" w:hAnsi="Calibri" w:cs="Calibri"/>
          <w:b/>
          <w:color w:val="00188F"/>
        </w:rPr>
        <w:t>Docelowy Czas Odzyskiwania (RTO)</w:t>
      </w:r>
      <w:r>
        <w:rPr>
          <w:rFonts w:ascii="Calibri" w:hAnsi="Calibri" w:cs="Calibri"/>
        </w:rPr>
        <w:t>” oznacza okres od chwili, gdy Klient zainicjuje Tryb Failover Wystąpienia Chronionego, w którym wystąpi planowana lub nieplanowana przerwa w replikacji z Lokacji Lokalnej do Lokacji Azure, do czasu, gdy Wystąpienie Chronione będzie działać jako maszyna wirtualna na platformie Microsoft Azure, z wyłączeniem wszelkich okresów związanych z czynnościami ręcznymi lub wykonaniem skryptów Klienta.</w:t>
      </w:r>
    </w:p>
    <w:p w14:paraId="0BD3CE74" w14:textId="77777777" w:rsidR="0062127C" w:rsidRPr="0018346E" w:rsidRDefault="0062127C" w:rsidP="0062127C">
      <w:pPr>
        <w:pStyle w:val="ProductList-Body"/>
        <w:rPr>
          <w:rFonts w:ascii="Calibri" w:hAnsi="Calibri" w:cs="Calibri"/>
        </w:rPr>
      </w:pPr>
      <w:r>
        <w:rPr>
          <w:rFonts w:ascii="Calibri" w:hAnsi="Calibri" w:cs="Calibri"/>
        </w:rPr>
        <w:t>„</w:t>
      </w:r>
      <w:r>
        <w:rPr>
          <w:rFonts w:ascii="Calibri" w:hAnsi="Calibri" w:cs="Calibri"/>
          <w:b/>
          <w:color w:val="00188F"/>
        </w:rPr>
        <w:t>Docelowy Czas Odzyskiwania</w:t>
      </w:r>
      <w:r>
        <w:rPr>
          <w:rFonts w:ascii="Calibri" w:hAnsi="Calibri" w:cs="Calibri"/>
        </w:rPr>
        <w:t>”</w:t>
      </w:r>
      <w:r w:rsidRPr="00590921">
        <w:rPr>
          <w:rFonts w:ascii="Calibri" w:hAnsi="Calibri" w:cs="Calibri"/>
          <w:b/>
          <w:bCs/>
        </w:rPr>
        <w:t>:</w:t>
      </w:r>
      <w:r>
        <w:rPr>
          <w:rFonts w:ascii="Calibri" w:hAnsi="Calibri" w:cs="Calibri"/>
        </w:rPr>
        <w:t xml:space="preserve"> dla określonego Wystąpienia Chronionego skonfigurowanego na potrzeby replikacji z Lokacji Lokalnej do Lokacji Azure w trakcie danego miesiąca rozliczeniowego wynosi jedną godzinę.</w:t>
      </w:r>
    </w:p>
    <w:p w14:paraId="57A3EC5D" w14:textId="77777777" w:rsidR="0062127C" w:rsidRPr="00053A2B" w:rsidRDefault="0062127C" w:rsidP="0062127C">
      <w:pPr>
        <w:pStyle w:val="ProductList-Body"/>
        <w:rPr>
          <w:rFonts w:ascii="Calibri" w:hAnsi="Calibri" w:cs="Calibri"/>
          <w:b/>
          <w:color w:val="00188F"/>
          <w:sz w:val="12"/>
          <w:szCs w:val="12"/>
        </w:rPr>
      </w:pPr>
    </w:p>
    <w:p w14:paraId="46AF9CC7" w14:textId="77777777" w:rsidR="0062127C" w:rsidRPr="00053A2B" w:rsidRDefault="0062127C" w:rsidP="0062127C">
      <w:pPr>
        <w:pStyle w:val="ProductList-Body"/>
        <w:rPr>
          <w:rFonts w:ascii="Calibri" w:hAnsi="Calibri" w:cs="Calibri"/>
        </w:rPr>
      </w:pPr>
      <w:r>
        <w:rPr>
          <w:rFonts w:ascii="Calibri" w:hAnsi="Calibri" w:cs="Calibri"/>
          <w:b/>
          <w:color w:val="00188F"/>
        </w:rPr>
        <w:t>Do używania przez Klienta każdego Wystąpienia Chronionego w ramach usługi Site Recovery dla Trybu Failover z Lokacji Lokalnej do Lokacji Azure mają zastosowanie następujące Poziomy Usługi i Środki na Używanie Usług</w:t>
      </w:r>
      <w:r w:rsidRPr="0019543C">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2127C" w:rsidRPr="00B44CF9" w14:paraId="75FCA661" w14:textId="77777777" w:rsidTr="009D172D">
        <w:trPr>
          <w:tblHeader/>
        </w:trPr>
        <w:tc>
          <w:tcPr>
            <w:tcW w:w="5400" w:type="dxa"/>
            <w:shd w:val="clear" w:color="auto" w:fill="0072C6"/>
          </w:tcPr>
          <w:p w14:paraId="5A1E54D5" w14:textId="77777777" w:rsidR="0062127C" w:rsidRPr="00EF7CF9" w:rsidRDefault="0062127C" w:rsidP="009D172D">
            <w:pPr>
              <w:pStyle w:val="ProductList-OfferingBody"/>
              <w:jc w:val="center"/>
              <w:rPr>
                <w:color w:val="FFFFFF" w:themeColor="background1"/>
              </w:rPr>
            </w:pPr>
            <w:r>
              <w:rPr>
                <w:color w:val="FFFFFF" w:themeColor="background1"/>
              </w:rPr>
              <w:t>Docelowy Czas Odzyskiwania</w:t>
            </w:r>
          </w:p>
        </w:tc>
        <w:tc>
          <w:tcPr>
            <w:tcW w:w="5400" w:type="dxa"/>
            <w:shd w:val="clear" w:color="auto" w:fill="0072C6"/>
          </w:tcPr>
          <w:p w14:paraId="58A967B6" w14:textId="77777777" w:rsidR="0062127C" w:rsidRPr="00EF7CF9" w:rsidRDefault="0062127C" w:rsidP="009D172D">
            <w:pPr>
              <w:pStyle w:val="ProductList-OfferingBody"/>
              <w:jc w:val="center"/>
              <w:rPr>
                <w:color w:val="FFFFFF" w:themeColor="background1"/>
              </w:rPr>
            </w:pPr>
            <w:r>
              <w:rPr>
                <w:color w:val="FFFFFF" w:themeColor="background1"/>
              </w:rPr>
              <w:t>Środki Serwisowe na Używanie Usług</w:t>
            </w:r>
          </w:p>
        </w:tc>
      </w:tr>
      <w:tr w:rsidR="0062127C" w:rsidRPr="00B44CF9" w14:paraId="2BB504AD" w14:textId="77777777" w:rsidTr="009D172D">
        <w:tc>
          <w:tcPr>
            <w:tcW w:w="5400" w:type="dxa"/>
          </w:tcPr>
          <w:p w14:paraId="7887BB57" w14:textId="77777777" w:rsidR="0062127C" w:rsidRPr="00053A2B" w:rsidRDefault="0062127C" w:rsidP="009D172D">
            <w:pPr>
              <w:pStyle w:val="ProductList-OfferingBody"/>
              <w:jc w:val="center"/>
              <w:rPr>
                <w:rFonts w:ascii="Calibri" w:hAnsi="Calibri" w:cs="Calibri"/>
                <w:szCs w:val="16"/>
              </w:rPr>
            </w:pPr>
            <w:r>
              <w:rPr>
                <w:rFonts w:ascii="Calibri" w:hAnsi="Calibri" w:cs="Calibri"/>
                <w:szCs w:val="16"/>
              </w:rPr>
              <w:t>&gt; 1 godzina</w:t>
            </w:r>
          </w:p>
        </w:tc>
        <w:tc>
          <w:tcPr>
            <w:tcW w:w="5400" w:type="dxa"/>
          </w:tcPr>
          <w:p w14:paraId="0A2AEC39" w14:textId="77777777" w:rsidR="0062127C" w:rsidRPr="00053A2B" w:rsidRDefault="0062127C" w:rsidP="009D172D">
            <w:pPr>
              <w:pStyle w:val="ProductList-OfferingBody"/>
              <w:jc w:val="center"/>
              <w:rPr>
                <w:rFonts w:ascii="Calibri" w:hAnsi="Calibri" w:cs="Calibri"/>
                <w:szCs w:val="16"/>
              </w:rPr>
            </w:pPr>
            <w:r>
              <w:rPr>
                <w:rFonts w:ascii="Calibri" w:hAnsi="Calibri" w:cs="Calibri"/>
                <w:szCs w:val="16"/>
              </w:rPr>
              <w:t>100%</w:t>
            </w:r>
          </w:p>
        </w:tc>
      </w:tr>
    </w:tbl>
    <w:p w14:paraId="5A811CA4" w14:textId="77777777" w:rsidR="0062127C" w:rsidRPr="00053A2B" w:rsidRDefault="0062127C" w:rsidP="0062127C">
      <w:pPr>
        <w:pStyle w:val="ProductList-Body"/>
        <w:spacing w:before="120"/>
        <w:rPr>
          <w:rFonts w:ascii="Calibri" w:hAnsi="Calibri" w:cs="Calibri"/>
          <w:b/>
          <w:bCs/>
          <w:color w:val="00188F"/>
          <w:szCs w:val="18"/>
        </w:rPr>
      </w:pPr>
      <w:r>
        <w:rPr>
          <w:rFonts w:ascii="Calibri" w:hAnsi="Calibri" w:cs="Calibri"/>
          <w:b/>
          <w:bCs/>
          <w:color w:val="00188F"/>
          <w:szCs w:val="18"/>
        </w:rPr>
        <w:t>Obliczanie Docelowego Czasu Odzyskiwania i Poziomy Usługi dla Przełączania w Trybie Failover z Lokacji Azure do Lokacji Azure.</w:t>
      </w:r>
    </w:p>
    <w:p w14:paraId="26349779" w14:textId="77777777" w:rsidR="0062127C" w:rsidRPr="00053A2B" w:rsidRDefault="0062127C" w:rsidP="00C91464">
      <w:pPr>
        <w:pStyle w:val="ProductList-Body"/>
        <w:keepNext/>
        <w:rPr>
          <w:rFonts w:ascii="Calibri" w:hAnsi="Calibri" w:cs="Calibri"/>
          <w:szCs w:val="18"/>
        </w:rPr>
      </w:pPr>
      <w:r>
        <w:rPr>
          <w:rFonts w:ascii="Calibri" w:hAnsi="Calibri" w:cs="Calibri"/>
          <w:bCs/>
          <w:szCs w:val="18"/>
        </w:rPr>
        <w:t>„</w:t>
      </w:r>
      <w:r>
        <w:rPr>
          <w:rFonts w:ascii="Calibri" w:hAnsi="Calibri" w:cs="Calibri"/>
          <w:b/>
          <w:bCs/>
          <w:color w:val="00188F"/>
          <w:szCs w:val="18"/>
        </w:rPr>
        <w:t>Docelowy Czas Odzyskiwania (RTO)</w:t>
      </w:r>
      <w:r>
        <w:rPr>
          <w:rFonts w:ascii="Calibri" w:hAnsi="Calibri" w:cs="Calibri"/>
          <w:szCs w:val="18"/>
        </w:rPr>
        <w:t>”</w:t>
      </w:r>
      <w:r>
        <w:rPr>
          <w:rFonts w:ascii="Calibri" w:hAnsi="Calibri" w:cs="Calibri"/>
          <w:color w:val="00188F"/>
          <w:szCs w:val="18"/>
        </w:rPr>
        <w:t xml:space="preserve"> </w:t>
      </w:r>
      <w:r>
        <w:rPr>
          <w:rFonts w:ascii="Calibri" w:hAnsi="Calibri" w:cs="Calibri"/>
          <w:szCs w:val="18"/>
        </w:rPr>
        <w:t>oznacza okres od chwili, gdy Klient zainicjuje Tryb Failover Wystąpienia Chronionego dla replikacji z Lokacji Azure do Lokacji Azure, do czasu, gdy Wystąpienie Chronione będzie działać jako maszyna wirtualna w dodatkowym regionie świadczenia usługi Azure z wyłączeniem wszelkich okresów związanych z czynnościami ręcznymi lub wykonaniem skryptów Klienta.</w:t>
      </w:r>
    </w:p>
    <w:p w14:paraId="4AA3B2E8" w14:textId="77777777" w:rsidR="0062127C" w:rsidRPr="00053A2B" w:rsidRDefault="0062127C" w:rsidP="0062127C">
      <w:pPr>
        <w:spacing w:after="120" w:line="240" w:lineRule="auto"/>
        <w:rPr>
          <w:rFonts w:ascii="Calibri" w:hAnsi="Calibri" w:cs="Calibri"/>
          <w:color w:val="00188F"/>
          <w:sz w:val="18"/>
          <w:szCs w:val="18"/>
        </w:rPr>
      </w:pPr>
      <w:r>
        <w:rPr>
          <w:rFonts w:ascii="Calibri" w:hAnsi="Calibri" w:cs="Calibri"/>
          <w:sz w:val="18"/>
          <w:szCs w:val="18"/>
        </w:rPr>
        <w:t>„</w:t>
      </w:r>
      <w:r>
        <w:rPr>
          <w:rFonts w:ascii="Calibri" w:hAnsi="Calibri" w:cs="Calibri"/>
          <w:b/>
          <w:bCs/>
          <w:color w:val="00188F"/>
          <w:sz w:val="18"/>
          <w:szCs w:val="18"/>
        </w:rPr>
        <w:t>Docelowy Czas Odzyskiwania</w:t>
      </w:r>
      <w:r>
        <w:rPr>
          <w:rFonts w:ascii="Calibri" w:hAnsi="Calibri" w:cs="Calibri"/>
          <w:sz w:val="18"/>
          <w:szCs w:val="18"/>
        </w:rPr>
        <w:t>”</w:t>
      </w:r>
      <w:r>
        <w:rPr>
          <w:rFonts w:ascii="Calibri" w:hAnsi="Calibri" w:cs="Calibri"/>
          <w:b/>
          <w:color w:val="00188F"/>
          <w:sz w:val="18"/>
          <w:szCs w:val="18"/>
        </w:rPr>
        <w:t xml:space="preserve"> </w:t>
      </w:r>
      <w:r>
        <w:rPr>
          <w:rFonts w:ascii="Calibri" w:hAnsi="Calibri" w:cs="Calibri"/>
          <w:sz w:val="18"/>
          <w:szCs w:val="18"/>
        </w:rPr>
        <w:t>dla określonego Wystąpienia Chronionego skonfigurowanego na potrzeby replikacji z Lokacji Azure do Lokacji Azure w trakcie danego Właściwego Okresu wynosi jedną godzinę.</w:t>
      </w:r>
    </w:p>
    <w:p w14:paraId="05133FBB" w14:textId="77777777" w:rsidR="0062127C" w:rsidRPr="00053A2B" w:rsidRDefault="0062127C" w:rsidP="0062127C">
      <w:pPr>
        <w:pStyle w:val="ProductList-Body"/>
        <w:rPr>
          <w:rFonts w:ascii="Calibri" w:hAnsi="Calibri" w:cs="Calibri"/>
          <w:szCs w:val="18"/>
        </w:rPr>
      </w:pPr>
      <w:r>
        <w:rPr>
          <w:rFonts w:ascii="Calibri" w:hAnsi="Calibri" w:cs="Calibri"/>
          <w:b/>
          <w:color w:val="00188F"/>
          <w:szCs w:val="18"/>
        </w:rPr>
        <w:t>Do używania przez Klienta każdego Wystąpienia Chronionego w ramach usługi Site Recovery dla Trybu Failover z Lokacji Azure do Lokacji Azure mają zastosowanie następujące Poziomy Usługi i Środki na Używanie Usług</w:t>
      </w:r>
      <w:r w:rsidRPr="002F1572">
        <w:rPr>
          <w:rFonts w:ascii="Calibri" w:hAnsi="Calibri" w:cs="Calibri"/>
          <w:b/>
          <w:bCs/>
          <w:szCs w:val="18"/>
        </w:rPr>
        <w:t>:</w:t>
      </w:r>
      <w:r>
        <w:rPr>
          <w:rFonts w:ascii="Calibri" w:hAnsi="Calibri" w:cs="Calibri"/>
          <w:szCs w:val="18"/>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2127C" w14:paraId="740FC57E" w14:textId="77777777" w:rsidTr="009D172D">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4E80AD6B" w14:textId="77777777" w:rsidR="0062127C" w:rsidRPr="00053A2B" w:rsidRDefault="0062127C"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Docelowy Czas Odzyskiwania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989BC76" w14:textId="77777777" w:rsidR="0062127C" w:rsidRPr="00053A2B" w:rsidRDefault="0062127C" w:rsidP="009D172D">
            <w:pPr>
              <w:pStyle w:val="ProductList-OfferingBody"/>
              <w:spacing w:line="254" w:lineRule="auto"/>
              <w:jc w:val="center"/>
              <w:rPr>
                <w:rFonts w:ascii="Calibri" w:hAnsi="Calibri" w:cs="Calibri"/>
                <w:bCs/>
                <w:color w:val="FFFFFF" w:themeColor="background1"/>
                <w:szCs w:val="16"/>
              </w:rPr>
            </w:pPr>
            <w:r>
              <w:rPr>
                <w:rFonts w:ascii="Calibri" w:hAnsi="Calibri" w:cs="Calibri"/>
                <w:bCs/>
                <w:color w:val="FFFFFF" w:themeColor="background1"/>
                <w:szCs w:val="16"/>
              </w:rPr>
              <w:t>Środki Serwisowe na Używanie Usług</w:t>
            </w:r>
          </w:p>
        </w:tc>
      </w:tr>
      <w:tr w:rsidR="0062127C" w14:paraId="285811D9" w14:textId="77777777" w:rsidTr="009D172D">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86FAE" w14:textId="77777777" w:rsidR="0062127C" w:rsidRPr="00053A2B" w:rsidRDefault="0062127C" w:rsidP="009D172D">
            <w:pPr>
              <w:pStyle w:val="ProductList-OfferingBody"/>
              <w:spacing w:line="254" w:lineRule="auto"/>
              <w:jc w:val="center"/>
              <w:rPr>
                <w:rFonts w:ascii="Calibri" w:hAnsi="Calibri" w:cs="Calibri"/>
                <w:szCs w:val="16"/>
              </w:rPr>
            </w:pPr>
            <w:r>
              <w:rPr>
                <w:rFonts w:ascii="Calibri" w:hAnsi="Calibri" w:cs="Calibri"/>
                <w:szCs w:val="16"/>
              </w:rPr>
              <w:t>&gt; 1 godzina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813841" w14:textId="77777777" w:rsidR="0062127C" w:rsidRPr="00053A2B" w:rsidRDefault="0062127C" w:rsidP="009D172D">
            <w:pPr>
              <w:pStyle w:val="ProductList-OfferingBody"/>
              <w:spacing w:line="254" w:lineRule="auto"/>
              <w:jc w:val="center"/>
              <w:rPr>
                <w:rFonts w:ascii="Calibri" w:hAnsi="Calibri" w:cs="Calibri"/>
                <w:szCs w:val="16"/>
              </w:rPr>
            </w:pPr>
            <w:r>
              <w:rPr>
                <w:rFonts w:ascii="Calibri" w:hAnsi="Calibri" w:cs="Calibri"/>
                <w:szCs w:val="16"/>
              </w:rPr>
              <w:t>100%</w:t>
            </w:r>
          </w:p>
        </w:tc>
      </w:tr>
    </w:tbl>
    <w:p w14:paraId="55B16B9A" w14:textId="77777777" w:rsidR="0062127C" w:rsidRPr="00053A2B" w:rsidRDefault="0062127C" w:rsidP="00021976">
      <w:pPr>
        <w:spacing w:before="120" w:after="0" w:line="240" w:lineRule="auto"/>
        <w:rPr>
          <w:rFonts w:ascii="Calibri" w:hAnsi="Calibri" w:cs="Calibri"/>
          <w:sz w:val="18"/>
          <w:szCs w:val="18"/>
        </w:rPr>
      </w:pPr>
      <w:r>
        <w:rPr>
          <w:rFonts w:ascii="Calibri" w:hAnsi="Calibri" w:cs="Calibri"/>
          <w:b/>
          <w:bCs/>
          <w:color w:val="00188F"/>
          <w:sz w:val="18"/>
          <w:szCs w:val="18"/>
        </w:rPr>
        <w:t>Uwaga:</w:t>
      </w:r>
      <w:r>
        <w:rPr>
          <w:rFonts w:ascii="Calibri" w:hAnsi="Calibri" w:cs="Calibri"/>
          <w:sz w:val="18"/>
          <w:szCs w:val="18"/>
        </w:rPr>
        <w:t xml:space="preserve"> Środki Serwisowe na Używanie Usług w przypadku awarii Trybu Failover nie będą miały zastosowania, jeśli moc obliczeniowa w regionie dodatkowym nie jest dostępna.</w:t>
      </w:r>
    </w:p>
    <w:p w14:paraId="1775BC0D" w14:textId="5A1AC420" w:rsidR="00A601A1" w:rsidRPr="00EF7CF9" w:rsidRDefault="00C71F89" w:rsidP="00A601A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7748417" w14:textId="77777777" w:rsidR="004F034D" w:rsidRPr="004F034D" w:rsidRDefault="004F034D" w:rsidP="00BC5957">
      <w:pPr>
        <w:pStyle w:val="ProductList-Offering2Heading"/>
        <w:keepNext/>
        <w:tabs>
          <w:tab w:val="clear" w:pos="360"/>
          <w:tab w:val="clear" w:pos="720"/>
          <w:tab w:val="clear" w:pos="1080"/>
        </w:tabs>
        <w:outlineLvl w:val="2"/>
      </w:pPr>
      <w:bookmarkStart w:id="398" w:name="_Toc239175067"/>
      <w:r>
        <w:t>Spatial Anchors</w:t>
      </w:r>
      <w:bookmarkEnd w:id="398"/>
    </w:p>
    <w:p w14:paraId="0BFC321D" w14:textId="77777777" w:rsidR="004F034D" w:rsidRPr="00405BA5" w:rsidRDefault="004F034D" w:rsidP="00BC5957">
      <w:pPr>
        <w:pStyle w:val="ProductList-Body"/>
        <w:keepNext/>
        <w:rPr>
          <w:b/>
          <w:bCs/>
          <w:color w:val="00188F"/>
        </w:rPr>
      </w:pPr>
      <w:r>
        <w:rPr>
          <w:b/>
          <w:bCs/>
          <w:color w:val="00188F"/>
        </w:rPr>
        <w:t>Dodatkowe definicje</w:t>
      </w:r>
    </w:p>
    <w:p w14:paraId="651B2826" w14:textId="1A6118BF" w:rsidR="004F034D" w:rsidRDefault="004F034D" w:rsidP="004F034D">
      <w:pPr>
        <w:pStyle w:val="ProductList-Body"/>
      </w:pPr>
      <w:r>
        <w:t>„</w:t>
      </w:r>
      <w:r>
        <w:rPr>
          <w:b/>
          <w:bCs/>
          <w:color w:val="00188F"/>
        </w:rPr>
        <w:t>Łączna Liczba Prób Transakcji</w:t>
      </w:r>
      <w:r w:rsidR="00D011AB" w:rsidRPr="00D011AB">
        <w:t>”</w:t>
      </w:r>
      <w:r>
        <w:t xml:space="preserve"> to łączna liczba uwierzytelnionych żądań API ze strony Klienta w odniesieniu do usługi Azure Spatial Anchors we Właściwym Okresie w ramach danego interfejsu API usług Azure Spatial Anchors. Łączna Liczba Prób Transakcji nie obejmuje żądań interfejsu API, które zwracają Kod Błędu i które są kolejno powtarzane w ciągu pięciu minut po zwróceniu pierwszego Kodu Błędu.</w:t>
      </w:r>
    </w:p>
    <w:p w14:paraId="796CA674" w14:textId="77777777" w:rsidR="004F034D" w:rsidRDefault="004F034D" w:rsidP="004F034D">
      <w:pPr>
        <w:pStyle w:val="ProductList-Body"/>
      </w:pPr>
      <w:r>
        <w:t>„</w:t>
      </w:r>
      <w:r>
        <w:rPr>
          <w:b/>
          <w:bCs/>
          <w:color w:val="00188F"/>
        </w:rPr>
        <w:t>Transakcje Zakończone Niepowodzeniem</w:t>
      </w:r>
      <w:r>
        <w:t>” to zbiór wszystkich żądań skierowanych do interfejsu API usług Azure Spatial Anchors w ramach Łącznej Liczby Prób Transakcji, które zwracają Kod Błędu.</w:t>
      </w:r>
    </w:p>
    <w:p w14:paraId="5DEAF8F5" w14:textId="33CFCAAA" w:rsidR="004F034D" w:rsidRPr="001012EB" w:rsidRDefault="00EE6E3C" w:rsidP="001012EB">
      <w:pPr>
        <w:pStyle w:val="ProductList-Body"/>
        <w:keepNext/>
        <w:rPr>
          <w:b/>
          <w:bCs/>
          <w:color w:val="00188F"/>
        </w:rPr>
      </w:pPr>
      <w:r>
        <w:rPr>
          <w:b/>
          <w:bCs/>
          <w:color w:val="00188F"/>
        </w:rPr>
        <w:t>Obliczanie Czasu Sprawnego Działania</w:t>
      </w:r>
    </w:p>
    <w:p w14:paraId="1A5DAFF7" w14:textId="1C2574AF" w:rsidR="004F034D" w:rsidRDefault="004F034D" w:rsidP="004F034D">
      <w:pPr>
        <w:pStyle w:val="ProductList-Body"/>
      </w:pPr>
      <w:r>
        <w:t>„</w:t>
      </w:r>
      <w:r>
        <w:rPr>
          <w:b/>
          <w:bCs/>
          <w:color w:val="00188F"/>
        </w:rPr>
        <w:t>Procent Czasu Sprawnego Działania</w:t>
      </w:r>
      <w:r w:rsidR="00D011AB" w:rsidRPr="00D011AB">
        <w:t>”</w:t>
      </w:r>
      <w:r>
        <w:t xml:space="preserve"> dla Usługi Azure Spatial Anchors to Łączna Liczba Prób Transakcji pomniejszona o Transakcje Zakończone Niepowodzeniem i podzielona przez Łączną Liczbę Prób Transakcji we Właściwym Okresie dla danej subskrypcji Microsoft Azure. Procent Czasu Sprawnego Działania przedstawia się za pomocą następującego wzoru:</w:t>
      </w:r>
    </w:p>
    <w:p w14:paraId="02BCFA38" w14:textId="5386D955" w:rsidR="00F21F65" w:rsidRPr="00EF7CF9" w:rsidRDefault="00000000" w:rsidP="00B43832">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Tahoma"/>
                  <w:i/>
                  <w:color w:val="000000" w:themeColor="text1"/>
                  <w:sz w:val="18"/>
                  <w:szCs w:val="18"/>
                </w:rPr>
              </m:ctrlPr>
            </m:fPr>
            <m:num>
              <m:r>
                <m:rPr>
                  <m:nor/>
                </m:rPr>
                <w:rPr>
                  <w:rFonts w:ascii="Cambria Math" w:hAnsi="Cambria Math" w:cs="Tahoma"/>
                  <w:i/>
                  <w:color w:val="000000" w:themeColor="text1"/>
                  <w:sz w:val="18"/>
                  <w:szCs w:val="18"/>
                </w:rPr>
                <m:t>Łączna Liczba Prób Transakcji – Nieudane Transakcje</m:t>
              </m:r>
            </m:num>
            <m:den>
              <m:r>
                <m:rPr>
                  <m:nor/>
                </m:rPr>
                <w:rPr>
                  <w:rFonts w:ascii="Cambria Math" w:hAnsi="Cambria Math" w:cs="Tahoma"/>
                  <w:i/>
                  <w:color w:val="000000" w:themeColor="text1"/>
                  <w:sz w:val="18"/>
                  <w:szCs w:val="18"/>
                </w:rPr>
                <m:t>Łączna Liczba Prób Transakcji</m:t>
              </m:r>
            </m:den>
          </m:f>
          <m:r>
            <w:rPr>
              <w:rFonts w:ascii="Cambria Math" w:hAnsi="Cambria Math" w:cs="Tahoma"/>
              <w:color w:val="000000" w:themeColor="text1"/>
              <w:sz w:val="18"/>
              <w:szCs w:val="18"/>
            </w:rPr>
            <m:t xml:space="preserve"> x 100</m:t>
          </m:r>
        </m:oMath>
      </m:oMathPara>
    </w:p>
    <w:p w14:paraId="1269FB19" w14:textId="08E6C7AF" w:rsidR="004F034D" w:rsidRPr="00D83D15" w:rsidRDefault="004F034D" w:rsidP="004F034D">
      <w:pPr>
        <w:pStyle w:val="ProductList-Body"/>
        <w:rPr>
          <w:b/>
          <w:bCs/>
          <w:color w:val="00188F"/>
        </w:rPr>
      </w:pPr>
      <w:r>
        <w:rPr>
          <w:b/>
          <w:bCs/>
          <w:color w:val="00188F"/>
        </w:rPr>
        <w:t>Do używania przez Klienta interfejsów API usług Azure Spatial Anchors mają zastosowanie następujące Poziomy Usługi i Środki Serwisowe na</w:t>
      </w:r>
      <w:r w:rsidR="00073755">
        <w:rPr>
          <w:b/>
          <w:bCs/>
          <w:color w:val="00188F"/>
        </w:rPr>
        <w:t> </w:t>
      </w:r>
      <w:r>
        <w:rPr>
          <w:b/>
          <w:bCs/>
          <w:color w:val="00188F"/>
        </w:rPr>
        <w:t>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638F" w:rsidRPr="00B44CF9" w14:paraId="2A64F92D" w14:textId="77777777" w:rsidTr="00277097">
        <w:trPr>
          <w:tblHeader/>
        </w:trPr>
        <w:tc>
          <w:tcPr>
            <w:tcW w:w="5400" w:type="dxa"/>
            <w:shd w:val="clear" w:color="auto" w:fill="0072C6"/>
          </w:tcPr>
          <w:p w14:paraId="4BB37E10" w14:textId="317549EE" w:rsidR="005C638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FF80F05" w14:textId="77777777" w:rsidR="005C638F" w:rsidRPr="00EF7CF9" w:rsidRDefault="005C638F" w:rsidP="000F31B4">
            <w:pPr>
              <w:pStyle w:val="ProductList-OfferingBody"/>
              <w:jc w:val="center"/>
              <w:rPr>
                <w:color w:val="FFFFFF" w:themeColor="background1"/>
              </w:rPr>
            </w:pPr>
            <w:r>
              <w:rPr>
                <w:color w:val="FFFFFF" w:themeColor="background1"/>
              </w:rPr>
              <w:t>Środki Serwisowe na Używanie Usług</w:t>
            </w:r>
          </w:p>
        </w:tc>
      </w:tr>
      <w:tr w:rsidR="005C638F" w:rsidRPr="00B44CF9" w14:paraId="1100463E" w14:textId="77777777" w:rsidTr="00277097">
        <w:tc>
          <w:tcPr>
            <w:tcW w:w="5400" w:type="dxa"/>
          </w:tcPr>
          <w:p w14:paraId="7EB7FC53" w14:textId="77777777" w:rsidR="005C638F" w:rsidRPr="00EF7CF9" w:rsidRDefault="005C638F" w:rsidP="000F31B4">
            <w:pPr>
              <w:pStyle w:val="ProductList-OfferingBody"/>
              <w:jc w:val="center"/>
            </w:pPr>
            <w:r>
              <w:t>&lt; 99,9%</w:t>
            </w:r>
          </w:p>
        </w:tc>
        <w:tc>
          <w:tcPr>
            <w:tcW w:w="5400" w:type="dxa"/>
          </w:tcPr>
          <w:p w14:paraId="7357F934" w14:textId="77777777" w:rsidR="005C638F" w:rsidRPr="00EF7CF9" w:rsidRDefault="005C638F" w:rsidP="000F31B4">
            <w:pPr>
              <w:pStyle w:val="ProductList-OfferingBody"/>
              <w:jc w:val="center"/>
            </w:pPr>
            <w:r>
              <w:t>10%</w:t>
            </w:r>
          </w:p>
        </w:tc>
      </w:tr>
      <w:tr w:rsidR="005C638F" w:rsidRPr="00B44CF9" w14:paraId="4DC15696" w14:textId="77777777" w:rsidTr="00277097">
        <w:tc>
          <w:tcPr>
            <w:tcW w:w="5400" w:type="dxa"/>
          </w:tcPr>
          <w:p w14:paraId="52935FDC" w14:textId="77777777" w:rsidR="005C638F" w:rsidRPr="00EF7CF9" w:rsidRDefault="005C638F" w:rsidP="000F31B4">
            <w:pPr>
              <w:pStyle w:val="ProductList-OfferingBody"/>
              <w:jc w:val="center"/>
            </w:pPr>
            <w:r>
              <w:t>&lt; 99%</w:t>
            </w:r>
          </w:p>
        </w:tc>
        <w:tc>
          <w:tcPr>
            <w:tcW w:w="5400" w:type="dxa"/>
          </w:tcPr>
          <w:p w14:paraId="7AD1629F" w14:textId="77777777" w:rsidR="005C638F" w:rsidRPr="00EF7CF9" w:rsidRDefault="005C638F" w:rsidP="000F31B4">
            <w:pPr>
              <w:pStyle w:val="ProductList-OfferingBody"/>
              <w:jc w:val="center"/>
            </w:pPr>
            <w:r>
              <w:t>25%</w:t>
            </w:r>
          </w:p>
        </w:tc>
      </w:tr>
    </w:tbl>
    <w:p w14:paraId="295E10CB" w14:textId="6E9254CE" w:rsidR="005C638F" w:rsidRPr="00EF7CF9" w:rsidRDefault="00C71F89" w:rsidP="005C638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0D3B8C1" w14:textId="4E13D317" w:rsidR="004731F2" w:rsidRPr="004731F2" w:rsidRDefault="004731F2" w:rsidP="004731F2">
      <w:pPr>
        <w:pStyle w:val="ProductList-Offering2Heading"/>
        <w:keepNext/>
        <w:tabs>
          <w:tab w:val="clear" w:pos="360"/>
          <w:tab w:val="clear" w:pos="720"/>
          <w:tab w:val="clear" w:pos="1080"/>
        </w:tabs>
        <w:outlineLvl w:val="2"/>
      </w:pPr>
      <w:bookmarkStart w:id="399" w:name="_Toc239175068"/>
      <w:r>
        <w:t>Azure Spring Apps</w:t>
      </w:r>
      <w:bookmarkEnd w:id="399"/>
    </w:p>
    <w:p w14:paraId="0563B350" w14:textId="77777777" w:rsidR="004731F2" w:rsidRPr="004731F2" w:rsidRDefault="004731F2" w:rsidP="004731F2">
      <w:pPr>
        <w:pStyle w:val="ProductList-Body"/>
        <w:rPr>
          <w:b/>
          <w:bCs/>
          <w:color w:val="00188F"/>
        </w:rPr>
      </w:pPr>
      <w:r>
        <w:rPr>
          <w:b/>
          <w:bCs/>
          <w:color w:val="00188F"/>
        </w:rPr>
        <w:t>Dodatkowe definicje</w:t>
      </w:r>
    </w:p>
    <w:p w14:paraId="5CE2A674" w14:textId="77777777" w:rsidR="004731F2" w:rsidRDefault="004731F2" w:rsidP="004731F2">
      <w:pPr>
        <w:pStyle w:val="ProductList-Body"/>
      </w:pPr>
      <w:r>
        <w:t>„</w:t>
      </w:r>
      <w:r>
        <w:rPr>
          <w:b/>
          <w:bCs/>
          <w:color w:val="00188F"/>
        </w:rPr>
        <w:t>Aplikacja</w:t>
      </w:r>
      <w:r>
        <w:t>” to Aplikacja Spring Boot wdrożona przez Klienta w ramach usługi Azure Spring Apps. z wyłączeniem wszelkich Aplikacji w Warstwie Podstawowa.</w:t>
      </w:r>
    </w:p>
    <w:p w14:paraId="10973B28" w14:textId="138B8047" w:rsidR="004731F2" w:rsidRDefault="004731F2" w:rsidP="00855DD8">
      <w:pPr>
        <w:pStyle w:val="ProductList-Body"/>
      </w:pPr>
      <w:r>
        <w:t>„</w:t>
      </w:r>
      <w:r>
        <w:rPr>
          <w:b/>
          <w:bCs/>
          <w:color w:val="00188F"/>
        </w:rPr>
        <w:t>Środowisko Uruchomieniowe Usługi Spring Apps</w:t>
      </w:r>
      <w:r>
        <w:t>” to zbiór składników usługi Spring Apps (na przykład Serwer Konfiguracyjny Usługi Spring Apps i</w:t>
      </w:r>
      <w:r w:rsidR="00F94027">
        <w:t> </w:t>
      </w:r>
      <w:r>
        <w:t>Rejestr Usługi Spring Apps) hostowanych przez Microsoft.</w:t>
      </w:r>
    </w:p>
    <w:p w14:paraId="6C47BC19" w14:textId="7BA2076C" w:rsidR="004731F2" w:rsidRPr="004731F2" w:rsidRDefault="00EE6E3C" w:rsidP="00855DD8">
      <w:pPr>
        <w:pStyle w:val="ProductList-Body"/>
        <w:rPr>
          <w:b/>
          <w:bCs/>
          <w:color w:val="00188F"/>
        </w:rPr>
      </w:pPr>
      <w:r>
        <w:rPr>
          <w:b/>
          <w:bCs/>
          <w:color w:val="00188F"/>
        </w:rPr>
        <w:t>Obliczanie Czasu Sprawnego Działania i Poziomy Usługi dla Azure Spring Apps</w:t>
      </w:r>
    </w:p>
    <w:p w14:paraId="17080AFD" w14:textId="79A5B04B" w:rsidR="004731F2" w:rsidRDefault="004731F2" w:rsidP="004731F2">
      <w:pPr>
        <w:pStyle w:val="ProductList-Body"/>
      </w:pPr>
      <w:r>
        <w:t>„</w:t>
      </w:r>
      <w:r>
        <w:rPr>
          <w:b/>
          <w:bCs/>
          <w:color w:val="00188F"/>
        </w:rPr>
        <w:t>Minuty Wdrożenia</w:t>
      </w:r>
      <w:r>
        <w:t>” to łączna liczba minut, przez które dana Aplikacja była skonfigurowana do uruchomienia na platformie Microsoft Azure we</w:t>
      </w:r>
      <w:r w:rsidR="003C4C07">
        <w:t> </w:t>
      </w:r>
      <w:r>
        <w:t>Właściwym Okresie. Minuty Wdrożenia są mierzone od momentu utworzenia Aplikacji albo zainicjowania przez Klienta działania, które spowoduje uruchomienie Aplikacji, do momentu, w którym Klient zainicjuje działanie, które spowoduje zatrzymanie albo usunięcie Aplikacji.</w:t>
      </w:r>
    </w:p>
    <w:p w14:paraId="7ADA867F" w14:textId="2E191388" w:rsidR="004731F2" w:rsidRDefault="004731F2" w:rsidP="004731F2">
      <w:pPr>
        <w:pStyle w:val="ProductList-Body"/>
      </w:pPr>
      <w:r>
        <w:t>„</w:t>
      </w:r>
      <w:r>
        <w:rPr>
          <w:b/>
          <w:bCs/>
          <w:color w:val="00188F"/>
        </w:rPr>
        <w:t>Maksymalna Liczba Dostępnych Minut</w:t>
      </w:r>
      <w:r>
        <w:t>” to suma wszystkich Minut Wdrożenia dla wszystkich Aplikacji wdrożonych przez Klienta w ramach danej</w:t>
      </w:r>
      <w:r w:rsidR="003C4C07">
        <w:t> </w:t>
      </w:r>
      <w:r>
        <w:t>subskrypcji Microsoft Azure we Właściwym Okresie.</w:t>
      </w:r>
    </w:p>
    <w:p w14:paraId="78D8D718" w14:textId="42E36066" w:rsidR="004731F2" w:rsidRDefault="004731F2" w:rsidP="004731F2">
      <w:pPr>
        <w:pStyle w:val="ProductList-Body"/>
      </w:pPr>
      <w:r>
        <w:t>„</w:t>
      </w:r>
      <w:r>
        <w:rPr>
          <w:b/>
          <w:bCs/>
          <w:color w:val="00188F"/>
        </w:rPr>
        <w:t>Przestój</w:t>
      </w:r>
      <w:r>
        <w:t>” to suma wszystkich Minut Wdrożenia dla wszystkich Aplikacji wdrożonych przez Klienta w ramach danej subskrypcji Microsoft Azure we</w:t>
      </w:r>
      <w:r w:rsidR="003C4C07">
        <w:t> </w:t>
      </w:r>
      <w:r>
        <w:t>Właściwym Okresie, w czasie których dana Aplikacja jest niedostępna. Minuta jest uznawana za minutę niedostępności dla danej Aplikacji, jeśli</w:t>
      </w:r>
      <w:r w:rsidR="003C4C07">
        <w:t> </w:t>
      </w:r>
      <w:r>
        <w:t>wszystkie nieprzerwane próby nawiązania łączności między Aplikacją a bramą internetową Microsoft albo Środowiskiem Uruchomieniowym usługi Azure Spring Apps w ciągu tej minuty albo zwracają Kod Błędu, albo nie zwracają Kodu Sukcesu przed upływem pięciu minut.</w:t>
      </w:r>
    </w:p>
    <w:p w14:paraId="480E1E8E" w14:textId="21D8E4D5" w:rsidR="004731F2" w:rsidRDefault="004731F2" w:rsidP="004731F2">
      <w:pPr>
        <w:pStyle w:val="ProductList-Body"/>
      </w:pPr>
      <w:r>
        <w:t>„</w:t>
      </w:r>
      <w:r>
        <w:rPr>
          <w:b/>
          <w:bCs/>
          <w:color w:val="00188F"/>
        </w:rPr>
        <w:t>Procent Czasu Sprawnego Działania</w:t>
      </w:r>
      <w:r>
        <w:t>” jest obliczany przy użyciu następującego wzoru:</w:t>
      </w:r>
    </w:p>
    <w:p w14:paraId="0ECF3A39" w14:textId="18873F8C" w:rsidR="004731F2" w:rsidRPr="00EF7CF9" w:rsidRDefault="00000000" w:rsidP="00B4383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8F62620" w14:textId="76801D8A" w:rsidR="004731F2" w:rsidRPr="004731F2" w:rsidRDefault="00DE237E" w:rsidP="004731F2">
      <w:pPr>
        <w:pStyle w:val="ProductList-Body"/>
        <w:rPr>
          <w:b/>
          <w:bCs/>
          <w:color w:val="00188F"/>
        </w:rPr>
      </w:pPr>
      <w:r>
        <w:rPr>
          <w:b/>
          <w:bCs/>
          <w:color w:val="00188F"/>
        </w:rPr>
        <w:t>Do Warstwy Standardowa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731F2" w:rsidRPr="00B44CF9" w14:paraId="66CC6CC2" w14:textId="77777777" w:rsidTr="00277097">
        <w:trPr>
          <w:tblHeader/>
        </w:trPr>
        <w:tc>
          <w:tcPr>
            <w:tcW w:w="5400" w:type="dxa"/>
            <w:shd w:val="clear" w:color="auto" w:fill="0072C6"/>
          </w:tcPr>
          <w:p w14:paraId="7C8F279A" w14:textId="18CF9446" w:rsidR="004731F2"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AEF3B8E" w14:textId="77777777" w:rsidR="004731F2" w:rsidRPr="00EF7CF9" w:rsidRDefault="004731F2" w:rsidP="000F31B4">
            <w:pPr>
              <w:pStyle w:val="ProductList-OfferingBody"/>
              <w:jc w:val="center"/>
              <w:rPr>
                <w:color w:val="FFFFFF" w:themeColor="background1"/>
              </w:rPr>
            </w:pPr>
            <w:r>
              <w:rPr>
                <w:color w:val="FFFFFF" w:themeColor="background1"/>
              </w:rPr>
              <w:t>Środki Serwisowe na Używanie Usług</w:t>
            </w:r>
          </w:p>
        </w:tc>
      </w:tr>
      <w:tr w:rsidR="004731F2" w:rsidRPr="00B44CF9" w14:paraId="2CF31537" w14:textId="77777777" w:rsidTr="00277097">
        <w:tc>
          <w:tcPr>
            <w:tcW w:w="5400" w:type="dxa"/>
          </w:tcPr>
          <w:p w14:paraId="4B7534D4" w14:textId="77777777" w:rsidR="004731F2" w:rsidRPr="00EF7CF9" w:rsidRDefault="004731F2" w:rsidP="000F31B4">
            <w:pPr>
              <w:pStyle w:val="ProductList-OfferingBody"/>
              <w:jc w:val="center"/>
            </w:pPr>
            <w:r>
              <w:t>&lt; 99,9%</w:t>
            </w:r>
          </w:p>
        </w:tc>
        <w:tc>
          <w:tcPr>
            <w:tcW w:w="5400" w:type="dxa"/>
          </w:tcPr>
          <w:p w14:paraId="6A78877F" w14:textId="77777777" w:rsidR="004731F2" w:rsidRPr="00EF7CF9" w:rsidRDefault="004731F2" w:rsidP="000F31B4">
            <w:pPr>
              <w:pStyle w:val="ProductList-OfferingBody"/>
              <w:jc w:val="center"/>
            </w:pPr>
            <w:r>
              <w:t>10%</w:t>
            </w:r>
          </w:p>
        </w:tc>
      </w:tr>
      <w:tr w:rsidR="004731F2" w:rsidRPr="00B44CF9" w14:paraId="7531695E" w14:textId="77777777" w:rsidTr="00277097">
        <w:tc>
          <w:tcPr>
            <w:tcW w:w="5400" w:type="dxa"/>
          </w:tcPr>
          <w:p w14:paraId="04819F0C" w14:textId="77777777" w:rsidR="004731F2" w:rsidRPr="00EF7CF9" w:rsidRDefault="004731F2" w:rsidP="000F31B4">
            <w:pPr>
              <w:pStyle w:val="ProductList-OfferingBody"/>
              <w:jc w:val="center"/>
            </w:pPr>
            <w:r>
              <w:t>&lt; 99%</w:t>
            </w:r>
          </w:p>
        </w:tc>
        <w:tc>
          <w:tcPr>
            <w:tcW w:w="5400" w:type="dxa"/>
          </w:tcPr>
          <w:p w14:paraId="7BBF4E72" w14:textId="77777777" w:rsidR="004731F2" w:rsidRPr="00EF7CF9" w:rsidRDefault="004731F2" w:rsidP="000F31B4">
            <w:pPr>
              <w:pStyle w:val="ProductList-OfferingBody"/>
              <w:jc w:val="center"/>
            </w:pPr>
            <w:r>
              <w:t>25%</w:t>
            </w:r>
          </w:p>
        </w:tc>
      </w:tr>
    </w:tbl>
    <w:p w14:paraId="2533A8E1" w14:textId="77777777" w:rsidR="002B686C" w:rsidRPr="00BC0CEB" w:rsidRDefault="002B686C" w:rsidP="002B686C">
      <w:pPr>
        <w:pStyle w:val="ProductList-Body"/>
        <w:rPr>
          <w:b/>
          <w:bCs/>
          <w:color w:val="00188F"/>
          <w:sz w:val="12"/>
          <w:szCs w:val="12"/>
        </w:rPr>
      </w:pPr>
    </w:p>
    <w:p w14:paraId="1785D4EF" w14:textId="7C09F61D" w:rsidR="002B686C" w:rsidRDefault="002B686C" w:rsidP="00FD5737">
      <w:pPr>
        <w:pStyle w:val="ProductList-Body"/>
        <w:keepNext/>
        <w:rPr>
          <w:b/>
          <w:bCs/>
          <w:color w:val="00188F"/>
        </w:rPr>
      </w:pPr>
      <w:r>
        <w:rPr>
          <w:b/>
          <w:bCs/>
          <w:color w:val="00188F"/>
        </w:rPr>
        <w:t>Do Warstwy Enterprise mają zastosowanie następujące Poziomy Usługi i Środki Serwisowe na Używanie Usług: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B686C" w14:paraId="274B0D36" w14:textId="77777777" w:rsidTr="002B686C">
        <w:trPr>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0446914C" w14:textId="6E78138C" w:rsidR="002B686C" w:rsidRDefault="00AC48A7">
            <w:pPr>
              <w:pStyle w:val="ProductList-OfferingBody"/>
              <w:spacing w:line="256" w:lineRule="auto"/>
              <w:jc w:val="center"/>
              <w:rPr>
                <w:color w:val="FFFFFF" w:themeColor="background1"/>
              </w:rPr>
            </w:pPr>
            <w:r>
              <w:rPr>
                <w:color w:val="FFFFFF" w:themeColor="background1"/>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2240B421" w14:textId="77777777" w:rsidR="002B686C" w:rsidRDefault="002B686C">
            <w:pPr>
              <w:pStyle w:val="ProductList-OfferingBody"/>
              <w:spacing w:line="256" w:lineRule="auto"/>
              <w:jc w:val="center"/>
              <w:rPr>
                <w:color w:val="FFFFFF" w:themeColor="background1"/>
              </w:rPr>
            </w:pPr>
            <w:r>
              <w:rPr>
                <w:color w:val="FFFFFF" w:themeColor="background1"/>
              </w:rPr>
              <w:t>Środki Serwisowe na Używanie Usług</w:t>
            </w:r>
          </w:p>
        </w:tc>
      </w:tr>
      <w:tr w:rsidR="002B686C" w14:paraId="40060D10"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6A571" w14:textId="77777777" w:rsidR="002B686C" w:rsidRDefault="002B686C">
            <w:pPr>
              <w:pStyle w:val="ProductList-OfferingBody"/>
              <w:spacing w:line="256" w:lineRule="auto"/>
              <w:jc w:val="center"/>
            </w:pPr>
            <w:r>
              <w:t>&lt; 99,95%</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4584D8" w14:textId="77777777" w:rsidR="002B686C" w:rsidRDefault="002B686C">
            <w:pPr>
              <w:pStyle w:val="ProductList-OfferingBody"/>
              <w:spacing w:line="256" w:lineRule="auto"/>
              <w:jc w:val="center"/>
            </w:pPr>
            <w:r>
              <w:t>10%</w:t>
            </w:r>
          </w:p>
        </w:tc>
      </w:tr>
      <w:tr w:rsidR="002B686C" w14:paraId="462AA4E3" w14:textId="77777777" w:rsidTr="002B686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FFA4D" w14:textId="77777777" w:rsidR="002B686C" w:rsidRDefault="002B686C">
            <w:pPr>
              <w:pStyle w:val="ProductList-OfferingBody"/>
              <w:spacing w:line="256"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A24480" w14:textId="77777777" w:rsidR="002B686C" w:rsidRDefault="002B686C">
            <w:pPr>
              <w:pStyle w:val="ProductList-OfferingBody"/>
              <w:spacing w:line="256" w:lineRule="auto"/>
              <w:jc w:val="center"/>
            </w:pPr>
            <w:r>
              <w:t>25%</w:t>
            </w:r>
          </w:p>
        </w:tc>
      </w:tr>
    </w:tbl>
    <w:bookmarkStart w:id="400" w:name="_Toc52348987"/>
    <w:p w14:paraId="6C8622C3" w14:textId="4F886665" w:rsidR="0077451D" w:rsidRPr="00EF7CF9" w:rsidRDefault="00C71F89" w:rsidP="0077451D">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11E3AFFC" w14:textId="30E8FE7E" w:rsidR="003D733D" w:rsidRPr="00EF7CF9" w:rsidRDefault="003D733D" w:rsidP="003D733D">
      <w:pPr>
        <w:pStyle w:val="ProductList-Offering2Heading"/>
        <w:tabs>
          <w:tab w:val="clear" w:pos="360"/>
          <w:tab w:val="clear" w:pos="720"/>
          <w:tab w:val="clear" w:pos="1080"/>
        </w:tabs>
        <w:outlineLvl w:val="2"/>
      </w:pPr>
      <w:bookmarkStart w:id="401" w:name="_Toc239175069"/>
      <w:r>
        <w:t>Azure SQL Database</w:t>
      </w:r>
      <w:bookmarkEnd w:id="401"/>
      <w:r>
        <w:t xml:space="preserve"> </w:t>
      </w:r>
      <w:bookmarkEnd w:id="400"/>
    </w:p>
    <w:p w14:paraId="66E30F7E" w14:textId="77777777" w:rsidR="003D733D" w:rsidRPr="00EF7CF9" w:rsidRDefault="003D733D" w:rsidP="003D733D">
      <w:pPr>
        <w:pStyle w:val="ProductList-Body"/>
      </w:pPr>
      <w:r>
        <w:rPr>
          <w:b/>
          <w:color w:val="00188F"/>
        </w:rPr>
        <w:t>Dodatkowe definicje</w:t>
      </w:r>
      <w:r w:rsidRPr="0034704E">
        <w:rPr>
          <w:b/>
          <w:color w:val="00188F"/>
        </w:rPr>
        <w:t>:</w:t>
      </w:r>
    </w:p>
    <w:p w14:paraId="2FD63069" w14:textId="77777777" w:rsidR="003D733D" w:rsidRPr="00ED4527" w:rsidRDefault="003D733D" w:rsidP="003D733D">
      <w:pPr>
        <w:pStyle w:val="ProductList-Body"/>
        <w:rPr>
          <w:color w:val="000000" w:themeColor="text1"/>
        </w:rPr>
      </w:pPr>
      <w:r>
        <w:rPr>
          <w:color w:val="000000" w:themeColor="text1"/>
        </w:rPr>
        <w:t>„</w:t>
      </w:r>
      <w:r>
        <w:rPr>
          <w:b/>
          <w:bCs/>
          <w:color w:val="00188F"/>
        </w:rPr>
        <w:t>Strefa Dostępności</w:t>
      </w:r>
      <w:r>
        <w:rPr>
          <w:color w:val="000000" w:themeColor="text1"/>
        </w:rPr>
        <w:t>” to bezawaryjny obszar w regionie Azure zapewniający nadmiarowe zasilanie, chłodzenie i funkcje sieciowe.</w:t>
      </w:r>
    </w:p>
    <w:p w14:paraId="470C0B9A" w14:textId="77777777" w:rsidR="003D733D" w:rsidRPr="00ED4527" w:rsidRDefault="003D733D" w:rsidP="003D733D">
      <w:pPr>
        <w:pStyle w:val="ProductList-Body"/>
        <w:rPr>
          <w:color w:val="000000" w:themeColor="text1"/>
        </w:rPr>
      </w:pPr>
      <w:r>
        <w:rPr>
          <w:color w:val="000000" w:themeColor="text1"/>
        </w:rPr>
        <w:t>„</w:t>
      </w:r>
      <w:r>
        <w:rPr>
          <w:b/>
          <w:bCs/>
          <w:color w:val="00188F"/>
        </w:rPr>
        <w:t>Baza Danych</w:t>
      </w:r>
      <w:r>
        <w:rPr>
          <w:color w:val="000000" w:themeColor="text1"/>
        </w:rPr>
        <w:t>” to dowolna baza danych Microsoft Azure SQL Database utworzona w dowolnej warstwie Usługi i wdrożona jako pojedyncza baza danych albo wdrożona w Puli Elastycznej.</w:t>
      </w:r>
    </w:p>
    <w:p w14:paraId="3425FC85" w14:textId="77777777" w:rsidR="003D733D" w:rsidRPr="00ED4527" w:rsidRDefault="003D733D" w:rsidP="003D733D">
      <w:pPr>
        <w:pStyle w:val="ProductList-Body"/>
        <w:rPr>
          <w:color w:val="000000" w:themeColor="text1"/>
        </w:rPr>
      </w:pPr>
      <w:r>
        <w:rPr>
          <w:color w:val="000000" w:themeColor="text1"/>
        </w:rPr>
        <w:t>„</w:t>
      </w:r>
      <w:r>
        <w:rPr>
          <w:b/>
          <w:bCs/>
          <w:color w:val="00188F"/>
        </w:rPr>
        <w:t>Wdrożenie Strefowo Nadmiarowe</w:t>
      </w:r>
      <w:r>
        <w:rPr>
          <w:color w:val="000000" w:themeColor="text1"/>
        </w:rPr>
        <w:t>” to Baza Danych wdrożona w wielu Strefach Dostępności.</w:t>
      </w:r>
    </w:p>
    <w:p w14:paraId="30555189" w14:textId="77777777" w:rsidR="003D733D" w:rsidRPr="00ED4527" w:rsidRDefault="003D733D" w:rsidP="003D733D">
      <w:pPr>
        <w:pStyle w:val="ProductList-Body"/>
        <w:rPr>
          <w:color w:val="000000" w:themeColor="text1"/>
        </w:rPr>
      </w:pPr>
      <w:r>
        <w:rPr>
          <w:color w:val="000000" w:themeColor="text1"/>
        </w:rPr>
        <w:t>„</w:t>
      </w:r>
      <w:r>
        <w:rPr>
          <w:b/>
          <w:bCs/>
          <w:color w:val="00188F"/>
        </w:rPr>
        <w:t>Główna Baza Danych</w:t>
      </w:r>
      <w:r>
        <w:rPr>
          <w:color w:val="000000" w:themeColor="text1"/>
        </w:rPr>
        <w:t>” to dowolna Baza Danych, która jest w relacji aktywnej replikacji geograficznej z Bazą Danych w innych regionach Azure. Główna Baza Danych może przetwarzać żądania odczytu i zapisu z aplikacji.</w:t>
      </w:r>
    </w:p>
    <w:p w14:paraId="5425B8BB" w14:textId="77777777" w:rsidR="003D733D" w:rsidRPr="00ED4527" w:rsidRDefault="003D733D" w:rsidP="003D733D">
      <w:pPr>
        <w:pStyle w:val="ProductList-Body"/>
        <w:rPr>
          <w:color w:val="000000" w:themeColor="text1"/>
        </w:rPr>
      </w:pPr>
      <w:r>
        <w:rPr>
          <w:color w:val="000000" w:themeColor="text1"/>
        </w:rPr>
        <w:t>„</w:t>
      </w:r>
      <w:r>
        <w:rPr>
          <w:b/>
          <w:bCs/>
          <w:color w:val="00188F"/>
        </w:rPr>
        <w:t>Dodatkowa Baza Danych</w:t>
      </w:r>
      <w:r>
        <w:rPr>
          <w:color w:val="000000" w:themeColor="text1"/>
        </w:rPr>
        <w:t>” to dowolna Baza Danych, która jest w relacji asynchronicznej replikacji geograficznej z Główną Bazą Danych w innym regionie Azure i która może być używana jako element docelowy w przypadku przełączania w trybie failover. Dodatkowa Baza Danych może przetwarzać tylko żądania odczytu z aplikacji.</w:t>
      </w:r>
    </w:p>
    <w:p w14:paraId="462CAE1B" w14:textId="77777777" w:rsidR="003D733D" w:rsidRPr="00ED4527" w:rsidRDefault="003D733D" w:rsidP="003D733D">
      <w:pPr>
        <w:pStyle w:val="ProductList-Body"/>
        <w:rPr>
          <w:color w:val="000000" w:themeColor="text1"/>
        </w:rPr>
      </w:pPr>
      <w:r>
        <w:rPr>
          <w:color w:val="000000" w:themeColor="text1"/>
        </w:rPr>
        <w:t>„</w:t>
      </w:r>
      <w:r>
        <w:rPr>
          <w:b/>
          <w:bCs/>
          <w:color w:val="00188F"/>
        </w:rPr>
        <w:t>Zgodna Dodatkowa Baza Danych</w:t>
      </w:r>
      <w:r>
        <w:rPr>
          <w:color w:val="000000" w:themeColor="text1"/>
        </w:rPr>
        <w:t>” to dowolna Dodatkowa Baza Danych, która jest tworzona w tej samej konfiguracji i w tej samej warstwie usług co Główna Baza Danych. Jeśli Dodatkowa baza Danych jest tworzona w elastycznej puli, uznaje się ją za Zgodną, jeśli zarówno Główna Baza Danych, jak i Dodatkowa Baza Danych są tworzone w elastycznych pulach z dopasowanymi konfiguracjami i gęstością nieprzekraczającą 250 baz danych na zgodną konfigurację.</w:t>
      </w:r>
    </w:p>
    <w:p w14:paraId="3B202949" w14:textId="0F92E510" w:rsidR="003D733D" w:rsidRPr="00ED4527" w:rsidRDefault="00EE6E3C" w:rsidP="003D733D">
      <w:pPr>
        <w:pStyle w:val="ProductList-Body"/>
        <w:spacing w:before="120"/>
        <w:rPr>
          <w:b/>
          <w:bCs/>
          <w:color w:val="00188F"/>
        </w:rPr>
      </w:pPr>
      <w:r>
        <w:rPr>
          <w:b/>
          <w:bCs/>
          <w:color w:val="00188F"/>
        </w:rPr>
        <w:t>Obliczanie Czasu Sprawnego Działania i Poziomy Usługi dla Usługi Azure SQL Database</w:t>
      </w:r>
    </w:p>
    <w:p w14:paraId="5BDCA970" w14:textId="116A4C64" w:rsidR="003D733D" w:rsidRDefault="003D733D" w:rsidP="003D733D">
      <w:pPr>
        <w:pStyle w:val="ProductList-Body"/>
      </w:pPr>
      <w:r>
        <w:t>„</w:t>
      </w:r>
      <w:r>
        <w:rPr>
          <w:b/>
          <w:bCs/>
          <w:color w:val="00188F"/>
        </w:rPr>
        <w:t>Minuty Wdrożenia</w:t>
      </w:r>
      <w:r>
        <w:t>” to łączna liczba minut, przez które dana Baza Danych została wdrożona na platformie Microsoft Azure we Właściwym Okresie.</w:t>
      </w:r>
    </w:p>
    <w:p w14:paraId="3B5D1850" w14:textId="6A0B17E9" w:rsidR="003D733D" w:rsidRPr="00EF7CF9" w:rsidRDefault="003D733D" w:rsidP="00073755">
      <w:pPr>
        <w:pStyle w:val="ProductList-Body"/>
        <w:jc w:val="both"/>
      </w:pPr>
      <w:r>
        <w:t>„</w:t>
      </w:r>
      <w:r>
        <w:rPr>
          <w:b/>
          <w:color w:val="00188F"/>
        </w:rPr>
        <w:t>Maksymalna Liczba Dostępnych Minut</w:t>
      </w:r>
      <w:r>
        <w:t>” to suma wszystkich Minut Wdrożenia w ramach danej subskrypcji Microsoft Azure we Właściwym Okresie.</w:t>
      </w:r>
    </w:p>
    <w:p w14:paraId="7D7A7ABE" w14:textId="45731694" w:rsidR="003D733D" w:rsidRPr="00EF7CF9" w:rsidRDefault="003D733D" w:rsidP="003D733D">
      <w:pPr>
        <w:pStyle w:val="ProductList-Body"/>
      </w:pPr>
      <w:r>
        <w:rPr>
          <w:b/>
          <w:color w:val="00188F"/>
        </w:rPr>
        <w:t>Przestój</w:t>
      </w:r>
      <w:r w:rsidRPr="0034704E">
        <w:rPr>
          <w:b/>
          <w:color w:val="00188F"/>
        </w:rPr>
        <w:t>:</w:t>
      </w:r>
      <w:r>
        <w:t xml:space="preserve"> to łączna zakumulowana liczba Minut Wdrożenia dla wszystkich Baz Danych w ramach danej subskrypcji Microsoft Azure, podczas których Baza Danych jest niedostępna. Minuta jest uznawana za minutę niedostępności dla danej Bazy Danych, jeśli wszystkie podejmowane przez Klienta w trakcie tej minuty kolejne próby zmierzające do nawiązania łączności z Bazą Danych kończą się niepowodzeniem.</w:t>
      </w:r>
    </w:p>
    <w:p w14:paraId="5EC3C860" w14:textId="03080C99" w:rsidR="003D733D" w:rsidRDefault="00AC48A7" w:rsidP="003D733D">
      <w:pPr>
        <w:pStyle w:val="ProductList-Body"/>
      </w:pPr>
      <w:r>
        <w:rPr>
          <w:b/>
          <w:color w:val="00188F"/>
        </w:rPr>
        <w:t>Procent Czasu Sprawnego Działania</w:t>
      </w:r>
      <w:r>
        <w:t xml:space="preserve"> dla danej Bazy Danych to Maksymalna Liczba Dostępnych Minut pomniejszona o Przestój podzielona przez Maksymalną Liczbę Dostępnych Minut we Właściwym Okresie dla danej subskrypcji Microsoft Azure.</w:t>
      </w:r>
    </w:p>
    <w:p w14:paraId="17EB06BC" w14:textId="3ECC64E5" w:rsidR="003D733D" w:rsidRPr="00EF7CF9" w:rsidRDefault="003D733D" w:rsidP="003D733D">
      <w:pPr>
        <w:pStyle w:val="ProductList-Body"/>
      </w:pPr>
      <w:r>
        <w:t>Procent Czasu Sprawnego Działania jest obliczany przy użyciu następującego wzoru:</w:t>
      </w:r>
    </w:p>
    <w:bookmarkStart w:id="402" w:name="_Hlk119330778"/>
    <w:p w14:paraId="508605EB" w14:textId="179D8F77" w:rsidR="003D733D" w:rsidRPr="00EF7CF9" w:rsidRDefault="00000000" w:rsidP="00B4383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bookmarkEnd w:id="402"/>
    <w:p w14:paraId="115D8173" w14:textId="77777777" w:rsidR="00783B85" w:rsidRPr="001D33C6" w:rsidRDefault="00783B85" w:rsidP="00783B85">
      <w:pPr>
        <w:pStyle w:val="ProductList-Body"/>
        <w:rPr>
          <w:rFonts w:ascii="Calibri" w:hAnsi="Calibri" w:cs="Calibri"/>
        </w:rPr>
      </w:pPr>
      <w:r>
        <w:rPr>
          <w:rFonts w:ascii="Calibri" w:hAnsi="Calibri" w:cs="Calibri"/>
          <w:b/>
          <w:color w:val="00188F"/>
        </w:rPr>
        <w:t>Poniższe Poziomy Usług i Środki Serwisowe na Używanie Usług mają zastosowanie do korzystania przez Klienta z warstw ogólnego przeznaczenia, krytycznych dla działalności biznesowej, premium lub hiperskalowania Usługi SQL Database skonfigurowanej do wdrożeń strefowo nadmiarowych</w:t>
      </w:r>
      <w:r w:rsidRPr="00E43ADE">
        <w:rPr>
          <w:rFonts w:ascii="Calibri" w:hAnsi="Calibri" w:cs="Calibri"/>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4977D43D" w14:textId="77777777" w:rsidTr="00277097">
        <w:trPr>
          <w:tblHeader/>
        </w:trPr>
        <w:tc>
          <w:tcPr>
            <w:tcW w:w="5400" w:type="dxa"/>
            <w:shd w:val="clear" w:color="auto" w:fill="0072C6"/>
          </w:tcPr>
          <w:p w14:paraId="04BC9AA1" w14:textId="42476DCC" w:rsidR="003D733D"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284BDF2" w14:textId="77777777" w:rsidR="003D733D" w:rsidRPr="00EF7CF9" w:rsidRDefault="003D733D" w:rsidP="000F31B4">
            <w:pPr>
              <w:pStyle w:val="ProductList-OfferingBody"/>
              <w:jc w:val="center"/>
              <w:rPr>
                <w:color w:val="FFFFFF" w:themeColor="background1"/>
              </w:rPr>
            </w:pPr>
            <w:r>
              <w:rPr>
                <w:color w:val="FFFFFF" w:themeColor="background1"/>
              </w:rPr>
              <w:t>Środki Serwisowe na Używanie Usług</w:t>
            </w:r>
          </w:p>
        </w:tc>
      </w:tr>
      <w:tr w:rsidR="003D733D" w:rsidRPr="00B44CF9" w14:paraId="078649DF" w14:textId="77777777" w:rsidTr="00277097">
        <w:tc>
          <w:tcPr>
            <w:tcW w:w="5400" w:type="dxa"/>
          </w:tcPr>
          <w:p w14:paraId="15161482" w14:textId="77777777" w:rsidR="003D733D" w:rsidRPr="00EF7CF9" w:rsidRDefault="003D733D" w:rsidP="000F31B4">
            <w:pPr>
              <w:pStyle w:val="ProductList-OfferingBody"/>
              <w:jc w:val="center"/>
            </w:pPr>
            <w:r>
              <w:t>&lt; 99,995%</w:t>
            </w:r>
          </w:p>
        </w:tc>
        <w:tc>
          <w:tcPr>
            <w:tcW w:w="5400" w:type="dxa"/>
          </w:tcPr>
          <w:p w14:paraId="0B1D8BBB" w14:textId="77777777" w:rsidR="003D733D" w:rsidRPr="00EF7CF9" w:rsidRDefault="003D733D" w:rsidP="000F31B4">
            <w:pPr>
              <w:pStyle w:val="ProductList-OfferingBody"/>
              <w:jc w:val="center"/>
            </w:pPr>
            <w:r>
              <w:t>10%</w:t>
            </w:r>
          </w:p>
        </w:tc>
      </w:tr>
      <w:tr w:rsidR="003D733D" w:rsidRPr="00B44CF9" w14:paraId="42DE5CE5" w14:textId="77777777" w:rsidTr="00277097">
        <w:tc>
          <w:tcPr>
            <w:tcW w:w="5400" w:type="dxa"/>
          </w:tcPr>
          <w:p w14:paraId="45CCA7AF" w14:textId="77777777" w:rsidR="003D733D" w:rsidRPr="00EF7CF9" w:rsidRDefault="003D733D" w:rsidP="000F31B4">
            <w:pPr>
              <w:pStyle w:val="ProductList-OfferingBody"/>
              <w:jc w:val="center"/>
            </w:pPr>
            <w:r>
              <w:t>&lt; 99%</w:t>
            </w:r>
          </w:p>
        </w:tc>
        <w:tc>
          <w:tcPr>
            <w:tcW w:w="5400" w:type="dxa"/>
          </w:tcPr>
          <w:p w14:paraId="5749BCD7" w14:textId="77777777" w:rsidR="003D733D" w:rsidRPr="00EF7CF9" w:rsidRDefault="003D733D" w:rsidP="000F31B4">
            <w:pPr>
              <w:pStyle w:val="ProductList-OfferingBody"/>
              <w:jc w:val="center"/>
            </w:pPr>
            <w:r>
              <w:t>25%</w:t>
            </w:r>
          </w:p>
        </w:tc>
      </w:tr>
      <w:tr w:rsidR="003D733D" w:rsidRPr="00B44CF9" w14:paraId="7633BE7C" w14:textId="77777777" w:rsidTr="00277097">
        <w:tc>
          <w:tcPr>
            <w:tcW w:w="5400" w:type="dxa"/>
          </w:tcPr>
          <w:p w14:paraId="679EA065" w14:textId="77777777" w:rsidR="003D733D" w:rsidRPr="00EF7CF9" w:rsidRDefault="003D733D" w:rsidP="000F31B4">
            <w:pPr>
              <w:pStyle w:val="ProductList-OfferingBody"/>
              <w:jc w:val="center"/>
            </w:pPr>
            <w:r>
              <w:t>&lt; 95%</w:t>
            </w:r>
          </w:p>
        </w:tc>
        <w:tc>
          <w:tcPr>
            <w:tcW w:w="5400" w:type="dxa"/>
          </w:tcPr>
          <w:p w14:paraId="4B7C2F69" w14:textId="77777777" w:rsidR="003D733D" w:rsidRPr="00EF7CF9" w:rsidRDefault="003D733D" w:rsidP="000F31B4">
            <w:pPr>
              <w:pStyle w:val="ProductList-OfferingBody"/>
              <w:jc w:val="center"/>
            </w:pPr>
            <w:r>
              <w:t>100%</w:t>
            </w:r>
          </w:p>
        </w:tc>
      </w:tr>
    </w:tbl>
    <w:p w14:paraId="3A1F981A" w14:textId="2B912BA0" w:rsidR="003D733D" w:rsidRDefault="003D733D" w:rsidP="00021976">
      <w:pPr>
        <w:pStyle w:val="ProductList-Body"/>
        <w:spacing w:before="120"/>
        <w:rPr>
          <w:b/>
          <w:color w:val="00188F"/>
        </w:rPr>
      </w:pPr>
      <w:bookmarkStart w:id="403" w:name="_Toc457821579"/>
      <w:r>
        <w:rPr>
          <w:b/>
          <w:color w:val="00188F"/>
        </w:rPr>
        <w:t>Do używania przez Klienta warstw Hiperskala, Krytyczna dla działania firmy, Premium LUB Ogólnego przeznaczenia usługi SQL Database nieskonfigurowanej dla Wdrożeń Strefowo Nadmiarowych mają zastosowanie następujące Poziomy Usługi i Środki Serwisowe na Używanie Usług</w:t>
      </w:r>
      <w:r w:rsidRPr="0034704E">
        <w:rPr>
          <w:b/>
          <w:color w:val="00188F"/>
        </w:rPr>
        <w:t>:</w:t>
      </w:r>
    </w:p>
    <w:p w14:paraId="0CD243CB" w14:textId="77777777" w:rsidR="00265206" w:rsidRPr="00EF7CF9" w:rsidRDefault="00265206" w:rsidP="00021976">
      <w:pPr>
        <w:pStyle w:val="ProductList-Body"/>
        <w:spacing w:before="120"/>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396853B" w14:textId="77777777" w:rsidTr="00277097">
        <w:trPr>
          <w:tblHeader/>
        </w:trPr>
        <w:tc>
          <w:tcPr>
            <w:tcW w:w="5400" w:type="dxa"/>
            <w:shd w:val="clear" w:color="auto" w:fill="0072C6"/>
          </w:tcPr>
          <w:p w14:paraId="691AFD6D" w14:textId="494C0553" w:rsidR="003D733D"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B793296" w14:textId="77777777" w:rsidR="003D733D" w:rsidRPr="00EF7CF9" w:rsidRDefault="003D733D" w:rsidP="000F31B4">
            <w:pPr>
              <w:pStyle w:val="ProductList-OfferingBody"/>
              <w:jc w:val="center"/>
              <w:rPr>
                <w:color w:val="FFFFFF" w:themeColor="background1"/>
              </w:rPr>
            </w:pPr>
            <w:r>
              <w:rPr>
                <w:color w:val="FFFFFF" w:themeColor="background1"/>
              </w:rPr>
              <w:t>Środki Serwisowe na Używanie Usług</w:t>
            </w:r>
          </w:p>
        </w:tc>
      </w:tr>
      <w:tr w:rsidR="003D733D" w:rsidRPr="00B44CF9" w14:paraId="464BEDEA" w14:textId="77777777" w:rsidTr="00277097">
        <w:tc>
          <w:tcPr>
            <w:tcW w:w="5400" w:type="dxa"/>
          </w:tcPr>
          <w:p w14:paraId="4081C8A7" w14:textId="77777777" w:rsidR="003D733D" w:rsidRPr="00EF7CF9" w:rsidRDefault="003D733D" w:rsidP="000F31B4">
            <w:pPr>
              <w:pStyle w:val="ProductList-OfferingBody"/>
              <w:jc w:val="center"/>
            </w:pPr>
            <w:r>
              <w:t>&lt; 99,99%</w:t>
            </w:r>
          </w:p>
        </w:tc>
        <w:tc>
          <w:tcPr>
            <w:tcW w:w="5400" w:type="dxa"/>
          </w:tcPr>
          <w:p w14:paraId="4DFB8C8D" w14:textId="77777777" w:rsidR="003D733D" w:rsidRPr="00EF7CF9" w:rsidRDefault="003D733D" w:rsidP="000F31B4">
            <w:pPr>
              <w:pStyle w:val="ProductList-OfferingBody"/>
              <w:jc w:val="center"/>
            </w:pPr>
            <w:r>
              <w:t>10%</w:t>
            </w:r>
          </w:p>
        </w:tc>
      </w:tr>
      <w:tr w:rsidR="003D733D" w:rsidRPr="00B44CF9" w14:paraId="65C87CC1" w14:textId="77777777" w:rsidTr="00277097">
        <w:tc>
          <w:tcPr>
            <w:tcW w:w="5400" w:type="dxa"/>
          </w:tcPr>
          <w:p w14:paraId="69F30B0A" w14:textId="77777777" w:rsidR="003D733D" w:rsidRPr="00EF7CF9" w:rsidRDefault="003D733D" w:rsidP="000F31B4">
            <w:pPr>
              <w:pStyle w:val="ProductList-OfferingBody"/>
              <w:jc w:val="center"/>
            </w:pPr>
            <w:r>
              <w:t>&lt; 99%</w:t>
            </w:r>
          </w:p>
        </w:tc>
        <w:tc>
          <w:tcPr>
            <w:tcW w:w="5400" w:type="dxa"/>
          </w:tcPr>
          <w:p w14:paraId="2BFB6117" w14:textId="77777777" w:rsidR="003D733D" w:rsidRPr="00EF7CF9" w:rsidRDefault="003D733D" w:rsidP="000F31B4">
            <w:pPr>
              <w:pStyle w:val="ProductList-OfferingBody"/>
              <w:jc w:val="center"/>
            </w:pPr>
            <w:r>
              <w:t>25%</w:t>
            </w:r>
          </w:p>
        </w:tc>
      </w:tr>
      <w:tr w:rsidR="003D733D" w:rsidRPr="00B44CF9" w14:paraId="4700F7EB" w14:textId="77777777" w:rsidTr="00277097">
        <w:tc>
          <w:tcPr>
            <w:tcW w:w="5400" w:type="dxa"/>
          </w:tcPr>
          <w:p w14:paraId="5766EA4E" w14:textId="77777777" w:rsidR="003D733D" w:rsidRPr="00EF7CF9" w:rsidRDefault="003D733D" w:rsidP="000F31B4">
            <w:pPr>
              <w:pStyle w:val="ProductList-OfferingBody"/>
              <w:jc w:val="center"/>
            </w:pPr>
            <w:r>
              <w:t>&lt; 95%</w:t>
            </w:r>
          </w:p>
        </w:tc>
        <w:tc>
          <w:tcPr>
            <w:tcW w:w="5400" w:type="dxa"/>
          </w:tcPr>
          <w:p w14:paraId="22378549" w14:textId="77777777" w:rsidR="003D733D" w:rsidRPr="00EF7CF9" w:rsidRDefault="003D733D" w:rsidP="000F31B4">
            <w:pPr>
              <w:pStyle w:val="ProductList-OfferingBody"/>
              <w:jc w:val="center"/>
            </w:pPr>
            <w:r>
              <w:t>100%</w:t>
            </w:r>
          </w:p>
        </w:tc>
      </w:tr>
    </w:tbl>
    <w:p w14:paraId="0B33C745" w14:textId="77777777" w:rsidR="003D733D" w:rsidRPr="00EF7CF9" w:rsidRDefault="003D733D" w:rsidP="00021976">
      <w:pPr>
        <w:pStyle w:val="ProductList-Body"/>
        <w:spacing w:before="120"/>
      </w:pPr>
      <w:r>
        <w:rPr>
          <w:b/>
          <w:color w:val="00188F"/>
        </w:rPr>
        <w:t>Do używania przez Klienta warstw Podstawowa i Standardowa usługi SQL Database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3D733D" w:rsidRPr="00B44CF9" w14:paraId="048FBB47" w14:textId="77777777" w:rsidTr="00277097">
        <w:trPr>
          <w:tblHeader/>
        </w:trPr>
        <w:tc>
          <w:tcPr>
            <w:tcW w:w="5400" w:type="dxa"/>
            <w:shd w:val="clear" w:color="auto" w:fill="0072C6"/>
          </w:tcPr>
          <w:p w14:paraId="5C704DD3" w14:textId="04750F4E" w:rsidR="003D733D"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B66747D" w14:textId="77777777" w:rsidR="003D733D" w:rsidRPr="00EF7CF9" w:rsidRDefault="003D733D" w:rsidP="000F31B4">
            <w:pPr>
              <w:pStyle w:val="ProductList-OfferingBody"/>
              <w:jc w:val="center"/>
              <w:rPr>
                <w:color w:val="FFFFFF" w:themeColor="background1"/>
              </w:rPr>
            </w:pPr>
            <w:r>
              <w:rPr>
                <w:color w:val="FFFFFF" w:themeColor="background1"/>
              </w:rPr>
              <w:t>Środki Serwisowe na Używanie Usług</w:t>
            </w:r>
          </w:p>
        </w:tc>
      </w:tr>
      <w:tr w:rsidR="003D733D" w:rsidRPr="00B44CF9" w14:paraId="3E824F53" w14:textId="77777777" w:rsidTr="00277097">
        <w:tc>
          <w:tcPr>
            <w:tcW w:w="5400" w:type="dxa"/>
          </w:tcPr>
          <w:p w14:paraId="19103A6F" w14:textId="77777777" w:rsidR="003D733D" w:rsidRPr="00EF7CF9" w:rsidRDefault="003D733D" w:rsidP="000F31B4">
            <w:pPr>
              <w:pStyle w:val="ProductList-OfferingBody"/>
              <w:jc w:val="center"/>
            </w:pPr>
            <w:r>
              <w:t>&lt; 99,99%</w:t>
            </w:r>
          </w:p>
        </w:tc>
        <w:tc>
          <w:tcPr>
            <w:tcW w:w="5400" w:type="dxa"/>
          </w:tcPr>
          <w:p w14:paraId="1E9E6B2D" w14:textId="77777777" w:rsidR="003D733D" w:rsidRPr="00EF7CF9" w:rsidRDefault="003D733D" w:rsidP="000F31B4">
            <w:pPr>
              <w:pStyle w:val="ProductList-OfferingBody"/>
              <w:jc w:val="center"/>
            </w:pPr>
            <w:r>
              <w:t>10%</w:t>
            </w:r>
          </w:p>
        </w:tc>
      </w:tr>
      <w:tr w:rsidR="003D733D" w:rsidRPr="00B44CF9" w14:paraId="1DD063AB" w14:textId="77777777" w:rsidTr="00277097">
        <w:tc>
          <w:tcPr>
            <w:tcW w:w="5400" w:type="dxa"/>
          </w:tcPr>
          <w:p w14:paraId="282A02EA" w14:textId="77777777" w:rsidR="003D733D" w:rsidRPr="00EF7CF9" w:rsidRDefault="003D733D" w:rsidP="000F31B4">
            <w:pPr>
              <w:pStyle w:val="ProductList-OfferingBody"/>
              <w:jc w:val="center"/>
            </w:pPr>
            <w:r>
              <w:t>&lt; 99%</w:t>
            </w:r>
          </w:p>
        </w:tc>
        <w:tc>
          <w:tcPr>
            <w:tcW w:w="5400" w:type="dxa"/>
          </w:tcPr>
          <w:p w14:paraId="6EBE83BA" w14:textId="77777777" w:rsidR="003D733D" w:rsidRPr="00EF7CF9" w:rsidRDefault="003D733D" w:rsidP="000F31B4">
            <w:pPr>
              <w:pStyle w:val="ProductList-OfferingBody"/>
              <w:jc w:val="center"/>
            </w:pPr>
            <w:r>
              <w:t>25%</w:t>
            </w:r>
          </w:p>
        </w:tc>
      </w:tr>
      <w:tr w:rsidR="003D733D" w:rsidRPr="00B44CF9" w14:paraId="2C3859C3" w14:textId="77777777" w:rsidTr="00277097">
        <w:tc>
          <w:tcPr>
            <w:tcW w:w="5400" w:type="dxa"/>
          </w:tcPr>
          <w:p w14:paraId="5E8C5C94" w14:textId="77777777" w:rsidR="003D733D" w:rsidRPr="00EF7CF9" w:rsidRDefault="003D733D" w:rsidP="000F31B4">
            <w:pPr>
              <w:pStyle w:val="ProductList-OfferingBody"/>
              <w:jc w:val="center"/>
            </w:pPr>
            <w:r>
              <w:t>&lt; 95%</w:t>
            </w:r>
          </w:p>
        </w:tc>
        <w:tc>
          <w:tcPr>
            <w:tcW w:w="5400" w:type="dxa"/>
          </w:tcPr>
          <w:p w14:paraId="49C88237" w14:textId="77777777" w:rsidR="003D733D" w:rsidRPr="00EF7CF9" w:rsidRDefault="003D733D" w:rsidP="000F31B4">
            <w:pPr>
              <w:pStyle w:val="ProductList-OfferingBody"/>
              <w:jc w:val="center"/>
            </w:pPr>
            <w:r>
              <w:t>100%</w:t>
            </w:r>
          </w:p>
        </w:tc>
      </w:tr>
    </w:tbl>
    <w:p w14:paraId="08D86942" w14:textId="77777777" w:rsidR="003D733D" w:rsidRPr="00ED4527" w:rsidRDefault="003D733D" w:rsidP="00B43832">
      <w:pPr>
        <w:pStyle w:val="ProductList-Body"/>
        <w:spacing w:before="120"/>
        <w:rPr>
          <w:b/>
          <w:bCs/>
          <w:color w:val="00188F"/>
        </w:rPr>
      </w:pPr>
      <w:r>
        <w:rPr>
          <w:b/>
          <w:bCs/>
          <w:color w:val="00188F"/>
        </w:rPr>
        <w:t>Docelowy Punkt Odzyskiwania (RPO)</w:t>
      </w:r>
    </w:p>
    <w:p w14:paraId="714AAD2A" w14:textId="77777777" w:rsidR="003D733D" w:rsidRPr="008D4EC5" w:rsidRDefault="003D733D" w:rsidP="00073755">
      <w:pPr>
        <w:pStyle w:val="ProductList-Body"/>
        <w:jc w:val="both"/>
        <w:rPr>
          <w:color w:val="000000" w:themeColor="text1"/>
        </w:rPr>
      </w:pPr>
      <w:r>
        <w:rPr>
          <w:color w:val="000000" w:themeColor="text1"/>
        </w:rPr>
        <w:t>„</w:t>
      </w:r>
      <w:r>
        <w:rPr>
          <w:b/>
          <w:bCs/>
          <w:color w:val="00188F"/>
        </w:rPr>
        <w:t>Łącze Replikacji Geograficznej</w:t>
      </w:r>
      <w:r>
        <w:rPr>
          <w:color w:val="000000" w:themeColor="text1"/>
        </w:rPr>
        <w:t>” to obiekt programowy reprezentujący połączenie między określoną Główną Bazą Danych a Dodatkową Bazą Danych.</w:t>
      </w:r>
    </w:p>
    <w:p w14:paraId="58E21A32" w14:textId="77777777" w:rsidR="003D733D" w:rsidRPr="008D4EC5" w:rsidRDefault="003D733D" w:rsidP="003D733D">
      <w:pPr>
        <w:pStyle w:val="ProductList-Body"/>
        <w:rPr>
          <w:color w:val="000000" w:themeColor="text1"/>
        </w:rPr>
      </w:pPr>
      <w:r>
        <w:rPr>
          <w:color w:val="000000" w:themeColor="text1"/>
        </w:rPr>
        <w:t>„</w:t>
      </w:r>
      <w:r>
        <w:rPr>
          <w:b/>
          <w:bCs/>
          <w:color w:val="00188F"/>
        </w:rPr>
        <w:t>Opóźnienie Replikacji Geograficznej</w:t>
      </w:r>
      <w:r>
        <w:rPr>
          <w:color w:val="000000" w:themeColor="text1"/>
        </w:rPr>
        <w:t>” to przedział czasowy od punktu zatwierdzenia transakcji w Głównej Bazie Danych do potwierdzenia przez Dodatkową Bazę Danych, że aktualizacja dziennika transakcji nastąpiła.</w:t>
      </w:r>
    </w:p>
    <w:p w14:paraId="7513C667" w14:textId="77777777" w:rsidR="003D733D" w:rsidRPr="008D4EC5" w:rsidRDefault="003D733D" w:rsidP="003D733D">
      <w:pPr>
        <w:pStyle w:val="ProductList-Body"/>
        <w:rPr>
          <w:color w:val="000000" w:themeColor="text1"/>
        </w:rPr>
      </w:pPr>
      <w:r>
        <w:rPr>
          <w:color w:val="000000" w:themeColor="text1"/>
        </w:rPr>
        <w:t>„</w:t>
      </w:r>
      <w:r>
        <w:rPr>
          <w:b/>
          <w:bCs/>
          <w:color w:val="00188F"/>
        </w:rPr>
        <w:t>Kontrola Opóźnienia Replikacji</w:t>
      </w:r>
      <w:r>
        <w:rPr>
          <w:color w:val="000000" w:themeColor="text1"/>
        </w:rPr>
        <w:t>” to programowa metoda uzyskania wartości Opóźnienia Replikacji Geograficznej dla określonego Łącza Replikacji Geograficznej.</w:t>
      </w:r>
    </w:p>
    <w:p w14:paraId="12AF603F" w14:textId="77777777" w:rsidR="003D733D" w:rsidRPr="008D4EC5" w:rsidRDefault="003D733D" w:rsidP="003D733D">
      <w:pPr>
        <w:pStyle w:val="ProductList-Body"/>
        <w:rPr>
          <w:color w:val="000000" w:themeColor="text1"/>
        </w:rPr>
      </w:pPr>
      <w:r>
        <w:rPr>
          <w:color w:val="000000" w:themeColor="text1"/>
        </w:rPr>
        <w:t>„</w:t>
      </w:r>
      <w:r>
        <w:rPr>
          <w:b/>
          <w:bCs/>
          <w:color w:val="00188F"/>
        </w:rPr>
        <w:t>Docelowy Punkt Odzyskiwania (RPO)</w:t>
      </w:r>
      <w:r>
        <w:rPr>
          <w:color w:val="000000" w:themeColor="text1"/>
        </w:rPr>
        <w:t>” to Opóźnienie Replikacji Geograficznej nieprzekraczające pięciu sekund.</w:t>
      </w:r>
    </w:p>
    <w:p w14:paraId="6D0C0A0E" w14:textId="77777777" w:rsidR="003D733D" w:rsidRPr="008D4EC5" w:rsidRDefault="003D733D" w:rsidP="003D733D">
      <w:pPr>
        <w:pStyle w:val="ProductList-Body"/>
        <w:rPr>
          <w:color w:val="000000" w:themeColor="text1"/>
        </w:rPr>
      </w:pPr>
      <w:r>
        <w:rPr>
          <w:color w:val="000000" w:themeColor="text1"/>
        </w:rPr>
        <w:t>„</w:t>
      </w:r>
      <w:r>
        <w:rPr>
          <w:b/>
          <w:bCs/>
          <w:color w:val="00188F"/>
        </w:rPr>
        <w:t>N</w:t>
      </w:r>
      <w:r>
        <w:rPr>
          <w:color w:val="000000" w:themeColor="text1"/>
        </w:rPr>
        <w:t>” to liczba Kontroli Opóźnienia Replikacji dla danego Łącza Replikacji Geograficznej w ciągu danej godziny.</w:t>
      </w:r>
    </w:p>
    <w:p w14:paraId="01EAABA2" w14:textId="77777777" w:rsidR="003D733D" w:rsidRPr="008D4EC5" w:rsidRDefault="003D733D" w:rsidP="003D733D">
      <w:pPr>
        <w:pStyle w:val="ProductList-Body"/>
        <w:rPr>
          <w:color w:val="000000" w:themeColor="text1"/>
        </w:rPr>
      </w:pPr>
      <w:r>
        <w:rPr>
          <w:color w:val="000000" w:themeColor="text1"/>
        </w:rPr>
        <w:t>„</w:t>
      </w:r>
      <w:r>
        <w:rPr>
          <w:b/>
          <w:bCs/>
          <w:color w:val="00188F"/>
        </w:rPr>
        <w:t>S</w:t>
      </w:r>
      <w:r>
        <w:rPr>
          <w:color w:val="000000" w:themeColor="text1"/>
        </w:rPr>
        <w:t>” to posortowany według opóźnienia zestaw wyników Kontroli Opóźnienia Replikacji w kolejności rosnącej dla danego Łącza Replikacji Geograficznej w ciągu danej godziny.</w:t>
      </w:r>
    </w:p>
    <w:p w14:paraId="22C712BC" w14:textId="77777777" w:rsidR="003D733D" w:rsidRDefault="003D733D" w:rsidP="003D733D">
      <w:pPr>
        <w:pStyle w:val="ProductList-Body"/>
        <w:rPr>
          <w:color w:val="000000" w:themeColor="text1"/>
        </w:rPr>
      </w:pPr>
      <w:r>
        <w:rPr>
          <w:color w:val="000000" w:themeColor="text1"/>
        </w:rPr>
        <w:t>„</w:t>
      </w:r>
      <w:r>
        <w:rPr>
          <w:b/>
          <w:bCs/>
          <w:color w:val="00188F"/>
        </w:rPr>
        <w:t>Pozycja w Klasyfikacji</w:t>
      </w:r>
      <w:r>
        <w:rPr>
          <w:color w:val="000000" w:themeColor="text1"/>
        </w:rPr>
        <w:t>” to 99. percentyl określony z wykorzystaniem metody najbliższej pozycji w klasyfikacji, obliczany według poniższego wzoru:</w:t>
      </w:r>
    </w:p>
    <w:p w14:paraId="43522474" w14:textId="77777777" w:rsidR="003D733D" w:rsidRPr="00EF7CF9" w:rsidRDefault="00000000" w:rsidP="00B43832">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99</m:t>
              </m:r>
            </m:num>
            <m:den>
              <m:r>
                <m:rPr>
                  <m:nor/>
                </m:rPr>
                <w:rPr>
                  <w:rFonts w:ascii="Cambria Math" w:hAnsi="Cambria Math" w:cs="Tahoma"/>
                  <w:i/>
                  <w:sz w:val="18"/>
                  <w:szCs w:val="18"/>
                </w:rPr>
                <m:t>100</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N</m:t>
          </m:r>
        </m:oMath>
      </m:oMathPara>
    </w:p>
    <w:p w14:paraId="414D40B2" w14:textId="77777777" w:rsidR="003D733D" w:rsidRPr="008D4EC5" w:rsidRDefault="003D733D" w:rsidP="003D733D">
      <w:pPr>
        <w:pStyle w:val="ProductList-Body"/>
        <w:rPr>
          <w:color w:val="000000" w:themeColor="text1"/>
        </w:rPr>
      </w:pPr>
      <w:r>
        <w:rPr>
          <w:color w:val="000000" w:themeColor="text1"/>
        </w:rPr>
        <w:t>„</w:t>
      </w:r>
      <w:r>
        <w:rPr>
          <w:b/>
          <w:bCs/>
          <w:color w:val="00188F"/>
        </w:rPr>
        <w:t>Opóźnienie Replikacji P99</w:t>
      </w:r>
      <w:r>
        <w:rPr>
          <w:color w:val="000000" w:themeColor="text1"/>
        </w:rPr>
        <w:t>” to wartość odpowiadająca Pozycji w Klasyfikacji S.</w:t>
      </w:r>
    </w:p>
    <w:p w14:paraId="4BB7BC3D" w14:textId="37CB6E63" w:rsidR="003D733D" w:rsidRPr="008D4EC5" w:rsidRDefault="003D733D" w:rsidP="003D733D">
      <w:pPr>
        <w:pStyle w:val="ProductList-Body"/>
        <w:rPr>
          <w:color w:val="000000" w:themeColor="text1"/>
        </w:rPr>
      </w:pPr>
      <w:r>
        <w:rPr>
          <w:color w:val="000000" w:themeColor="text1"/>
        </w:rPr>
        <w:t>„</w:t>
      </w:r>
      <w:r>
        <w:rPr>
          <w:b/>
          <w:bCs/>
          <w:color w:val="00188F"/>
        </w:rPr>
        <w:t>Godziny Wdrożenia</w:t>
      </w:r>
      <w:r w:rsidR="00D011AB" w:rsidRPr="00D011AB">
        <w:t>”</w:t>
      </w:r>
      <w:r>
        <w:rPr>
          <w:color w:val="000000" w:themeColor="text1"/>
        </w:rPr>
        <w:t xml:space="preserve"> to łączna liczba godzin, w których dana Zgodna Dodatkowa Baza Danych działała w ramach danej subskrypcji Microsoft Azure we Właściwym Okresie.</w:t>
      </w:r>
    </w:p>
    <w:p w14:paraId="62BD4640" w14:textId="3C60EA2C" w:rsidR="003D733D" w:rsidRPr="008D4EC5" w:rsidRDefault="003D733D" w:rsidP="003D733D">
      <w:pPr>
        <w:pStyle w:val="ProductList-Body"/>
        <w:rPr>
          <w:color w:val="000000" w:themeColor="text1"/>
        </w:rPr>
      </w:pPr>
      <w:r>
        <w:rPr>
          <w:color w:val="000000" w:themeColor="text1"/>
        </w:rPr>
        <w:t>„</w:t>
      </w:r>
      <w:r>
        <w:rPr>
          <w:b/>
          <w:bCs/>
          <w:color w:val="00188F"/>
        </w:rPr>
        <w:t>Godziny Nadmiernego Opóźnienia</w:t>
      </w:r>
      <w:r w:rsidR="00D011AB" w:rsidRPr="00D011AB">
        <w:t>”</w:t>
      </w:r>
      <w:r>
        <w:rPr>
          <w:color w:val="000000" w:themeColor="text1"/>
        </w:rPr>
        <w:t xml:space="preserve"> to łączna liczba jednogodzinnych przedziałów, podczas których Kontrola Opóźnienia Replikacji spowodowała powstanie Opóźnienia Replikacji P99 większego lub równego RPO dla danej subskrypcji Microsoft Azure we Właściwym Okresie. Jeśli liczba Kontroli Opóźnienia Replikacji w danym jednogodzinnym przedziale wynosi zero, Godziny Nadmiernego Opóźnienia dla tego przedziału wynoszą 0.</w:t>
      </w:r>
    </w:p>
    <w:p w14:paraId="123CFA24" w14:textId="2E600CBB" w:rsidR="003D733D" w:rsidRPr="00ED4527" w:rsidRDefault="003D733D" w:rsidP="003D733D">
      <w:pPr>
        <w:pStyle w:val="ProductList-Body"/>
        <w:tabs>
          <w:tab w:val="clear" w:pos="360"/>
          <w:tab w:val="clear" w:pos="720"/>
          <w:tab w:val="clear" w:pos="1080"/>
        </w:tabs>
        <w:rPr>
          <w:color w:val="000000" w:themeColor="text1"/>
        </w:rPr>
      </w:pPr>
      <w:r>
        <w:rPr>
          <w:color w:val="000000" w:themeColor="text1"/>
        </w:rPr>
        <w:t>„</w:t>
      </w:r>
      <w:r>
        <w:rPr>
          <w:b/>
          <w:bCs/>
          <w:color w:val="00188F"/>
        </w:rPr>
        <w:t>Procent Osiągnięcia RPO</w:t>
      </w:r>
      <w:r w:rsidR="00D011AB" w:rsidRPr="00D011AB">
        <w:t>”</w:t>
      </w:r>
      <w:r>
        <w:rPr>
          <w:color w:val="000000" w:themeColor="text1"/>
        </w:rPr>
        <w:t xml:space="preserve"> dla danego wdrożenia Bazy Danych we Właściwym Okresie oblicza się według następującego wzoru:</w:t>
      </w:r>
    </w:p>
    <w:p w14:paraId="7EC80375" w14:textId="5AC1FA26" w:rsidR="003D733D" w:rsidRPr="00EF7CF9" w:rsidRDefault="003D733D" w:rsidP="00B43832">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100%- </m:t>
          </m:r>
          <m:f>
            <m:fPr>
              <m:ctrlPr>
                <w:rPr>
                  <w:rFonts w:ascii="Cambria Math" w:hAnsi="Cambria Math" w:cs="Tahoma"/>
                  <w:i/>
                  <w:sz w:val="18"/>
                  <w:szCs w:val="18"/>
                </w:rPr>
              </m:ctrlPr>
            </m:fPr>
            <m:num>
              <m:r>
                <m:rPr>
                  <m:nor/>
                </m:rPr>
                <w:rPr>
                  <w:rFonts w:ascii="Cambria Math" w:hAnsi="Cambria Math" w:cs="Tahoma"/>
                  <w:i/>
                  <w:sz w:val="18"/>
                  <w:szCs w:val="18"/>
                </w:rPr>
                <m:t>Godziny Nadmiernego Opóźnienia</m:t>
              </m:r>
            </m:num>
            <m:den>
              <m:r>
                <m:rPr>
                  <m:nor/>
                </m:rPr>
                <w:rPr>
                  <w:rFonts w:ascii="Cambria Math" w:hAnsi="Cambria Math" w:cs="Tahoma"/>
                  <w:i/>
                  <w:sz w:val="18"/>
                  <w:szCs w:val="18"/>
                </w:rPr>
                <m:t>Godziny Wdrożenia</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A39A83F" w14:textId="77777777" w:rsidR="003D733D" w:rsidRPr="00EF7CF9" w:rsidRDefault="003D733D" w:rsidP="003D733D">
      <w:pPr>
        <w:pStyle w:val="ProductList-Body"/>
        <w:spacing w:before="120"/>
      </w:pPr>
      <w:r>
        <w:rPr>
          <w:b/>
          <w:color w:val="00188F"/>
        </w:rPr>
        <w:t>Do używania przez Klienta funkcji aktywnej replikacji geograficznej w warstwie Krytyczna dla działania firmy usługi Azure SQL Database ze Zgodną Dodatkową Bazą Danych mają zastosowanie następujące Poziomy Usługi i Środki Serwisowe na Używanie Usług</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613"/>
        <w:gridCol w:w="1447"/>
        <w:gridCol w:w="3780"/>
        <w:gridCol w:w="3960"/>
      </w:tblGrid>
      <w:tr w:rsidR="003D733D" w:rsidRPr="00B44CF9" w14:paraId="7C2E5E45" w14:textId="77777777" w:rsidTr="00277097">
        <w:trPr>
          <w:tblHeader/>
        </w:trPr>
        <w:tc>
          <w:tcPr>
            <w:tcW w:w="1613" w:type="dxa"/>
            <w:shd w:val="clear" w:color="auto" w:fill="0072C6"/>
          </w:tcPr>
          <w:p w14:paraId="70F865C1" w14:textId="77777777" w:rsidR="003D733D" w:rsidRPr="00EF7CF9" w:rsidRDefault="003D733D" w:rsidP="000F31B4">
            <w:pPr>
              <w:pStyle w:val="ProductList-OfferingBody"/>
              <w:jc w:val="center"/>
              <w:rPr>
                <w:color w:val="FFFFFF" w:themeColor="background1"/>
              </w:rPr>
            </w:pPr>
            <w:r>
              <w:rPr>
                <w:color w:val="FFFFFF" w:themeColor="background1"/>
              </w:rPr>
              <w:t>Operacja</w:t>
            </w:r>
          </w:p>
        </w:tc>
        <w:tc>
          <w:tcPr>
            <w:tcW w:w="1447" w:type="dxa"/>
            <w:shd w:val="clear" w:color="auto" w:fill="0072C6"/>
          </w:tcPr>
          <w:p w14:paraId="04649A66" w14:textId="77777777" w:rsidR="003D733D" w:rsidRPr="00EF7CF9" w:rsidRDefault="003D733D" w:rsidP="000F31B4">
            <w:pPr>
              <w:pStyle w:val="ProductList-OfferingBody"/>
              <w:jc w:val="center"/>
              <w:rPr>
                <w:color w:val="FFFFFF" w:themeColor="background1"/>
              </w:rPr>
            </w:pPr>
            <w:r>
              <w:rPr>
                <w:color w:val="FFFFFF" w:themeColor="background1"/>
              </w:rPr>
              <w:t>RPO</w:t>
            </w:r>
          </w:p>
        </w:tc>
        <w:tc>
          <w:tcPr>
            <w:tcW w:w="3780" w:type="dxa"/>
            <w:shd w:val="clear" w:color="auto" w:fill="0072C6"/>
          </w:tcPr>
          <w:p w14:paraId="2283E325" w14:textId="06884C81" w:rsidR="003D733D" w:rsidRPr="00EF7CF9" w:rsidRDefault="003D733D" w:rsidP="000F31B4">
            <w:pPr>
              <w:pStyle w:val="ProductList-OfferingBody"/>
              <w:jc w:val="center"/>
              <w:rPr>
                <w:color w:val="FFFFFF" w:themeColor="background1"/>
              </w:rPr>
            </w:pPr>
            <w:r>
              <w:rPr>
                <w:color w:val="FFFFFF" w:themeColor="background1"/>
              </w:rPr>
              <w:t>Procent Osiągnięcia RPO</w:t>
            </w:r>
          </w:p>
        </w:tc>
        <w:tc>
          <w:tcPr>
            <w:tcW w:w="3960" w:type="dxa"/>
            <w:shd w:val="clear" w:color="auto" w:fill="0072C6"/>
          </w:tcPr>
          <w:p w14:paraId="38ADBCBD" w14:textId="77777777" w:rsidR="003D733D" w:rsidRPr="00EF7CF9" w:rsidRDefault="003D733D" w:rsidP="000F31B4">
            <w:pPr>
              <w:pStyle w:val="ProductList-OfferingBody"/>
              <w:jc w:val="center"/>
              <w:rPr>
                <w:color w:val="FFFFFF" w:themeColor="background1"/>
              </w:rPr>
            </w:pPr>
            <w:r>
              <w:rPr>
                <w:color w:val="FFFFFF" w:themeColor="background1"/>
              </w:rPr>
              <w:t>Środki Serwisowe na Używanie Usług</w:t>
            </w:r>
          </w:p>
        </w:tc>
      </w:tr>
      <w:tr w:rsidR="003D733D" w:rsidRPr="00B44CF9" w14:paraId="60100A40" w14:textId="77777777" w:rsidTr="00277097">
        <w:tc>
          <w:tcPr>
            <w:tcW w:w="1613" w:type="dxa"/>
            <w:vAlign w:val="center"/>
          </w:tcPr>
          <w:p w14:paraId="19E38570" w14:textId="77777777" w:rsidR="003D733D" w:rsidRPr="00EF7CF9" w:rsidRDefault="003D733D" w:rsidP="000F31B4">
            <w:pPr>
              <w:pStyle w:val="ProductList-OfferingBody"/>
              <w:jc w:val="center"/>
            </w:pPr>
            <w:r>
              <w:t>Replikacja Geograficzna</w:t>
            </w:r>
          </w:p>
        </w:tc>
        <w:tc>
          <w:tcPr>
            <w:tcW w:w="1447" w:type="dxa"/>
            <w:vAlign w:val="center"/>
          </w:tcPr>
          <w:p w14:paraId="4882E3A4" w14:textId="77777777" w:rsidR="003D733D" w:rsidRPr="00EF7CF9" w:rsidRDefault="003D733D" w:rsidP="000F31B4">
            <w:pPr>
              <w:pStyle w:val="ProductList-OfferingBody"/>
              <w:jc w:val="center"/>
            </w:pPr>
            <w:r>
              <w:t>5 sek.</w:t>
            </w:r>
          </w:p>
        </w:tc>
        <w:tc>
          <w:tcPr>
            <w:tcW w:w="3780" w:type="dxa"/>
            <w:vAlign w:val="center"/>
          </w:tcPr>
          <w:p w14:paraId="6063EF21" w14:textId="77777777" w:rsidR="003D733D" w:rsidRPr="00EF7CF9" w:rsidRDefault="003D733D" w:rsidP="000F31B4">
            <w:pPr>
              <w:pStyle w:val="ProductList-OfferingBody"/>
              <w:jc w:val="center"/>
            </w:pPr>
            <w:r>
              <w:t>&lt; 100%</w:t>
            </w:r>
          </w:p>
        </w:tc>
        <w:tc>
          <w:tcPr>
            <w:tcW w:w="3960" w:type="dxa"/>
            <w:vAlign w:val="center"/>
          </w:tcPr>
          <w:p w14:paraId="74D9BC0C" w14:textId="35EBB4C0" w:rsidR="003D733D" w:rsidRPr="00EF7CF9" w:rsidRDefault="003D733D" w:rsidP="000F31B4">
            <w:pPr>
              <w:pStyle w:val="ProductList-OfferingBody"/>
              <w:jc w:val="center"/>
            </w:pPr>
            <w:r>
              <w:t>10% łącznego kosztu Zgodnej Dodatkowej Bazy Danych we Właściwym Okresie</w:t>
            </w:r>
          </w:p>
        </w:tc>
      </w:tr>
    </w:tbl>
    <w:p w14:paraId="626616AF" w14:textId="77777777" w:rsidR="003D733D" w:rsidRPr="00ED4527" w:rsidRDefault="003D733D" w:rsidP="003D733D">
      <w:pPr>
        <w:pStyle w:val="ProductList-Body"/>
        <w:spacing w:before="240"/>
        <w:rPr>
          <w:b/>
          <w:bCs/>
          <w:color w:val="00188F"/>
        </w:rPr>
      </w:pPr>
      <w:r>
        <w:rPr>
          <w:b/>
          <w:bCs/>
          <w:color w:val="00188F"/>
        </w:rPr>
        <w:t>Docelowy Czas Odzyskiwania (RTO)</w:t>
      </w:r>
    </w:p>
    <w:p w14:paraId="018124D3" w14:textId="77777777" w:rsidR="003D733D" w:rsidRPr="009A2713" w:rsidRDefault="003D733D" w:rsidP="003D733D">
      <w:pPr>
        <w:pStyle w:val="ProductList-Body"/>
        <w:rPr>
          <w:color w:val="000000" w:themeColor="text1"/>
        </w:rPr>
      </w:pPr>
      <w:r>
        <w:rPr>
          <w:color w:val="000000" w:themeColor="text1"/>
        </w:rPr>
        <w:t>„</w:t>
      </w:r>
      <w:r>
        <w:rPr>
          <w:b/>
          <w:bCs/>
          <w:color w:val="00188F"/>
        </w:rPr>
        <w:t>Niezaplanowane Przełączenie w Trybie Failover</w:t>
      </w:r>
      <w:r>
        <w:rPr>
          <w:color w:val="000000" w:themeColor="text1"/>
        </w:rPr>
        <w:t>” to inicjowane przez Klienta w momencie, gdy Główna Baza Danych jest w trybie offline, działanie polegające na tym, aby Zgodna Dodatkowa Baza Danych rozpoczęła działania jako Główna Baza Danych.</w:t>
      </w:r>
    </w:p>
    <w:p w14:paraId="526E5FAF" w14:textId="77777777" w:rsidR="003D733D" w:rsidRPr="009A2713" w:rsidRDefault="003D733D" w:rsidP="003D733D">
      <w:pPr>
        <w:pStyle w:val="ProductList-Body"/>
        <w:rPr>
          <w:color w:val="000000" w:themeColor="text1"/>
        </w:rPr>
      </w:pPr>
      <w:r>
        <w:rPr>
          <w:color w:val="000000" w:themeColor="text1"/>
        </w:rPr>
        <w:t>„</w:t>
      </w:r>
      <w:r>
        <w:rPr>
          <w:b/>
          <w:bCs/>
          <w:color w:val="00188F"/>
        </w:rPr>
        <w:t>Czas Odzyskiwania</w:t>
      </w:r>
      <w:r>
        <w:rPr>
          <w:color w:val="000000" w:themeColor="text1"/>
        </w:rPr>
        <w:t>” to czas, który upłynął od momentu pojawienia się Niezaplanowanego Przełączenia w Trybie Failover do momentu, w którym Dodatkowa Baza Danych zaczęła działać jak Główna Baza Danych.</w:t>
      </w:r>
    </w:p>
    <w:p w14:paraId="6F599CC8" w14:textId="77777777" w:rsidR="003D733D" w:rsidRPr="009A2713" w:rsidRDefault="003D733D" w:rsidP="003D733D">
      <w:pPr>
        <w:pStyle w:val="ProductList-Body"/>
        <w:rPr>
          <w:color w:val="000000" w:themeColor="text1"/>
        </w:rPr>
      </w:pPr>
      <w:r>
        <w:rPr>
          <w:color w:val="000000" w:themeColor="text1"/>
        </w:rPr>
        <w:t>„</w:t>
      </w:r>
      <w:r>
        <w:rPr>
          <w:b/>
          <w:bCs/>
          <w:color w:val="00188F"/>
        </w:rPr>
        <w:t>Docelowy Czas Odzyskiwania (RTO)</w:t>
      </w:r>
      <w:r>
        <w:rPr>
          <w:color w:val="000000" w:themeColor="text1"/>
        </w:rPr>
        <w:t>” to maksymalny dozwolony Czas Odzyskiwania nieprzekraczający 30 sekund.</w:t>
      </w:r>
    </w:p>
    <w:p w14:paraId="5BE092A6" w14:textId="323A93E5" w:rsidR="003D733D" w:rsidRPr="009A2713" w:rsidRDefault="003D733D" w:rsidP="003D733D">
      <w:pPr>
        <w:pStyle w:val="ProductList-Body"/>
        <w:rPr>
          <w:color w:val="000000" w:themeColor="text1"/>
        </w:rPr>
      </w:pPr>
      <w:r>
        <w:rPr>
          <w:color w:val="000000" w:themeColor="text1"/>
        </w:rPr>
        <w:t>„</w:t>
      </w:r>
      <w:r>
        <w:rPr>
          <w:b/>
          <w:bCs/>
          <w:color w:val="00188F"/>
        </w:rPr>
        <w:t>Niezgodne Niezaplanowane Przełączenie w Trybie Failover</w:t>
      </w:r>
      <w:r>
        <w:rPr>
          <w:color w:val="000000" w:themeColor="text1"/>
        </w:rPr>
        <w:t>” to Niezaplanowane Przełączenie w Trybie Failover zakończone niepowodzeniem w</w:t>
      </w:r>
      <w:r w:rsidR="00073755">
        <w:rPr>
          <w:color w:val="000000" w:themeColor="text1"/>
        </w:rPr>
        <w:t> </w:t>
      </w:r>
      <w:r>
        <w:rPr>
          <w:color w:val="000000" w:themeColor="text1"/>
        </w:rPr>
        <w:t>Docelowym Czasie Odzyskiwania.</w:t>
      </w:r>
    </w:p>
    <w:p w14:paraId="5166DD05" w14:textId="5D67E438" w:rsidR="003D733D" w:rsidRPr="009A2713" w:rsidRDefault="003D733D" w:rsidP="003D733D">
      <w:pPr>
        <w:pStyle w:val="ProductList-Body"/>
        <w:tabs>
          <w:tab w:val="clear" w:pos="360"/>
          <w:tab w:val="clear" w:pos="720"/>
          <w:tab w:val="clear" w:pos="1080"/>
        </w:tabs>
        <w:rPr>
          <w:color w:val="000000" w:themeColor="text1"/>
        </w:rPr>
      </w:pPr>
      <w:r>
        <w:rPr>
          <w:color w:val="000000" w:themeColor="text1"/>
        </w:rPr>
        <w:t>„</w:t>
      </w:r>
      <w:r>
        <w:rPr>
          <w:b/>
          <w:bCs/>
          <w:color w:val="00188F"/>
        </w:rPr>
        <w:t>Procent Osiągnięcia RTO</w:t>
      </w:r>
      <w:r w:rsidR="00D011AB" w:rsidRPr="00D011AB">
        <w:t>”</w:t>
      </w:r>
      <w:r>
        <w:rPr>
          <w:color w:val="000000" w:themeColor="text1"/>
        </w:rPr>
        <w:t xml:space="preserve"> dla danego wdrożenia Bazy Danych we Właściwym Okresie dla danej subskrypcji oblicza się według następującego wzoru:</w:t>
      </w:r>
    </w:p>
    <w:p w14:paraId="324032A0" w14:textId="2CCF6DC5" w:rsidR="003D733D" w:rsidRPr="00073755" w:rsidRDefault="00000000" w:rsidP="00444DA8">
      <w:pPr>
        <w:pStyle w:val="ListParagraph"/>
        <w:spacing w:before="120" w:after="120" w:line="240" w:lineRule="auto"/>
        <w:contextualSpacing w:val="0"/>
        <w:rPr>
          <w:rFonts w:ascii="Cambria Math" w:hAnsi="Cambria Math" w:cs="Tahoma"/>
          <w:i/>
          <w:sz w:val="16"/>
          <w:szCs w:val="16"/>
        </w:rPr>
      </w:pPr>
      <m:oMathPara>
        <m:oMath>
          <m:f>
            <m:fPr>
              <m:ctrlPr>
                <w:rPr>
                  <w:rFonts w:ascii="Cambria Math" w:hAnsi="Cambria Math" w:cs="Tahoma"/>
                  <w:i/>
                  <w:sz w:val="16"/>
                  <w:szCs w:val="16"/>
                </w:rPr>
              </m:ctrlPr>
            </m:fPr>
            <m:num>
              <m:r>
                <m:rPr>
                  <m:nor/>
                </m:rPr>
                <w:rPr>
                  <w:rFonts w:ascii="Cambria Math" w:hAnsi="Cambria Math" w:cs="Tahoma"/>
                  <w:i/>
                  <w:sz w:val="16"/>
                  <w:szCs w:val="16"/>
                </w:rPr>
                <m:t>Łączna Liczba Niezaplanowanych Przełączeń w Trybie Failover – Łączna Liczba Niezgodnych Niezaplanowanych Przełączeń w Trybie Failover</m:t>
              </m:r>
            </m:num>
            <m:den>
              <m:r>
                <m:rPr>
                  <m:nor/>
                </m:rPr>
                <w:rPr>
                  <w:rFonts w:ascii="Cambria Math" w:hAnsi="Cambria Math" w:cs="Tahoma"/>
                  <w:i/>
                  <w:sz w:val="16"/>
                  <w:szCs w:val="16"/>
                </w:rPr>
                <m:t>Łączna Liczba Niezaplanowanych Przełączeń w Trybie Failover</m:t>
              </m:r>
            </m:den>
          </m:f>
          <m:r>
            <w:rPr>
              <w:rFonts w:ascii="Cambria Math" w:hAnsi="Cambria Math" w:cs="Tahoma"/>
              <w:sz w:val="16"/>
              <w:szCs w:val="16"/>
            </w:rPr>
            <m:t xml:space="preserve"> </m:t>
          </m:r>
          <m:r>
            <w:rPr>
              <w:rFonts w:ascii="Cambria Math" w:hAnsi="Cambria Math" w:cs="Calibri"/>
              <w:sz w:val="16"/>
              <w:szCs w:val="16"/>
            </w:rPr>
            <m:t>x</m:t>
          </m:r>
          <m:r>
            <w:rPr>
              <w:rFonts w:ascii="Cambria Math" w:hAnsi="Cambria Math" w:cs="Tahoma"/>
              <w:sz w:val="16"/>
              <w:szCs w:val="16"/>
            </w:rPr>
            <m:t xml:space="preserve"> 100</m:t>
          </m:r>
        </m:oMath>
      </m:oMathPara>
    </w:p>
    <w:p w14:paraId="63E2FBB7" w14:textId="77777777" w:rsidR="003D733D" w:rsidRPr="00EF7CF9" w:rsidRDefault="003D733D" w:rsidP="003D733D">
      <w:pPr>
        <w:pStyle w:val="ProductList-Body"/>
        <w:spacing w:before="120"/>
      </w:pPr>
      <w:r>
        <w:rPr>
          <w:b/>
          <w:color w:val="00188F"/>
        </w:rPr>
        <w:t>Do używania przez Klienta funkcji aktywnej replikacji geograficznej w warstwie usługowej Krytyczna dla działania firmy usługi Azure SQL Database ze Zgodną Dodatkową Bazą Danych mają zastosowanie następujące Poziomy Usługi i Środki Serwisowe na Używanie Usług</w:t>
      </w:r>
      <w:r>
        <w:rPr>
          <w:b/>
          <w:bCs/>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880"/>
        <w:gridCol w:w="1440"/>
        <w:gridCol w:w="2880"/>
        <w:gridCol w:w="3600"/>
      </w:tblGrid>
      <w:tr w:rsidR="003D733D" w:rsidRPr="00B44CF9" w14:paraId="61E89F7A" w14:textId="77777777" w:rsidTr="00277097">
        <w:trPr>
          <w:tblHeader/>
        </w:trPr>
        <w:tc>
          <w:tcPr>
            <w:tcW w:w="2880" w:type="dxa"/>
            <w:shd w:val="clear" w:color="auto" w:fill="0072C6"/>
          </w:tcPr>
          <w:p w14:paraId="15DF8249" w14:textId="77777777" w:rsidR="003D733D" w:rsidRPr="00EF7CF9" w:rsidRDefault="003D733D" w:rsidP="000F31B4">
            <w:pPr>
              <w:pStyle w:val="ProductList-OfferingBody"/>
              <w:jc w:val="center"/>
              <w:rPr>
                <w:color w:val="FFFFFF" w:themeColor="background1"/>
              </w:rPr>
            </w:pPr>
            <w:r>
              <w:rPr>
                <w:color w:val="FFFFFF" w:themeColor="background1"/>
              </w:rPr>
              <w:t>Operacja</w:t>
            </w:r>
          </w:p>
        </w:tc>
        <w:tc>
          <w:tcPr>
            <w:tcW w:w="1440" w:type="dxa"/>
            <w:shd w:val="clear" w:color="auto" w:fill="0072C6"/>
          </w:tcPr>
          <w:p w14:paraId="3A95E617" w14:textId="77777777" w:rsidR="003D733D" w:rsidRPr="00EF7CF9" w:rsidRDefault="003D733D" w:rsidP="000F31B4">
            <w:pPr>
              <w:pStyle w:val="ProductList-OfferingBody"/>
              <w:jc w:val="center"/>
              <w:rPr>
                <w:color w:val="FFFFFF" w:themeColor="background1"/>
              </w:rPr>
            </w:pPr>
            <w:r>
              <w:rPr>
                <w:color w:val="FFFFFF" w:themeColor="background1"/>
              </w:rPr>
              <w:t>RTO</w:t>
            </w:r>
          </w:p>
        </w:tc>
        <w:tc>
          <w:tcPr>
            <w:tcW w:w="2880" w:type="dxa"/>
            <w:shd w:val="clear" w:color="auto" w:fill="0072C6"/>
          </w:tcPr>
          <w:p w14:paraId="23A8C358" w14:textId="562905B4" w:rsidR="003D733D" w:rsidRPr="00EF7CF9" w:rsidRDefault="003D733D" w:rsidP="000F31B4">
            <w:pPr>
              <w:pStyle w:val="ProductList-OfferingBody"/>
              <w:jc w:val="center"/>
              <w:rPr>
                <w:color w:val="FFFFFF" w:themeColor="background1"/>
              </w:rPr>
            </w:pPr>
            <w:r>
              <w:rPr>
                <w:color w:val="FFFFFF" w:themeColor="background1"/>
              </w:rPr>
              <w:t>Procent Osiągnięcia RTO</w:t>
            </w:r>
          </w:p>
        </w:tc>
        <w:tc>
          <w:tcPr>
            <w:tcW w:w="3600" w:type="dxa"/>
            <w:shd w:val="clear" w:color="auto" w:fill="0072C6"/>
          </w:tcPr>
          <w:p w14:paraId="1C5AC948" w14:textId="77777777" w:rsidR="003D733D" w:rsidRPr="00EF7CF9" w:rsidRDefault="003D733D" w:rsidP="000F31B4">
            <w:pPr>
              <w:pStyle w:val="ProductList-OfferingBody"/>
              <w:jc w:val="center"/>
              <w:rPr>
                <w:color w:val="FFFFFF" w:themeColor="background1"/>
              </w:rPr>
            </w:pPr>
            <w:r>
              <w:rPr>
                <w:color w:val="FFFFFF" w:themeColor="background1"/>
              </w:rPr>
              <w:t>Środki Serwisowe na Używanie Usług</w:t>
            </w:r>
          </w:p>
        </w:tc>
      </w:tr>
      <w:tr w:rsidR="003D733D" w:rsidRPr="00B44CF9" w14:paraId="0F727BF7" w14:textId="77777777" w:rsidTr="00277097">
        <w:tc>
          <w:tcPr>
            <w:tcW w:w="2880" w:type="dxa"/>
            <w:vAlign w:val="center"/>
          </w:tcPr>
          <w:p w14:paraId="343B00BC" w14:textId="77777777" w:rsidR="003D733D" w:rsidRPr="00EF7CF9" w:rsidRDefault="003D733D" w:rsidP="000F31B4">
            <w:pPr>
              <w:pStyle w:val="ProductList-OfferingBody"/>
              <w:jc w:val="center"/>
            </w:pPr>
            <w:r>
              <w:t>Niezaplanowane Przełączenie w Trybie Failover Pojedynczej Bazy Danych</w:t>
            </w:r>
          </w:p>
        </w:tc>
        <w:tc>
          <w:tcPr>
            <w:tcW w:w="1440" w:type="dxa"/>
            <w:vAlign w:val="center"/>
          </w:tcPr>
          <w:p w14:paraId="5697F7F9" w14:textId="77777777" w:rsidR="003D733D" w:rsidRPr="00EF7CF9" w:rsidRDefault="003D733D" w:rsidP="000F31B4">
            <w:pPr>
              <w:pStyle w:val="ProductList-OfferingBody"/>
              <w:jc w:val="center"/>
            </w:pPr>
            <w:r>
              <w:t>30 sek.</w:t>
            </w:r>
          </w:p>
        </w:tc>
        <w:tc>
          <w:tcPr>
            <w:tcW w:w="2880" w:type="dxa"/>
            <w:vAlign w:val="center"/>
          </w:tcPr>
          <w:p w14:paraId="1F10F6D5" w14:textId="77777777" w:rsidR="003D733D" w:rsidRPr="00EF7CF9" w:rsidRDefault="003D733D" w:rsidP="000F31B4">
            <w:pPr>
              <w:pStyle w:val="ProductList-OfferingBody"/>
              <w:jc w:val="center"/>
            </w:pPr>
            <w:r>
              <w:t>&lt; 100%</w:t>
            </w:r>
          </w:p>
        </w:tc>
        <w:tc>
          <w:tcPr>
            <w:tcW w:w="3600" w:type="dxa"/>
            <w:vAlign w:val="center"/>
          </w:tcPr>
          <w:p w14:paraId="68DA0804" w14:textId="7ECCB888" w:rsidR="003D733D" w:rsidRPr="00EF7CF9" w:rsidRDefault="003D733D" w:rsidP="000F31B4">
            <w:pPr>
              <w:pStyle w:val="ProductList-OfferingBody"/>
              <w:jc w:val="center"/>
            </w:pPr>
            <w:r>
              <w:t>100% łącznego kosztu Zgodnej Dodatkowej Bazy Danych we Właściwym Okresie</w:t>
            </w:r>
          </w:p>
        </w:tc>
      </w:tr>
    </w:tbl>
    <w:p w14:paraId="360A6588" w14:textId="46E086DC" w:rsidR="003D733D" w:rsidRPr="00EF7CF9" w:rsidRDefault="00C71F89" w:rsidP="003D733D">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D682C45" w14:textId="58AD9CBF" w:rsidR="00C24853" w:rsidRPr="00C24853" w:rsidRDefault="00C24853" w:rsidP="00C24853">
      <w:pPr>
        <w:pStyle w:val="ProductList-Offering2Heading"/>
        <w:keepNext/>
        <w:tabs>
          <w:tab w:val="clear" w:pos="360"/>
          <w:tab w:val="clear" w:pos="720"/>
          <w:tab w:val="clear" w:pos="1080"/>
        </w:tabs>
        <w:outlineLvl w:val="2"/>
      </w:pPr>
      <w:bookmarkStart w:id="404" w:name="_Toc239175070"/>
      <w:bookmarkEnd w:id="403"/>
      <w:r>
        <w:t>Azure SQL Managed Instance</w:t>
      </w:r>
      <w:bookmarkEnd w:id="404"/>
    </w:p>
    <w:p w14:paraId="207753A5" w14:textId="77777777" w:rsidR="00C24853" w:rsidRPr="007F34A9" w:rsidRDefault="00C24853" w:rsidP="00C24853">
      <w:pPr>
        <w:pStyle w:val="ProductList-Body"/>
        <w:rPr>
          <w:b/>
          <w:bCs/>
          <w:color w:val="00188F"/>
        </w:rPr>
      </w:pPr>
      <w:r>
        <w:rPr>
          <w:b/>
          <w:bCs/>
          <w:color w:val="00188F"/>
        </w:rPr>
        <w:t>Dodatkowe definicje</w:t>
      </w:r>
    </w:p>
    <w:p w14:paraId="1CD0AF18" w14:textId="77777777" w:rsidR="00C24853" w:rsidRDefault="00C24853" w:rsidP="00C24853">
      <w:pPr>
        <w:pStyle w:val="ProductList-Body"/>
      </w:pPr>
      <w:r>
        <w:t>„</w:t>
      </w:r>
      <w:r>
        <w:rPr>
          <w:b/>
          <w:bCs/>
          <w:color w:val="00188F"/>
        </w:rPr>
        <w:t>Wystąpienie</w:t>
      </w:r>
      <w:r>
        <w:t>” to dowolne wystąpienie usługi Microsoft Azure SQL Managed Instance utworzone w dowolnej warstwie Usługi i wdrożone jako pojedyncze wystąpienie.</w:t>
      </w:r>
    </w:p>
    <w:p w14:paraId="1FEC54F7" w14:textId="77777777" w:rsidR="00C24853" w:rsidRDefault="00C24853" w:rsidP="00C24853">
      <w:pPr>
        <w:pStyle w:val="ProductList-Body"/>
      </w:pPr>
      <w:r>
        <w:t>„</w:t>
      </w:r>
      <w:r>
        <w:rPr>
          <w:b/>
          <w:bCs/>
          <w:color w:val="00188F"/>
        </w:rPr>
        <w:t>Zgodna Konfiguracja Sieci</w:t>
      </w:r>
      <w:r>
        <w:t>” to pełen zestaw wymaganych konfiguracji Sieci Wirtualnej Microsoft Azure hostującej Wystąpienie, w tym reguły zabezpieczeń ruchu przychodzącego zapewniane przez Grupę Zabezpieczeń Sieci Wirtualnej Microsoft Azure oraz obowiązkowe Zdefiniowane przez Użytkownika Microsoft Azure Trasy dla Podsieci Sieci Wirtualnej Microsoft Azure hostującej Wystąpienie, zezwalający na nieprzerwany ruch zarządzający oraz na przesyłanie danych do dedykowanej bramy znajdującej się w Podsieci Sieci Wirtualnej Microsoft Azure hostującej Wystąpienie.</w:t>
      </w:r>
    </w:p>
    <w:p w14:paraId="322954FA" w14:textId="77777777" w:rsidR="004A2B4C" w:rsidRPr="00D2551C" w:rsidRDefault="004A2B4C" w:rsidP="004A2B4C">
      <w:pPr>
        <w:pStyle w:val="ProductList-Body"/>
        <w:rPr>
          <w:rFonts w:ascii="Calibri" w:hAnsi="Calibri" w:cs="Calibri"/>
        </w:rPr>
      </w:pPr>
      <w:r>
        <w:rPr>
          <w:rFonts w:ascii="Calibri" w:hAnsi="Calibri" w:cs="Calibri"/>
        </w:rPr>
        <w:t>„</w:t>
      </w:r>
      <w:r>
        <w:rPr>
          <w:rFonts w:ascii="Calibri" w:hAnsi="Calibri" w:cs="Calibri"/>
          <w:b/>
          <w:bCs/>
          <w:color w:val="00188F"/>
        </w:rPr>
        <w:t>Strefa Dostępności</w:t>
      </w:r>
      <w:r>
        <w:rPr>
          <w:rFonts w:ascii="Calibri" w:hAnsi="Calibri" w:cs="Calibri"/>
        </w:rPr>
        <w:t>” to bezawaryjny obszar w regionie Azure zapewniający nadmiarowe zasilanie, chłodzenie i funkcje sieciowe.</w:t>
      </w:r>
    </w:p>
    <w:p w14:paraId="4AD89278" w14:textId="76ADC43F" w:rsidR="002D48BE" w:rsidRDefault="004A2B4C" w:rsidP="004A2B4C">
      <w:pPr>
        <w:pStyle w:val="ProductList-Body"/>
        <w:rPr>
          <w:b/>
          <w:bCs/>
          <w:color w:val="00188F"/>
        </w:rPr>
      </w:pPr>
      <w:r>
        <w:rPr>
          <w:rFonts w:ascii="Calibri" w:hAnsi="Calibri" w:cs="Calibri"/>
        </w:rPr>
        <w:t>„</w:t>
      </w:r>
      <w:r>
        <w:rPr>
          <w:rFonts w:ascii="Calibri" w:hAnsi="Calibri" w:cs="Calibri"/>
          <w:b/>
          <w:bCs/>
          <w:color w:val="00188F"/>
        </w:rPr>
        <w:t>Wdrożenia Strefowo Nadmiarowe</w:t>
      </w:r>
      <w:r>
        <w:rPr>
          <w:rFonts w:ascii="Calibri" w:hAnsi="Calibri" w:cs="Calibri"/>
        </w:rPr>
        <w:t>” jest instancją wdrożoną w wielu Strefach Dostępności</w:t>
      </w:r>
    </w:p>
    <w:p w14:paraId="14E0066B" w14:textId="2F9D9136" w:rsidR="00C24853" w:rsidRPr="007F34A9" w:rsidRDefault="00EE6E3C" w:rsidP="00C24853">
      <w:pPr>
        <w:pStyle w:val="ProductList-Body"/>
        <w:rPr>
          <w:b/>
          <w:bCs/>
          <w:color w:val="00188F"/>
        </w:rPr>
      </w:pPr>
      <w:r>
        <w:rPr>
          <w:b/>
          <w:bCs/>
          <w:color w:val="00188F"/>
        </w:rPr>
        <w:t>Obliczanie Czasu Sprawnego Działania i Poziomy Usługi dla Usługi Azure SQL Managed Instance</w:t>
      </w:r>
    </w:p>
    <w:p w14:paraId="7162FAC1" w14:textId="655026A4" w:rsidR="00C24853" w:rsidRDefault="00C24853" w:rsidP="00C24853">
      <w:pPr>
        <w:pStyle w:val="ProductList-Body"/>
      </w:pPr>
      <w:r>
        <w:t>„</w:t>
      </w:r>
      <w:r>
        <w:rPr>
          <w:b/>
          <w:bCs/>
          <w:color w:val="00188F"/>
        </w:rPr>
        <w:t>Minuty Wdrożenia</w:t>
      </w:r>
      <w:r>
        <w:t>” to łączna liczba minut, przez które dane Wystąpienie zostało wdrożone na platformie Microsoft Azure we Właściwym Okresie.</w:t>
      </w:r>
    </w:p>
    <w:p w14:paraId="4F25D7E2" w14:textId="4EE74F93" w:rsidR="00C24853" w:rsidRDefault="00C24853" w:rsidP="00073755">
      <w:pPr>
        <w:pStyle w:val="ProductList-Body"/>
        <w:jc w:val="both"/>
      </w:pPr>
      <w:r>
        <w:t>„</w:t>
      </w:r>
      <w:r>
        <w:rPr>
          <w:b/>
          <w:bCs/>
          <w:color w:val="00188F"/>
        </w:rPr>
        <w:t>Maksymalna Liczba Dostępnych Minut</w:t>
      </w:r>
      <w:r>
        <w:t>” to suma wszystkich Minut Wdrożenia w ramach danej subskrypcji Microsoft Azure we Właściwym Okresie.</w:t>
      </w:r>
    </w:p>
    <w:p w14:paraId="67E0F7ED" w14:textId="77777777" w:rsidR="00C24853" w:rsidRDefault="00C24853" w:rsidP="00C24853">
      <w:pPr>
        <w:pStyle w:val="ProductList-Body"/>
      </w:pPr>
      <w:r>
        <w:t>„</w:t>
      </w:r>
      <w:r>
        <w:rPr>
          <w:b/>
          <w:bCs/>
          <w:color w:val="00188F"/>
        </w:rPr>
        <w:t>Przestój</w:t>
      </w:r>
      <w:r>
        <w:t>” to łączna zakumulowana liczba Minut Wdrożenia dla wszystkich Wdrożeń w ramach danej subskrypcji Microsoft Azure, podczas których Wdrożenie jest niedostępne. Minuta jest uznawana za minutę niedostępności dla danego Wdrożenia, jeśli wszystkie podejmowane przez Klienta w trakcie tej minuty kolejne próby zmierzające do nawiązania łączności z Wdrożeniem kończą się niepowodzeniem.</w:t>
      </w:r>
    </w:p>
    <w:p w14:paraId="1DCEC456" w14:textId="35E62C50" w:rsidR="00C24853" w:rsidRDefault="00C24853" w:rsidP="00C24853">
      <w:pPr>
        <w:pStyle w:val="ProductList-Body"/>
      </w:pPr>
      <w:r>
        <w:t>„</w:t>
      </w:r>
      <w:r>
        <w:rPr>
          <w:b/>
          <w:bCs/>
          <w:color w:val="00188F"/>
        </w:rPr>
        <w:t>Obliczanie Czasu Sprawnego Działania</w:t>
      </w:r>
      <w:r>
        <w:t>” dla danego Wystąpienia to Maksymalna Liczba Dostępnych Minut pomniejszona o Przestój podzielona przez Maksymalną Liczbę Dostępnych Minut we Właściwym Okresie dla danej subskrypcji Microsoft Azure. Procent Czasu Sprawnego Działania przedstawia się za pomocą następującego wzoru:</w:t>
      </w:r>
    </w:p>
    <w:p w14:paraId="0DCFCAC9" w14:textId="2CB2EA18" w:rsidR="007F34A9" w:rsidRPr="00EF7CF9" w:rsidRDefault="00000000" w:rsidP="001C5A1E">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E43B062" w14:textId="77777777" w:rsidR="00633BC7" w:rsidRPr="00802AB3" w:rsidRDefault="00633BC7" w:rsidP="00633BC7">
      <w:pPr>
        <w:spacing w:after="0" w:line="240" w:lineRule="auto"/>
        <w:textAlignment w:val="baseline"/>
        <w:rPr>
          <w:rFonts w:ascii="Calibri" w:hAnsi="Calibri" w:cs="Calibri"/>
          <w:b/>
          <w:bCs/>
          <w:color w:val="00188F"/>
          <w:sz w:val="18"/>
        </w:rPr>
      </w:pPr>
      <w:r>
        <w:rPr>
          <w:rFonts w:ascii="Calibri" w:hAnsi="Calibri" w:cs="Calibri"/>
          <w:b/>
          <w:bCs/>
          <w:color w:val="00188F"/>
          <w:sz w:val="18"/>
        </w:rPr>
        <w:t>Poniższe Poziomy Usług i Środki na Używanie Usług mają zastosowanie do korzystania przez Klienta z warstwy krytycznej dla biznesu Usługi SQL Managed Instance skonfigurowanej dla Wdrożeń Strefowo Nadmiarowych ze Zgodną Konfiguracją Sieciową: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33BC7" w:rsidRPr="00B44CF9" w14:paraId="45819711" w14:textId="77777777" w:rsidTr="00EE2D6C">
        <w:trPr>
          <w:tblHeader/>
        </w:trPr>
        <w:tc>
          <w:tcPr>
            <w:tcW w:w="5400" w:type="dxa"/>
            <w:shd w:val="clear" w:color="auto" w:fill="0072C6"/>
          </w:tcPr>
          <w:p w14:paraId="15D27F4A"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4769EBA3"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633BC7" w:rsidRPr="00B44CF9" w14:paraId="6D5BC151" w14:textId="77777777" w:rsidTr="00EE2D6C">
        <w:tc>
          <w:tcPr>
            <w:tcW w:w="5400" w:type="dxa"/>
          </w:tcPr>
          <w:p w14:paraId="178D52A0"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23A789BC"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w:t>
            </w:r>
          </w:p>
        </w:tc>
      </w:tr>
      <w:tr w:rsidR="00633BC7" w:rsidRPr="00B44CF9" w14:paraId="117A60AC" w14:textId="77777777" w:rsidTr="00EE2D6C">
        <w:tc>
          <w:tcPr>
            <w:tcW w:w="5400" w:type="dxa"/>
          </w:tcPr>
          <w:p w14:paraId="74144053"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47F4B2C1"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25%</w:t>
            </w:r>
          </w:p>
        </w:tc>
      </w:tr>
      <w:tr w:rsidR="00633BC7" w:rsidRPr="00B44CF9" w14:paraId="6A542200" w14:textId="77777777" w:rsidTr="00EE2D6C">
        <w:tc>
          <w:tcPr>
            <w:tcW w:w="5400" w:type="dxa"/>
          </w:tcPr>
          <w:p w14:paraId="1EDB4FB3"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5E8D35C1"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100%</w:t>
            </w:r>
          </w:p>
        </w:tc>
      </w:tr>
    </w:tbl>
    <w:p w14:paraId="38A941A0" w14:textId="77777777" w:rsidR="00633BC7" w:rsidRPr="00802AB3" w:rsidRDefault="00633BC7" w:rsidP="00633BC7">
      <w:pPr>
        <w:spacing w:before="120" w:after="0" w:line="240" w:lineRule="auto"/>
        <w:textAlignment w:val="baseline"/>
        <w:rPr>
          <w:rFonts w:ascii="Calibri" w:hAnsi="Calibri" w:cs="Calibri"/>
          <w:b/>
          <w:bCs/>
          <w:color w:val="00188F"/>
          <w:sz w:val="18"/>
        </w:rPr>
      </w:pPr>
      <w:r>
        <w:rPr>
          <w:rFonts w:ascii="Calibri" w:hAnsi="Calibri" w:cs="Calibri"/>
          <w:b/>
          <w:bCs/>
          <w:color w:val="00188F"/>
          <w:sz w:val="18"/>
        </w:rPr>
        <w:t>Poniższe Poziomy Usług i Środki na Używanie Usług mają zastosowanie do korzystania przez Klienta z warstwy krytycznej dla biznesu Usługi SQL Managed Instance nieskonfigurowanej dla Wdrożeń Strefowo Nadmiarowych ze Zgodną Konfiguracją Sieciową: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33BC7" w:rsidRPr="00EF7CF9" w14:paraId="4F09DC1C" w14:textId="77777777" w:rsidTr="00EE2D6C">
        <w:trPr>
          <w:tblHeader/>
        </w:trPr>
        <w:tc>
          <w:tcPr>
            <w:tcW w:w="5400" w:type="dxa"/>
            <w:shd w:val="clear" w:color="auto" w:fill="0072C6"/>
          </w:tcPr>
          <w:p w14:paraId="504778FB"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60F91790"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633BC7" w:rsidRPr="00EF7CF9" w14:paraId="6814E4A9" w14:textId="77777777" w:rsidTr="00EE2D6C">
        <w:tc>
          <w:tcPr>
            <w:tcW w:w="5400" w:type="dxa"/>
          </w:tcPr>
          <w:p w14:paraId="484DEE1F"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70B4EDD4"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w:t>
            </w:r>
          </w:p>
        </w:tc>
      </w:tr>
      <w:tr w:rsidR="00633BC7" w:rsidRPr="00EF7CF9" w14:paraId="7E42AE05" w14:textId="77777777" w:rsidTr="00EE2D6C">
        <w:tc>
          <w:tcPr>
            <w:tcW w:w="5400" w:type="dxa"/>
          </w:tcPr>
          <w:p w14:paraId="049510F9"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65B8D14F"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25%</w:t>
            </w:r>
          </w:p>
        </w:tc>
      </w:tr>
      <w:tr w:rsidR="00633BC7" w:rsidRPr="00EF7CF9" w14:paraId="7EE6CBA4" w14:textId="77777777" w:rsidTr="00EE2D6C">
        <w:tc>
          <w:tcPr>
            <w:tcW w:w="5400" w:type="dxa"/>
          </w:tcPr>
          <w:p w14:paraId="5F1AEC5A"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26EA2053"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100%</w:t>
            </w:r>
          </w:p>
        </w:tc>
      </w:tr>
    </w:tbl>
    <w:p w14:paraId="771F5B52" w14:textId="77777777" w:rsidR="00633BC7" w:rsidRPr="00802AB3" w:rsidRDefault="00633BC7" w:rsidP="00633BC7">
      <w:pPr>
        <w:pStyle w:val="ProductList-Body"/>
        <w:spacing w:before="120"/>
        <w:rPr>
          <w:rFonts w:ascii="Calibri" w:hAnsi="Calibri" w:cs="Calibri"/>
          <w:b/>
          <w:bCs/>
          <w:color w:val="00188F"/>
        </w:rPr>
      </w:pPr>
      <w:r>
        <w:rPr>
          <w:rFonts w:ascii="Calibri" w:hAnsi="Calibri" w:cs="Calibri"/>
          <w:b/>
          <w:bCs/>
          <w:color w:val="00188F"/>
        </w:rPr>
        <w:t xml:space="preserve">Poniższe Poziomy Usług i Środki na Używanie Usług mają zastosowanie do korzystania przez Klienta z warstwy Ogólnego Przeznaczenia Usługi SQL Managed Instance </w:t>
      </w:r>
      <w:r>
        <w:rPr>
          <w:rFonts w:ascii="Calibri" w:eastAsia="Times New Roman" w:hAnsi="Calibri" w:cs="Calibri"/>
          <w:b/>
          <w:bCs/>
          <w:color w:val="00188F"/>
          <w:szCs w:val="18"/>
        </w:rPr>
        <w:t>skonfigurowanej dla Wdrożeń Strefowo Nadmiarowych ze Zgodną Konfiguracją Sieciową:</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33BC7" w:rsidRPr="00B44CF9" w14:paraId="23931A63" w14:textId="77777777" w:rsidTr="00EE2D6C">
        <w:trPr>
          <w:tblHeader/>
        </w:trPr>
        <w:tc>
          <w:tcPr>
            <w:tcW w:w="5400" w:type="dxa"/>
            <w:shd w:val="clear" w:color="auto" w:fill="0072C6"/>
          </w:tcPr>
          <w:p w14:paraId="08FF45AA"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44203B63"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633BC7" w:rsidRPr="00B44CF9" w14:paraId="415149A9" w14:textId="77777777" w:rsidTr="00EE2D6C">
        <w:tc>
          <w:tcPr>
            <w:tcW w:w="5400" w:type="dxa"/>
          </w:tcPr>
          <w:p w14:paraId="5D67FE23"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99,995%</w:t>
            </w:r>
          </w:p>
        </w:tc>
        <w:tc>
          <w:tcPr>
            <w:tcW w:w="5400" w:type="dxa"/>
          </w:tcPr>
          <w:p w14:paraId="798D6B10"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w:t>
            </w:r>
          </w:p>
        </w:tc>
      </w:tr>
      <w:tr w:rsidR="00633BC7" w:rsidRPr="00B44CF9" w14:paraId="67BC8B23" w14:textId="77777777" w:rsidTr="00EE2D6C">
        <w:tc>
          <w:tcPr>
            <w:tcW w:w="5400" w:type="dxa"/>
          </w:tcPr>
          <w:p w14:paraId="6683B42E"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65A4361B"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25%</w:t>
            </w:r>
          </w:p>
        </w:tc>
      </w:tr>
      <w:tr w:rsidR="00633BC7" w:rsidRPr="00B44CF9" w14:paraId="3756D21F" w14:textId="77777777" w:rsidTr="00EE2D6C">
        <w:tc>
          <w:tcPr>
            <w:tcW w:w="5400" w:type="dxa"/>
          </w:tcPr>
          <w:p w14:paraId="4732BC0B"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0064D548"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100%</w:t>
            </w:r>
          </w:p>
        </w:tc>
      </w:tr>
    </w:tbl>
    <w:p w14:paraId="18C7B420" w14:textId="77777777" w:rsidR="00633BC7" w:rsidRPr="00802AB3" w:rsidRDefault="00633BC7" w:rsidP="00633BC7">
      <w:pPr>
        <w:pStyle w:val="ProductList-Body"/>
        <w:spacing w:before="120"/>
        <w:rPr>
          <w:rFonts w:ascii="Calibri" w:hAnsi="Calibri" w:cs="Calibri"/>
          <w:b/>
          <w:bCs/>
          <w:color w:val="00188F"/>
        </w:rPr>
      </w:pPr>
      <w:r>
        <w:rPr>
          <w:rFonts w:ascii="Calibri" w:hAnsi="Calibri" w:cs="Calibri"/>
          <w:b/>
          <w:bCs/>
          <w:color w:val="00188F"/>
        </w:rPr>
        <w:t xml:space="preserve">Poniższe Poziomy Usług i Środki na Używanie Usług mają zastosowanie do korzystania przez Klienta z warstwy Ogólnego Przeznaczenia dla biznesu Usługi SQL Managed Instance nie </w:t>
      </w:r>
      <w:r>
        <w:rPr>
          <w:rFonts w:ascii="Calibri" w:eastAsia="Times New Roman" w:hAnsi="Calibri" w:cs="Calibri"/>
          <w:b/>
          <w:bCs/>
          <w:color w:val="00188F"/>
          <w:szCs w:val="18"/>
        </w:rPr>
        <w:t>skonfigurowanej dla Wdrożeń Strefowo Nadmiarowych ze Zgodną Konfiguracją Sieciową:</w:t>
      </w:r>
      <w:r>
        <w:rPr>
          <w:rFonts w:ascii="Calibri" w:eastAsia="Times New Roman" w:hAnsi="Calibri" w:cs="Calibri"/>
          <w:color w:val="00188F"/>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33BC7" w:rsidRPr="00B44CF9" w14:paraId="78F62B56" w14:textId="77777777" w:rsidTr="00EE2D6C">
        <w:trPr>
          <w:tblHeader/>
        </w:trPr>
        <w:tc>
          <w:tcPr>
            <w:tcW w:w="5400" w:type="dxa"/>
            <w:shd w:val="clear" w:color="auto" w:fill="0072C6"/>
          </w:tcPr>
          <w:p w14:paraId="4055EEB7"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3BB3BA12" w14:textId="77777777" w:rsidR="00633BC7" w:rsidRPr="005C5594" w:rsidRDefault="00633BC7" w:rsidP="00EE2D6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633BC7" w:rsidRPr="00B44CF9" w14:paraId="4B3FAE72" w14:textId="77777777" w:rsidTr="00EE2D6C">
        <w:tc>
          <w:tcPr>
            <w:tcW w:w="5400" w:type="dxa"/>
          </w:tcPr>
          <w:p w14:paraId="16E98A8A"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99,99%</w:t>
            </w:r>
          </w:p>
        </w:tc>
        <w:tc>
          <w:tcPr>
            <w:tcW w:w="5400" w:type="dxa"/>
          </w:tcPr>
          <w:p w14:paraId="18749332"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w:t>
            </w:r>
          </w:p>
        </w:tc>
      </w:tr>
      <w:tr w:rsidR="00633BC7" w:rsidRPr="00B44CF9" w14:paraId="3C9681CF" w14:textId="77777777" w:rsidTr="00EE2D6C">
        <w:tc>
          <w:tcPr>
            <w:tcW w:w="5400" w:type="dxa"/>
          </w:tcPr>
          <w:p w14:paraId="6514179D"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99%</w:t>
            </w:r>
          </w:p>
        </w:tc>
        <w:tc>
          <w:tcPr>
            <w:tcW w:w="5400" w:type="dxa"/>
          </w:tcPr>
          <w:p w14:paraId="4EDAD7D2"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25%</w:t>
            </w:r>
          </w:p>
        </w:tc>
      </w:tr>
      <w:tr w:rsidR="00633BC7" w:rsidRPr="00B44CF9" w14:paraId="16D89D49" w14:textId="77777777" w:rsidTr="00EE2D6C">
        <w:tc>
          <w:tcPr>
            <w:tcW w:w="5400" w:type="dxa"/>
          </w:tcPr>
          <w:p w14:paraId="74FEB8F7"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&lt; 95%</w:t>
            </w:r>
          </w:p>
        </w:tc>
        <w:tc>
          <w:tcPr>
            <w:tcW w:w="5400" w:type="dxa"/>
          </w:tcPr>
          <w:p w14:paraId="6B0AC29B" w14:textId="77777777" w:rsidR="00633BC7" w:rsidRPr="005C5594" w:rsidRDefault="00633BC7" w:rsidP="00EE2D6C">
            <w:pPr>
              <w:pStyle w:val="ProductList-OfferingBody"/>
              <w:jc w:val="center"/>
              <w:rPr>
                <w:rFonts w:ascii="Calibri" w:hAnsi="Calibri" w:cs="Calibri"/>
                <w:szCs w:val="16"/>
              </w:rPr>
            </w:pPr>
            <w:r>
              <w:rPr>
                <w:rFonts w:ascii="Calibri" w:hAnsi="Calibri" w:cs="Calibri"/>
                <w:szCs w:val="16"/>
              </w:rPr>
              <w:t>100%</w:t>
            </w:r>
          </w:p>
        </w:tc>
      </w:tr>
    </w:tbl>
    <w:p w14:paraId="7A2E8ED8" w14:textId="595A014A" w:rsidR="00D43447" w:rsidRPr="00EF7CF9" w:rsidRDefault="00C71F89" w:rsidP="00D4344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D234023" w14:textId="50F6FAFC" w:rsidR="0017060C" w:rsidRPr="00EF7CF9" w:rsidRDefault="0017060C" w:rsidP="00021976">
      <w:pPr>
        <w:pStyle w:val="ProductList-Offering2Heading"/>
        <w:tabs>
          <w:tab w:val="clear" w:pos="360"/>
          <w:tab w:val="clear" w:pos="720"/>
          <w:tab w:val="clear" w:pos="1080"/>
        </w:tabs>
        <w:outlineLvl w:val="2"/>
      </w:pPr>
      <w:bookmarkStart w:id="405" w:name="_Toc457821580"/>
      <w:bookmarkStart w:id="406" w:name="_Toc52348989"/>
      <w:bookmarkStart w:id="407" w:name="_Toc239175071"/>
      <w:bookmarkStart w:id="408" w:name="_Hlk119928622"/>
      <w:r>
        <w:t>SQL Server Stretch Database</w:t>
      </w:r>
      <w:bookmarkEnd w:id="405"/>
      <w:bookmarkEnd w:id="406"/>
      <w:bookmarkEnd w:id="407"/>
    </w:p>
    <w:bookmarkEnd w:id="408"/>
    <w:p w14:paraId="7C606DFB" w14:textId="77777777" w:rsidR="0017060C" w:rsidRPr="00EF7CF9" w:rsidRDefault="0017060C" w:rsidP="0017060C">
      <w:pPr>
        <w:pStyle w:val="ProductList-Body"/>
      </w:pPr>
      <w:r>
        <w:rPr>
          <w:b/>
          <w:color w:val="00188F"/>
        </w:rPr>
        <w:t>Dodatkowe definicje</w:t>
      </w:r>
      <w:r w:rsidRPr="0034704E">
        <w:rPr>
          <w:b/>
          <w:color w:val="00188F"/>
        </w:rPr>
        <w:t>:</w:t>
      </w:r>
    </w:p>
    <w:p w14:paraId="1A682C59" w14:textId="77777777" w:rsidR="0017060C" w:rsidRPr="00EF7CF9" w:rsidRDefault="0017060C" w:rsidP="0017060C">
      <w:pPr>
        <w:pStyle w:val="ProductList-Body"/>
      </w:pPr>
      <w:r>
        <w:t>„</w:t>
      </w:r>
      <w:r>
        <w:rPr>
          <w:b/>
          <w:color w:val="00188F"/>
        </w:rPr>
        <w:t>Baza Danych</w:t>
      </w:r>
      <w:r>
        <w:t>” to pojedyncze wystąpienie usługi SQL Server Stretch Database.</w:t>
      </w:r>
    </w:p>
    <w:p w14:paraId="297A170B" w14:textId="6636C67F" w:rsidR="0017060C" w:rsidRPr="00EF7CF9" w:rsidRDefault="0017060C" w:rsidP="0017060C">
      <w:pPr>
        <w:pStyle w:val="ProductList-Body"/>
      </w:pPr>
      <w:r>
        <w:t>„</w:t>
      </w:r>
      <w:r>
        <w:rPr>
          <w:b/>
          <w:color w:val="00188F"/>
        </w:rPr>
        <w:t>Maksymalna Liczba Dostępnych Minut</w:t>
      </w:r>
      <w:r>
        <w:t>” to łączna liczba minut, przez które dana Baza Danych została wdrożona przez Klienta w ramach danej subskrypcji Microsoft Azure we Właściwym Okresie.</w:t>
      </w:r>
    </w:p>
    <w:p w14:paraId="4BD2CA20" w14:textId="77777777" w:rsidR="0017060C" w:rsidRPr="00EF7CF9" w:rsidRDefault="0017060C" w:rsidP="0017060C">
      <w:pPr>
        <w:pStyle w:val="ProductList-Body"/>
      </w:pPr>
      <w:r>
        <w:rPr>
          <w:b/>
          <w:color w:val="00188F"/>
        </w:rPr>
        <w:t>Przestój</w:t>
      </w:r>
      <w:r w:rsidRPr="0034704E">
        <w:rPr>
          <w:b/>
          <w:color w:val="00188F"/>
        </w:rPr>
        <w:t>:</w:t>
      </w:r>
      <w:r>
        <w:t xml:space="preserve"> to łączna zakumulowana liczba minut dla wszystkich Baz Danych wdrożonych przez Klienta w ramach danej subskrypcji Microsoft Azure, podczas których Baza Danych jest niedostępna. Minuta jest uznawana za minutę niedostępności dla danej Bazy Danych, jeśli wszystkie podejmowane przez Klienta w trakcie tej minuty kolejne próby zmierzające do nawiązania łączności z Bazą Danych kończą się niepowodzeniem.</w:t>
      </w:r>
    </w:p>
    <w:p w14:paraId="70A11240" w14:textId="1F1CBBCF" w:rsidR="0017060C" w:rsidRDefault="00AC48A7" w:rsidP="0017060C">
      <w:pPr>
        <w:pStyle w:val="ProductList-Body"/>
        <w:keepNext/>
      </w:pPr>
      <w:r>
        <w:rPr>
          <w:b/>
          <w:color w:val="00188F"/>
        </w:rPr>
        <w:t>Procent Czasu Sprawnego Działania</w:t>
      </w:r>
      <w:r w:rsidRPr="0034704E">
        <w:rPr>
          <w:b/>
          <w:color w:val="00188F"/>
        </w:rPr>
        <w:t>:</w:t>
      </w:r>
      <w:r>
        <w:t xml:space="preserve"> Procent Czasu Sprawnego Działania jest obliczany przy użyciu następującego wzoru:</w:t>
      </w:r>
    </w:p>
    <w:p w14:paraId="132AD4B7" w14:textId="66CB7827" w:rsidR="0017060C" w:rsidRPr="00EF7CF9" w:rsidRDefault="00000000" w:rsidP="001C5A1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D2F35F0" w14:textId="77777777" w:rsidR="0017060C" w:rsidRPr="00EF7CF9" w:rsidRDefault="0017060C" w:rsidP="0017060C">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17060C" w:rsidRPr="00B44CF9" w14:paraId="02B047CB" w14:textId="77777777" w:rsidTr="00277097">
        <w:trPr>
          <w:tblHeader/>
        </w:trPr>
        <w:tc>
          <w:tcPr>
            <w:tcW w:w="5400" w:type="dxa"/>
            <w:shd w:val="clear" w:color="auto" w:fill="0072C6"/>
          </w:tcPr>
          <w:p w14:paraId="473520A3" w14:textId="2C5DC160" w:rsidR="0017060C"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C31EF25" w14:textId="77777777" w:rsidR="0017060C" w:rsidRPr="00EF7CF9" w:rsidRDefault="0017060C" w:rsidP="000F31B4">
            <w:pPr>
              <w:pStyle w:val="ProductList-OfferingBody"/>
              <w:jc w:val="center"/>
              <w:rPr>
                <w:color w:val="FFFFFF" w:themeColor="background1"/>
              </w:rPr>
            </w:pPr>
            <w:r>
              <w:rPr>
                <w:color w:val="FFFFFF" w:themeColor="background1"/>
              </w:rPr>
              <w:t>Środki Serwisowe na Używanie Usług</w:t>
            </w:r>
          </w:p>
        </w:tc>
      </w:tr>
      <w:tr w:rsidR="0017060C" w:rsidRPr="00B44CF9" w14:paraId="7DA385FB" w14:textId="77777777" w:rsidTr="00277097">
        <w:tc>
          <w:tcPr>
            <w:tcW w:w="5400" w:type="dxa"/>
          </w:tcPr>
          <w:p w14:paraId="3FBEF90F" w14:textId="77777777" w:rsidR="0017060C" w:rsidRPr="00EF7CF9" w:rsidRDefault="0017060C" w:rsidP="000F31B4">
            <w:pPr>
              <w:pStyle w:val="ProductList-OfferingBody"/>
              <w:jc w:val="center"/>
            </w:pPr>
            <w:r>
              <w:t>&lt; 99,9%</w:t>
            </w:r>
          </w:p>
        </w:tc>
        <w:tc>
          <w:tcPr>
            <w:tcW w:w="5400" w:type="dxa"/>
          </w:tcPr>
          <w:p w14:paraId="1C6584C7" w14:textId="77777777" w:rsidR="0017060C" w:rsidRPr="00EF7CF9" w:rsidRDefault="0017060C" w:rsidP="000F31B4">
            <w:pPr>
              <w:pStyle w:val="ProductList-OfferingBody"/>
              <w:jc w:val="center"/>
            </w:pPr>
            <w:r>
              <w:t>10%</w:t>
            </w:r>
          </w:p>
        </w:tc>
      </w:tr>
      <w:tr w:rsidR="0017060C" w:rsidRPr="00B44CF9" w14:paraId="3479755F" w14:textId="77777777" w:rsidTr="00277097">
        <w:tc>
          <w:tcPr>
            <w:tcW w:w="5400" w:type="dxa"/>
          </w:tcPr>
          <w:p w14:paraId="0557D729" w14:textId="77777777" w:rsidR="0017060C" w:rsidRPr="00EF7CF9" w:rsidRDefault="0017060C" w:rsidP="000F31B4">
            <w:pPr>
              <w:pStyle w:val="ProductList-OfferingBody"/>
              <w:jc w:val="center"/>
            </w:pPr>
            <w:r>
              <w:t>&lt; 99%</w:t>
            </w:r>
          </w:p>
        </w:tc>
        <w:tc>
          <w:tcPr>
            <w:tcW w:w="5400" w:type="dxa"/>
          </w:tcPr>
          <w:p w14:paraId="15E605CE" w14:textId="77777777" w:rsidR="0017060C" w:rsidRPr="00EF7CF9" w:rsidRDefault="0017060C" w:rsidP="000F31B4">
            <w:pPr>
              <w:pStyle w:val="ProductList-OfferingBody"/>
              <w:jc w:val="center"/>
            </w:pPr>
            <w:r>
              <w:t>25%</w:t>
            </w:r>
          </w:p>
        </w:tc>
      </w:tr>
    </w:tbl>
    <w:p w14:paraId="32988691" w14:textId="5681CFF6" w:rsidR="0017060C" w:rsidRPr="00EF7CF9" w:rsidRDefault="00C71F89" w:rsidP="0017060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AABEE67" w14:textId="77777777" w:rsidR="0017060C" w:rsidRPr="0017060C" w:rsidRDefault="0017060C" w:rsidP="005D4064">
      <w:pPr>
        <w:pStyle w:val="ProductList-Offering2Heading"/>
        <w:keepNext/>
        <w:tabs>
          <w:tab w:val="clear" w:pos="360"/>
          <w:tab w:val="clear" w:pos="720"/>
          <w:tab w:val="clear" w:pos="1080"/>
        </w:tabs>
        <w:outlineLvl w:val="2"/>
      </w:pPr>
      <w:bookmarkStart w:id="409" w:name="_Toc239175072"/>
      <w:r>
        <w:t>Static Web Apps</w:t>
      </w:r>
      <w:bookmarkEnd w:id="409"/>
    </w:p>
    <w:p w14:paraId="30E5D55D" w14:textId="77777777" w:rsidR="0017060C" w:rsidRPr="0017060C" w:rsidRDefault="0017060C" w:rsidP="0017060C">
      <w:pPr>
        <w:pStyle w:val="ProductList-Body"/>
        <w:rPr>
          <w:b/>
          <w:bCs/>
          <w:color w:val="00188F"/>
        </w:rPr>
      </w:pPr>
      <w:r>
        <w:rPr>
          <w:b/>
          <w:bCs/>
          <w:color w:val="00188F"/>
        </w:rPr>
        <w:t>Dodatkowe definicje</w:t>
      </w:r>
    </w:p>
    <w:p w14:paraId="7C3712A5" w14:textId="23D05D2A" w:rsidR="0017060C" w:rsidRDefault="0017060C" w:rsidP="0017060C">
      <w:pPr>
        <w:pStyle w:val="ProductList-Body"/>
      </w:pPr>
      <w:r>
        <w:t>„</w:t>
      </w:r>
      <w:r>
        <w:rPr>
          <w:b/>
          <w:bCs/>
          <w:color w:val="00188F"/>
        </w:rPr>
        <w:t>Minuty Wdrożenia</w:t>
      </w:r>
      <w:r>
        <w:t>” to łączna liczba minut, przez które dana Aplikacja była skonfigurowana do uruchomienia na platformie Microsoft Azure we Właściwym Okresie. Minuty Wdrożenia są mierzone od momentu utworzenia Aplikacji albo zainicjowania przez Klienta działania, które spowoduje uruchomienie Aplikacji, do momentu, w którym Klient zainicjuje działanie, które spowoduje zatrzymanie albo usunięcie Aplikacji.</w:t>
      </w:r>
    </w:p>
    <w:p w14:paraId="2CF8C7A3" w14:textId="0B92CD35" w:rsidR="0017060C" w:rsidRDefault="0017060C" w:rsidP="0017060C">
      <w:pPr>
        <w:pStyle w:val="ProductList-Body"/>
      </w:pPr>
      <w:r>
        <w:t>„</w:t>
      </w:r>
      <w:r>
        <w:rPr>
          <w:b/>
          <w:bCs/>
          <w:color w:val="00188F"/>
        </w:rPr>
        <w:t>Maksymalna Liczba Dostępnych Minut</w:t>
      </w:r>
      <w:r>
        <w:t>” to suma wszystkich Minut Wdrożenia dla wszystkich Aplikacji wdrożonych przez Klienta w ramach danej subskrypcji Microsoft Azure we Właściwym Okresie.</w:t>
      </w:r>
    </w:p>
    <w:p w14:paraId="73041906" w14:textId="77777777" w:rsidR="0017060C" w:rsidRDefault="0017060C" w:rsidP="0017060C">
      <w:pPr>
        <w:pStyle w:val="ProductList-Body"/>
      </w:pPr>
      <w:r>
        <w:t>„</w:t>
      </w:r>
      <w:r>
        <w:rPr>
          <w:b/>
          <w:bCs/>
          <w:color w:val="00188F"/>
        </w:rPr>
        <w:t>Aplikacja</w:t>
      </w:r>
      <w:r>
        <w:t>” to aplikacja sieciowa wdrożona przez Klienta w ramach Statycznych aplikacji internetowych.</w:t>
      </w:r>
    </w:p>
    <w:p w14:paraId="7849AF2E" w14:textId="77777777" w:rsidR="0017060C" w:rsidRDefault="0017060C" w:rsidP="0017060C">
      <w:pPr>
        <w:pStyle w:val="ProductList-Body"/>
      </w:pPr>
      <w:r>
        <w:rPr>
          <w:b/>
          <w:bCs/>
          <w:color w:val="00188F"/>
        </w:rPr>
        <w:t>Przestój</w:t>
      </w:r>
      <w:r w:rsidRPr="0034704E">
        <w:rPr>
          <w:b/>
          <w:color w:val="00188F"/>
        </w:rPr>
        <w:t>:</w:t>
      </w:r>
      <w:r>
        <w:t xml:space="preserve"> to łączna zakumulowana liczba Minut Wdrożenia dla wszystkich Aplikacji wdrożonych przez Klienta w ramach określonej subskrypcji Microsoft Azure, w czasie których dana Aplikacja jest niedostępna. Minuta niedostępności dla danej Aplikacji oznacza brak łączności pomiędzy Aplikacją a bramą internetową Microsoft.</w:t>
      </w:r>
    </w:p>
    <w:p w14:paraId="37E9841B" w14:textId="428A56F6" w:rsidR="0017060C" w:rsidRDefault="00AC48A7" w:rsidP="0017060C">
      <w:pPr>
        <w:pStyle w:val="ProductList-Body"/>
      </w:pPr>
      <w:r>
        <w:rPr>
          <w:b/>
          <w:bCs/>
          <w:color w:val="00188F"/>
        </w:rPr>
        <w:t>Procent Czasu Sprawnego Działania</w:t>
      </w:r>
      <w:r>
        <w:t xml:space="preserve"> Procent Czasu Sprawnego Działania jest obliczany przy użyciu następującego wzoru:</w:t>
      </w:r>
    </w:p>
    <w:p w14:paraId="147DC32C" w14:textId="26CD5D6A" w:rsidR="0017060C" w:rsidRPr="00EF7CF9" w:rsidRDefault="00000000" w:rsidP="001C5A1E">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63CB418" w14:textId="2A3C4401" w:rsidR="0017060C" w:rsidRPr="00B00BE0" w:rsidRDefault="0017060C" w:rsidP="0017060C">
      <w:pPr>
        <w:pStyle w:val="ProductList-Body"/>
        <w:rPr>
          <w:b/>
          <w:bCs/>
          <w:color w:val="00188F"/>
        </w:rPr>
      </w:pP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00BE0" w:rsidRPr="00B44CF9" w14:paraId="4C90AFFD" w14:textId="77777777" w:rsidTr="00277097">
        <w:trPr>
          <w:tblHeader/>
        </w:trPr>
        <w:tc>
          <w:tcPr>
            <w:tcW w:w="5400" w:type="dxa"/>
            <w:shd w:val="clear" w:color="auto" w:fill="0072C6"/>
          </w:tcPr>
          <w:p w14:paraId="3F674B2B" w14:textId="1CCCE114" w:rsidR="00B00BE0"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8BB82AA" w14:textId="77777777" w:rsidR="00B00BE0" w:rsidRPr="00EF7CF9" w:rsidRDefault="00B00BE0" w:rsidP="000F31B4">
            <w:pPr>
              <w:pStyle w:val="ProductList-OfferingBody"/>
              <w:jc w:val="center"/>
              <w:rPr>
                <w:color w:val="FFFFFF" w:themeColor="background1"/>
              </w:rPr>
            </w:pPr>
            <w:r>
              <w:rPr>
                <w:color w:val="FFFFFF" w:themeColor="background1"/>
              </w:rPr>
              <w:t>Środki Serwisowe na Używanie Usług</w:t>
            </w:r>
          </w:p>
        </w:tc>
      </w:tr>
      <w:tr w:rsidR="00B00BE0" w:rsidRPr="00B44CF9" w14:paraId="6B1B2870" w14:textId="77777777" w:rsidTr="00277097">
        <w:tc>
          <w:tcPr>
            <w:tcW w:w="5400" w:type="dxa"/>
          </w:tcPr>
          <w:p w14:paraId="65BC5D0B" w14:textId="16428DF9" w:rsidR="00B00BE0" w:rsidRPr="00EF7CF9" w:rsidRDefault="00B00BE0" w:rsidP="000F31B4">
            <w:pPr>
              <w:pStyle w:val="ProductList-OfferingBody"/>
              <w:jc w:val="center"/>
            </w:pPr>
            <w:r>
              <w:t>&lt; 99,95%</w:t>
            </w:r>
          </w:p>
        </w:tc>
        <w:tc>
          <w:tcPr>
            <w:tcW w:w="5400" w:type="dxa"/>
          </w:tcPr>
          <w:p w14:paraId="064A4A90" w14:textId="77777777" w:rsidR="00B00BE0" w:rsidRPr="00EF7CF9" w:rsidRDefault="00B00BE0" w:rsidP="000F31B4">
            <w:pPr>
              <w:pStyle w:val="ProductList-OfferingBody"/>
              <w:jc w:val="center"/>
            </w:pPr>
            <w:r>
              <w:t>10%</w:t>
            </w:r>
          </w:p>
        </w:tc>
      </w:tr>
      <w:tr w:rsidR="00B00BE0" w:rsidRPr="00B44CF9" w14:paraId="547B38E5" w14:textId="77777777" w:rsidTr="00277097">
        <w:tc>
          <w:tcPr>
            <w:tcW w:w="5400" w:type="dxa"/>
          </w:tcPr>
          <w:p w14:paraId="0BEB3E63" w14:textId="77777777" w:rsidR="00B00BE0" w:rsidRPr="00EF7CF9" w:rsidRDefault="00B00BE0" w:rsidP="000F31B4">
            <w:pPr>
              <w:pStyle w:val="ProductList-OfferingBody"/>
              <w:jc w:val="center"/>
            </w:pPr>
            <w:r>
              <w:t>&lt; 99%</w:t>
            </w:r>
          </w:p>
        </w:tc>
        <w:tc>
          <w:tcPr>
            <w:tcW w:w="5400" w:type="dxa"/>
          </w:tcPr>
          <w:p w14:paraId="5AC50C71" w14:textId="77777777" w:rsidR="00B00BE0" w:rsidRPr="00EF7CF9" w:rsidRDefault="00B00BE0" w:rsidP="000F31B4">
            <w:pPr>
              <w:pStyle w:val="ProductList-OfferingBody"/>
              <w:jc w:val="center"/>
            </w:pPr>
            <w:r>
              <w:t>25%</w:t>
            </w:r>
          </w:p>
        </w:tc>
      </w:tr>
    </w:tbl>
    <w:p w14:paraId="62E029BE" w14:textId="77777777" w:rsidR="0017060C" w:rsidRDefault="0017060C" w:rsidP="00947ACC">
      <w:pPr>
        <w:pStyle w:val="ProductList-Body"/>
        <w:spacing w:before="120"/>
      </w:pPr>
      <w:r>
        <w:rPr>
          <w:b/>
          <w:bCs/>
          <w:color w:val="00188F"/>
        </w:rPr>
        <w:t>Postanowienia dodatkowe</w:t>
      </w:r>
      <w:r w:rsidRPr="0034704E">
        <w:rPr>
          <w:b/>
          <w:color w:val="00188F"/>
        </w:rPr>
        <w:t>:</w:t>
      </w:r>
      <w:r>
        <w:t xml:space="preserve"> Środki Serwisowe na Używanie Usług mają zastosowanie wyłącznie do opłat dotyczących używania przez Klienta statycznych aplikacji internetowych, a nie do opłat dotyczących innych typów dostępnych aplikacji.</w:t>
      </w:r>
    </w:p>
    <w:p w14:paraId="22FB8253" w14:textId="77777777" w:rsidR="0062731C" w:rsidRPr="00EF7CF9" w:rsidRDefault="0062731C" w:rsidP="0062731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5E1738F" w14:textId="032AB2DC" w:rsidR="00E96EE7" w:rsidRPr="00EF7CF9" w:rsidRDefault="00E96EE7" w:rsidP="00E05F09">
      <w:pPr>
        <w:pStyle w:val="ProductList-Offering2Heading"/>
        <w:keepNext/>
        <w:tabs>
          <w:tab w:val="clear" w:pos="360"/>
          <w:tab w:val="clear" w:pos="720"/>
          <w:tab w:val="clear" w:pos="1080"/>
        </w:tabs>
        <w:outlineLvl w:val="2"/>
      </w:pPr>
      <w:bookmarkStart w:id="410" w:name="_Toc457821581"/>
      <w:bookmarkStart w:id="411" w:name="_Toc52348990"/>
      <w:bookmarkStart w:id="412" w:name="_Toc239175073"/>
      <w:bookmarkStart w:id="413" w:name="StorageService"/>
      <w:r>
        <w:t xml:space="preserve">Konta </w:t>
      </w:r>
      <w:bookmarkEnd w:id="410"/>
      <w:bookmarkEnd w:id="411"/>
      <w:r>
        <w:t>Magazynów</w:t>
      </w:r>
      <w:bookmarkEnd w:id="412"/>
    </w:p>
    <w:bookmarkEnd w:id="413"/>
    <w:p w14:paraId="3FAE5110" w14:textId="77777777" w:rsidR="008E258D" w:rsidRPr="00851B3D" w:rsidRDefault="008E258D" w:rsidP="008E258D">
      <w:pPr>
        <w:pStyle w:val="ProductList-Body"/>
        <w:rPr>
          <w:rFonts w:ascii="Calibri" w:hAnsi="Calibri" w:cs="Calibri"/>
        </w:rPr>
      </w:pPr>
      <w:r>
        <w:rPr>
          <w:rFonts w:ascii="Calibri" w:hAnsi="Calibri" w:cs="Calibri"/>
          <w:b/>
          <w:color w:val="00188F"/>
        </w:rPr>
        <w:t>Dodatkowe definicje</w:t>
      </w:r>
      <w:r>
        <w:rPr>
          <w:rFonts w:ascii="Calibri" w:hAnsi="Calibri" w:cs="Calibri"/>
        </w:rPr>
        <w:t>:</w:t>
      </w:r>
    </w:p>
    <w:p w14:paraId="1D68AD1B" w14:textId="77777777" w:rsidR="008E258D" w:rsidRPr="00851B3D"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Archiwalna Warstwa Dostępu</w:t>
      </w:r>
      <w:r>
        <w:rPr>
          <w:rFonts w:ascii="Calibri" w:hAnsi="Calibri" w:cs="Calibri"/>
        </w:rPr>
        <w:t>”</w:t>
      </w:r>
      <w:r>
        <w:rPr>
          <w:rFonts w:ascii="Calibri" w:hAnsi="Calibri" w:cs="Calibri"/>
          <w:b/>
          <w:color w:val="00188F"/>
        </w:rPr>
        <w:t xml:space="preserve"> </w:t>
      </w:r>
      <w:r>
        <w:rPr>
          <w:rFonts w:ascii="Calibri" w:hAnsi="Calibri" w:cs="Calibri"/>
        </w:rPr>
        <w:t xml:space="preserve">to warstwa zoptymalizowana pod kątem przechowywania rzadko używanych danych i mająca elastyczne wymagania dotyczące opóźnień, rzędu godzin. </w:t>
      </w:r>
    </w:p>
    <w:p w14:paraId="53C5AA91" w14:textId="77777777" w:rsidR="008E258D" w:rsidRPr="00851B3D"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Średnia Częstość Błędów</w:t>
      </w:r>
      <w:r>
        <w:rPr>
          <w:rFonts w:ascii="Calibri" w:hAnsi="Calibri" w:cs="Calibri"/>
        </w:rPr>
        <w:t>”</w:t>
      </w:r>
      <w:r>
        <w:rPr>
          <w:rFonts w:ascii="Calibri" w:hAnsi="Calibri" w:cs="Calibri"/>
          <w:b/>
          <w:color w:val="00188F"/>
        </w:rPr>
        <w:t xml:space="preserve"> </w:t>
      </w:r>
      <w:r>
        <w:rPr>
          <w:rFonts w:ascii="Calibri" w:hAnsi="Calibri" w:cs="Calibri"/>
        </w:rPr>
        <w:t>we</w:t>
      </w:r>
      <w:r>
        <w:rPr>
          <w:rFonts w:ascii="Calibri" w:hAnsi="Calibri" w:cs="Calibri"/>
          <w:b/>
          <w:color w:val="00188F"/>
        </w:rPr>
        <w:t xml:space="preserve"> </w:t>
      </w:r>
      <w:r>
        <w:rPr>
          <w:rFonts w:ascii="Calibri" w:hAnsi="Calibri" w:cs="Calibri"/>
        </w:rPr>
        <w:t xml:space="preserve">Właściwym Okresie to suma współczynników błędów dla każdej godziny we Właściwym Okresie podzielona przez całkowitą liczbę godzin we Właściwym Okresie. </w:t>
      </w:r>
    </w:p>
    <w:p w14:paraId="612D5AA2" w14:textId="77777777" w:rsidR="008E258D" w:rsidRPr="00851B3D" w:rsidRDefault="008E258D" w:rsidP="008E258D">
      <w:pPr>
        <w:pStyle w:val="ProductList-Body"/>
        <w:rPr>
          <w:rFonts w:ascii="Calibri" w:hAnsi="Calibri" w:cs="Calibri"/>
        </w:rPr>
      </w:pPr>
      <w:r>
        <w:rPr>
          <w:rFonts w:ascii="Calibri" w:hAnsi="Calibri" w:cs="Calibri"/>
          <w:bCs/>
        </w:rPr>
        <w:t>„</w:t>
      </w:r>
      <w:r>
        <w:rPr>
          <w:rFonts w:ascii="Calibri" w:hAnsi="Calibri" w:cs="Calibri"/>
          <w:b/>
          <w:bCs/>
          <w:color w:val="00188F"/>
        </w:rPr>
        <w:t>Konto Magazynu Obiektów Blob</w:t>
      </w:r>
      <w:r>
        <w:rPr>
          <w:rFonts w:ascii="Calibri" w:hAnsi="Calibri" w:cs="Calibri"/>
          <w:bCs/>
        </w:rPr>
        <w:t>”</w:t>
      </w:r>
      <w:r>
        <w:rPr>
          <w:rFonts w:ascii="Calibri" w:hAnsi="Calibri" w:cs="Calibri"/>
        </w:rPr>
        <w:t xml:space="preserve"> jest kontem magazynu wyspecjalizowanym w przechowywaniu danych w postaci obiektów blob i umożliwia określenie poziomu dostępu wskazującego, jak często uzyskiwany jest dostęp do danych na tym koncie.</w:t>
      </w:r>
    </w:p>
    <w:p w14:paraId="23FAF084" w14:textId="77777777" w:rsidR="008E258D" w:rsidRPr="00851B3D" w:rsidRDefault="008E258D" w:rsidP="008E258D">
      <w:pPr>
        <w:pStyle w:val="ProductList-Body"/>
        <w:rPr>
          <w:rFonts w:ascii="Calibri" w:hAnsi="Calibri" w:cs="Calibri"/>
        </w:rPr>
      </w:pPr>
      <w:r>
        <w:rPr>
          <w:rFonts w:ascii="Calibri" w:hAnsi="Calibri" w:cs="Calibri"/>
          <w:bCs/>
        </w:rPr>
        <w:t>„</w:t>
      </w:r>
      <w:r>
        <w:rPr>
          <w:rFonts w:ascii="Calibri" w:hAnsi="Calibri" w:cs="Calibri"/>
          <w:b/>
          <w:bCs/>
          <w:color w:val="00188F"/>
        </w:rPr>
        <w:t>Konto Magazynu Blokowych Obiektów Blob</w:t>
      </w:r>
      <w:r>
        <w:rPr>
          <w:rFonts w:ascii="Calibri" w:hAnsi="Calibri" w:cs="Calibri"/>
          <w:bCs/>
        </w:rPr>
        <w:t>”</w:t>
      </w:r>
      <w:r>
        <w:rPr>
          <w:rFonts w:ascii="Calibri" w:hAnsi="Calibri" w:cs="Calibri"/>
        </w:rPr>
        <w:t xml:space="preserve"> to konto magazynu specjalizujące się w przechowywaniu danych w postaci bloków lub blobów dodatkowych na dyskach SSD.</w:t>
      </w:r>
    </w:p>
    <w:p w14:paraId="6CE9AE80" w14:textId="77777777" w:rsidR="008E258D" w:rsidRPr="00851B3D" w:rsidRDefault="008E258D" w:rsidP="008E258D">
      <w:pPr>
        <w:pStyle w:val="ProductList-Body"/>
        <w:rPr>
          <w:rFonts w:ascii="Calibri" w:hAnsi="Calibri" w:cs="Calibri"/>
        </w:rPr>
      </w:pPr>
      <w:r>
        <w:rPr>
          <w:rFonts w:ascii="Calibri" w:hAnsi="Calibri" w:cs="Calibri"/>
          <w:bCs/>
        </w:rPr>
        <w:t>„</w:t>
      </w:r>
      <w:r>
        <w:rPr>
          <w:rFonts w:ascii="Calibri" w:hAnsi="Calibri" w:cs="Calibri"/>
          <w:b/>
          <w:bCs/>
          <w:color w:val="00188F"/>
        </w:rPr>
        <w:t>Zimna Warstwa Dostępu</w:t>
      </w:r>
      <w:r>
        <w:rPr>
          <w:rFonts w:ascii="Calibri" w:hAnsi="Calibri" w:cs="Calibri"/>
          <w:bCs/>
        </w:rPr>
        <w:t>”</w:t>
      </w:r>
      <w:r>
        <w:rPr>
          <w:rFonts w:ascii="Calibri" w:hAnsi="Calibri" w:cs="Calibri"/>
        </w:rPr>
        <w:t xml:space="preserve"> jest atrybutem blobu lub konta wskazującym, że dostęp do niego jest rzadko uzyskiwany i że ma on niższy poziom dostępności niż bloby w Gorącej Warstwie Dostępu.</w:t>
      </w:r>
    </w:p>
    <w:p w14:paraId="5BD84754" w14:textId="77777777" w:rsidR="008E258D" w:rsidRPr="00851B3D" w:rsidRDefault="008E258D" w:rsidP="008E258D">
      <w:pPr>
        <w:pStyle w:val="ProductList-Body"/>
        <w:rPr>
          <w:rFonts w:ascii="Calibri" w:hAnsi="Calibri" w:cs="Calibri"/>
        </w:rPr>
      </w:pPr>
      <w:r>
        <w:rPr>
          <w:rFonts w:ascii="Calibri" w:hAnsi="Calibri" w:cs="Calibri"/>
          <w:bCs/>
        </w:rPr>
        <w:t>„</w:t>
      </w:r>
      <w:r>
        <w:rPr>
          <w:rFonts w:ascii="Calibri" w:hAnsi="Calibri" w:cs="Calibri"/>
          <w:b/>
          <w:bCs/>
          <w:color w:val="00188F"/>
        </w:rPr>
        <w:t>Chłodna Warstwa Dostępu</w:t>
      </w:r>
      <w:r>
        <w:rPr>
          <w:rFonts w:ascii="Calibri" w:hAnsi="Calibri" w:cs="Calibri"/>
          <w:bCs/>
        </w:rPr>
        <w:t>”</w:t>
      </w:r>
      <w:r>
        <w:rPr>
          <w:rFonts w:ascii="Calibri" w:hAnsi="Calibri" w:cs="Calibri"/>
        </w:rPr>
        <w:t xml:space="preserve"> jest atrybutem blobu lub konta wskazującym, że dostęp do niego jest rzadko uzyskiwany i że ma on niższy poziom dostępności niż bloby w Gorącej Warstwie Dostępu.</w:t>
      </w:r>
    </w:p>
    <w:p w14:paraId="133551D6" w14:textId="77777777" w:rsidR="008E258D" w:rsidRPr="00851B3D"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Gorąca Warstwa Dostępu</w:t>
      </w:r>
      <w:r>
        <w:rPr>
          <w:rFonts w:ascii="Calibri" w:hAnsi="Calibri" w:cs="Calibri"/>
        </w:rPr>
        <w:t>” jest atrybutem blobu, udziału plików lub konta wskazującym na częsty dostęp.</w:t>
      </w:r>
    </w:p>
    <w:p w14:paraId="7F913CEE" w14:textId="77777777" w:rsidR="008E258D" w:rsidRPr="00851B3D"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Transakcje Wyłączone</w:t>
      </w:r>
      <w:r>
        <w:rPr>
          <w:rFonts w:ascii="Calibri" w:hAnsi="Calibri" w:cs="Calibri"/>
        </w:rPr>
        <w:t>” są to transakcje magazynowe, które nie wliczają się ani do Łącznej Liczby Transakcji Magazynowych ani do Nieudanych Transakcji Magazynowych. Transakcje Nieuwzględnione obejmują transakcje zakończone niepowodzeniem przed uwierzytelnieniem, zakończone niepowodzeniem próby uwierzytelnienia, próby transakcji na kontach magazynu przekraczające przypisane przydziały, operacje tworzenia lub usuwania kontenerów, udziałów plików, tabel lub kolejek, czyszczenie kolejek oraz kopiowanie obiektów blob lub plików między kontami magazynu.</w:t>
      </w:r>
    </w:p>
    <w:p w14:paraId="01DB6D87" w14:textId="77777777" w:rsidR="008E258D" w:rsidRPr="00851B3D"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Częstość Błędów</w:t>
      </w:r>
      <w:r>
        <w:rPr>
          <w:rFonts w:ascii="Calibri" w:hAnsi="Calibri" w:cs="Calibri"/>
        </w:rPr>
        <w:t>” to całkowita liczba Nieudanych Transakcji Magazynowych podzielona przez Łączną Liczbę Transakcji Magazynowych w określonym przedziale czasu (obecnie ustawionym na jedną godzinę). Jeśli Łączna Liczba Transakcji Magazynu w danym przedziale jednogodzinnym wynosi zero, częstość błędów dla tego przedziału wynosi 0%.</w:t>
      </w:r>
    </w:p>
    <w:p w14:paraId="5A057948" w14:textId="77777777" w:rsidR="008E258D"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Nieudane Transakcje Magazynowe</w:t>
      </w:r>
      <w:r>
        <w:rPr>
          <w:rFonts w:ascii="Calibri" w:hAnsi="Calibri" w:cs="Calibri"/>
        </w:rPr>
        <w:t>” jest zbiorem wszystkich transakcji magazynowych w ramach Łącznej Liczby Transakcji Magazynowych, które nie zostały zakończone w Maksymalnym Czasie Przetwarzania skojarzonym z odpowiednim typem transakcji, zgodnie ze specyfikacją w poniższej tabeli. Maksymalny Czas Przetwarzania uwzględnia jedynie czas poświęcony na przetwarzanie żądania transakcji w ramach Usługi Magazynu, nie uwzględnia natomiast czasu poświęconego na przesłanie żądania do lub z Usługi Magazynu.</w:t>
      </w:r>
    </w:p>
    <w:p w14:paraId="382EF6CC" w14:textId="39DDB4CA" w:rsidR="00D952C5" w:rsidRDefault="00D952C5" w:rsidP="00265206">
      <w:pPr>
        <w:spacing w:after="0" w:line="240" w:lineRule="auto"/>
        <w:rPr>
          <w:rFonts w:ascii="Calibri" w:hAnsi="Calibri" w:cs="Calibri"/>
          <w:sz w:val="18"/>
        </w:rPr>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258D" w:rsidRPr="00B44CF9" w14:paraId="568F99AE" w14:textId="77777777" w:rsidTr="008367CC">
        <w:trPr>
          <w:trHeight w:val="245"/>
          <w:tblHeader/>
        </w:trPr>
        <w:tc>
          <w:tcPr>
            <w:tcW w:w="5400" w:type="dxa"/>
            <w:shd w:val="clear" w:color="auto" w:fill="0072C6"/>
          </w:tcPr>
          <w:p w14:paraId="7631A513" w14:textId="77777777" w:rsidR="008E258D" w:rsidRPr="00B01FAB" w:rsidRDefault="008E258D"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Typy transakcji</w:t>
            </w:r>
          </w:p>
        </w:tc>
        <w:tc>
          <w:tcPr>
            <w:tcW w:w="5400" w:type="dxa"/>
            <w:shd w:val="clear" w:color="auto" w:fill="0072C6"/>
          </w:tcPr>
          <w:p w14:paraId="6996BAF8" w14:textId="77777777" w:rsidR="008E258D" w:rsidRPr="00B01FAB" w:rsidRDefault="008E258D" w:rsidP="008367CC">
            <w:pPr>
              <w:pStyle w:val="ProductList-OfferingBody"/>
              <w:rPr>
                <w:rFonts w:ascii="Calibri" w:hAnsi="Calibri" w:cs="Calibri"/>
                <w:color w:val="FFFFFF" w:themeColor="background1"/>
                <w:szCs w:val="16"/>
              </w:rPr>
            </w:pPr>
            <w:r>
              <w:rPr>
                <w:rFonts w:ascii="Calibri" w:hAnsi="Calibri" w:cs="Calibri"/>
                <w:color w:val="FFFFFF" w:themeColor="background1"/>
                <w:szCs w:val="16"/>
              </w:rPr>
              <w:t>Maksymalny Czas Przetwarzania</w:t>
            </w:r>
          </w:p>
        </w:tc>
      </w:tr>
      <w:tr w:rsidR="008E258D" w:rsidRPr="00B44CF9" w14:paraId="79AAF044" w14:textId="77777777" w:rsidTr="008367CC">
        <w:trPr>
          <w:trHeight w:val="446"/>
        </w:trPr>
        <w:tc>
          <w:tcPr>
            <w:tcW w:w="5400" w:type="dxa"/>
          </w:tcPr>
          <w:p w14:paraId="5E077D07" w14:textId="77777777" w:rsidR="008E258D" w:rsidRPr="00B01FAB" w:rsidRDefault="008E258D" w:rsidP="008367CC">
            <w:pPr>
              <w:pStyle w:val="ProductList-OfferingBody"/>
              <w:rPr>
                <w:rFonts w:ascii="Calibri" w:hAnsi="Calibri" w:cs="Calibri"/>
                <w:szCs w:val="16"/>
              </w:rPr>
            </w:pPr>
            <w:r>
              <w:rPr>
                <w:rFonts w:ascii="Calibri" w:hAnsi="Calibri" w:cs="Calibri"/>
                <w:szCs w:val="16"/>
              </w:rPr>
              <w:t>PutBlob i GetBlob (uwzględnia bloki i strony)</w:t>
            </w:r>
          </w:p>
          <w:p w14:paraId="6054670F" w14:textId="77777777" w:rsidR="008E258D" w:rsidRPr="00B01FAB" w:rsidRDefault="008E258D" w:rsidP="008367CC">
            <w:pPr>
              <w:pStyle w:val="ProductList-OfferingBody"/>
              <w:rPr>
                <w:rFonts w:ascii="Calibri" w:hAnsi="Calibri" w:cs="Calibri"/>
                <w:szCs w:val="16"/>
              </w:rPr>
            </w:pPr>
            <w:r>
              <w:rPr>
                <w:rFonts w:ascii="Calibri" w:hAnsi="Calibri" w:cs="Calibri"/>
                <w:szCs w:val="16"/>
              </w:rPr>
              <w:t>Pobieranie Ważnych Zakresów Stron Blob</w:t>
            </w:r>
          </w:p>
        </w:tc>
        <w:tc>
          <w:tcPr>
            <w:tcW w:w="5400" w:type="dxa"/>
          </w:tcPr>
          <w:p w14:paraId="21028B69" w14:textId="77777777" w:rsidR="008E258D" w:rsidRPr="00B01FAB" w:rsidRDefault="008E258D" w:rsidP="008367CC">
            <w:pPr>
              <w:pStyle w:val="ProductList-OfferingBody"/>
              <w:rPr>
                <w:rFonts w:ascii="Calibri" w:hAnsi="Calibri" w:cs="Calibri"/>
                <w:szCs w:val="16"/>
              </w:rPr>
            </w:pPr>
            <w:r>
              <w:rPr>
                <w:rFonts w:ascii="Calibri" w:eastAsia="Times New Roman" w:hAnsi="Calibri" w:cs="Calibri"/>
                <w:szCs w:val="16"/>
              </w:rPr>
              <w:t>Dwie (2) sekundy pomnożone przez liczbę megabajtów przesłanych w trakcie przetwarzania żądania</w:t>
            </w:r>
          </w:p>
        </w:tc>
      </w:tr>
      <w:tr w:rsidR="008E258D" w:rsidRPr="00B44CF9" w14:paraId="2A8C012B" w14:textId="77777777" w:rsidTr="008367CC">
        <w:trPr>
          <w:trHeight w:val="446"/>
        </w:trPr>
        <w:tc>
          <w:tcPr>
            <w:tcW w:w="5400" w:type="dxa"/>
          </w:tcPr>
          <w:p w14:paraId="2DD05897" w14:textId="77777777" w:rsidR="008E258D" w:rsidRPr="00B01FAB" w:rsidRDefault="008E258D" w:rsidP="008367CC">
            <w:pPr>
              <w:pStyle w:val="ProductList-OfferingBody"/>
              <w:rPr>
                <w:rFonts w:ascii="Calibri" w:hAnsi="Calibri" w:cs="Calibri"/>
                <w:szCs w:val="16"/>
              </w:rPr>
            </w:pPr>
            <w:r>
              <w:rPr>
                <w:rFonts w:ascii="Calibri" w:hAnsi="Calibri" w:cs="Calibri"/>
                <w:szCs w:val="16"/>
              </w:rPr>
              <w:t xml:space="preserve">PutFile i GetFile </w:t>
            </w:r>
          </w:p>
        </w:tc>
        <w:tc>
          <w:tcPr>
            <w:tcW w:w="5400" w:type="dxa"/>
          </w:tcPr>
          <w:p w14:paraId="2CE3644F" w14:textId="77777777" w:rsidR="008E258D" w:rsidRPr="00B01FAB" w:rsidRDefault="008E258D" w:rsidP="008367CC">
            <w:pPr>
              <w:pStyle w:val="ProductList-OfferingBody"/>
              <w:rPr>
                <w:rFonts w:ascii="Calibri" w:eastAsia="Times New Roman" w:hAnsi="Calibri" w:cs="Calibri"/>
                <w:szCs w:val="16"/>
              </w:rPr>
            </w:pPr>
            <w:r>
              <w:rPr>
                <w:rFonts w:ascii="Calibri" w:hAnsi="Calibri" w:cs="Calibri"/>
                <w:szCs w:val="16"/>
              </w:rPr>
              <w:t>Dwie (2) sekundy pomnożone przez liczbę megabajtów przesłanych w trakcie przetwarzania żądania</w:t>
            </w:r>
          </w:p>
        </w:tc>
      </w:tr>
      <w:tr w:rsidR="008E258D" w:rsidRPr="00B44CF9" w14:paraId="2FC9092C" w14:textId="77777777" w:rsidTr="008367CC">
        <w:trPr>
          <w:trHeight w:val="446"/>
        </w:trPr>
        <w:tc>
          <w:tcPr>
            <w:tcW w:w="5400" w:type="dxa"/>
          </w:tcPr>
          <w:p w14:paraId="581599A0" w14:textId="77777777" w:rsidR="008E258D" w:rsidRPr="00B01FAB" w:rsidRDefault="008E258D" w:rsidP="008367CC">
            <w:pPr>
              <w:pStyle w:val="ProductList-OfferingBody"/>
              <w:rPr>
                <w:rFonts w:ascii="Calibri" w:hAnsi="Calibri" w:cs="Calibri"/>
                <w:szCs w:val="16"/>
              </w:rPr>
            </w:pPr>
            <w:r>
              <w:rPr>
                <w:rFonts w:ascii="Calibri" w:hAnsi="Calibri" w:cs="Calibri"/>
                <w:szCs w:val="16"/>
              </w:rPr>
              <w:t>Kopiowanie obiektu Blob</w:t>
            </w:r>
          </w:p>
        </w:tc>
        <w:tc>
          <w:tcPr>
            <w:tcW w:w="5400" w:type="dxa"/>
          </w:tcPr>
          <w:p w14:paraId="4FB36225" w14:textId="77777777" w:rsidR="008E258D" w:rsidRPr="00B01FAB" w:rsidRDefault="008E258D" w:rsidP="008367CC">
            <w:pPr>
              <w:pStyle w:val="ProductList-OfferingBody"/>
              <w:rPr>
                <w:rFonts w:ascii="Calibri" w:hAnsi="Calibri" w:cs="Calibri"/>
                <w:szCs w:val="16"/>
              </w:rPr>
            </w:pPr>
            <w:r>
              <w:rPr>
                <w:rFonts w:ascii="Calibri" w:eastAsia="Times New Roman" w:hAnsi="Calibri" w:cs="Calibri"/>
                <w:szCs w:val="16"/>
              </w:rPr>
              <w:t>Dziewięćdziesiąt (90) sekund (gdy źródłowe i docelowe obiekty blob znajdują się w tym samym koncie pamięci masowej)</w:t>
            </w:r>
          </w:p>
        </w:tc>
      </w:tr>
      <w:tr w:rsidR="008E258D" w:rsidRPr="00B44CF9" w14:paraId="483BD2C5" w14:textId="77777777" w:rsidTr="008367CC">
        <w:trPr>
          <w:trHeight w:val="446"/>
        </w:trPr>
        <w:tc>
          <w:tcPr>
            <w:tcW w:w="5400" w:type="dxa"/>
          </w:tcPr>
          <w:p w14:paraId="4E71ADC2" w14:textId="77777777" w:rsidR="008E258D" w:rsidRPr="00B01FAB" w:rsidRDefault="008E258D" w:rsidP="008367CC">
            <w:pPr>
              <w:pStyle w:val="ProductList-OfferingBody"/>
              <w:rPr>
                <w:rFonts w:ascii="Calibri" w:hAnsi="Calibri" w:cs="Calibri"/>
                <w:szCs w:val="16"/>
              </w:rPr>
            </w:pPr>
            <w:r>
              <w:rPr>
                <w:rFonts w:ascii="Calibri" w:hAnsi="Calibri" w:cs="Calibri"/>
                <w:szCs w:val="16"/>
              </w:rPr>
              <w:t>Copy File</w:t>
            </w:r>
          </w:p>
        </w:tc>
        <w:tc>
          <w:tcPr>
            <w:tcW w:w="5400" w:type="dxa"/>
          </w:tcPr>
          <w:p w14:paraId="7A23BDF8" w14:textId="77777777" w:rsidR="008E258D" w:rsidRPr="00B01FAB" w:rsidRDefault="008E258D" w:rsidP="008367CC">
            <w:pPr>
              <w:pStyle w:val="ProductList-OfferingBody"/>
              <w:rPr>
                <w:rFonts w:ascii="Calibri" w:eastAsia="Times New Roman" w:hAnsi="Calibri" w:cs="Calibri"/>
                <w:szCs w:val="16"/>
              </w:rPr>
            </w:pPr>
            <w:r>
              <w:rPr>
                <w:rFonts w:ascii="Calibri" w:hAnsi="Calibri" w:cs="Calibri"/>
                <w:szCs w:val="16"/>
              </w:rPr>
              <w:t>Dziewięćdziesiąt (90) sekund (gdy źródłowe i docelowe pliki znajdują się w ramach tego samego konta magazynu)</w:t>
            </w:r>
          </w:p>
        </w:tc>
      </w:tr>
      <w:tr w:rsidR="008E258D" w:rsidRPr="00B44CF9" w14:paraId="2C49802A" w14:textId="77777777" w:rsidTr="008367CC">
        <w:trPr>
          <w:trHeight w:val="446"/>
        </w:trPr>
        <w:tc>
          <w:tcPr>
            <w:tcW w:w="5400" w:type="dxa"/>
          </w:tcPr>
          <w:p w14:paraId="3A11BD30" w14:textId="77777777" w:rsidR="008E258D" w:rsidRPr="00B01FAB" w:rsidRDefault="008E258D" w:rsidP="008367CC">
            <w:pPr>
              <w:pStyle w:val="ProductList-OfferingBody"/>
              <w:rPr>
                <w:rFonts w:ascii="Calibri" w:eastAsia="Calibri" w:hAnsi="Calibri" w:cs="Calibri"/>
                <w:szCs w:val="16"/>
              </w:rPr>
            </w:pPr>
            <w:r>
              <w:rPr>
                <w:rFonts w:ascii="Calibri" w:hAnsi="Calibri" w:cs="Calibri"/>
                <w:szCs w:val="16"/>
              </w:rPr>
              <w:t xml:space="preserve">PutBlockList </w:t>
            </w:r>
          </w:p>
          <w:p w14:paraId="5593AA4F" w14:textId="77777777" w:rsidR="008E258D" w:rsidRPr="00B01FAB" w:rsidRDefault="008E258D" w:rsidP="008367CC">
            <w:pPr>
              <w:pStyle w:val="ProductList-OfferingBody"/>
              <w:rPr>
                <w:rFonts w:ascii="Calibri" w:hAnsi="Calibri" w:cs="Calibri"/>
                <w:szCs w:val="16"/>
              </w:rPr>
            </w:pPr>
            <w:r>
              <w:rPr>
                <w:rFonts w:ascii="Calibri" w:hAnsi="Calibri" w:cs="Calibri"/>
                <w:szCs w:val="16"/>
              </w:rPr>
              <w:t>GetBlockList</w:t>
            </w:r>
          </w:p>
        </w:tc>
        <w:tc>
          <w:tcPr>
            <w:tcW w:w="5400" w:type="dxa"/>
          </w:tcPr>
          <w:p w14:paraId="1CF98AAB" w14:textId="77777777" w:rsidR="008E258D" w:rsidRPr="00B01FAB" w:rsidRDefault="008E258D" w:rsidP="008367CC">
            <w:pPr>
              <w:pStyle w:val="ProductList-OfferingBody"/>
              <w:rPr>
                <w:rFonts w:ascii="Calibri" w:hAnsi="Calibri" w:cs="Calibri"/>
                <w:szCs w:val="16"/>
              </w:rPr>
            </w:pPr>
            <w:r>
              <w:rPr>
                <w:rFonts w:ascii="Calibri" w:eastAsia="Times New Roman" w:hAnsi="Calibri" w:cs="Calibri"/>
                <w:szCs w:val="16"/>
              </w:rPr>
              <w:t>Sześćdziesiąt (60) sekund</w:t>
            </w:r>
          </w:p>
        </w:tc>
      </w:tr>
      <w:tr w:rsidR="008E258D" w:rsidRPr="00B44CF9" w14:paraId="770B0975" w14:textId="77777777" w:rsidTr="008367CC">
        <w:trPr>
          <w:trHeight w:val="446"/>
        </w:trPr>
        <w:tc>
          <w:tcPr>
            <w:tcW w:w="5400" w:type="dxa"/>
          </w:tcPr>
          <w:p w14:paraId="1AC68E06" w14:textId="77777777" w:rsidR="008E258D" w:rsidRPr="00B01FAB" w:rsidRDefault="008E258D" w:rsidP="008367CC">
            <w:pPr>
              <w:pStyle w:val="ProductList-OfferingBody"/>
              <w:rPr>
                <w:rFonts w:ascii="Calibri" w:hAnsi="Calibri" w:cs="Calibri"/>
                <w:szCs w:val="16"/>
              </w:rPr>
            </w:pPr>
            <w:r>
              <w:rPr>
                <w:rFonts w:ascii="Calibri" w:hAnsi="Calibri" w:cs="Calibri"/>
                <w:szCs w:val="16"/>
              </w:rPr>
              <w:t>Zapytanie do tabeli</w:t>
            </w:r>
          </w:p>
          <w:p w14:paraId="4E432996" w14:textId="77777777" w:rsidR="008E258D" w:rsidRPr="00B01FAB" w:rsidRDefault="008E258D" w:rsidP="008367CC">
            <w:pPr>
              <w:pStyle w:val="ProductList-OfferingBody"/>
              <w:rPr>
                <w:rFonts w:ascii="Calibri" w:hAnsi="Calibri" w:cs="Calibri"/>
                <w:szCs w:val="16"/>
              </w:rPr>
            </w:pPr>
            <w:r>
              <w:rPr>
                <w:rFonts w:ascii="Calibri" w:hAnsi="Calibri" w:cs="Calibri"/>
                <w:szCs w:val="16"/>
              </w:rPr>
              <w:t>Lista operacji</w:t>
            </w:r>
          </w:p>
          <w:p w14:paraId="019F3C2F" w14:textId="77777777" w:rsidR="008E258D" w:rsidRPr="00B01FAB" w:rsidRDefault="008E258D" w:rsidP="008367CC">
            <w:pPr>
              <w:pStyle w:val="ProductList-Body"/>
              <w:rPr>
                <w:rFonts w:ascii="Calibri" w:hAnsi="Calibri" w:cs="Calibri"/>
                <w:sz w:val="16"/>
                <w:szCs w:val="16"/>
              </w:rPr>
            </w:pPr>
            <w:r>
              <w:rPr>
                <w:rFonts w:ascii="Calibri" w:hAnsi="Calibri" w:cs="Calibri"/>
                <w:sz w:val="16"/>
                <w:szCs w:val="16"/>
              </w:rPr>
              <w:t>Znajdowanie operacji</w:t>
            </w:r>
          </w:p>
        </w:tc>
        <w:tc>
          <w:tcPr>
            <w:tcW w:w="5400" w:type="dxa"/>
          </w:tcPr>
          <w:p w14:paraId="54D47EA3" w14:textId="77777777" w:rsidR="008E258D" w:rsidRPr="00B01FAB" w:rsidRDefault="008E258D" w:rsidP="008367CC">
            <w:pPr>
              <w:pStyle w:val="ProductList-OfferingBody"/>
              <w:rPr>
                <w:rFonts w:ascii="Calibri" w:hAnsi="Calibri" w:cs="Calibri"/>
                <w:szCs w:val="16"/>
              </w:rPr>
            </w:pPr>
            <w:r>
              <w:rPr>
                <w:rFonts w:ascii="Calibri" w:eastAsia="Times New Roman" w:hAnsi="Calibri" w:cs="Calibri"/>
                <w:szCs w:val="16"/>
              </w:rPr>
              <w:t>Dziesięć (10) sekund (aby zakończyć przetwarzanie lub zwrócić kontynuację)</w:t>
            </w:r>
          </w:p>
        </w:tc>
      </w:tr>
      <w:tr w:rsidR="008E258D" w:rsidRPr="00B44CF9" w14:paraId="7FEA8C5B" w14:textId="77777777" w:rsidTr="008367CC">
        <w:trPr>
          <w:trHeight w:val="446"/>
        </w:trPr>
        <w:tc>
          <w:tcPr>
            <w:tcW w:w="5400" w:type="dxa"/>
          </w:tcPr>
          <w:p w14:paraId="7D76B56D" w14:textId="77777777" w:rsidR="008E258D" w:rsidRPr="00B01FAB" w:rsidRDefault="008E258D" w:rsidP="008367CC">
            <w:pPr>
              <w:pStyle w:val="ProductList-OfferingBody"/>
              <w:rPr>
                <w:rFonts w:ascii="Calibri" w:hAnsi="Calibri" w:cs="Calibri"/>
                <w:szCs w:val="16"/>
              </w:rPr>
            </w:pPr>
            <w:r>
              <w:rPr>
                <w:rFonts w:ascii="Calibri" w:hAnsi="Calibri" w:cs="Calibri"/>
                <w:szCs w:val="16"/>
              </w:rPr>
              <w:t>Wsadowe operacje na tabeli</w:t>
            </w:r>
          </w:p>
        </w:tc>
        <w:tc>
          <w:tcPr>
            <w:tcW w:w="5400" w:type="dxa"/>
          </w:tcPr>
          <w:p w14:paraId="4E1B1467" w14:textId="77777777" w:rsidR="008E258D" w:rsidRPr="00B01FAB" w:rsidRDefault="008E258D" w:rsidP="008367CC">
            <w:pPr>
              <w:pStyle w:val="ProductList-OfferingBody"/>
              <w:rPr>
                <w:rFonts w:ascii="Calibri" w:hAnsi="Calibri" w:cs="Calibri"/>
                <w:szCs w:val="16"/>
              </w:rPr>
            </w:pPr>
            <w:r>
              <w:rPr>
                <w:rFonts w:ascii="Calibri" w:eastAsia="Times New Roman" w:hAnsi="Calibri" w:cs="Calibri"/>
                <w:szCs w:val="16"/>
              </w:rPr>
              <w:t>Trzydzieści (30) sekund</w:t>
            </w:r>
          </w:p>
        </w:tc>
      </w:tr>
      <w:tr w:rsidR="008E258D" w:rsidRPr="00B44CF9" w14:paraId="73E9EB15" w14:textId="77777777" w:rsidTr="008367CC">
        <w:trPr>
          <w:trHeight w:val="446"/>
        </w:trPr>
        <w:tc>
          <w:tcPr>
            <w:tcW w:w="5400" w:type="dxa"/>
          </w:tcPr>
          <w:p w14:paraId="64177033" w14:textId="77777777" w:rsidR="008E258D" w:rsidRPr="00B01FAB" w:rsidRDefault="008E258D" w:rsidP="008367CC">
            <w:pPr>
              <w:pStyle w:val="ProductList-OfferingBody"/>
              <w:rPr>
                <w:rFonts w:ascii="Calibri" w:hAnsi="Calibri" w:cs="Calibri"/>
                <w:szCs w:val="16"/>
              </w:rPr>
            </w:pPr>
            <w:r>
              <w:rPr>
                <w:rFonts w:ascii="Calibri" w:hAnsi="Calibri" w:cs="Calibri"/>
                <w:szCs w:val="16"/>
              </w:rPr>
              <w:t xml:space="preserve">Wszystkie Operacje na Tabeli na Pojedynczych Jednostkach </w:t>
            </w:r>
          </w:p>
          <w:p w14:paraId="72383927" w14:textId="77777777" w:rsidR="008E258D" w:rsidRPr="00B01FAB" w:rsidRDefault="008E258D" w:rsidP="008367CC">
            <w:pPr>
              <w:pStyle w:val="ProductList-OfferingBody"/>
              <w:rPr>
                <w:rFonts w:ascii="Calibri" w:hAnsi="Calibri" w:cs="Calibri"/>
                <w:szCs w:val="16"/>
              </w:rPr>
            </w:pPr>
            <w:r>
              <w:rPr>
                <w:rFonts w:ascii="Calibri" w:hAnsi="Calibri" w:cs="Calibri"/>
                <w:szCs w:val="16"/>
              </w:rPr>
              <w:t>Wszystkie inne Operacje na obiektach blob, plikach i wiadomościach</w:t>
            </w:r>
          </w:p>
        </w:tc>
        <w:tc>
          <w:tcPr>
            <w:tcW w:w="5400" w:type="dxa"/>
          </w:tcPr>
          <w:p w14:paraId="71F58B32" w14:textId="77777777" w:rsidR="008E258D" w:rsidRPr="00B01FAB" w:rsidRDefault="008E258D" w:rsidP="008367CC">
            <w:pPr>
              <w:pStyle w:val="ProductList-OfferingBody"/>
              <w:rPr>
                <w:rFonts w:ascii="Calibri" w:hAnsi="Calibri" w:cs="Calibri"/>
                <w:szCs w:val="16"/>
              </w:rPr>
            </w:pPr>
            <w:r>
              <w:rPr>
                <w:rFonts w:ascii="Calibri" w:eastAsia="Times New Roman" w:hAnsi="Calibri" w:cs="Calibri"/>
                <w:szCs w:val="16"/>
              </w:rPr>
              <w:t>Dwie (2) sekundy</w:t>
            </w:r>
          </w:p>
        </w:tc>
      </w:tr>
    </w:tbl>
    <w:p w14:paraId="6FEC7073" w14:textId="77777777" w:rsidR="008E258D" w:rsidRPr="00C7204B" w:rsidRDefault="008E258D" w:rsidP="008E258D">
      <w:pPr>
        <w:pStyle w:val="ProductList-Body"/>
        <w:spacing w:before="120"/>
        <w:rPr>
          <w:rFonts w:ascii="Calibri" w:hAnsi="Calibri" w:cs="Calibri"/>
        </w:rPr>
      </w:pPr>
      <w:r>
        <w:rPr>
          <w:rFonts w:ascii="Calibri" w:hAnsi="Calibri" w:cs="Calibri"/>
        </w:rPr>
        <w:t>Podane liczby przedstawiają maksymalny czas przetwarzania. Rzeczywisty i średni czas przetwarzania najprawdopodobniej będzie znacznie krótszy.</w:t>
      </w:r>
    </w:p>
    <w:p w14:paraId="5CA2D44D" w14:textId="77777777" w:rsidR="008E258D" w:rsidRPr="00C7204B" w:rsidRDefault="008E258D" w:rsidP="008E258D">
      <w:pPr>
        <w:pStyle w:val="ProductList-Body"/>
        <w:rPr>
          <w:rFonts w:ascii="Calibri" w:hAnsi="Calibri" w:cs="Calibri"/>
          <w:szCs w:val="18"/>
        </w:rPr>
      </w:pPr>
    </w:p>
    <w:p w14:paraId="6DB776CB" w14:textId="77777777" w:rsidR="008E258D" w:rsidRPr="00C7204B" w:rsidRDefault="008E258D" w:rsidP="008E258D">
      <w:pPr>
        <w:pStyle w:val="ProductList-Body"/>
        <w:rPr>
          <w:rFonts w:ascii="Calibri" w:hAnsi="Calibri" w:cs="Calibri"/>
        </w:rPr>
      </w:pPr>
      <w:r>
        <w:rPr>
          <w:rFonts w:ascii="Calibri" w:hAnsi="Calibri" w:cs="Calibri"/>
        </w:rPr>
        <w:t>Transakcje Magazynu Zakończone Niepowodzeniem nie obejmują:</w:t>
      </w:r>
    </w:p>
    <w:p w14:paraId="32554E5F" w14:textId="77777777" w:rsidR="008E258D" w:rsidRPr="00C7204B" w:rsidRDefault="008E258D" w:rsidP="008E258D">
      <w:pPr>
        <w:pStyle w:val="ProductList-Body"/>
        <w:numPr>
          <w:ilvl w:val="0"/>
          <w:numId w:val="4"/>
        </w:numPr>
        <w:rPr>
          <w:rFonts w:ascii="Calibri" w:hAnsi="Calibri" w:cs="Calibri"/>
        </w:rPr>
      </w:pPr>
      <w:r>
        <w:rPr>
          <w:rFonts w:ascii="Calibri" w:hAnsi="Calibri" w:cs="Calibri"/>
        </w:rPr>
        <w:t xml:space="preserve">Żądań transakcji ograniczonych przez Usługę Magazynu ze względu na nieprzestrzeganie odpowiednich zasad wycofania. </w:t>
      </w:r>
    </w:p>
    <w:p w14:paraId="0DAC5979" w14:textId="77777777" w:rsidR="008E258D" w:rsidRPr="00C7204B" w:rsidRDefault="008E258D" w:rsidP="008E258D">
      <w:pPr>
        <w:pStyle w:val="ProductList-Body"/>
        <w:numPr>
          <w:ilvl w:val="0"/>
          <w:numId w:val="4"/>
        </w:numPr>
        <w:rPr>
          <w:rFonts w:ascii="Calibri" w:hAnsi="Calibri" w:cs="Calibri"/>
        </w:rPr>
      </w:pPr>
      <w:r>
        <w:rPr>
          <w:rFonts w:ascii="Calibri" w:hAnsi="Calibri" w:cs="Calibri"/>
        </w:rPr>
        <w:t xml:space="preserve">Żądań transakcji, dla których limity czasu są krótsze niż odpowiednie Maksymalne Czasy Przetwarzania podane powyżej. </w:t>
      </w:r>
    </w:p>
    <w:p w14:paraId="27F12AF6" w14:textId="77777777" w:rsidR="008E258D" w:rsidRPr="00C7204B" w:rsidRDefault="008E258D" w:rsidP="008E258D">
      <w:pPr>
        <w:pStyle w:val="ProductList-Body"/>
        <w:numPr>
          <w:ilvl w:val="0"/>
          <w:numId w:val="4"/>
        </w:numPr>
        <w:rPr>
          <w:rFonts w:ascii="Calibri" w:hAnsi="Calibri" w:cs="Calibri"/>
        </w:rPr>
      </w:pPr>
      <w:r>
        <w:rPr>
          <w:rFonts w:ascii="Calibri" w:hAnsi="Calibri" w:cs="Calibri"/>
        </w:rPr>
        <w:t xml:space="preserve">Żądania odczytu do Kont RA-GRS i RA-GZRS, dla których nie próbowano wykonać żądania względem Regionu Pomocniczego powiązanego z kontem magazynu, jeśli żądanie do Regionu Podstawowego nie powiodło się. </w:t>
      </w:r>
    </w:p>
    <w:p w14:paraId="6A09D517" w14:textId="77777777" w:rsidR="008E258D" w:rsidRPr="00C7204B" w:rsidRDefault="008E258D" w:rsidP="008E258D">
      <w:pPr>
        <w:pStyle w:val="ProductList-Body"/>
        <w:numPr>
          <w:ilvl w:val="0"/>
          <w:numId w:val="4"/>
        </w:numPr>
        <w:rPr>
          <w:rFonts w:ascii="Calibri" w:hAnsi="Calibri" w:cs="Calibri"/>
        </w:rPr>
      </w:pPr>
      <w:r>
        <w:rPr>
          <w:rFonts w:ascii="Calibri" w:hAnsi="Calibri" w:cs="Calibri"/>
        </w:rPr>
        <w:t>Żądania odczytu transakcji do Kont RA-GRS i RA-GZRS, które nie powiodły się z powodu Opóźnienia Replikacji Geograficznej.</w:t>
      </w:r>
    </w:p>
    <w:p w14:paraId="1640B644"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Opóźnienie Replikacji Geograficznej</w:t>
      </w:r>
      <w:r>
        <w:rPr>
          <w:rFonts w:ascii="Calibri" w:hAnsi="Calibri" w:cs="Calibri"/>
        </w:rPr>
        <w:t>” w przypadku kont GRS, GZRS, RA-GRS i RA-GZRS jest to czas potrzebny na replikację danych przechowywanych w Regionie Podstawowym konta magazynu do Regionu Pomocniczego konta magazynu. Ponieważ konta GRS, GZRS, RA-GRS i RA-GZRS są replikowane asynchronicznie do Regionu Pomocniczego, dane zapisane w Regionie Podstawowym konta magazynu nie będą natychmiast dostępne w Regionie Pomocniczym. Klient może sprawdzać Opóźnienie Replikacji Geograficznej dla konta magazynu, Microsoft w żaden sposób jednak nie gwarantuje długości Opóźnienia Replikacji Geograficznej na mocy tej umowy SLA. „</w:t>
      </w:r>
      <w:r>
        <w:rPr>
          <w:rFonts w:ascii="Calibri" w:hAnsi="Calibri" w:cs="Calibri"/>
          <w:b/>
          <w:color w:val="00188F"/>
        </w:rPr>
        <w:t>Konto Magazynu z Nadmiarem Geograficznym (GRS)</w:t>
      </w:r>
      <w:r>
        <w:rPr>
          <w:rFonts w:ascii="Calibri" w:hAnsi="Calibri" w:cs="Calibri"/>
        </w:rPr>
        <w:t>” jest kontem magazynu, na którym dane są replikowane synchronicznie w obrębie Regionu Podstawowego, a następnie replikowane asynchronicznie do Regionu Pomocniczego. Klient nie może bezpośrednio odczytywać danych z Regionu Dodatkowego powiązanego z Kontami GRS ani zapisywać danych w Regionie Dodatkowym powiązanym z Kontami GRS.</w:t>
      </w:r>
    </w:p>
    <w:p w14:paraId="4B9CF930"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Konto Magazynu z Nadmiarem Lokalnym (LRS)</w:t>
      </w:r>
      <w:r>
        <w:rPr>
          <w:rFonts w:ascii="Calibri" w:hAnsi="Calibri" w:cs="Calibri"/>
        </w:rPr>
        <w:t>” jest kontem magazynu, dla którego dane są replikowane synchronicznie wyłącznie w obrębie Regionu Podstawowego.</w:t>
      </w:r>
    </w:p>
    <w:p w14:paraId="60107FE6"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Region Podstawowy</w:t>
      </w:r>
      <w:r>
        <w:rPr>
          <w:rFonts w:ascii="Calibri" w:hAnsi="Calibri" w:cs="Calibri"/>
        </w:rPr>
        <w:t>” to region geograficzny, w którym znajdują się dane na koncie magazynu, wybranym przez Użytkownika podczas tworzenia konta magazynu. Klient może wykonywać żądania zapisu wyłącznie dla danych zapisanych w Regionie Podstawowym powiązanym z kontami magazynu.</w:t>
      </w:r>
    </w:p>
    <w:p w14:paraId="7407961C"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Konto z Dostępem do Odczytu i Nadmiarem Geograficznym (RA-GRS)</w:t>
      </w:r>
      <w:r>
        <w:rPr>
          <w:rFonts w:ascii="Calibri" w:hAnsi="Calibri" w:cs="Calibri"/>
        </w:rPr>
        <w:t>” jest kontem magazynu, na którym dane są replikowane synchronicznie w obrębie Regionu Podstawowego, a następnie replikowane asynchronicznie do Regionu Pomocniczego. Klient może bezpośrednio odczytywać dane z Regionu Dodatkowego powiązanego z Kontami RA-GRS, ale nie może zapisywać tam danych.</w:t>
      </w:r>
    </w:p>
    <w:p w14:paraId="62169E2A"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Region Pomocniczy</w:t>
      </w:r>
      <w:r>
        <w:rPr>
          <w:rFonts w:ascii="Calibri" w:hAnsi="Calibri" w:cs="Calibri"/>
        </w:rPr>
        <w:t>” to region geograficzny, w którym replikowane i przechowywane są dane na koncie GRS lub RA-GRS, zgodnie z przydziałem Microsoft Azure na podstawie Regionu Podstawowego powiązanego z kontem magazynu. Klient nie może podać Regionu Dodatkowego powiązanego z kontami magazynu.</w:t>
      </w:r>
    </w:p>
    <w:p w14:paraId="18BEA3FA"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Łączna Liczba Transakcji Magazynowych</w:t>
      </w:r>
      <w:r>
        <w:rPr>
          <w:rFonts w:ascii="Calibri" w:hAnsi="Calibri" w:cs="Calibri"/>
        </w:rPr>
        <w:t>” to zbiór wszystkich transakcji magazynu, z wyjątkiem Transakcji Wyłączonych, podjętych w odstępie jednej godziny na wszystkich kontach magazynu w Usłudze Magazynu w ramach danej subskrypcji.</w:t>
      </w:r>
    </w:p>
    <w:p w14:paraId="64A564D1"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Warstwa Dostępu Zoptymalizowana pod kątem Transakcji</w:t>
      </w:r>
      <w:r>
        <w:rPr>
          <w:rFonts w:ascii="Calibri" w:hAnsi="Calibri" w:cs="Calibri"/>
        </w:rPr>
        <w:t>” jest atrybutem udziału plików Azure File platformy Azure wskazującym na częsty dostęp do niego.</w:t>
      </w:r>
    </w:p>
    <w:p w14:paraId="38198C34"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Konto Magazynu z Nadmiarem Strefowym (ZRS)</w:t>
      </w:r>
      <w:r>
        <w:rPr>
          <w:rFonts w:ascii="Calibri" w:hAnsi="Calibri" w:cs="Calibri"/>
        </w:rPr>
        <w:t>” to konto magazynu, na którym dane są replikowane w wielu obiektach. Obiekty te mogą znajdować się w tym samym regionie geograficznym lub na terenie dwóch regionów geograficznych.</w:t>
      </w:r>
    </w:p>
    <w:p w14:paraId="47247E68"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Konto Magazynu z Nadmiarem Strefy Geograficznej (GZRS)</w:t>
      </w:r>
      <w:r>
        <w:rPr>
          <w:rFonts w:ascii="Calibri" w:hAnsi="Calibri" w:cs="Calibri"/>
        </w:rPr>
        <w:t>” to konto magazynu, na którym dane są replikowane w wielu obiektach. Obiekty te mogą znajdować się w tym samym regionie geograficznym lub na terenie dwóch regionów geograficznych. Dane są również replikowane synchronicznie w obrębie Regionu Podstawowego, a następnie replikowane asynchronicznie do Regionu Pomocniczego. Klient nie może bezpośrednio odczytywać danych z ani zapisywać danych w Regionie Dodatkowym powiązanym z Kontami GZRS.</w:t>
      </w:r>
    </w:p>
    <w:p w14:paraId="5E123B9D" w14:textId="77777777" w:rsidR="008E258D" w:rsidRPr="00C7204B" w:rsidRDefault="008E258D" w:rsidP="008E258D">
      <w:pPr>
        <w:pStyle w:val="ProductList-Body"/>
        <w:rPr>
          <w:rFonts w:ascii="Calibri" w:hAnsi="Calibri" w:cs="Calibri"/>
        </w:rPr>
      </w:pPr>
      <w:r>
        <w:rPr>
          <w:rFonts w:ascii="Calibri" w:hAnsi="Calibri" w:cs="Calibri"/>
        </w:rPr>
        <w:t>„</w:t>
      </w:r>
      <w:r>
        <w:rPr>
          <w:rFonts w:ascii="Calibri" w:hAnsi="Calibri" w:cs="Calibri"/>
          <w:b/>
          <w:color w:val="00188F"/>
        </w:rPr>
        <w:t>Konto Magazynu z Nadmiarem Strefy Geograficznej (RA- GZRS) z Żądaniem Odczytu</w:t>
      </w:r>
      <w:r>
        <w:rPr>
          <w:rFonts w:ascii="Calibri" w:hAnsi="Calibri" w:cs="Calibri"/>
        </w:rPr>
        <w:t>” to konto magazynu, na którym dane są replikowane w wielu obiektach. Obiekty te mogą znajdować się w tym samym regionie geograficznym lub na terenie dwóch regionów geograficznych. Dane są również replikowane synchronicznie w obrębie Regionu Podstawowego, a następnie replikowane asynchronicznie do Regionu Pomocniczego. Klient może bezpośrednio odczytywać dane z Regionu Dodatkowego powiązanego z Kontami RA-GZRS, ale nie może zapisywać tam danych.</w:t>
      </w:r>
    </w:p>
    <w:p w14:paraId="7C85DC16" w14:textId="77777777" w:rsidR="008E258D" w:rsidRPr="00C7204B" w:rsidRDefault="008E258D" w:rsidP="008E258D">
      <w:pPr>
        <w:pStyle w:val="ProductList-Body"/>
        <w:rPr>
          <w:rFonts w:ascii="Calibri" w:hAnsi="Calibri" w:cs="Calibri"/>
        </w:rPr>
      </w:pPr>
      <w:r>
        <w:rPr>
          <w:rFonts w:ascii="Calibri" w:hAnsi="Calibri" w:cs="Calibri"/>
          <w:b/>
          <w:color w:val="00188F"/>
        </w:rPr>
        <w:t>Procent Czasu Sprawnego Działania</w:t>
      </w:r>
      <w:r>
        <w:rPr>
          <w:rFonts w:ascii="Calibri" w:hAnsi="Calibri" w:cs="Calibri"/>
        </w:rPr>
        <w:t>: Procent Czasu Sprawnego Działania jest obliczany przy użyciu następującego wzoru:</w:t>
      </w:r>
    </w:p>
    <w:p w14:paraId="14529001" w14:textId="77777777" w:rsidR="008E258D" w:rsidRPr="00EF7CF9" w:rsidRDefault="008E258D" w:rsidP="00D3765F">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100% - Średnia Częstość Błędów</m:t>
          </m:r>
        </m:oMath>
      </m:oMathPara>
    </w:p>
    <w:p w14:paraId="3E6B3BE6" w14:textId="4CCC2481" w:rsidR="008E258D" w:rsidRPr="00FB0D2C" w:rsidRDefault="008E258D" w:rsidP="008E258D">
      <w:pPr>
        <w:pStyle w:val="ProductList-ClauseHeading"/>
        <w:rPr>
          <w:rFonts w:ascii="Calibri" w:hAnsi="Calibri" w:cs="Calibri"/>
        </w:rPr>
      </w:pPr>
      <w:r>
        <w:rPr>
          <w:rFonts w:ascii="Calibri" w:hAnsi="Calibri" w:cs="Calibri"/>
        </w:rPr>
        <w:t>Warstwy Dostępu Gorąca oraz Zoptymalizowane pod kątem Transakcji</w:t>
      </w:r>
    </w:p>
    <w:p w14:paraId="32E5AF9C" w14:textId="77777777" w:rsidR="008E258D" w:rsidRDefault="008E258D" w:rsidP="008E258D">
      <w:pPr>
        <w:pStyle w:val="ProductList-ClauseHeading"/>
        <w:rPr>
          <w:rFonts w:ascii="Calibri" w:hAnsi="Calibri" w:cs="Calibri"/>
          <w:b w:val="0"/>
          <w:color w:val="auto"/>
        </w:rPr>
      </w:pPr>
      <w:r>
        <w:rPr>
          <w:rFonts w:ascii="Calibri" w:hAnsi="Calibri" w:cs="Calibri"/>
        </w:rPr>
        <w:t>Środki na Używanie Usług - LRS, ZRS, GRS, GZRS, RA-GRS oraz RA-GZRS (żądania zapisu) dla Warstw Dostępu Gorąca oraz Zoptymalizowanych pod kątem Transakcji</w:t>
      </w:r>
      <w:r>
        <w:rPr>
          <w:rFonts w:ascii="Calibri" w:hAnsi="Calibri" w:cs="Calibri"/>
          <w:b w:val="0"/>
          <w:color w:val="auto"/>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258D" w:rsidRPr="00B44CF9" w14:paraId="3F71B827" w14:textId="77777777" w:rsidTr="008367CC">
        <w:trPr>
          <w:trHeight w:val="245"/>
          <w:tblHeader/>
        </w:trPr>
        <w:tc>
          <w:tcPr>
            <w:tcW w:w="5400" w:type="dxa"/>
            <w:tcBorders>
              <w:bottom w:val="single" w:sz="4" w:space="0" w:color="auto"/>
            </w:tcBorders>
            <w:shd w:val="clear" w:color="auto" w:fill="0072C6"/>
          </w:tcPr>
          <w:p w14:paraId="308ED155"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tcBorders>
              <w:bottom w:val="single" w:sz="4" w:space="0" w:color="auto"/>
            </w:tcBorders>
            <w:shd w:val="clear" w:color="auto" w:fill="0072C6"/>
          </w:tcPr>
          <w:p w14:paraId="720185AA"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8E258D" w:rsidRPr="00B44CF9" w14:paraId="0EE5BF84"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08B29181"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4584B377"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10%</w:t>
            </w:r>
          </w:p>
        </w:tc>
      </w:tr>
      <w:tr w:rsidR="008E258D" w:rsidRPr="00B44CF9" w14:paraId="1F4D5381"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1EF0D1EB"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17B1E93C"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25%</w:t>
            </w:r>
          </w:p>
        </w:tc>
      </w:tr>
    </w:tbl>
    <w:p w14:paraId="748931E2" w14:textId="77777777" w:rsidR="008E258D" w:rsidRPr="00FB0D2C" w:rsidRDefault="008E258D" w:rsidP="008E258D">
      <w:pPr>
        <w:pStyle w:val="ProductList-ClauseHeading"/>
        <w:spacing w:before="120"/>
        <w:rPr>
          <w:rFonts w:ascii="Calibri" w:hAnsi="Calibri" w:cs="Calibri"/>
        </w:rPr>
      </w:pPr>
      <w:r>
        <w:rPr>
          <w:rFonts w:ascii="Calibri" w:hAnsi="Calibri" w:cs="Calibri"/>
        </w:rPr>
        <w:t xml:space="preserve">Środki na Używanie Usług - RA-GRS oraz RA-GZRS (żądania odczytu) dla Warstwy Dostępu Gorąca oraz Zoptymalizowanych pod kątem Transakcji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258D" w:rsidRPr="00B44CF9" w14:paraId="52AEC731" w14:textId="77777777" w:rsidTr="008367CC">
        <w:trPr>
          <w:trHeight w:val="245"/>
          <w:tblHeader/>
        </w:trPr>
        <w:tc>
          <w:tcPr>
            <w:tcW w:w="5400" w:type="dxa"/>
            <w:shd w:val="clear" w:color="auto" w:fill="0072C6"/>
          </w:tcPr>
          <w:p w14:paraId="4E4BA9E1"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47C10377"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8E258D" w:rsidRPr="00B44CF9" w14:paraId="48A3DCFE" w14:textId="77777777" w:rsidTr="008367CC">
        <w:trPr>
          <w:trHeight w:val="245"/>
        </w:trPr>
        <w:tc>
          <w:tcPr>
            <w:tcW w:w="5400" w:type="dxa"/>
          </w:tcPr>
          <w:p w14:paraId="161C9046"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99,99%</w:t>
            </w:r>
          </w:p>
        </w:tc>
        <w:tc>
          <w:tcPr>
            <w:tcW w:w="5400" w:type="dxa"/>
          </w:tcPr>
          <w:p w14:paraId="60D78F5D"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10%</w:t>
            </w:r>
          </w:p>
        </w:tc>
      </w:tr>
      <w:tr w:rsidR="008E258D" w:rsidRPr="00B44CF9" w14:paraId="35644252" w14:textId="77777777" w:rsidTr="008367CC">
        <w:trPr>
          <w:trHeight w:val="245"/>
        </w:trPr>
        <w:tc>
          <w:tcPr>
            <w:tcW w:w="5400" w:type="dxa"/>
          </w:tcPr>
          <w:p w14:paraId="5161DFED"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w:t>
            </w:r>
          </w:p>
        </w:tc>
        <w:tc>
          <w:tcPr>
            <w:tcW w:w="5400" w:type="dxa"/>
          </w:tcPr>
          <w:p w14:paraId="32D87744"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25%</w:t>
            </w:r>
          </w:p>
        </w:tc>
      </w:tr>
    </w:tbl>
    <w:p w14:paraId="62511CBA" w14:textId="77777777" w:rsidR="008E258D" w:rsidRPr="00FB0D2C" w:rsidRDefault="008E258D" w:rsidP="008E258D">
      <w:pPr>
        <w:pStyle w:val="ProductList-ClauseHeading"/>
        <w:spacing w:before="120"/>
        <w:rPr>
          <w:rFonts w:ascii="Calibri" w:hAnsi="Calibri" w:cs="Calibri"/>
        </w:rPr>
      </w:pPr>
      <w:r>
        <w:rPr>
          <w:rFonts w:ascii="Calibri" w:hAnsi="Calibri" w:cs="Calibri"/>
        </w:rPr>
        <w:t>Środki na Używanie Usług - LRS, ZRS, GRS i GZRS (żądania odczytu) dla Warstw Dostępu Gorąca oraz Zoptymalizowanych pod kątem Transakcji</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258D" w:rsidRPr="00B44CF9" w14:paraId="7107D54F" w14:textId="77777777" w:rsidTr="008367CC">
        <w:trPr>
          <w:trHeight w:val="245"/>
          <w:tblHeader/>
        </w:trPr>
        <w:tc>
          <w:tcPr>
            <w:tcW w:w="5400" w:type="dxa"/>
            <w:tcBorders>
              <w:bottom w:val="single" w:sz="4" w:space="0" w:color="auto"/>
            </w:tcBorders>
            <w:shd w:val="clear" w:color="auto" w:fill="0072C6"/>
          </w:tcPr>
          <w:p w14:paraId="5CC7FCB6"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tcBorders>
              <w:bottom w:val="single" w:sz="4" w:space="0" w:color="auto"/>
            </w:tcBorders>
            <w:shd w:val="clear" w:color="auto" w:fill="0072C6"/>
          </w:tcPr>
          <w:p w14:paraId="7F36B698"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8E258D" w:rsidRPr="00B44CF9" w14:paraId="19809AFD"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548F2DB6"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99,9%</w:t>
            </w:r>
          </w:p>
        </w:tc>
        <w:tc>
          <w:tcPr>
            <w:tcW w:w="5400" w:type="dxa"/>
            <w:tcBorders>
              <w:top w:val="single" w:sz="4" w:space="0" w:color="auto"/>
              <w:left w:val="single" w:sz="4" w:space="0" w:color="auto"/>
              <w:bottom w:val="single" w:sz="4" w:space="0" w:color="auto"/>
              <w:right w:val="single" w:sz="4" w:space="0" w:color="auto"/>
            </w:tcBorders>
          </w:tcPr>
          <w:p w14:paraId="13D97C42"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10%</w:t>
            </w:r>
          </w:p>
        </w:tc>
      </w:tr>
      <w:tr w:rsidR="008E258D" w:rsidRPr="00B44CF9" w14:paraId="094FA5F5" w14:textId="77777777" w:rsidTr="008367CC">
        <w:trPr>
          <w:trHeight w:val="245"/>
        </w:trPr>
        <w:tc>
          <w:tcPr>
            <w:tcW w:w="5400" w:type="dxa"/>
            <w:tcBorders>
              <w:top w:val="single" w:sz="4" w:space="0" w:color="auto"/>
              <w:left w:val="single" w:sz="4" w:space="0" w:color="auto"/>
              <w:bottom w:val="single" w:sz="4" w:space="0" w:color="auto"/>
              <w:right w:val="single" w:sz="4" w:space="0" w:color="auto"/>
            </w:tcBorders>
          </w:tcPr>
          <w:p w14:paraId="75C6996C"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w:t>
            </w:r>
          </w:p>
        </w:tc>
        <w:tc>
          <w:tcPr>
            <w:tcW w:w="5400" w:type="dxa"/>
            <w:tcBorders>
              <w:top w:val="single" w:sz="4" w:space="0" w:color="auto"/>
              <w:left w:val="single" w:sz="4" w:space="0" w:color="auto"/>
              <w:bottom w:val="single" w:sz="4" w:space="0" w:color="auto"/>
              <w:right w:val="single" w:sz="4" w:space="0" w:color="auto"/>
            </w:tcBorders>
          </w:tcPr>
          <w:p w14:paraId="5EF8C94E"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25%</w:t>
            </w:r>
          </w:p>
        </w:tc>
      </w:tr>
    </w:tbl>
    <w:p w14:paraId="4F9E5BB4" w14:textId="77777777" w:rsidR="008E258D" w:rsidRPr="00FB0D2C" w:rsidRDefault="008E258D" w:rsidP="008E258D">
      <w:pPr>
        <w:pStyle w:val="ProductList-ClauseHeading"/>
        <w:spacing w:before="120"/>
        <w:rPr>
          <w:rFonts w:ascii="Calibri" w:hAnsi="Calibri" w:cs="Calibri"/>
          <w:szCs w:val="18"/>
        </w:rPr>
      </w:pPr>
      <w:r>
        <w:rPr>
          <w:rFonts w:ascii="Calibri" w:hAnsi="Calibri" w:cs="Calibri"/>
          <w:szCs w:val="18"/>
        </w:rPr>
        <w:t>Warstwy Archiwalna, Chłodna i Zimna</w:t>
      </w:r>
    </w:p>
    <w:p w14:paraId="0930EEF9" w14:textId="1705FC1D" w:rsidR="008E258D" w:rsidRPr="00FB0D2C" w:rsidRDefault="008E258D" w:rsidP="008E258D">
      <w:pPr>
        <w:pStyle w:val="ProductList-ClauseHeading"/>
        <w:rPr>
          <w:rFonts w:ascii="Calibri" w:hAnsi="Calibri" w:cs="Calibri"/>
          <w:szCs w:val="18"/>
        </w:rPr>
      </w:pPr>
      <w:r>
        <w:rPr>
          <w:rFonts w:ascii="Calibri" w:hAnsi="Calibri" w:cs="Calibri"/>
          <w:szCs w:val="18"/>
        </w:rPr>
        <w:t xml:space="preserve">Środki na Używanie Usług - LRS, ZRS, GRS, GZRS, RA-GRS i RA-GZRS (żądania </w:t>
      </w:r>
      <w:r w:rsidR="00990AB6">
        <w:rPr>
          <w:rFonts w:ascii="Calibri" w:hAnsi="Calibri" w:cs="Calibri"/>
        </w:rPr>
        <w:t>zapisu</w:t>
      </w:r>
      <w:r>
        <w:rPr>
          <w:rFonts w:ascii="Calibri" w:hAnsi="Calibri" w:cs="Calibri"/>
          <w:szCs w:val="18"/>
        </w:rPr>
        <w:t>) dla Warstw Dostępu Chłodnej, Zimnej i Archiwalnej</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8E258D" w:rsidRPr="00B44CF9" w14:paraId="202E013A" w14:textId="77777777" w:rsidTr="008367CC">
        <w:trPr>
          <w:trHeight w:val="245"/>
          <w:tblHeader/>
        </w:trPr>
        <w:tc>
          <w:tcPr>
            <w:tcW w:w="2500" w:type="pct"/>
            <w:tcBorders>
              <w:bottom w:val="single" w:sz="4" w:space="0" w:color="auto"/>
            </w:tcBorders>
            <w:shd w:val="clear" w:color="auto" w:fill="0072C6"/>
          </w:tcPr>
          <w:p w14:paraId="354C6D1F"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2500" w:type="pct"/>
            <w:tcBorders>
              <w:bottom w:val="single" w:sz="4" w:space="0" w:color="auto"/>
            </w:tcBorders>
            <w:shd w:val="clear" w:color="auto" w:fill="0072C6"/>
          </w:tcPr>
          <w:p w14:paraId="50030D9C"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8E258D" w:rsidRPr="00B44CF9" w14:paraId="11D7AA45"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1FF1C299"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w:t>
            </w:r>
          </w:p>
        </w:tc>
        <w:tc>
          <w:tcPr>
            <w:tcW w:w="2500" w:type="pct"/>
            <w:tcBorders>
              <w:top w:val="single" w:sz="4" w:space="0" w:color="auto"/>
              <w:left w:val="single" w:sz="4" w:space="0" w:color="auto"/>
              <w:bottom w:val="single" w:sz="4" w:space="0" w:color="auto"/>
              <w:right w:val="single" w:sz="4" w:space="0" w:color="auto"/>
            </w:tcBorders>
          </w:tcPr>
          <w:p w14:paraId="18C327B9"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10%</w:t>
            </w:r>
          </w:p>
        </w:tc>
      </w:tr>
      <w:tr w:rsidR="008E258D" w:rsidRPr="00B44CF9" w14:paraId="090E9C4F" w14:textId="77777777" w:rsidTr="008367CC">
        <w:trPr>
          <w:trHeight w:val="245"/>
        </w:trPr>
        <w:tc>
          <w:tcPr>
            <w:tcW w:w="2500" w:type="pct"/>
            <w:tcBorders>
              <w:top w:val="single" w:sz="4" w:space="0" w:color="auto"/>
              <w:left w:val="single" w:sz="4" w:space="0" w:color="auto"/>
              <w:bottom w:val="single" w:sz="4" w:space="0" w:color="auto"/>
              <w:right w:val="single" w:sz="4" w:space="0" w:color="auto"/>
            </w:tcBorders>
          </w:tcPr>
          <w:p w14:paraId="19ABC62D"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98%</w:t>
            </w:r>
          </w:p>
        </w:tc>
        <w:tc>
          <w:tcPr>
            <w:tcW w:w="2500" w:type="pct"/>
            <w:tcBorders>
              <w:top w:val="single" w:sz="4" w:space="0" w:color="auto"/>
              <w:left w:val="single" w:sz="4" w:space="0" w:color="auto"/>
              <w:bottom w:val="single" w:sz="4" w:space="0" w:color="auto"/>
              <w:right w:val="single" w:sz="4" w:space="0" w:color="auto"/>
            </w:tcBorders>
          </w:tcPr>
          <w:p w14:paraId="6DDE6D28"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25%</w:t>
            </w:r>
          </w:p>
        </w:tc>
      </w:tr>
    </w:tbl>
    <w:p w14:paraId="108F3115" w14:textId="77777777" w:rsidR="008E258D" w:rsidRPr="00FB0D2C" w:rsidRDefault="008E258D" w:rsidP="008E258D">
      <w:pPr>
        <w:pStyle w:val="ProductList-ClauseHeading"/>
        <w:spacing w:before="120"/>
        <w:rPr>
          <w:rFonts w:ascii="Calibri" w:hAnsi="Calibri" w:cs="Calibri"/>
          <w:szCs w:val="18"/>
        </w:rPr>
      </w:pPr>
      <w:r>
        <w:rPr>
          <w:rFonts w:ascii="Calibri" w:hAnsi="Calibri" w:cs="Calibri"/>
          <w:szCs w:val="18"/>
        </w:rPr>
        <w:t xml:space="preserve">Środki na Używanie Usług - RA-GRS i RA-GZRS (żądania odczytu) Warstw Dostępu Chłodnej, Zimnej i Archiwalnej </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95"/>
        <w:gridCol w:w="5395"/>
      </w:tblGrid>
      <w:tr w:rsidR="008E258D" w:rsidRPr="00B44CF9" w14:paraId="6E1E24B0" w14:textId="77777777" w:rsidTr="008367CC">
        <w:trPr>
          <w:trHeight w:val="245"/>
          <w:tblHeader/>
        </w:trPr>
        <w:tc>
          <w:tcPr>
            <w:tcW w:w="2500" w:type="pct"/>
            <w:shd w:val="clear" w:color="auto" w:fill="0072C6"/>
          </w:tcPr>
          <w:p w14:paraId="605AB6D0"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2500" w:type="pct"/>
            <w:shd w:val="clear" w:color="auto" w:fill="0072C6"/>
          </w:tcPr>
          <w:p w14:paraId="13242EA5"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8E258D" w:rsidRPr="00B44CF9" w14:paraId="75B4B801" w14:textId="77777777" w:rsidTr="008367CC">
        <w:trPr>
          <w:trHeight w:val="245"/>
        </w:trPr>
        <w:tc>
          <w:tcPr>
            <w:tcW w:w="2500" w:type="pct"/>
          </w:tcPr>
          <w:p w14:paraId="15726F59"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99,9%</w:t>
            </w:r>
          </w:p>
        </w:tc>
        <w:tc>
          <w:tcPr>
            <w:tcW w:w="2500" w:type="pct"/>
          </w:tcPr>
          <w:p w14:paraId="6226631A"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10%</w:t>
            </w:r>
          </w:p>
        </w:tc>
      </w:tr>
      <w:tr w:rsidR="008E258D" w:rsidRPr="00B44CF9" w14:paraId="4726E78F" w14:textId="77777777" w:rsidTr="008367CC">
        <w:trPr>
          <w:trHeight w:val="245"/>
        </w:trPr>
        <w:tc>
          <w:tcPr>
            <w:tcW w:w="2500" w:type="pct"/>
          </w:tcPr>
          <w:p w14:paraId="3103FD38"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98%</w:t>
            </w:r>
          </w:p>
        </w:tc>
        <w:tc>
          <w:tcPr>
            <w:tcW w:w="2500" w:type="pct"/>
          </w:tcPr>
          <w:p w14:paraId="011614C1"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25%</w:t>
            </w:r>
          </w:p>
        </w:tc>
      </w:tr>
    </w:tbl>
    <w:p w14:paraId="3A8E42AD" w14:textId="77777777" w:rsidR="008E258D" w:rsidRPr="00FB0D2C" w:rsidRDefault="008E258D" w:rsidP="008E258D">
      <w:pPr>
        <w:pStyle w:val="ProductList-ClauseHeading"/>
        <w:spacing w:before="120"/>
        <w:rPr>
          <w:rFonts w:ascii="Calibri" w:hAnsi="Calibri" w:cs="Calibri"/>
          <w:szCs w:val="18"/>
        </w:rPr>
      </w:pPr>
      <w:r>
        <w:rPr>
          <w:rFonts w:ascii="Calibri" w:hAnsi="Calibri" w:cs="Calibri"/>
          <w:szCs w:val="18"/>
        </w:rPr>
        <w:t>Środki na Używanie Usług - LRS, ZRS, GRS, GZRS (żądania odczytu) dla Warstw Dostępu Chłodnej, Zimnej i Archiwalnej</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E258D" w:rsidRPr="00B44CF9" w14:paraId="0A67BDF5" w14:textId="77777777" w:rsidTr="008367CC">
        <w:trPr>
          <w:trHeight w:val="245"/>
          <w:tblHeader/>
        </w:trPr>
        <w:tc>
          <w:tcPr>
            <w:tcW w:w="5400" w:type="dxa"/>
            <w:shd w:val="clear" w:color="auto" w:fill="0072C6"/>
          </w:tcPr>
          <w:p w14:paraId="7EA0B119"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75B70C82" w14:textId="77777777" w:rsidR="008E258D" w:rsidRPr="00FB0D2C" w:rsidRDefault="008E258D" w:rsidP="008367CC">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8E258D" w:rsidRPr="00B44CF9" w14:paraId="6F1845B2" w14:textId="77777777" w:rsidTr="008367CC">
        <w:trPr>
          <w:trHeight w:val="245"/>
        </w:trPr>
        <w:tc>
          <w:tcPr>
            <w:tcW w:w="5400" w:type="dxa"/>
          </w:tcPr>
          <w:p w14:paraId="48EF14AE"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99,9%</w:t>
            </w:r>
          </w:p>
        </w:tc>
        <w:tc>
          <w:tcPr>
            <w:tcW w:w="5400" w:type="dxa"/>
          </w:tcPr>
          <w:p w14:paraId="16F9254A"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10%</w:t>
            </w:r>
          </w:p>
        </w:tc>
      </w:tr>
      <w:tr w:rsidR="008E258D" w:rsidRPr="00B44CF9" w14:paraId="73FD8060" w14:textId="77777777" w:rsidTr="008367CC">
        <w:trPr>
          <w:trHeight w:val="245"/>
        </w:trPr>
        <w:tc>
          <w:tcPr>
            <w:tcW w:w="5400" w:type="dxa"/>
          </w:tcPr>
          <w:p w14:paraId="1136B840"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&lt; 98%</w:t>
            </w:r>
          </w:p>
        </w:tc>
        <w:tc>
          <w:tcPr>
            <w:tcW w:w="5400" w:type="dxa"/>
          </w:tcPr>
          <w:p w14:paraId="7B472904" w14:textId="77777777" w:rsidR="008E258D" w:rsidRPr="00FB0D2C" w:rsidRDefault="008E258D" w:rsidP="008367CC">
            <w:pPr>
              <w:pStyle w:val="ProductList-OfferingBody"/>
              <w:jc w:val="center"/>
              <w:rPr>
                <w:rFonts w:ascii="Calibri" w:hAnsi="Calibri" w:cs="Calibri"/>
                <w:szCs w:val="16"/>
              </w:rPr>
            </w:pPr>
            <w:r>
              <w:rPr>
                <w:rFonts w:ascii="Calibri" w:hAnsi="Calibri" w:cs="Calibri"/>
                <w:szCs w:val="16"/>
              </w:rPr>
              <w:t>25%</w:t>
            </w:r>
          </w:p>
        </w:tc>
      </w:tr>
    </w:tbl>
    <w:p w14:paraId="5F32E1E0" w14:textId="77777777" w:rsidR="008E258D" w:rsidRPr="00FB0D2C" w:rsidRDefault="008E258D" w:rsidP="008E258D">
      <w:pPr>
        <w:pStyle w:val="ProductList-Body"/>
        <w:tabs>
          <w:tab w:val="clear" w:pos="360"/>
          <w:tab w:val="clear" w:pos="720"/>
          <w:tab w:val="clear" w:pos="1080"/>
        </w:tabs>
        <w:spacing w:before="120"/>
        <w:rPr>
          <w:rFonts w:ascii="Calibri" w:hAnsi="Calibri" w:cs="Calibri"/>
          <w:color w:val="000000" w:themeColor="text1"/>
        </w:rPr>
      </w:pPr>
      <w:r>
        <w:rPr>
          <w:rFonts w:ascii="Calibri" w:hAnsi="Calibri" w:cs="Calibri"/>
          <w:b/>
          <w:bCs/>
          <w:color w:val="00188F"/>
        </w:rPr>
        <w:t>Wyjątki dotyczące usługi</w:t>
      </w:r>
      <w:r>
        <w:rPr>
          <w:rFonts w:ascii="Calibri" w:hAnsi="Calibri" w:cs="Calibri"/>
          <w:b/>
          <w:bCs/>
          <w:color w:val="000000" w:themeColor="text1"/>
        </w:rPr>
        <w:t>:</w:t>
      </w:r>
      <w:r>
        <w:rPr>
          <w:rFonts w:ascii="Calibri" w:hAnsi="Calibri" w:cs="Calibri"/>
          <w:color w:val="000000" w:themeColor="text1"/>
        </w:rPr>
        <w:t xml:space="preserve"> Umowa SLA dla Warstw Dostępu Chłodnej, Zimnej i Archiwalnej ma zastosowanie wyłącznie do typów kont magazynu obsługujących warstwy Chłodną, Zimną i Archiwalną.</w:t>
      </w:r>
    </w:p>
    <w:p w14:paraId="72B9E054" w14:textId="35BD7BAF" w:rsidR="00E96EE7" w:rsidRPr="00EF7CF9" w:rsidRDefault="00C71F89" w:rsidP="00E96EE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9F2F550" w14:textId="655746DE" w:rsidR="000F2B16" w:rsidRPr="00EF7CF9" w:rsidRDefault="000F2B16" w:rsidP="00F45455">
      <w:pPr>
        <w:pStyle w:val="ProductList-Offering2Heading"/>
        <w:keepNext/>
        <w:tabs>
          <w:tab w:val="clear" w:pos="360"/>
          <w:tab w:val="clear" w:pos="720"/>
          <w:tab w:val="clear" w:pos="1080"/>
        </w:tabs>
        <w:outlineLvl w:val="2"/>
      </w:pPr>
      <w:bookmarkStart w:id="414" w:name="StorSimple"/>
      <w:bookmarkStart w:id="415" w:name="_Toc52349011"/>
      <w:bookmarkStart w:id="416" w:name="_Toc239175074"/>
      <w:r>
        <w:t>StorSimple</w:t>
      </w:r>
      <w:bookmarkEnd w:id="414"/>
      <w:bookmarkEnd w:id="415"/>
      <w:bookmarkEnd w:id="416"/>
    </w:p>
    <w:p w14:paraId="08B9E4A5" w14:textId="77777777" w:rsidR="000F2B16" w:rsidRPr="00EF7CF9" w:rsidRDefault="000F2B16" w:rsidP="000F2B16">
      <w:pPr>
        <w:pStyle w:val="ProductList-Body"/>
      </w:pPr>
      <w:r>
        <w:rPr>
          <w:b/>
          <w:color w:val="00188F"/>
        </w:rPr>
        <w:t>Dodatkowe definicje</w:t>
      </w:r>
      <w:r w:rsidRPr="0034704E">
        <w:rPr>
          <w:b/>
          <w:color w:val="00188F"/>
        </w:rPr>
        <w:t>:</w:t>
      </w:r>
    </w:p>
    <w:p w14:paraId="5E85349A" w14:textId="77777777" w:rsidR="000F2B16" w:rsidRPr="00EF7CF9" w:rsidRDefault="000F2B16" w:rsidP="003A00AF">
      <w:pPr>
        <w:pStyle w:val="ProductList-Body"/>
      </w:pPr>
      <w:r>
        <w:t>„</w:t>
      </w:r>
      <w:r>
        <w:rPr>
          <w:b/>
          <w:color w:val="00188F"/>
        </w:rPr>
        <w:t>Tworzenie Kopii Zapasowej</w:t>
      </w:r>
      <w:r>
        <w:t>” to proces tworzenia kopii zapasowej danych zapisanych na zarejestrowanym urządzeniu StorSimple na co najmniej jedno powiązane konto magazynu w chmurze w ramach platformy Microsoft Azure.</w:t>
      </w:r>
    </w:p>
    <w:p w14:paraId="373FEDA9" w14:textId="77777777" w:rsidR="000F2B16" w:rsidRPr="00EF7CF9" w:rsidRDefault="000F2B16" w:rsidP="003A00AF">
      <w:pPr>
        <w:pStyle w:val="ProductList-Body"/>
      </w:pPr>
      <w:r>
        <w:t>„</w:t>
      </w:r>
      <w:r>
        <w:rPr>
          <w:b/>
          <w:color w:val="00188F"/>
        </w:rPr>
        <w:t>Przenoszenie do Chmury</w:t>
      </w:r>
      <w:r>
        <w:t>” to proces przenoszenia danych z zarejestrowanego urządzenia StorSimple na co najmniej jedno powiązane konto magazynu w chmurze w ramach platformy Microsoft Azure.</w:t>
      </w:r>
    </w:p>
    <w:p w14:paraId="2A8D2D95" w14:textId="716C2786" w:rsidR="000F2B16" w:rsidRPr="00EF7CF9" w:rsidRDefault="000F2B16" w:rsidP="003A00AF">
      <w:pPr>
        <w:pStyle w:val="ProductList-Body"/>
      </w:pPr>
      <w:r>
        <w:t>„</w:t>
      </w:r>
      <w:r>
        <w:rPr>
          <w:b/>
          <w:color w:val="00188F"/>
        </w:rPr>
        <w:t>Awaria</w:t>
      </w:r>
      <w:r>
        <w:t>” to niemożność pełnego zakończenia właściwie skonfigurowanej operacji Tworzenia Kopii Zapasowej, Przenoszenia lub Przywracania z</w:t>
      </w:r>
      <w:r w:rsidR="00073755">
        <w:t> </w:t>
      </w:r>
      <w:r>
        <w:t>powodu niedostępności Usługi StorSimple.</w:t>
      </w:r>
    </w:p>
    <w:p w14:paraId="051A8805" w14:textId="77777777" w:rsidR="000F2B16" w:rsidRPr="00EF7CF9" w:rsidRDefault="000F2B16" w:rsidP="003A00AF">
      <w:pPr>
        <w:pStyle w:val="ProductList-Body"/>
      </w:pPr>
      <w:r>
        <w:t>„</w:t>
      </w:r>
      <w:r>
        <w:rPr>
          <w:b/>
          <w:color w:val="00188F"/>
        </w:rPr>
        <w:t>Element Zarządzany</w:t>
      </w:r>
      <w:r>
        <w:t>” to wolumen skonfigurowany w celu Tworzenia Kopii Zapasowej na kontach magazynu w chmurze za pomocą Usługi StorSimple.</w:t>
      </w:r>
    </w:p>
    <w:p w14:paraId="65E0E7F4" w14:textId="77777777" w:rsidR="000F2B16" w:rsidRPr="00EF7CF9" w:rsidRDefault="000F2B16" w:rsidP="003A00AF">
      <w:pPr>
        <w:pStyle w:val="ProductList-Body"/>
      </w:pPr>
      <w:r>
        <w:t>„</w:t>
      </w:r>
      <w:r>
        <w:rPr>
          <w:b/>
          <w:color w:val="00188F"/>
        </w:rPr>
        <w:t>Przywracanie</w:t>
      </w:r>
      <w:r>
        <w:t>” to proces kopiowania danych do zarejestrowanego urządzenia StorSimple z powiązanego konta lub kont magazynu w chmurze.</w:t>
      </w:r>
    </w:p>
    <w:p w14:paraId="002F6811" w14:textId="329FC890" w:rsidR="000F2B16" w:rsidRPr="00377C64" w:rsidRDefault="00EE6E3C" w:rsidP="003A00AF">
      <w:pPr>
        <w:pStyle w:val="ProductList-Body"/>
        <w:rPr>
          <w:b/>
          <w:bCs/>
          <w:color w:val="00188F"/>
        </w:rPr>
      </w:pPr>
      <w:r>
        <w:rPr>
          <w:b/>
          <w:bCs/>
          <w:color w:val="00188F"/>
        </w:rPr>
        <w:t>Obliczanie Czasu Sprawnego Działania i Poziomy Usługi StorSimple</w:t>
      </w:r>
    </w:p>
    <w:p w14:paraId="35B80149" w14:textId="77777777" w:rsidR="000F2B16" w:rsidRPr="00EF7CF9" w:rsidRDefault="000F2B16" w:rsidP="003A00AF">
      <w:pPr>
        <w:pStyle w:val="ProductList-Body"/>
      </w:pPr>
      <w:r>
        <w:t>„</w:t>
      </w:r>
      <w:r>
        <w:rPr>
          <w:b/>
          <w:color w:val="00188F"/>
        </w:rPr>
        <w:t>Minuty Wdrożenia</w:t>
      </w:r>
      <w:r>
        <w:t>” to łączna liczba minut, podczas których Klient konfigurował Element Zarządzany na potrzeby Tworzenia Kopii Zapasowej lub Przenoszenia do Chmury na konto magazynu StorSimple na platformie Microsoft Azure.</w:t>
      </w:r>
    </w:p>
    <w:p w14:paraId="6F160E55" w14:textId="36DE16FA" w:rsidR="000F2B16" w:rsidRPr="00EF7CF9" w:rsidRDefault="000F2B16" w:rsidP="003A00AF">
      <w:pPr>
        <w:pStyle w:val="ProductList-Body"/>
      </w:pPr>
      <w:r>
        <w:t>„</w:t>
      </w:r>
      <w:r>
        <w:rPr>
          <w:b/>
          <w:color w:val="00188F"/>
        </w:rPr>
        <w:t>Maksymalna Liczba Dostępnych Minut</w:t>
      </w:r>
      <w:r>
        <w:t>” to suma wszystkich Minut Wdrożenia dla wszystkich Elementów Zarządzanych w ramach danej subskrypcji Microsoft Azure we Właściwym Okresie.</w:t>
      </w:r>
    </w:p>
    <w:p w14:paraId="3C30BFAD" w14:textId="2EC12F16" w:rsidR="000F2B16" w:rsidRPr="00EF7CF9" w:rsidRDefault="000F2B16" w:rsidP="003A00AF">
      <w:pPr>
        <w:pStyle w:val="ProductList-Body"/>
      </w:pPr>
      <w:r>
        <w:rPr>
          <w:b/>
          <w:color w:val="00188F"/>
        </w:rPr>
        <w:t>Przestój</w:t>
      </w:r>
      <w:r w:rsidRPr="0034704E">
        <w:rPr>
          <w:b/>
          <w:color w:val="00188F"/>
        </w:rPr>
        <w:t>:</w:t>
      </w:r>
      <w:r>
        <w:t xml:space="preserve"> to łączna liczba minut z Maksymalnej Liczby Dostępnych Minut, podczas których Usługa StorSimple jest niedostępna dla Elementu Zarządzanego. Usługę StorSimple uznaje się za niedostępną dla danego Elementu Zarządzanego od momentu pierwszej Awarii operacji Tworzenia Kopii Zapasowej, Przeniesienia do Chmury lub Przywracania w odniesieniu do tego Elementu Zarządzanego, aż do rozpoczęcia udanej operacji Tworzenia Kopii Zapasowej, Przenoszenia do Chmury lub Przywracania Elementu Zarządzanego, o ile ponowne próby są na bieżąco podejmowane z</w:t>
      </w:r>
      <w:r w:rsidR="00C84B0F">
        <w:t> </w:t>
      </w:r>
      <w:r>
        <w:t>częstotliwością nie mniejszą niż co trzydzieści minut.</w:t>
      </w:r>
    </w:p>
    <w:p w14:paraId="35361FCC" w14:textId="67AE494A" w:rsidR="000F2B16" w:rsidRPr="00EF7CF9" w:rsidRDefault="00AC48A7" w:rsidP="000F2B16">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48239E7E" w14:textId="5D35449A" w:rsidR="000F2B16" w:rsidRPr="00EF7CF9" w:rsidRDefault="00000000" w:rsidP="00A116A6">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984315A" w14:textId="77777777" w:rsidR="000F2B16" w:rsidRPr="00EF7CF9" w:rsidRDefault="000F2B16" w:rsidP="000F2B16">
      <w:pPr>
        <w:pStyle w:val="ProductList-Body"/>
      </w:pPr>
      <w:r>
        <w:rPr>
          <w:b/>
          <w:color w:val="00188F"/>
        </w:rPr>
        <w:t>Do używania przez Klienta usługi StorSimple Service mają zastosowanie następujące Poziomy Usługi i 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5055652" w14:textId="77777777" w:rsidTr="00277097">
        <w:trPr>
          <w:tblHeader/>
        </w:trPr>
        <w:tc>
          <w:tcPr>
            <w:tcW w:w="5400" w:type="dxa"/>
            <w:shd w:val="clear" w:color="auto" w:fill="0072C6"/>
          </w:tcPr>
          <w:p w14:paraId="7F65FA8C" w14:textId="243E9498" w:rsidR="000F2B1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649B730" w14:textId="77777777" w:rsidR="000F2B16" w:rsidRPr="00EF7CF9" w:rsidRDefault="000F2B16" w:rsidP="000F31B4">
            <w:pPr>
              <w:pStyle w:val="ProductList-OfferingBody"/>
              <w:jc w:val="center"/>
              <w:rPr>
                <w:color w:val="FFFFFF" w:themeColor="background1"/>
              </w:rPr>
            </w:pPr>
            <w:r>
              <w:rPr>
                <w:color w:val="FFFFFF" w:themeColor="background1"/>
              </w:rPr>
              <w:t>Środki Serwisowe na Używanie Usług</w:t>
            </w:r>
          </w:p>
        </w:tc>
      </w:tr>
      <w:tr w:rsidR="000F2B16" w:rsidRPr="00B44CF9" w14:paraId="11ECD138" w14:textId="77777777" w:rsidTr="00277097">
        <w:tc>
          <w:tcPr>
            <w:tcW w:w="5400" w:type="dxa"/>
          </w:tcPr>
          <w:p w14:paraId="48CD763C" w14:textId="77777777" w:rsidR="000F2B16" w:rsidRPr="00EF7CF9" w:rsidRDefault="000F2B16" w:rsidP="000F31B4">
            <w:pPr>
              <w:pStyle w:val="ProductList-OfferingBody"/>
              <w:jc w:val="center"/>
            </w:pPr>
            <w:r>
              <w:t>&lt; 99,9%</w:t>
            </w:r>
          </w:p>
        </w:tc>
        <w:tc>
          <w:tcPr>
            <w:tcW w:w="5400" w:type="dxa"/>
          </w:tcPr>
          <w:p w14:paraId="0D3DAB99" w14:textId="77777777" w:rsidR="000F2B16" w:rsidRPr="00EF7CF9" w:rsidRDefault="000F2B16" w:rsidP="000F31B4">
            <w:pPr>
              <w:pStyle w:val="ProductList-OfferingBody"/>
              <w:jc w:val="center"/>
            </w:pPr>
            <w:r>
              <w:t>10%</w:t>
            </w:r>
          </w:p>
        </w:tc>
      </w:tr>
      <w:tr w:rsidR="000F2B16" w:rsidRPr="00B44CF9" w14:paraId="19797254" w14:textId="77777777" w:rsidTr="00277097">
        <w:tc>
          <w:tcPr>
            <w:tcW w:w="5400" w:type="dxa"/>
          </w:tcPr>
          <w:p w14:paraId="45231381" w14:textId="77777777" w:rsidR="000F2B16" w:rsidRPr="00EF7CF9" w:rsidRDefault="000F2B16" w:rsidP="000F31B4">
            <w:pPr>
              <w:pStyle w:val="ProductList-OfferingBody"/>
              <w:jc w:val="center"/>
            </w:pPr>
            <w:r>
              <w:t>&lt; 99%</w:t>
            </w:r>
          </w:p>
        </w:tc>
        <w:tc>
          <w:tcPr>
            <w:tcW w:w="5400" w:type="dxa"/>
          </w:tcPr>
          <w:p w14:paraId="6DB0249C" w14:textId="77777777" w:rsidR="000F2B16" w:rsidRPr="00EF7CF9" w:rsidRDefault="000F2B16" w:rsidP="000F31B4">
            <w:pPr>
              <w:pStyle w:val="ProductList-OfferingBody"/>
              <w:jc w:val="center"/>
            </w:pPr>
            <w:r>
              <w:t>25%</w:t>
            </w:r>
          </w:p>
        </w:tc>
      </w:tr>
    </w:tbl>
    <w:p w14:paraId="6323CB84" w14:textId="0FD76210" w:rsidR="000F2B16" w:rsidRPr="00ED4527" w:rsidRDefault="00EE6E3C" w:rsidP="009F2263">
      <w:pPr>
        <w:pStyle w:val="ProductList-Body"/>
        <w:tabs>
          <w:tab w:val="clear" w:pos="360"/>
          <w:tab w:val="clear" w:pos="720"/>
          <w:tab w:val="clear" w:pos="1080"/>
        </w:tabs>
        <w:spacing w:before="120"/>
        <w:rPr>
          <w:b/>
          <w:bCs/>
          <w:color w:val="00188F"/>
        </w:rPr>
      </w:pPr>
      <w:r>
        <w:rPr>
          <w:b/>
          <w:bCs/>
          <w:color w:val="00188F"/>
        </w:rPr>
        <w:t>Obliczanie Czasu Sprawnego Działania i Poziomy Usługi dla StorSimple Data Manager</w:t>
      </w:r>
    </w:p>
    <w:p w14:paraId="6F438056" w14:textId="54D9C74B" w:rsidR="000F2B16" w:rsidRPr="00EF7CF9" w:rsidRDefault="000F2B16" w:rsidP="003A00AF">
      <w:pPr>
        <w:spacing w:after="0" w:line="240" w:lineRule="auto"/>
        <w:rPr>
          <w:rFonts w:eastAsia="Times New Roman" w:cstheme="minorHAnsi"/>
          <w:sz w:val="18"/>
          <w:szCs w:val="18"/>
        </w:rPr>
      </w:pPr>
      <w:r>
        <w:rPr>
          <w:rFonts w:eastAsia="Times New Roman" w:cstheme="minorHAnsi"/>
          <w:bCs/>
          <w:sz w:val="18"/>
          <w:szCs w:val="18"/>
        </w:rPr>
        <w:t>„</w:t>
      </w:r>
      <w:r>
        <w:rPr>
          <w:rFonts w:eastAsia="Times New Roman" w:cstheme="minorHAnsi"/>
          <w:b/>
          <w:bCs/>
          <w:color w:val="00188F"/>
          <w:sz w:val="18"/>
          <w:szCs w:val="18"/>
        </w:rPr>
        <w:t>Łączna Liczba Żądań</w:t>
      </w:r>
      <w:r>
        <w:rPr>
          <w:rFonts w:eastAsia="Times New Roman" w:cstheme="minorHAnsi"/>
          <w:sz w:val="18"/>
          <w:szCs w:val="18"/>
        </w:rPr>
        <w:t>” to zbiór wszystkich żądań (innych niż Żądania Nieuwzględnione) służących do wykonania operacji w usłudze StorSimple Data Manager we Właściwym Okresie dla danej subskrypcji Microsoft Azure.</w:t>
      </w:r>
    </w:p>
    <w:p w14:paraId="0B9F46FA" w14:textId="77777777" w:rsidR="000F2B16" w:rsidRPr="00EF7CF9" w:rsidRDefault="000F2B16" w:rsidP="003A00AF">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Żądania Nieuwzględnione</w:t>
      </w:r>
      <w:r>
        <w:rPr>
          <w:rFonts w:eastAsia="Times New Roman" w:cstheme="minorHAnsi"/>
          <w:sz w:val="18"/>
          <w:szCs w:val="18"/>
        </w:rPr>
        <w:t>” to zbiór żądań zwracających kod stanu HTTP 4xx.</w:t>
      </w:r>
    </w:p>
    <w:p w14:paraId="78728F4D" w14:textId="77777777" w:rsidR="000F2B16" w:rsidRPr="00EF7CF9" w:rsidRDefault="000F2B16" w:rsidP="003A00AF">
      <w:pPr>
        <w:spacing w:after="0" w:line="240" w:lineRule="auto"/>
        <w:rPr>
          <w:rFonts w:eastAsia="Times New Roman" w:cstheme="minorHAnsi"/>
          <w:sz w:val="18"/>
          <w:szCs w:val="18"/>
        </w:rPr>
      </w:pPr>
      <w:r>
        <w:rPr>
          <w:rFonts w:eastAsia="Times New Roman" w:cstheme="minorHAnsi"/>
          <w:sz w:val="18"/>
          <w:szCs w:val="18"/>
        </w:rPr>
        <w:t>„</w:t>
      </w:r>
      <w:r>
        <w:rPr>
          <w:rFonts w:eastAsia="Times New Roman" w:cstheme="minorHAnsi"/>
          <w:b/>
          <w:bCs/>
          <w:color w:val="00188F"/>
          <w:sz w:val="18"/>
          <w:szCs w:val="18"/>
        </w:rPr>
        <w:t>Żądania Zakończone Niepowodzeniem</w:t>
      </w:r>
      <w:r>
        <w:rPr>
          <w:rFonts w:eastAsia="Times New Roman" w:cstheme="minorHAnsi"/>
          <w:sz w:val="18"/>
          <w:szCs w:val="18"/>
        </w:rPr>
        <w:t>” to zbiór wszystkich żądań w ramach Łącznej Liczby Żądań, które albo zwracają Kod Błędu, albo nie zwracają Kodu Sukcesu w ciągu 60 sekund.</w:t>
      </w:r>
    </w:p>
    <w:p w14:paraId="5DF07CCD" w14:textId="4115322F" w:rsidR="000F2B16" w:rsidRPr="00EF7CF9" w:rsidRDefault="00AC48A7" w:rsidP="000F2B16">
      <w:pPr>
        <w:pStyle w:val="ProductList-Body"/>
        <w:keepNext/>
        <w:rPr>
          <w:rFonts w:cstheme="minorHAnsi"/>
        </w:rPr>
      </w:pPr>
      <w:r>
        <w:rPr>
          <w:rFonts w:cstheme="minorHAnsi"/>
          <w:b/>
          <w:color w:val="00188F"/>
        </w:rPr>
        <w:t>Procent Czasu Sprawnego Działania</w:t>
      </w:r>
      <w:r w:rsidRPr="0034704E">
        <w:rPr>
          <w:b/>
          <w:color w:val="00188F"/>
        </w:rPr>
        <w:t>:</w:t>
      </w:r>
      <w:r>
        <w:rPr>
          <w:rFonts w:cstheme="minorHAnsi"/>
        </w:rPr>
        <w:t xml:space="preserve"> Procent Czasu Sprawnego Działania jest obliczany przy użyciu następującego wzoru:</w:t>
      </w:r>
    </w:p>
    <w:p w14:paraId="4249BC7E" w14:textId="7960087E" w:rsidR="000F2B16" w:rsidRPr="00EF7CF9" w:rsidRDefault="00000000" w:rsidP="002E4EE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Żądań - Żądania Zakończone Niepowodzeniem</m:t>
              </m:r>
            </m:num>
            <m:den>
              <m:r>
                <m:rPr>
                  <m:nor/>
                </m:rPr>
                <w:rPr>
                  <w:rFonts w:ascii="Cambria Math" w:hAnsi="Cambria Math" w:cs="Tahoma"/>
                  <w:i/>
                  <w:sz w:val="18"/>
                  <w:szCs w:val="18"/>
                </w:rPr>
                <m:t>Łączna Liczba Żądań</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21D11866" w14:textId="77777777" w:rsidR="000F2B16" w:rsidRPr="00EF7CF9" w:rsidRDefault="000F2B16" w:rsidP="000F2B16">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52623729" w14:textId="77777777" w:rsidTr="00277097">
        <w:trPr>
          <w:tblHeader/>
        </w:trPr>
        <w:tc>
          <w:tcPr>
            <w:tcW w:w="5400" w:type="dxa"/>
            <w:shd w:val="clear" w:color="auto" w:fill="0072C6"/>
          </w:tcPr>
          <w:p w14:paraId="6DA1C6BC" w14:textId="653313A2" w:rsidR="000F2B1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25217A6" w14:textId="77777777" w:rsidR="000F2B16" w:rsidRPr="00EF7CF9" w:rsidRDefault="000F2B16" w:rsidP="000F31B4">
            <w:pPr>
              <w:pStyle w:val="ProductList-OfferingBody"/>
              <w:jc w:val="center"/>
              <w:rPr>
                <w:color w:val="FFFFFF" w:themeColor="background1"/>
              </w:rPr>
            </w:pPr>
            <w:r>
              <w:rPr>
                <w:color w:val="FFFFFF" w:themeColor="background1"/>
              </w:rPr>
              <w:t>Środki Serwisowe na Używanie Usług</w:t>
            </w:r>
          </w:p>
        </w:tc>
      </w:tr>
      <w:tr w:rsidR="000F2B16" w:rsidRPr="00B44CF9" w14:paraId="03B83346" w14:textId="77777777" w:rsidTr="00277097">
        <w:tc>
          <w:tcPr>
            <w:tcW w:w="5400" w:type="dxa"/>
          </w:tcPr>
          <w:p w14:paraId="1CEB037A" w14:textId="77777777" w:rsidR="000F2B16" w:rsidRPr="00EF7CF9" w:rsidRDefault="000F2B16" w:rsidP="000F31B4">
            <w:pPr>
              <w:pStyle w:val="ProductList-OfferingBody"/>
              <w:jc w:val="center"/>
            </w:pPr>
            <w:r>
              <w:t>&lt; 99,9%</w:t>
            </w:r>
          </w:p>
        </w:tc>
        <w:tc>
          <w:tcPr>
            <w:tcW w:w="5400" w:type="dxa"/>
          </w:tcPr>
          <w:p w14:paraId="7EF12227" w14:textId="77777777" w:rsidR="000F2B16" w:rsidRPr="00EF7CF9" w:rsidRDefault="000F2B16" w:rsidP="000F31B4">
            <w:pPr>
              <w:pStyle w:val="ProductList-OfferingBody"/>
              <w:jc w:val="center"/>
            </w:pPr>
            <w:r>
              <w:t>10%</w:t>
            </w:r>
          </w:p>
        </w:tc>
      </w:tr>
      <w:tr w:rsidR="000F2B16" w:rsidRPr="00B44CF9" w14:paraId="5E479BC7" w14:textId="77777777" w:rsidTr="00277097">
        <w:tc>
          <w:tcPr>
            <w:tcW w:w="5400" w:type="dxa"/>
          </w:tcPr>
          <w:p w14:paraId="4C93B6B5" w14:textId="77777777" w:rsidR="000F2B16" w:rsidRPr="00EF7CF9" w:rsidRDefault="000F2B16" w:rsidP="000F31B4">
            <w:pPr>
              <w:pStyle w:val="ProductList-OfferingBody"/>
              <w:jc w:val="center"/>
            </w:pPr>
            <w:r>
              <w:t>&lt; 99%</w:t>
            </w:r>
          </w:p>
        </w:tc>
        <w:tc>
          <w:tcPr>
            <w:tcW w:w="5400" w:type="dxa"/>
          </w:tcPr>
          <w:p w14:paraId="59D51305" w14:textId="77777777" w:rsidR="000F2B16" w:rsidRPr="00EF7CF9" w:rsidRDefault="000F2B16" w:rsidP="000F31B4">
            <w:pPr>
              <w:pStyle w:val="ProductList-OfferingBody"/>
              <w:jc w:val="center"/>
            </w:pPr>
            <w:r>
              <w:t>25%</w:t>
            </w:r>
          </w:p>
        </w:tc>
      </w:tr>
    </w:tbl>
    <w:p w14:paraId="7C300FE2" w14:textId="481E8547" w:rsidR="000F2B16" w:rsidRPr="00EF7CF9" w:rsidRDefault="00C71F89"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DE16F70" w14:textId="0F6D7F3B" w:rsidR="000F2B16" w:rsidRPr="00EF7CF9" w:rsidRDefault="000F2B16" w:rsidP="000F2B16">
      <w:pPr>
        <w:pStyle w:val="ProductList-Offering2Heading"/>
        <w:tabs>
          <w:tab w:val="clear" w:pos="360"/>
          <w:tab w:val="clear" w:pos="720"/>
          <w:tab w:val="clear" w:pos="1080"/>
        </w:tabs>
        <w:outlineLvl w:val="2"/>
      </w:pPr>
      <w:bookmarkStart w:id="417" w:name="_Toc457821583"/>
      <w:bookmarkStart w:id="418" w:name="_Toc52348991"/>
      <w:bookmarkStart w:id="419" w:name="_Toc239175075"/>
      <w:r>
        <w:t>Azure Stream Analytics</w:t>
      </w:r>
      <w:bookmarkEnd w:id="417"/>
      <w:bookmarkEnd w:id="418"/>
      <w:bookmarkEnd w:id="419"/>
    </w:p>
    <w:p w14:paraId="7C7D2088" w14:textId="73851088" w:rsidR="000F2B16" w:rsidRPr="004D48F5" w:rsidRDefault="00EE6E3C" w:rsidP="000F2B16">
      <w:pPr>
        <w:pStyle w:val="ProductList-Body"/>
        <w:rPr>
          <w:b/>
          <w:color w:val="00188F"/>
        </w:rPr>
      </w:pPr>
      <w:r>
        <w:rPr>
          <w:b/>
          <w:color w:val="00188F"/>
        </w:rPr>
        <w:t>Obliczanie Czasu Sprawnego Działania dla wywołań interfejsu API w usłudze Stream Analytics</w:t>
      </w:r>
    </w:p>
    <w:p w14:paraId="6756038E" w14:textId="77777777" w:rsidR="000F2B16" w:rsidRPr="00EF7CF9" w:rsidRDefault="000F2B16" w:rsidP="000F2B16">
      <w:pPr>
        <w:pStyle w:val="ProductList-Body"/>
      </w:pPr>
      <w:r>
        <w:rPr>
          <w:b/>
          <w:color w:val="00188F"/>
        </w:rPr>
        <w:t>Dodatkowe definicje</w:t>
      </w:r>
      <w:r w:rsidRPr="0034704E">
        <w:rPr>
          <w:b/>
          <w:color w:val="00188F"/>
        </w:rPr>
        <w:t>:</w:t>
      </w:r>
    </w:p>
    <w:p w14:paraId="69D34C0E" w14:textId="4BE30BD5" w:rsidR="000F2B16" w:rsidRPr="00EF7CF9" w:rsidRDefault="000F2B16" w:rsidP="003A00AF">
      <w:pPr>
        <w:pStyle w:val="ProductList-Body"/>
      </w:pPr>
      <w:r>
        <w:t>„</w:t>
      </w:r>
      <w:r>
        <w:rPr>
          <w:b/>
          <w:color w:val="00188F"/>
        </w:rPr>
        <w:t>Łączna Liczba Prób Transakcji</w:t>
      </w:r>
      <w:r w:rsidR="00F96213">
        <w:t>”</w:t>
      </w:r>
      <w:r>
        <w:t xml:space="preserve"> to łączna liczba uwierzytelnionych żądań REST API ze strony Klienta dotyczących zarządzania zadaniami przesyłania strumieniowego w usłudze Stream Analytics we Właściwym Okresie dla danej subskrypcji Microsoft Azure. </w:t>
      </w:r>
    </w:p>
    <w:p w14:paraId="6A199D62" w14:textId="77777777" w:rsidR="000F2B16" w:rsidRPr="00EF7CF9" w:rsidRDefault="000F2B16" w:rsidP="003A00AF">
      <w:pPr>
        <w:pStyle w:val="ProductList-Body"/>
      </w:pPr>
      <w:r>
        <w:t>„</w:t>
      </w:r>
      <w:r>
        <w:rPr>
          <w:b/>
          <w:color w:val="00188F"/>
        </w:rPr>
        <w:t>Transakcje Zakończone Niepowodzeniem</w:t>
      </w:r>
      <w:r>
        <w:t>” to zbiór wszystkich żądań w ramach Łącznej Liczby Prób Transakcji, które zwracają Kod Błędu albo nie zwracają Kodu Sukcesu w ciągu pięciu minut od czasu otrzymania żądania przez Microsoft.</w:t>
      </w:r>
    </w:p>
    <w:p w14:paraId="73B7B2CF" w14:textId="467912F2" w:rsidR="000F2B16" w:rsidRPr="00EF7CF9" w:rsidRDefault="000F2B16" w:rsidP="000F2B16">
      <w:pPr>
        <w:pStyle w:val="ProductList-Body"/>
        <w:keepNext/>
      </w:pPr>
      <w:r>
        <w:t>„</w:t>
      </w:r>
      <w:r>
        <w:rPr>
          <w:b/>
          <w:color w:val="00188F"/>
        </w:rPr>
        <w:t>Procent Czasu Sprawnego Działania</w:t>
      </w:r>
      <w:r>
        <w:t xml:space="preserve">” dla wywołań interfejsu API w usłudze Stream Analytics oblicza się według poniższego wzoru: </w:t>
      </w:r>
    </w:p>
    <w:p w14:paraId="4635A583" w14:textId="1F6E4069" w:rsidR="000F2B16" w:rsidRPr="009E2B16" w:rsidRDefault="00073755" w:rsidP="00A116A6">
      <w:pPr>
        <w:spacing w:before="120" w:after="0" w:line="240" w:lineRule="auto"/>
        <w:rPr>
          <w:rFonts w:cs="Tahoma"/>
          <w:i/>
          <w:sz w:val="18"/>
          <w:szCs w:val="18"/>
        </w:rPr>
      </w:pPr>
      <m:oMathPara>
        <m:oMath>
          <m:r>
            <w:rPr>
              <w:rFonts w:ascii="Cambria Math" w:hAnsi="Cambria Math" w:cs="Tahoma"/>
              <w:sz w:val="18"/>
              <w:szCs w:val="18"/>
            </w:rPr>
            <m:t>P</m:t>
          </m:r>
          <m:r>
            <m:rPr>
              <m:nor/>
            </m:rPr>
            <w:rPr>
              <w:rFonts w:ascii="Cambria Math" w:hAnsi="Cambria Math" w:cs="Tahoma"/>
              <w:i/>
              <w:sz w:val="18"/>
              <w:szCs w:val="18"/>
            </w:rPr>
            <m:t xml:space="preserve">rocent Czasu Sprawnego Działania w Miesiącu = </m:t>
          </m:r>
          <m:f>
            <m:fPr>
              <m:ctrlPr>
                <w:rPr>
                  <w:rFonts w:ascii="Cambria Math" w:hAnsi="Cambria Math" w:cs="Tahoma"/>
                  <w:i/>
                  <w:sz w:val="18"/>
                  <w:szCs w:val="18"/>
                </w:rPr>
              </m:ctrlPr>
            </m:fPr>
            <m:num>
              <m:r>
                <m:rPr>
                  <m:nor/>
                </m:rPr>
                <w:rPr>
                  <w:rFonts w:ascii="Cambria Math" w:hAnsi="Cambria Math" w:cs="Tahoma"/>
                  <w:i/>
                  <w:sz w:val="18"/>
                  <w:szCs w:val="18"/>
                </w:rPr>
                <m:t>Łączna Liczba Prób Transakcji – Nieudane Transakcje</m:t>
              </m:r>
            </m:num>
            <m:den>
              <m:r>
                <m:rPr>
                  <m:nor/>
                </m:rPr>
                <w:rPr>
                  <w:rFonts w:ascii="Cambria Math" w:hAnsi="Cambria Math" w:cs="Tahoma"/>
                  <w:i/>
                  <w:sz w:val="18"/>
                  <w:szCs w:val="18"/>
                </w:rPr>
                <m:t>Łączna Liczba Prób Transakcji</m:t>
              </m:r>
            </m:den>
          </m:f>
        </m:oMath>
      </m:oMathPara>
    </w:p>
    <w:p w14:paraId="131B7726" w14:textId="77777777" w:rsidR="000F2B16" w:rsidRPr="00EF7CF9" w:rsidRDefault="000F2B16" w:rsidP="000F2B16">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0B716C0" w14:textId="77777777" w:rsidTr="00277097">
        <w:trPr>
          <w:tblHeader/>
        </w:trPr>
        <w:tc>
          <w:tcPr>
            <w:tcW w:w="5400" w:type="dxa"/>
            <w:shd w:val="clear" w:color="auto" w:fill="0072C6"/>
          </w:tcPr>
          <w:p w14:paraId="1FB69724" w14:textId="2DD8A1FC" w:rsidR="000F2B1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AD10B9B" w14:textId="77777777" w:rsidR="000F2B16" w:rsidRPr="00EF7CF9" w:rsidRDefault="000F2B16" w:rsidP="000F31B4">
            <w:pPr>
              <w:pStyle w:val="ProductList-OfferingBody"/>
              <w:jc w:val="center"/>
              <w:rPr>
                <w:color w:val="FFFFFF" w:themeColor="background1"/>
              </w:rPr>
            </w:pPr>
            <w:r>
              <w:rPr>
                <w:color w:val="FFFFFF" w:themeColor="background1"/>
              </w:rPr>
              <w:t>Środki Serwisowe na Używanie Usług</w:t>
            </w:r>
          </w:p>
        </w:tc>
      </w:tr>
      <w:tr w:rsidR="000F2B16" w:rsidRPr="00B44CF9" w14:paraId="0F576094" w14:textId="77777777" w:rsidTr="00277097">
        <w:tc>
          <w:tcPr>
            <w:tcW w:w="5400" w:type="dxa"/>
          </w:tcPr>
          <w:p w14:paraId="0AF06446" w14:textId="77777777" w:rsidR="000F2B16" w:rsidRPr="00EF7CF9" w:rsidRDefault="000F2B16" w:rsidP="000F31B4">
            <w:pPr>
              <w:pStyle w:val="ProductList-OfferingBody"/>
              <w:jc w:val="center"/>
            </w:pPr>
            <w:r>
              <w:t>&lt; 99,9%</w:t>
            </w:r>
          </w:p>
        </w:tc>
        <w:tc>
          <w:tcPr>
            <w:tcW w:w="5400" w:type="dxa"/>
          </w:tcPr>
          <w:p w14:paraId="43437E77" w14:textId="77777777" w:rsidR="000F2B16" w:rsidRPr="00EF7CF9" w:rsidRDefault="000F2B16" w:rsidP="000F31B4">
            <w:pPr>
              <w:pStyle w:val="ProductList-OfferingBody"/>
              <w:jc w:val="center"/>
            </w:pPr>
            <w:r>
              <w:t>10%</w:t>
            </w:r>
          </w:p>
        </w:tc>
      </w:tr>
      <w:tr w:rsidR="000F2B16" w:rsidRPr="00B44CF9" w14:paraId="4F03B08D" w14:textId="77777777" w:rsidTr="00277097">
        <w:tc>
          <w:tcPr>
            <w:tcW w:w="5400" w:type="dxa"/>
          </w:tcPr>
          <w:p w14:paraId="2620D88C" w14:textId="77777777" w:rsidR="000F2B16" w:rsidRPr="00EF7CF9" w:rsidRDefault="000F2B16" w:rsidP="000F31B4">
            <w:pPr>
              <w:pStyle w:val="ProductList-OfferingBody"/>
              <w:jc w:val="center"/>
            </w:pPr>
            <w:r>
              <w:t>&lt; 99%</w:t>
            </w:r>
          </w:p>
        </w:tc>
        <w:tc>
          <w:tcPr>
            <w:tcW w:w="5400" w:type="dxa"/>
          </w:tcPr>
          <w:p w14:paraId="552030F9" w14:textId="77777777" w:rsidR="000F2B16" w:rsidRPr="00EF7CF9" w:rsidRDefault="000F2B16" w:rsidP="000F31B4">
            <w:pPr>
              <w:pStyle w:val="ProductList-OfferingBody"/>
              <w:jc w:val="center"/>
            </w:pPr>
            <w:r>
              <w:t>25%</w:t>
            </w:r>
          </w:p>
        </w:tc>
      </w:tr>
    </w:tbl>
    <w:p w14:paraId="5B98E0DF" w14:textId="6ACB12BE" w:rsidR="000F2B16" w:rsidRPr="004D48F5" w:rsidRDefault="00EE6E3C" w:rsidP="009F2263">
      <w:pPr>
        <w:pStyle w:val="ProductList-Body"/>
        <w:spacing w:before="120"/>
        <w:rPr>
          <w:b/>
          <w:color w:val="00188F"/>
        </w:rPr>
      </w:pPr>
      <w:r>
        <w:rPr>
          <w:b/>
          <w:color w:val="00188F"/>
        </w:rPr>
        <w:t>Obliczanie Czasu Sprawnego Działania dla Zadań w usłudze Stream Analytics</w:t>
      </w:r>
    </w:p>
    <w:p w14:paraId="12F7A813" w14:textId="77777777" w:rsidR="000F2B16" w:rsidRPr="00EF7CF9" w:rsidRDefault="000F2B16" w:rsidP="003A00AF">
      <w:pPr>
        <w:pStyle w:val="ProductList-Body"/>
      </w:pPr>
      <w:r>
        <w:rPr>
          <w:b/>
          <w:color w:val="00188F"/>
        </w:rPr>
        <w:t>Dodatkowe definicje</w:t>
      </w:r>
      <w:r w:rsidRPr="0034704E">
        <w:rPr>
          <w:b/>
          <w:color w:val="00188F"/>
        </w:rPr>
        <w:t>:</w:t>
      </w:r>
    </w:p>
    <w:p w14:paraId="41F7AB4E" w14:textId="0B9AE6D5" w:rsidR="000F2B16" w:rsidRPr="00EF7CF9" w:rsidRDefault="000F2B16" w:rsidP="003A00AF">
      <w:pPr>
        <w:pStyle w:val="ProductList-Body"/>
        <w:tabs>
          <w:tab w:val="left" w:pos="0"/>
        </w:tabs>
        <w:jc w:val="both"/>
      </w:pPr>
      <w:r>
        <w:t>„</w:t>
      </w:r>
      <w:r>
        <w:rPr>
          <w:b/>
          <w:color w:val="00188F"/>
        </w:rPr>
        <w:t>Minuty Wdrożenia</w:t>
      </w:r>
      <w:r>
        <w:t>” to łączna liczba minut, przez które dane Zadanie zostało wdrożone w Usłudze Stream Analytics we Właściwym Okresie.</w:t>
      </w:r>
    </w:p>
    <w:p w14:paraId="5573B756" w14:textId="50962AC2" w:rsidR="000F2B16" w:rsidRPr="00EF7CF9" w:rsidRDefault="000F2B16" w:rsidP="003A00AF">
      <w:pPr>
        <w:pStyle w:val="ProductList-Body"/>
        <w:tabs>
          <w:tab w:val="left" w:pos="0"/>
        </w:tabs>
      </w:pPr>
      <w:r>
        <w:t>„</w:t>
      </w:r>
      <w:r>
        <w:rPr>
          <w:b/>
          <w:color w:val="00188F"/>
        </w:rPr>
        <w:t>Maksymalna Liczba Dostępnych Minut</w:t>
      </w:r>
      <w:r>
        <w:t>” to suma wszystkich Minut Wdrożenia dla wszystkich Zadań wdrożonych przez Klienta w ramach danej subskrypcji Microsoft Azure we Właściwym Okresie.</w:t>
      </w:r>
    </w:p>
    <w:p w14:paraId="534D3C93" w14:textId="77777777" w:rsidR="000F2B16" w:rsidRPr="00EF7CF9" w:rsidRDefault="000F2B16" w:rsidP="003A00AF">
      <w:pPr>
        <w:pStyle w:val="ProductList-Body"/>
        <w:tabs>
          <w:tab w:val="left" w:pos="0"/>
        </w:tabs>
        <w:jc w:val="both"/>
      </w:pPr>
      <w:r>
        <w:rPr>
          <w:b/>
          <w:color w:val="00188F"/>
        </w:rPr>
        <w:t>Przestój</w:t>
      </w:r>
      <w:r>
        <w:t xml:space="preserve"> to łączna liczba Minut Wdrożenia dla wszystkich Zadań wdrożonych przez Klienta w ramach określonej subskrypcji Microsoft Azure, w czasie których Zadanie jest niedostępne. Minuta jest uznawana za minutę niedostępności dla wdrożonego zadania, jeśli zadanie nie przetwarza danych i nie jest dostępne dla procesu przetwarzania danych przez jedną minutę.</w:t>
      </w:r>
    </w:p>
    <w:p w14:paraId="5519C78A" w14:textId="3EC930AE" w:rsidR="000F2B16" w:rsidRPr="00EF7CF9" w:rsidRDefault="00AC48A7" w:rsidP="000F2B16">
      <w:pPr>
        <w:pStyle w:val="ProductList-Body"/>
        <w:keepNext/>
        <w:tabs>
          <w:tab w:val="left" w:pos="0"/>
        </w:tabs>
        <w:jc w:val="both"/>
      </w:pPr>
      <w:r>
        <w:t>„</w:t>
      </w:r>
      <w:r>
        <w:rPr>
          <w:b/>
          <w:color w:val="00188F"/>
        </w:rPr>
        <w:t>Procent Czasu Sprawnego Działania</w:t>
      </w:r>
      <w:r w:rsidR="00D011AB" w:rsidRPr="00D011AB">
        <w:t>”</w:t>
      </w:r>
      <w:r>
        <w:t xml:space="preserve"> dla Zadań w Usłudze Stream Analytics oblicza się według poniższego wzoru:</w:t>
      </w:r>
    </w:p>
    <w:p w14:paraId="45B1882D" w14:textId="5C0638AD" w:rsidR="000F2B16" w:rsidRPr="00EF7CF9" w:rsidRDefault="00000000" w:rsidP="002E4EE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6C204FB" w14:textId="77777777" w:rsidR="000F2B16" w:rsidRPr="00EF7CF9" w:rsidRDefault="000F2B16" w:rsidP="000F2B16">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F2B16" w:rsidRPr="00B44CF9" w14:paraId="02C0C985" w14:textId="77777777" w:rsidTr="00277097">
        <w:trPr>
          <w:tblHeader/>
        </w:trPr>
        <w:tc>
          <w:tcPr>
            <w:tcW w:w="5400" w:type="dxa"/>
            <w:shd w:val="clear" w:color="auto" w:fill="0072C6"/>
          </w:tcPr>
          <w:p w14:paraId="1C45FAD6" w14:textId="298CDEE3" w:rsidR="000F2B16"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3B49B90" w14:textId="77777777" w:rsidR="000F2B16" w:rsidRPr="00EF7CF9" w:rsidRDefault="000F2B16" w:rsidP="000F31B4">
            <w:pPr>
              <w:pStyle w:val="ProductList-OfferingBody"/>
              <w:jc w:val="center"/>
              <w:rPr>
                <w:color w:val="FFFFFF" w:themeColor="background1"/>
              </w:rPr>
            </w:pPr>
            <w:r>
              <w:rPr>
                <w:color w:val="FFFFFF" w:themeColor="background1"/>
              </w:rPr>
              <w:t>Środki Serwisowe na Używanie Usług</w:t>
            </w:r>
          </w:p>
        </w:tc>
      </w:tr>
      <w:tr w:rsidR="000F2B16" w:rsidRPr="00B44CF9" w14:paraId="530C2DD2" w14:textId="77777777" w:rsidTr="00277097">
        <w:tc>
          <w:tcPr>
            <w:tcW w:w="5400" w:type="dxa"/>
          </w:tcPr>
          <w:p w14:paraId="38FF9D80" w14:textId="77777777" w:rsidR="000F2B16" w:rsidRPr="00EF7CF9" w:rsidRDefault="000F2B16" w:rsidP="000F31B4">
            <w:pPr>
              <w:pStyle w:val="ProductList-OfferingBody"/>
              <w:jc w:val="center"/>
            </w:pPr>
            <w:r>
              <w:t>&lt; 99,9%</w:t>
            </w:r>
          </w:p>
        </w:tc>
        <w:tc>
          <w:tcPr>
            <w:tcW w:w="5400" w:type="dxa"/>
          </w:tcPr>
          <w:p w14:paraId="414A1B75" w14:textId="77777777" w:rsidR="000F2B16" w:rsidRPr="00EF7CF9" w:rsidRDefault="000F2B16" w:rsidP="000F31B4">
            <w:pPr>
              <w:pStyle w:val="ProductList-OfferingBody"/>
              <w:jc w:val="center"/>
            </w:pPr>
            <w:r>
              <w:t>10%</w:t>
            </w:r>
          </w:p>
        </w:tc>
      </w:tr>
      <w:tr w:rsidR="000F2B16" w:rsidRPr="00B44CF9" w14:paraId="2C7C38CA" w14:textId="77777777" w:rsidTr="00277097">
        <w:tc>
          <w:tcPr>
            <w:tcW w:w="5400" w:type="dxa"/>
          </w:tcPr>
          <w:p w14:paraId="1546B4B9" w14:textId="77777777" w:rsidR="000F2B16" w:rsidRPr="00EF7CF9" w:rsidRDefault="000F2B16" w:rsidP="000F31B4">
            <w:pPr>
              <w:pStyle w:val="ProductList-OfferingBody"/>
              <w:jc w:val="center"/>
            </w:pPr>
            <w:r>
              <w:t>&lt; 99%</w:t>
            </w:r>
          </w:p>
        </w:tc>
        <w:tc>
          <w:tcPr>
            <w:tcW w:w="5400" w:type="dxa"/>
          </w:tcPr>
          <w:p w14:paraId="548FD21B" w14:textId="77777777" w:rsidR="000F2B16" w:rsidRPr="00EF7CF9" w:rsidRDefault="000F2B16" w:rsidP="000F31B4">
            <w:pPr>
              <w:pStyle w:val="ProductList-OfferingBody"/>
              <w:jc w:val="center"/>
            </w:pPr>
            <w:r>
              <w:t>25%</w:t>
            </w:r>
          </w:p>
        </w:tc>
      </w:tr>
    </w:tbl>
    <w:p w14:paraId="349B7533" w14:textId="40F04476" w:rsidR="000F2B16" w:rsidRPr="00EF7CF9" w:rsidRDefault="00C71F89" w:rsidP="000F2B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16DF67F" w14:textId="45BD8786" w:rsidR="00532997" w:rsidRPr="00EF7CF9" w:rsidRDefault="00532997" w:rsidP="007F1B6A">
      <w:pPr>
        <w:pStyle w:val="ProductList-Offering2Heading"/>
        <w:tabs>
          <w:tab w:val="clear" w:pos="360"/>
          <w:tab w:val="clear" w:pos="720"/>
          <w:tab w:val="clear" w:pos="1080"/>
        </w:tabs>
        <w:outlineLvl w:val="2"/>
      </w:pPr>
      <w:bookmarkStart w:id="420" w:name="_Toc239175076"/>
      <w:bookmarkStart w:id="421" w:name="SQLDatabaseService_BasicStandardPremium"/>
      <w:bookmarkStart w:id="422" w:name="_Toc412532210"/>
      <w:r>
        <w:t>Azure Synapse Analytics</w:t>
      </w:r>
      <w:bookmarkEnd w:id="420"/>
    </w:p>
    <w:p w14:paraId="22966524" w14:textId="77777777" w:rsidR="00532997" w:rsidRPr="00EF7CF9" w:rsidRDefault="00532997" w:rsidP="00532997">
      <w:pPr>
        <w:pStyle w:val="ProductList-Body"/>
      </w:pPr>
      <w:r>
        <w:rPr>
          <w:b/>
          <w:color w:val="00188F"/>
        </w:rPr>
        <w:t>Dodatkowe definicje</w:t>
      </w:r>
      <w:r w:rsidRPr="0034704E">
        <w:rPr>
          <w:b/>
          <w:color w:val="00188F"/>
        </w:rPr>
        <w:t>:</w:t>
      </w:r>
    </w:p>
    <w:p w14:paraId="7EB2EB6B" w14:textId="77777777" w:rsidR="00532997" w:rsidRPr="00ED4527" w:rsidRDefault="00532997" w:rsidP="00A116A6">
      <w:pPr>
        <w:pStyle w:val="ProductList-Body"/>
        <w:rPr>
          <w:b/>
          <w:bCs/>
          <w:color w:val="00188F"/>
        </w:rPr>
      </w:pPr>
      <w:r>
        <w:rPr>
          <w:b/>
          <w:bCs/>
          <w:color w:val="00188F"/>
        </w:rPr>
        <w:t>Synapse SQL</w:t>
      </w:r>
    </w:p>
    <w:p w14:paraId="30FE63CE" w14:textId="77777777" w:rsidR="00532997" w:rsidRPr="00ED4527" w:rsidRDefault="00532997" w:rsidP="00A116A6">
      <w:pPr>
        <w:pStyle w:val="ProductList-Body"/>
        <w:rPr>
          <w:color w:val="000000" w:themeColor="text1"/>
        </w:rPr>
      </w:pPr>
      <w:r>
        <w:rPr>
          <w:color w:val="000000" w:themeColor="text1"/>
        </w:rPr>
        <w:t>„</w:t>
      </w:r>
      <w:r>
        <w:rPr>
          <w:b/>
          <w:bCs/>
          <w:color w:val="00188F"/>
        </w:rPr>
        <w:t>Baza Danych</w:t>
      </w:r>
      <w:r>
        <w:rPr>
          <w:color w:val="000000" w:themeColor="text1"/>
        </w:rPr>
        <w:t>” to dowolna baza danych Synapse SQL.</w:t>
      </w:r>
    </w:p>
    <w:p w14:paraId="2A479A19" w14:textId="1858767F" w:rsidR="00532997" w:rsidRPr="00ED4527" w:rsidRDefault="00532997" w:rsidP="00A116A6">
      <w:pPr>
        <w:pStyle w:val="ProductList-Body"/>
        <w:rPr>
          <w:color w:val="000000" w:themeColor="text1"/>
        </w:rPr>
      </w:pPr>
      <w:r>
        <w:rPr>
          <w:color w:val="000000" w:themeColor="text1"/>
        </w:rPr>
        <w:t>„</w:t>
      </w:r>
      <w:r>
        <w:rPr>
          <w:b/>
          <w:bCs/>
          <w:color w:val="00188F"/>
        </w:rPr>
        <w:t>Maksymalna Liczba Dostępnych Minut</w:t>
      </w:r>
      <w:r w:rsidR="00D011AB">
        <w:rPr>
          <w:color w:val="000000" w:themeColor="text1"/>
        </w:rPr>
        <w:t>”</w:t>
      </w:r>
      <w:r>
        <w:rPr>
          <w:color w:val="000000" w:themeColor="text1"/>
        </w:rPr>
        <w:t xml:space="preserve"> to łączna liczba minut, przez którą dana Baza Danych została wdrożona na platformie Microsoft Azure we Właściwym Okresie w ramach danej subskrypcji Microsoft Azure.</w:t>
      </w:r>
    </w:p>
    <w:p w14:paraId="17EF76C5" w14:textId="77777777" w:rsidR="00532997" w:rsidRPr="00ED4527" w:rsidRDefault="00532997" w:rsidP="00A116A6">
      <w:pPr>
        <w:pStyle w:val="ProductList-Body"/>
        <w:rPr>
          <w:color w:val="000000" w:themeColor="text1"/>
        </w:rPr>
      </w:pPr>
      <w:r>
        <w:rPr>
          <w:color w:val="000000" w:themeColor="text1"/>
        </w:rPr>
        <w:t>„</w:t>
      </w:r>
      <w:r>
        <w:rPr>
          <w:b/>
          <w:bCs/>
          <w:color w:val="00188F"/>
        </w:rPr>
        <w:t>Operacje Klienta</w:t>
      </w:r>
      <w:r>
        <w:rPr>
          <w:color w:val="000000" w:themeColor="text1"/>
        </w:rPr>
        <w:t>” to zbiór wszystkich udokumentowanych operacji obsługiwanych przez usługi Azure Synapse Analytics.</w:t>
      </w:r>
    </w:p>
    <w:p w14:paraId="58AC1432" w14:textId="256FE6FD" w:rsidR="00532997" w:rsidRPr="00ED4527" w:rsidRDefault="00532997" w:rsidP="00A116A6">
      <w:pPr>
        <w:pStyle w:val="ProductList-Body"/>
        <w:rPr>
          <w:color w:val="000000" w:themeColor="text1"/>
        </w:rPr>
      </w:pPr>
      <w:r>
        <w:rPr>
          <w:color w:val="000000" w:themeColor="text1"/>
        </w:rPr>
        <w:t>„</w:t>
      </w:r>
      <w:r>
        <w:rPr>
          <w:b/>
          <w:bCs/>
          <w:color w:val="00188F"/>
        </w:rPr>
        <w:t>Przestój</w:t>
      </w:r>
      <w:r w:rsidR="00D011AB">
        <w:rPr>
          <w:color w:val="000000" w:themeColor="text1"/>
        </w:rPr>
        <w:t>”</w:t>
      </w:r>
      <w:r>
        <w:rPr>
          <w:color w:val="000000" w:themeColor="text1"/>
        </w:rPr>
        <w:t xml:space="preserve"> to łączna zakumulowana liczba minut we Właściwym Okresie dla danej subskrypcji Microsoft Azure, podczas których dana Baza Danych jest niedostępna. Minuta jest uznawana za minutę niedostępności dla danej Bazy Danych, jeśli ponad 1% wszystkich Operacji Klienta zakończonych w ciągu tej minuty zwraca Kod Błędu.</w:t>
      </w:r>
    </w:p>
    <w:p w14:paraId="5C8F9795" w14:textId="64C0C4B2" w:rsidR="00532997" w:rsidRDefault="00532997" w:rsidP="00A116A6">
      <w:pPr>
        <w:pStyle w:val="ProductList-Body"/>
        <w:rPr>
          <w:color w:val="000000" w:themeColor="text1"/>
        </w:rPr>
      </w:pPr>
      <w:r>
        <w:t>„</w:t>
      </w:r>
      <w:r>
        <w:rPr>
          <w:b/>
          <w:bCs/>
          <w:color w:val="00188F"/>
        </w:rPr>
        <w:t>Obliczanie Czasu Sprawnego Działania</w:t>
      </w:r>
      <w:r>
        <w:rPr>
          <w:color w:val="000000" w:themeColor="text1"/>
        </w:rPr>
        <w:t>” dla danej Bazy Danych to Maksymalna Liczba Dostępnych Minut pomniejszona o Przestój podzielona przez Maksymalną Liczbę Dostępnych Minut we Właściwym Okresie dla danej subskrypcji Azure.</w:t>
      </w:r>
    </w:p>
    <w:p w14:paraId="0BB70BAB" w14:textId="18E2869A" w:rsidR="00532997" w:rsidRPr="00EF7CF9" w:rsidRDefault="00AC48A7" w:rsidP="00532997">
      <w:pPr>
        <w:pStyle w:val="ProductList-Body"/>
      </w:pPr>
      <w:r>
        <w:rPr>
          <w:color w:val="000000" w:themeColor="text1"/>
        </w:rPr>
        <w:t>Procent Czasu Sprawnego Działania przedstawia się za pomocą następującego wzoru:</w:t>
      </w:r>
    </w:p>
    <w:p w14:paraId="08475F1D" w14:textId="75B93490" w:rsidR="00532997" w:rsidRPr="00EF7CF9" w:rsidRDefault="00000000" w:rsidP="002E4EE1">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51893A8" w14:textId="77777777" w:rsidR="00532997" w:rsidRPr="00EF7CF9" w:rsidRDefault="00532997" w:rsidP="00532997">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5F56CB3B" w14:textId="77777777" w:rsidTr="00277097">
        <w:trPr>
          <w:tblHeader/>
        </w:trPr>
        <w:tc>
          <w:tcPr>
            <w:tcW w:w="5400" w:type="dxa"/>
            <w:shd w:val="clear" w:color="auto" w:fill="0072C6"/>
          </w:tcPr>
          <w:p w14:paraId="0AE56FBF" w14:textId="45527FB0" w:rsidR="00532997"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EFCB274" w14:textId="77777777" w:rsidR="00532997" w:rsidRPr="00EF7CF9" w:rsidRDefault="00532997" w:rsidP="000F31B4">
            <w:pPr>
              <w:pStyle w:val="ProductList-OfferingBody"/>
              <w:jc w:val="center"/>
              <w:rPr>
                <w:color w:val="FFFFFF" w:themeColor="background1"/>
              </w:rPr>
            </w:pPr>
            <w:r>
              <w:rPr>
                <w:color w:val="FFFFFF" w:themeColor="background1"/>
              </w:rPr>
              <w:t>Środki Serwisowe na Używanie Usług</w:t>
            </w:r>
          </w:p>
        </w:tc>
      </w:tr>
      <w:tr w:rsidR="00532997" w:rsidRPr="00B44CF9" w14:paraId="4F00F91D" w14:textId="77777777" w:rsidTr="00277097">
        <w:tc>
          <w:tcPr>
            <w:tcW w:w="5400" w:type="dxa"/>
          </w:tcPr>
          <w:p w14:paraId="1FBF6E07" w14:textId="77777777" w:rsidR="00532997" w:rsidRPr="00EF7CF9" w:rsidRDefault="00532997" w:rsidP="000F31B4">
            <w:pPr>
              <w:pStyle w:val="ProductList-OfferingBody"/>
              <w:jc w:val="center"/>
            </w:pPr>
            <w:r>
              <w:t>&lt; 99,9%</w:t>
            </w:r>
          </w:p>
        </w:tc>
        <w:tc>
          <w:tcPr>
            <w:tcW w:w="5400" w:type="dxa"/>
          </w:tcPr>
          <w:p w14:paraId="0DECC2FC" w14:textId="77777777" w:rsidR="00532997" w:rsidRPr="00EF7CF9" w:rsidRDefault="00532997" w:rsidP="000F31B4">
            <w:pPr>
              <w:pStyle w:val="ProductList-OfferingBody"/>
              <w:jc w:val="center"/>
            </w:pPr>
            <w:r>
              <w:t>10%</w:t>
            </w:r>
          </w:p>
        </w:tc>
      </w:tr>
      <w:tr w:rsidR="00532997" w:rsidRPr="00B44CF9" w14:paraId="71A276B0" w14:textId="77777777" w:rsidTr="00277097">
        <w:tc>
          <w:tcPr>
            <w:tcW w:w="5400" w:type="dxa"/>
          </w:tcPr>
          <w:p w14:paraId="7361B6E2" w14:textId="77777777" w:rsidR="00532997" w:rsidRPr="00EF7CF9" w:rsidRDefault="00532997" w:rsidP="000F31B4">
            <w:pPr>
              <w:pStyle w:val="ProductList-OfferingBody"/>
              <w:jc w:val="center"/>
            </w:pPr>
            <w:r>
              <w:t>&lt; 99%</w:t>
            </w:r>
          </w:p>
        </w:tc>
        <w:tc>
          <w:tcPr>
            <w:tcW w:w="5400" w:type="dxa"/>
          </w:tcPr>
          <w:p w14:paraId="06B1E4C8" w14:textId="77777777" w:rsidR="00532997" w:rsidRPr="00EF7CF9" w:rsidRDefault="00532997" w:rsidP="000F31B4">
            <w:pPr>
              <w:pStyle w:val="ProductList-OfferingBody"/>
              <w:jc w:val="center"/>
            </w:pPr>
            <w:r>
              <w:t>25%</w:t>
            </w:r>
          </w:p>
        </w:tc>
      </w:tr>
    </w:tbl>
    <w:p w14:paraId="00B03A53" w14:textId="77777777" w:rsidR="00532997" w:rsidRPr="00ED4527" w:rsidRDefault="00532997" w:rsidP="009F2263">
      <w:pPr>
        <w:pStyle w:val="ProductList-Body"/>
        <w:spacing w:before="120"/>
        <w:rPr>
          <w:b/>
          <w:bCs/>
          <w:color w:val="00188F"/>
        </w:rPr>
      </w:pPr>
      <w:bookmarkStart w:id="423" w:name="_Toc457821578"/>
      <w:r>
        <w:rPr>
          <w:b/>
          <w:bCs/>
          <w:color w:val="00188F"/>
        </w:rPr>
        <w:t>Usługa Data Integration w ramach Azure Synapse</w:t>
      </w:r>
    </w:p>
    <w:p w14:paraId="03BA2359" w14:textId="77777777" w:rsidR="00532997" w:rsidRPr="00ED4527" w:rsidRDefault="00532997" w:rsidP="00532997">
      <w:pPr>
        <w:pStyle w:val="ProductList-Body"/>
        <w:rPr>
          <w:color w:val="000000" w:themeColor="text1"/>
        </w:rPr>
      </w:pPr>
      <w:r>
        <w:rPr>
          <w:color w:val="000000" w:themeColor="text1"/>
        </w:rPr>
        <w:t>„</w:t>
      </w:r>
      <w:r>
        <w:rPr>
          <w:b/>
          <w:bCs/>
          <w:color w:val="00188F"/>
        </w:rPr>
        <w:t>Zasoby Usługi Data Integration</w:t>
      </w:r>
      <w:r>
        <w:rPr>
          <w:color w:val="000000" w:themeColor="text1"/>
        </w:rPr>
        <w:t>” to środowiska Integration Runtime, w tym środowiska Azure, SSIS i samodzielnie hostowane środowiska Integration Runtime, wyzwalacze, potoki, zestawy danych oraz powiązane usługi utworzone w ramach przestrzeni roboczej Azure Synapse.</w:t>
      </w:r>
    </w:p>
    <w:p w14:paraId="16EAD2B8" w14:textId="77777777" w:rsidR="00532997" w:rsidRPr="00ED4527" w:rsidRDefault="00532997" w:rsidP="00532997">
      <w:pPr>
        <w:pStyle w:val="ProductList-Body"/>
        <w:rPr>
          <w:color w:val="000000" w:themeColor="text1"/>
        </w:rPr>
      </w:pPr>
      <w:r>
        <w:rPr>
          <w:color w:val="000000" w:themeColor="text1"/>
        </w:rPr>
        <w:t>„</w:t>
      </w:r>
      <w:r>
        <w:rPr>
          <w:b/>
          <w:bCs/>
          <w:color w:val="00188F"/>
        </w:rPr>
        <w:t>Uruchamiane Działanie</w:t>
      </w:r>
      <w:r>
        <w:rPr>
          <w:color w:val="000000" w:themeColor="text1"/>
        </w:rPr>
        <w:t>” to wykonanie albo próba wykonania działania.</w:t>
      </w:r>
    </w:p>
    <w:p w14:paraId="49A2A375" w14:textId="5F8625B1" w:rsidR="00532997" w:rsidRPr="00ED4527" w:rsidRDefault="00EE6E3C" w:rsidP="00532997">
      <w:pPr>
        <w:pStyle w:val="ProductList-Body"/>
        <w:spacing w:before="120"/>
        <w:rPr>
          <w:b/>
          <w:bCs/>
          <w:color w:val="00188F"/>
        </w:rPr>
      </w:pPr>
      <w:r>
        <w:rPr>
          <w:b/>
          <w:bCs/>
          <w:color w:val="00188F"/>
        </w:rPr>
        <w:t>Obliczanie Czasu Sprawnego Działania dla Wywołań Interfejsu API usługi Data Integration</w:t>
      </w:r>
    </w:p>
    <w:p w14:paraId="7F65AC6D" w14:textId="3860D27D" w:rsidR="00532997" w:rsidRPr="00ED4527" w:rsidRDefault="00532997" w:rsidP="00532997">
      <w:pPr>
        <w:pStyle w:val="ProductList-Body"/>
        <w:rPr>
          <w:color w:val="000000" w:themeColor="text1"/>
        </w:rPr>
      </w:pPr>
      <w:r>
        <w:rPr>
          <w:color w:val="000000" w:themeColor="text1"/>
        </w:rPr>
        <w:t>„</w:t>
      </w:r>
      <w:r>
        <w:rPr>
          <w:b/>
          <w:bCs/>
          <w:color w:val="00188F"/>
        </w:rPr>
        <w:t>Łączna Liczba Żądań</w:t>
      </w:r>
      <w:r>
        <w:rPr>
          <w:color w:val="000000" w:themeColor="text1"/>
        </w:rPr>
        <w:t>” to zbiór wszystkich żądań (innych niż Żądania Nieuwzględnione) służących do wykonania operacji w Zasobach Data Integration Resources we Właściwym Okresie dla danej subskrypcji Microsoft Azure.</w:t>
      </w:r>
    </w:p>
    <w:p w14:paraId="7A94DDB6" w14:textId="77777777" w:rsidR="00532997" w:rsidRPr="00ED4527" w:rsidRDefault="00532997" w:rsidP="00532997">
      <w:pPr>
        <w:pStyle w:val="ProductList-Body"/>
        <w:rPr>
          <w:color w:val="000000" w:themeColor="text1"/>
        </w:rPr>
      </w:pPr>
      <w:r>
        <w:rPr>
          <w:color w:val="000000" w:themeColor="text1"/>
        </w:rPr>
        <w:t>„</w:t>
      </w:r>
      <w:r>
        <w:rPr>
          <w:b/>
          <w:bCs/>
          <w:color w:val="00188F"/>
        </w:rPr>
        <w:t>Żądania Nieuwzględnione</w:t>
      </w:r>
      <w:r>
        <w:rPr>
          <w:color w:val="000000" w:themeColor="text1"/>
        </w:rPr>
        <w:t>” to zbiór żądań, które skutkują zwróceniem kodu stanu HTTP o numerze 4xx, innym niż kod stanu HTTP 408.</w:t>
      </w:r>
    </w:p>
    <w:p w14:paraId="3C0A82BB" w14:textId="77777777" w:rsidR="00532997" w:rsidRPr="00ED4527" w:rsidRDefault="00532997" w:rsidP="00532997">
      <w:pPr>
        <w:pStyle w:val="ProductList-Body"/>
        <w:rPr>
          <w:color w:val="000000" w:themeColor="text1"/>
        </w:rPr>
      </w:pPr>
      <w:r>
        <w:rPr>
          <w:color w:val="000000" w:themeColor="text1"/>
        </w:rPr>
        <w:t>„</w:t>
      </w:r>
      <w:r>
        <w:rPr>
          <w:b/>
          <w:bCs/>
          <w:color w:val="00188F"/>
        </w:rPr>
        <w:t>Żądania Zakończone Niepowodzeniem</w:t>
      </w:r>
      <w:r>
        <w:rPr>
          <w:color w:val="000000" w:themeColor="text1"/>
        </w:rPr>
        <w:t>” to zbiór wszystkich żądań w ramach Łącznej Liczby Żądań, które zwracają Kod Błędu albo kod stanu HTTP o numerze 408 albo w inny sposób nie zwracają Kodu Sukcesu w ciągu dwóch minut.</w:t>
      </w:r>
    </w:p>
    <w:p w14:paraId="7A462442" w14:textId="23767CC2" w:rsidR="00532997" w:rsidRDefault="00532997" w:rsidP="00532997">
      <w:pPr>
        <w:pStyle w:val="ProductList-Body"/>
        <w:tabs>
          <w:tab w:val="clear" w:pos="360"/>
          <w:tab w:val="clear" w:pos="720"/>
          <w:tab w:val="clear" w:pos="1080"/>
        </w:tabs>
        <w:rPr>
          <w:color w:val="000000" w:themeColor="text1"/>
        </w:rPr>
      </w:pPr>
      <w:r>
        <w:rPr>
          <w:color w:val="000000" w:themeColor="text1"/>
        </w:rPr>
        <w:t>„</w:t>
      </w:r>
      <w:r>
        <w:rPr>
          <w:b/>
          <w:bCs/>
          <w:color w:val="00188F"/>
        </w:rPr>
        <w:t>Procent Czasu Sprawnego Działania</w:t>
      </w:r>
      <w:r w:rsidR="00D011AB">
        <w:rPr>
          <w:color w:val="000000" w:themeColor="text1"/>
        </w:rPr>
        <w:t>”</w:t>
      </w:r>
      <w:r>
        <w:rPr>
          <w:color w:val="000000" w:themeColor="text1"/>
        </w:rPr>
        <w:t xml:space="preserve"> dla wywołań interfejsu API w ramach Zasobu Data Integration Resources to Łączna Liczba Żądań pomniejszona o Żądania Zakończone Niepowodzeniem i podzielona przez Łączną Liczbę Żądań we Właściwym Okresie dla danej subskrypcji Microsoft Azure. </w:t>
      </w:r>
    </w:p>
    <w:p w14:paraId="6FEA007E" w14:textId="5F7F1507" w:rsidR="00532997" w:rsidRPr="00ED4527" w:rsidRDefault="00AC48A7" w:rsidP="00532997">
      <w:pPr>
        <w:pStyle w:val="ProductList-Body"/>
        <w:tabs>
          <w:tab w:val="clear" w:pos="360"/>
          <w:tab w:val="clear" w:pos="720"/>
          <w:tab w:val="clear" w:pos="1080"/>
        </w:tabs>
        <w:rPr>
          <w:color w:val="000000" w:themeColor="text1"/>
        </w:rPr>
      </w:pPr>
      <w:r>
        <w:rPr>
          <w:color w:val="000000" w:themeColor="text1"/>
        </w:rPr>
        <w:t>Procent Czasu Sprawnego Działania przedstawia się za pomocą następującego wzoru:</w:t>
      </w:r>
    </w:p>
    <w:p w14:paraId="51A208AC" w14:textId="5B18835A" w:rsidR="00532997" w:rsidRPr="00EF7CF9" w:rsidRDefault="00000000" w:rsidP="00B14F37">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Tahoma"/>
                  <w:i/>
                  <w:sz w:val="18"/>
                  <w:szCs w:val="18"/>
                </w:rPr>
              </m:ctrlPr>
            </m:fPr>
            <m:num>
              <m:r>
                <m:rPr>
                  <m:nor/>
                </m:rPr>
                <w:rPr>
                  <w:rFonts w:ascii="Cambria Math" w:hAnsi="Cambria Math" w:cs="Tahoma"/>
                  <w:i/>
                  <w:sz w:val="18"/>
                  <w:szCs w:val="18"/>
                </w:rPr>
                <m:t>Łączna Liczba Żądań - Żądania Zakończone Niepowodzeniem</m:t>
              </m:r>
            </m:num>
            <m:den>
              <m:r>
                <m:rPr>
                  <m:nor/>
                </m:rPr>
                <w:rPr>
                  <w:rFonts w:ascii="Cambria Math" w:hAnsi="Cambria Math" w:cs="Tahoma"/>
                  <w:i/>
                  <w:sz w:val="18"/>
                  <w:szCs w:val="18"/>
                </w:rPr>
                <m:t>Łączna Liczba Żądań</m:t>
              </m:r>
            </m:den>
          </m:f>
          <m:r>
            <w:rPr>
              <w:rFonts w:ascii="Cambria Math" w:hAnsi="Cambria Math" w:cs="Tahoma"/>
              <w:sz w:val="18"/>
              <w:szCs w:val="18"/>
            </w:rPr>
            <m:t xml:space="preserve"> </m:t>
          </m:r>
          <m:r>
            <w:rPr>
              <w:rFonts w:ascii="Cambria Math" w:hAnsi="Cambria Math" w:cs="Calibri"/>
              <w:sz w:val="18"/>
              <w:szCs w:val="18"/>
            </w:rPr>
            <m:t>x</m:t>
          </m:r>
          <m:r>
            <w:rPr>
              <w:rFonts w:ascii="Cambria Math" w:hAnsi="Cambria Math" w:cs="Tahoma"/>
              <w:sz w:val="18"/>
              <w:szCs w:val="18"/>
            </w:rPr>
            <m:t xml:space="preserve"> 100</m:t>
          </m:r>
        </m:oMath>
      </m:oMathPara>
    </w:p>
    <w:p w14:paraId="50337EBB" w14:textId="77777777" w:rsidR="00532997" w:rsidRPr="00EF7CF9" w:rsidRDefault="00532997" w:rsidP="00532997">
      <w:pPr>
        <w:pStyle w:val="ProductList-Body"/>
      </w:pPr>
      <w:r>
        <w:rPr>
          <w:b/>
          <w:color w:val="00188F"/>
        </w:rPr>
        <w:t>Do używania przez Klienta wywołań interfejsu API usługi Data Integration w obszarze roboczym Synapse mają zastosowanie następujące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43F0A344" w14:textId="77777777" w:rsidTr="00277097">
        <w:trPr>
          <w:tblHeader/>
        </w:trPr>
        <w:tc>
          <w:tcPr>
            <w:tcW w:w="5400" w:type="dxa"/>
            <w:shd w:val="clear" w:color="auto" w:fill="0072C6"/>
          </w:tcPr>
          <w:p w14:paraId="6291BA60" w14:textId="29568D9A" w:rsidR="00532997"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BA7EB0A" w14:textId="77777777" w:rsidR="00532997" w:rsidRPr="00EF7CF9" w:rsidRDefault="00532997" w:rsidP="000F31B4">
            <w:pPr>
              <w:pStyle w:val="ProductList-OfferingBody"/>
              <w:jc w:val="center"/>
              <w:rPr>
                <w:color w:val="FFFFFF" w:themeColor="background1"/>
              </w:rPr>
            </w:pPr>
            <w:r>
              <w:rPr>
                <w:color w:val="FFFFFF" w:themeColor="background1"/>
              </w:rPr>
              <w:t>Środki Serwisowe na Używanie Usług</w:t>
            </w:r>
          </w:p>
        </w:tc>
      </w:tr>
      <w:tr w:rsidR="00532997" w:rsidRPr="00B44CF9" w14:paraId="4C5DB495" w14:textId="77777777" w:rsidTr="00277097">
        <w:tc>
          <w:tcPr>
            <w:tcW w:w="5400" w:type="dxa"/>
          </w:tcPr>
          <w:p w14:paraId="01B4503B" w14:textId="77777777" w:rsidR="00532997" w:rsidRPr="00EF7CF9" w:rsidRDefault="00532997" w:rsidP="000F31B4">
            <w:pPr>
              <w:pStyle w:val="ProductList-OfferingBody"/>
              <w:jc w:val="center"/>
            </w:pPr>
            <w:r>
              <w:t>&lt; 99,9%</w:t>
            </w:r>
          </w:p>
        </w:tc>
        <w:tc>
          <w:tcPr>
            <w:tcW w:w="5400" w:type="dxa"/>
          </w:tcPr>
          <w:p w14:paraId="7D76A9D1" w14:textId="77777777" w:rsidR="00532997" w:rsidRPr="00EF7CF9" w:rsidRDefault="00532997" w:rsidP="000F31B4">
            <w:pPr>
              <w:pStyle w:val="ProductList-OfferingBody"/>
              <w:jc w:val="center"/>
            </w:pPr>
            <w:r>
              <w:t>10%</w:t>
            </w:r>
          </w:p>
        </w:tc>
      </w:tr>
      <w:tr w:rsidR="00532997" w:rsidRPr="00B44CF9" w14:paraId="5594ECC9" w14:textId="77777777" w:rsidTr="00277097">
        <w:tc>
          <w:tcPr>
            <w:tcW w:w="5400" w:type="dxa"/>
          </w:tcPr>
          <w:p w14:paraId="41E59A0F" w14:textId="77777777" w:rsidR="00532997" w:rsidRPr="00EF7CF9" w:rsidRDefault="00532997" w:rsidP="000F31B4">
            <w:pPr>
              <w:pStyle w:val="ProductList-OfferingBody"/>
              <w:jc w:val="center"/>
            </w:pPr>
            <w:r>
              <w:t>&lt; 99%</w:t>
            </w:r>
          </w:p>
        </w:tc>
        <w:tc>
          <w:tcPr>
            <w:tcW w:w="5400" w:type="dxa"/>
          </w:tcPr>
          <w:p w14:paraId="20541ACD" w14:textId="77777777" w:rsidR="00532997" w:rsidRPr="00EF7CF9" w:rsidRDefault="00532997" w:rsidP="000F31B4">
            <w:pPr>
              <w:pStyle w:val="ProductList-OfferingBody"/>
              <w:jc w:val="center"/>
            </w:pPr>
            <w:r>
              <w:t>25%</w:t>
            </w:r>
          </w:p>
        </w:tc>
      </w:tr>
    </w:tbl>
    <w:p w14:paraId="4D4CAB58" w14:textId="77777777" w:rsidR="00532997" w:rsidRPr="00ED4527" w:rsidRDefault="00532997" w:rsidP="009F2263">
      <w:pPr>
        <w:pStyle w:val="ProductList-Body"/>
        <w:spacing w:before="120"/>
        <w:rPr>
          <w:b/>
          <w:bCs/>
          <w:color w:val="00188F"/>
        </w:rPr>
      </w:pPr>
      <w:r>
        <w:rPr>
          <w:b/>
          <w:bCs/>
          <w:color w:val="00188F"/>
        </w:rPr>
        <w:t>Obliczenia dotyczące Sesji Spark platformy Apache Spark w ramach usługi Azure Synapse</w:t>
      </w:r>
    </w:p>
    <w:p w14:paraId="11561E05" w14:textId="77777777" w:rsidR="00532997" w:rsidRPr="00ED4527" w:rsidRDefault="00532997" w:rsidP="00532997">
      <w:pPr>
        <w:pStyle w:val="ProductList-Body"/>
        <w:rPr>
          <w:color w:val="000000" w:themeColor="text1"/>
        </w:rPr>
      </w:pPr>
      <w:r>
        <w:rPr>
          <w:color w:val="000000" w:themeColor="text1"/>
        </w:rPr>
        <w:t>„</w:t>
      </w:r>
      <w:r>
        <w:rPr>
          <w:b/>
          <w:bCs/>
          <w:color w:val="00188F"/>
        </w:rPr>
        <w:t>Sesja Spark</w:t>
      </w:r>
      <w:r>
        <w:rPr>
          <w:color w:val="000000" w:themeColor="text1"/>
        </w:rPr>
        <w:t>” to uruchomienie nowej sesji w celu wykonania zadania w trybie interaktywnym lub wsadowym. Nie zalicza się tu sesji zakończonych niepowodzeniem z powodu błędu użytkownika, na przykład błędu w konfiguracji sesji lub wyczerpania zasobów.</w:t>
      </w:r>
    </w:p>
    <w:p w14:paraId="2FCA717F" w14:textId="77777777" w:rsidR="00532997" w:rsidRPr="00ED4527" w:rsidRDefault="00532997" w:rsidP="00532997">
      <w:pPr>
        <w:pStyle w:val="ProductList-Body"/>
        <w:keepNext/>
        <w:tabs>
          <w:tab w:val="clear" w:pos="360"/>
          <w:tab w:val="clear" w:pos="720"/>
          <w:tab w:val="clear" w:pos="1080"/>
        </w:tabs>
        <w:spacing w:before="120"/>
        <w:rPr>
          <w:b/>
          <w:bCs/>
          <w:color w:val="00188F"/>
        </w:rPr>
      </w:pPr>
      <w:r>
        <w:rPr>
          <w:b/>
          <w:bCs/>
          <w:color w:val="00188F"/>
        </w:rPr>
        <w:t>Do używania przez Klienta usługi Spark w obszarze roboczym Synapse mają zastosowanie następujące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32997" w:rsidRPr="00B44CF9" w14:paraId="20FDC390" w14:textId="77777777" w:rsidTr="00277097">
        <w:trPr>
          <w:tblHeader/>
        </w:trPr>
        <w:tc>
          <w:tcPr>
            <w:tcW w:w="5400" w:type="dxa"/>
            <w:shd w:val="clear" w:color="auto" w:fill="0072C6"/>
          </w:tcPr>
          <w:p w14:paraId="0470DA26" w14:textId="78832189" w:rsidR="00532997"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86DA271" w14:textId="77777777" w:rsidR="00532997" w:rsidRPr="00EF7CF9" w:rsidRDefault="00532997" w:rsidP="000F31B4">
            <w:pPr>
              <w:pStyle w:val="ProductList-OfferingBody"/>
              <w:jc w:val="center"/>
              <w:rPr>
                <w:color w:val="FFFFFF" w:themeColor="background1"/>
              </w:rPr>
            </w:pPr>
            <w:r>
              <w:rPr>
                <w:color w:val="FFFFFF" w:themeColor="background1"/>
              </w:rPr>
              <w:t>Środki Serwisowe na Używanie Usług</w:t>
            </w:r>
          </w:p>
        </w:tc>
      </w:tr>
      <w:tr w:rsidR="00532997" w:rsidRPr="00B44CF9" w14:paraId="208E8C5A" w14:textId="77777777" w:rsidTr="00277097">
        <w:tc>
          <w:tcPr>
            <w:tcW w:w="5400" w:type="dxa"/>
          </w:tcPr>
          <w:p w14:paraId="42441E30" w14:textId="77777777" w:rsidR="00532997" w:rsidRPr="00EF7CF9" w:rsidRDefault="00532997" w:rsidP="000F31B4">
            <w:pPr>
              <w:pStyle w:val="ProductList-OfferingBody"/>
              <w:jc w:val="center"/>
            </w:pPr>
            <w:r>
              <w:t>&lt; 99%</w:t>
            </w:r>
          </w:p>
        </w:tc>
        <w:tc>
          <w:tcPr>
            <w:tcW w:w="5400" w:type="dxa"/>
          </w:tcPr>
          <w:p w14:paraId="4A46FE17" w14:textId="77777777" w:rsidR="00532997" w:rsidRPr="00EF7CF9" w:rsidRDefault="00532997" w:rsidP="000F31B4">
            <w:pPr>
              <w:pStyle w:val="ProductList-OfferingBody"/>
              <w:jc w:val="center"/>
            </w:pPr>
            <w:r>
              <w:t>10%</w:t>
            </w:r>
          </w:p>
        </w:tc>
      </w:tr>
      <w:tr w:rsidR="00532997" w:rsidRPr="00B44CF9" w14:paraId="3122B6C3" w14:textId="77777777" w:rsidTr="00277097">
        <w:tc>
          <w:tcPr>
            <w:tcW w:w="5400" w:type="dxa"/>
          </w:tcPr>
          <w:p w14:paraId="17AB23ED" w14:textId="77777777" w:rsidR="00532997" w:rsidRPr="00EF7CF9" w:rsidRDefault="00532997" w:rsidP="000F31B4">
            <w:pPr>
              <w:pStyle w:val="ProductList-OfferingBody"/>
              <w:jc w:val="center"/>
            </w:pPr>
            <w:r>
              <w:t>&lt; 95%</w:t>
            </w:r>
          </w:p>
        </w:tc>
        <w:tc>
          <w:tcPr>
            <w:tcW w:w="5400" w:type="dxa"/>
          </w:tcPr>
          <w:p w14:paraId="1B8DFCAA" w14:textId="77777777" w:rsidR="00532997" w:rsidRPr="00EF7CF9" w:rsidRDefault="00532997" w:rsidP="000F31B4">
            <w:pPr>
              <w:pStyle w:val="ProductList-OfferingBody"/>
              <w:jc w:val="center"/>
            </w:pPr>
            <w:r>
              <w:t>25%</w:t>
            </w:r>
          </w:p>
        </w:tc>
      </w:tr>
    </w:tbl>
    <w:p w14:paraId="1BCA28BD" w14:textId="206B573E" w:rsidR="00532997" w:rsidRPr="00EF7CF9" w:rsidRDefault="00C71F89" w:rsidP="0053299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D4F39E8" w14:textId="77777777" w:rsidR="00C5766D" w:rsidRPr="00C5766D" w:rsidRDefault="00C5766D" w:rsidP="00C5766D">
      <w:pPr>
        <w:pStyle w:val="ProductList-Offering2Heading"/>
        <w:keepNext/>
        <w:tabs>
          <w:tab w:val="clear" w:pos="360"/>
          <w:tab w:val="clear" w:pos="720"/>
          <w:tab w:val="clear" w:pos="1080"/>
        </w:tabs>
        <w:outlineLvl w:val="2"/>
      </w:pPr>
      <w:bookmarkStart w:id="424" w:name="_Toc239175077"/>
      <w:bookmarkEnd w:id="421"/>
      <w:bookmarkEnd w:id="422"/>
      <w:bookmarkEnd w:id="423"/>
      <w:r>
        <w:t>Azure Time Series Insights</w:t>
      </w:r>
      <w:bookmarkEnd w:id="424"/>
    </w:p>
    <w:p w14:paraId="136D5B37" w14:textId="77777777" w:rsidR="00C5766D" w:rsidRPr="0073097F" w:rsidRDefault="00C5766D" w:rsidP="00C5766D">
      <w:pPr>
        <w:pStyle w:val="ProductList-Body"/>
        <w:rPr>
          <w:b/>
          <w:bCs/>
          <w:color w:val="00188F"/>
        </w:rPr>
      </w:pPr>
      <w:r>
        <w:rPr>
          <w:b/>
          <w:bCs/>
          <w:color w:val="00188F"/>
        </w:rPr>
        <w:t>Dodatkowe definicje</w:t>
      </w:r>
    </w:p>
    <w:p w14:paraId="6551100A" w14:textId="77777777" w:rsidR="00C5766D" w:rsidRDefault="00C5766D" w:rsidP="00C5766D">
      <w:pPr>
        <w:pStyle w:val="ProductList-Body"/>
      </w:pPr>
      <w:r>
        <w:t>„</w:t>
      </w:r>
      <w:r>
        <w:rPr>
          <w:b/>
          <w:bCs/>
          <w:color w:val="00188F"/>
        </w:rPr>
        <w:t>Środowisko</w:t>
      </w:r>
      <w:r>
        <w:t>” to środowisko usługi Time Series Insights.</w:t>
      </w:r>
    </w:p>
    <w:p w14:paraId="694552FE" w14:textId="7E267157" w:rsidR="00C5766D" w:rsidRPr="0073097F" w:rsidRDefault="00EE6E3C" w:rsidP="00C5766D">
      <w:pPr>
        <w:pStyle w:val="ProductList-Body"/>
        <w:rPr>
          <w:b/>
          <w:bCs/>
          <w:color w:val="00188F"/>
        </w:rPr>
      </w:pPr>
      <w:r>
        <w:rPr>
          <w:b/>
          <w:bCs/>
          <w:color w:val="00188F"/>
        </w:rPr>
        <w:t>Obliczanie Czasu Sprawnego Działania i Poziomy Usługi dla Interfejsu API Płaszczyzny Danych Usługi Time Series Insights</w:t>
      </w:r>
    </w:p>
    <w:p w14:paraId="238DD023" w14:textId="77777777" w:rsidR="00C5766D" w:rsidRDefault="00C5766D" w:rsidP="00C5766D">
      <w:pPr>
        <w:pStyle w:val="ProductList-Body"/>
      </w:pPr>
      <w:r>
        <w:t>„</w:t>
      </w:r>
      <w:r>
        <w:rPr>
          <w:b/>
          <w:bCs/>
          <w:color w:val="00188F"/>
        </w:rPr>
        <w:t>Interfejs API Płaszczyzny Danych Usługi Time Series Insights</w:t>
      </w:r>
      <w:r>
        <w:t>” to interfejs API kwerendy dotyczącej analizy zdarzeń dla usługi Time Series Insights.</w:t>
      </w:r>
    </w:p>
    <w:p w14:paraId="6B9213C0" w14:textId="77777777" w:rsidR="00C5766D" w:rsidRDefault="00C5766D" w:rsidP="00C5766D">
      <w:pPr>
        <w:pStyle w:val="ProductList-Body"/>
      </w:pPr>
      <w:r>
        <w:t>„</w:t>
      </w:r>
      <w:r>
        <w:rPr>
          <w:b/>
          <w:bCs/>
          <w:color w:val="00188F"/>
        </w:rPr>
        <w:t>Żądanie</w:t>
      </w:r>
      <w:r>
        <w:t>” to każde udokumentowane żądanie obsługiwane przez Interfejs API Płaszczyzny Danych Usługi Time Series Insights.</w:t>
      </w:r>
    </w:p>
    <w:p w14:paraId="2396A988" w14:textId="77777777" w:rsidR="00C5766D" w:rsidRDefault="00C5766D" w:rsidP="00C5766D">
      <w:pPr>
        <w:pStyle w:val="ProductList-Body"/>
      </w:pPr>
      <w:r>
        <w:t>„</w:t>
      </w:r>
      <w:r>
        <w:rPr>
          <w:b/>
          <w:bCs/>
          <w:color w:val="00188F"/>
        </w:rPr>
        <w:t>Żądanie Zakończone Niepowodzeniem</w:t>
      </w:r>
      <w:r>
        <w:t>” to Żądanie zwracające Kod Błędu.</w:t>
      </w:r>
    </w:p>
    <w:p w14:paraId="22EFBCA1" w14:textId="45CFD080" w:rsidR="00C5766D" w:rsidRDefault="00C5766D" w:rsidP="00C5766D">
      <w:pPr>
        <w:pStyle w:val="ProductList-Body"/>
      </w:pPr>
      <w:r>
        <w:t>„</w:t>
      </w:r>
      <w:r>
        <w:rPr>
          <w:b/>
          <w:bCs/>
          <w:color w:val="00188F"/>
        </w:rPr>
        <w:t>Częstość Błędów</w:t>
      </w:r>
      <w:r>
        <w:t>” to łączna liczba Żądań Zakończonych Niepowodzeniem podzielona przez łączną liczbę Żądań w danym przedziale jednominutowym dla wszystkich Środowisk w ramach danej subskrypcji Microsoft Azure. Jeśli użytkownik nie wykonał żadnych Żądań w ciągu tej</w:t>
      </w:r>
      <w:r w:rsidR="001D0C92">
        <w:t> </w:t>
      </w:r>
      <w:r>
        <w:t>minuty, Częstość Błędów dla tego przedziału wynosi 0%.</w:t>
      </w:r>
    </w:p>
    <w:p w14:paraId="202FE9CA" w14:textId="58EFED60" w:rsidR="00C5766D" w:rsidRDefault="00C5766D" w:rsidP="00C5766D">
      <w:pPr>
        <w:pStyle w:val="ProductList-Body"/>
      </w:pPr>
      <w:r>
        <w:t>„</w:t>
      </w:r>
      <w:r>
        <w:rPr>
          <w:b/>
          <w:bCs/>
          <w:color w:val="00188F"/>
        </w:rPr>
        <w:t>Średnia Częstość Błędów</w:t>
      </w:r>
      <w:r>
        <w:t>” we Właściwym Okresie to suma Częstości Błędów dla każdej minuty we Właściwym Okresie podzielona przez łączną liczbę minut we Właściwym Okresie.</w:t>
      </w:r>
    </w:p>
    <w:p w14:paraId="5B1F3A56" w14:textId="0BFE5D10" w:rsidR="00C5766D" w:rsidRDefault="00C5766D" w:rsidP="00C5766D">
      <w:pPr>
        <w:pStyle w:val="ProductList-Body"/>
      </w:pPr>
      <w:r>
        <w:t>„</w:t>
      </w:r>
      <w:r>
        <w:rPr>
          <w:b/>
          <w:bCs/>
          <w:color w:val="00188F"/>
        </w:rPr>
        <w:t>Procent Czasu Dostępności</w:t>
      </w:r>
      <w:r w:rsidR="000E6165">
        <w:t>”</w:t>
      </w:r>
      <w:r>
        <w:t xml:space="preserve"> dla Interfejsu API Płaszczyzny Danych Usługi Time Series Insights oblicza się, odejmując od 100% Średnią Częstość Błędów dla danej subskrypcji Microsoft Azure we Właściwym Okresie. Procent Czasu Dostępności przedstawia się za pomocą następującego wzoru:</w:t>
      </w:r>
    </w:p>
    <w:p w14:paraId="11B18E61" w14:textId="2D21F2FE" w:rsidR="00B84D9B" w:rsidRPr="00DB1B7E" w:rsidRDefault="00B84D9B" w:rsidP="00FE4887">
      <w:pPr>
        <w:pStyle w:val="ProductList-Body"/>
        <w:tabs>
          <w:tab w:val="clear" w:pos="360"/>
          <w:tab w:val="clear" w:pos="720"/>
          <w:tab w:val="clear" w:pos="1080"/>
        </w:tabs>
        <w:spacing w:before="120" w:after="120"/>
        <w:jc w:val="center"/>
        <w:rPr>
          <w:rFonts w:ascii="Cambria Math" w:hAnsi="Cambria Math"/>
          <w:i/>
          <w:iCs/>
          <w:color w:val="000000" w:themeColor="text1"/>
        </w:rPr>
      </w:pPr>
      <w:r>
        <w:rPr>
          <w:rFonts w:ascii="Cambria Math" w:hAnsi="Cambria Math"/>
          <w:i/>
          <w:iCs/>
          <w:color w:val="000000" w:themeColor="text1"/>
        </w:rPr>
        <w:t>100% — Średnia Częstość Błędów</w:t>
      </w:r>
    </w:p>
    <w:p w14:paraId="392F59FB" w14:textId="127DE09C" w:rsidR="00C5766D" w:rsidRPr="0018615A" w:rsidRDefault="00C5766D" w:rsidP="00C5766D">
      <w:pPr>
        <w:pStyle w:val="ProductList-Body"/>
        <w:rPr>
          <w:b/>
          <w:bCs/>
          <w:color w:val="00188F"/>
        </w:rPr>
      </w:pPr>
      <w:r>
        <w:rPr>
          <w:b/>
          <w:bCs/>
          <w:color w:val="00188F"/>
        </w:rPr>
        <w:t>Do używania przez Klienta Interfejsu API Płaszczyzny Danych Usługi Time Series Insights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B1B7E" w:rsidRPr="00B44CF9" w14:paraId="6BDDB7E0" w14:textId="77777777" w:rsidTr="00277097">
        <w:trPr>
          <w:tblHeader/>
        </w:trPr>
        <w:tc>
          <w:tcPr>
            <w:tcW w:w="5400" w:type="dxa"/>
            <w:shd w:val="clear" w:color="auto" w:fill="0072C6"/>
          </w:tcPr>
          <w:p w14:paraId="693141B7" w14:textId="2A45395B" w:rsidR="00DB1B7E" w:rsidRPr="00EF7CF9" w:rsidRDefault="00DB1B7E" w:rsidP="000F31B4">
            <w:pPr>
              <w:pStyle w:val="ProductList-OfferingBody"/>
              <w:jc w:val="center"/>
              <w:rPr>
                <w:color w:val="FFFFFF" w:themeColor="background1"/>
              </w:rPr>
            </w:pPr>
            <w:r>
              <w:rPr>
                <w:color w:val="FFFFFF" w:themeColor="background1"/>
              </w:rPr>
              <w:t>Procent Czasu Dostępności</w:t>
            </w:r>
          </w:p>
        </w:tc>
        <w:tc>
          <w:tcPr>
            <w:tcW w:w="5400" w:type="dxa"/>
            <w:shd w:val="clear" w:color="auto" w:fill="0072C6"/>
          </w:tcPr>
          <w:p w14:paraId="21B30544" w14:textId="77777777" w:rsidR="00DB1B7E" w:rsidRPr="00EF7CF9" w:rsidRDefault="00DB1B7E" w:rsidP="000F31B4">
            <w:pPr>
              <w:pStyle w:val="ProductList-OfferingBody"/>
              <w:jc w:val="center"/>
              <w:rPr>
                <w:color w:val="FFFFFF" w:themeColor="background1"/>
              </w:rPr>
            </w:pPr>
            <w:r>
              <w:rPr>
                <w:color w:val="FFFFFF" w:themeColor="background1"/>
              </w:rPr>
              <w:t>Środki Serwisowe na Używanie Usług</w:t>
            </w:r>
          </w:p>
        </w:tc>
      </w:tr>
      <w:tr w:rsidR="00DB1B7E" w:rsidRPr="00B44CF9" w14:paraId="1AB8BC8B" w14:textId="77777777" w:rsidTr="00277097">
        <w:tc>
          <w:tcPr>
            <w:tcW w:w="5400" w:type="dxa"/>
          </w:tcPr>
          <w:p w14:paraId="33E3F2BA" w14:textId="5738DC56" w:rsidR="00DB1B7E" w:rsidRPr="00EF7CF9" w:rsidRDefault="00DB1B7E" w:rsidP="000F31B4">
            <w:pPr>
              <w:pStyle w:val="ProductList-OfferingBody"/>
              <w:jc w:val="center"/>
            </w:pPr>
            <w:r>
              <w:t>&lt; 99,9%</w:t>
            </w:r>
          </w:p>
        </w:tc>
        <w:tc>
          <w:tcPr>
            <w:tcW w:w="5400" w:type="dxa"/>
          </w:tcPr>
          <w:p w14:paraId="4AE3A834" w14:textId="77777777" w:rsidR="00DB1B7E" w:rsidRPr="00EF7CF9" w:rsidRDefault="00DB1B7E" w:rsidP="000F31B4">
            <w:pPr>
              <w:pStyle w:val="ProductList-OfferingBody"/>
              <w:jc w:val="center"/>
            </w:pPr>
            <w:r>
              <w:t>10%</w:t>
            </w:r>
          </w:p>
        </w:tc>
      </w:tr>
      <w:tr w:rsidR="00DB1B7E" w:rsidRPr="00B44CF9" w14:paraId="7CC1CE08" w14:textId="77777777" w:rsidTr="00277097">
        <w:tc>
          <w:tcPr>
            <w:tcW w:w="5400" w:type="dxa"/>
          </w:tcPr>
          <w:p w14:paraId="3C25D851" w14:textId="635C9033" w:rsidR="00DB1B7E" w:rsidRPr="00EF7CF9" w:rsidRDefault="00DB1B7E" w:rsidP="000F31B4">
            <w:pPr>
              <w:pStyle w:val="ProductList-OfferingBody"/>
              <w:jc w:val="center"/>
            </w:pPr>
            <w:r>
              <w:t>&lt; 99%</w:t>
            </w:r>
          </w:p>
        </w:tc>
        <w:tc>
          <w:tcPr>
            <w:tcW w:w="5400" w:type="dxa"/>
          </w:tcPr>
          <w:p w14:paraId="12E881A2" w14:textId="77777777" w:rsidR="00DB1B7E" w:rsidRPr="00EF7CF9" w:rsidRDefault="00DB1B7E" w:rsidP="000F31B4">
            <w:pPr>
              <w:pStyle w:val="ProductList-OfferingBody"/>
              <w:jc w:val="center"/>
            </w:pPr>
            <w:r>
              <w:t>25%</w:t>
            </w:r>
          </w:p>
        </w:tc>
      </w:tr>
    </w:tbl>
    <w:p w14:paraId="484BC627" w14:textId="4B80F142" w:rsidR="00DB1B7E" w:rsidRPr="00EF7CF9" w:rsidRDefault="00C71F89" w:rsidP="00DB1B7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5175CE1" w14:textId="77F4B756" w:rsidR="00895748" w:rsidRPr="00EF7CF9" w:rsidRDefault="00895748" w:rsidP="00D34C3B">
      <w:pPr>
        <w:pStyle w:val="ProductList-Offering2Heading"/>
        <w:keepNext/>
        <w:tabs>
          <w:tab w:val="clear" w:pos="360"/>
          <w:tab w:val="clear" w:pos="720"/>
          <w:tab w:val="clear" w:pos="1080"/>
        </w:tabs>
        <w:outlineLvl w:val="2"/>
      </w:pPr>
      <w:bookmarkStart w:id="425" w:name="_Toc412532214"/>
      <w:bookmarkStart w:id="426" w:name="_Toc457821585"/>
      <w:bookmarkStart w:id="427" w:name="_Toc52348993"/>
      <w:bookmarkStart w:id="428" w:name="_Toc239175078"/>
      <w:r>
        <w:t>Traffic Manager</w:t>
      </w:r>
      <w:bookmarkEnd w:id="425"/>
      <w:bookmarkEnd w:id="426"/>
      <w:bookmarkEnd w:id="427"/>
      <w:bookmarkEnd w:id="428"/>
    </w:p>
    <w:p w14:paraId="7C53001F" w14:textId="77777777" w:rsidR="00895748" w:rsidRPr="00EF7CF9" w:rsidRDefault="00895748" w:rsidP="00895748">
      <w:pPr>
        <w:pStyle w:val="ProductList-Body"/>
      </w:pPr>
      <w:r>
        <w:rPr>
          <w:b/>
          <w:color w:val="00188F"/>
        </w:rPr>
        <w:t>Dodatkowe definicje</w:t>
      </w:r>
      <w:r w:rsidRPr="0034704E">
        <w:rPr>
          <w:b/>
          <w:color w:val="00188F"/>
        </w:rPr>
        <w:t>:</w:t>
      </w:r>
    </w:p>
    <w:p w14:paraId="1738A40B" w14:textId="3CB62828" w:rsidR="00895748" w:rsidRPr="00EF7CF9" w:rsidRDefault="00895748" w:rsidP="007F1B6A">
      <w:pPr>
        <w:pStyle w:val="ProductList-Body"/>
      </w:pPr>
      <w:r>
        <w:t>„</w:t>
      </w:r>
      <w:r>
        <w:rPr>
          <w:b/>
          <w:color w:val="00188F"/>
        </w:rPr>
        <w:t>Minuty Wdrożenia</w:t>
      </w:r>
      <w:r>
        <w:t>” to łączna liczba minut, przez które dany Profil Traffic Manager został wdrożony na platformie Microsoft Azure we Właściwym Okresie.</w:t>
      </w:r>
    </w:p>
    <w:p w14:paraId="72F9FA5B" w14:textId="48CCE920" w:rsidR="00895748" w:rsidRPr="00EF7CF9" w:rsidRDefault="00895748" w:rsidP="007F1B6A">
      <w:pPr>
        <w:pStyle w:val="ProductList-Body"/>
      </w:pPr>
      <w:r>
        <w:t>„</w:t>
      </w:r>
      <w:r>
        <w:rPr>
          <w:b/>
          <w:color w:val="00188F"/>
        </w:rPr>
        <w:t>Maksymalna Liczba Dostępnych Minut</w:t>
      </w:r>
      <w:r>
        <w:t>” to suma wszystkich Minut Wdrożenia dla wszystkich Profili Traffic Manager wdrożonych przez Klienta w</w:t>
      </w:r>
      <w:r w:rsidR="00792A26">
        <w:t> </w:t>
      </w:r>
      <w:r>
        <w:t>ramach danej subskrypcji Microsoft Azure we Właściwym Okresie.</w:t>
      </w:r>
    </w:p>
    <w:p w14:paraId="7B067662" w14:textId="77777777" w:rsidR="00895748" w:rsidRPr="00EF7CF9" w:rsidRDefault="00895748" w:rsidP="007F1B6A">
      <w:pPr>
        <w:pStyle w:val="ProductList-Body"/>
      </w:pPr>
      <w:r>
        <w:t>„</w:t>
      </w:r>
      <w:r>
        <w:rPr>
          <w:b/>
          <w:color w:val="00188F"/>
        </w:rPr>
        <w:t>Profil Usługi Traffic Manager</w:t>
      </w:r>
      <w:r>
        <w:t>” lub „</w:t>
      </w:r>
      <w:r>
        <w:rPr>
          <w:b/>
          <w:color w:val="00188F"/>
        </w:rPr>
        <w:t>Profil</w:t>
      </w:r>
      <w:r>
        <w:t>” to utworzone przez Klienta wdrożenie usługi Traffic Manager zawierające nazwę domeny, punkty końcowe i inne ustawienia konfiguracji zgodnie z informacjami w Portalu Zarządzania.</w:t>
      </w:r>
    </w:p>
    <w:p w14:paraId="41F87B39" w14:textId="77777777" w:rsidR="00895748" w:rsidRDefault="00895748" w:rsidP="007F1B6A">
      <w:pPr>
        <w:pStyle w:val="ProductList-Body"/>
      </w:pPr>
      <w:r>
        <w:t>„</w:t>
      </w:r>
      <w:r>
        <w:rPr>
          <w:b/>
          <w:color w:val="00188F"/>
        </w:rPr>
        <w:t>Prawidłowa Odpowiedź DNS</w:t>
      </w:r>
      <w:r>
        <w:t>” to odpowiedź DNS uzyskana od co najmniej jednego z klastrów serwera nazw usługi Traffic Manager na żądanie DNS dla nazwy domenowej podanej w danym Profilu Usługi Traffic Manager.</w:t>
      </w:r>
    </w:p>
    <w:p w14:paraId="70C9FEDB" w14:textId="79666069" w:rsidR="007F1B6A" w:rsidRPr="00EF7CF9" w:rsidRDefault="007F1B6A" w:rsidP="007F1B6A">
      <w:pPr>
        <w:pStyle w:val="ProductList-Body"/>
      </w:pPr>
      <w:r>
        <w:rPr>
          <w:b/>
          <w:color w:val="00188F"/>
        </w:rPr>
        <w:t>Przestój</w:t>
      </w:r>
      <w:r w:rsidRPr="0034704E">
        <w:rPr>
          <w:b/>
          <w:color w:val="00188F"/>
        </w:rPr>
        <w:t>:</w:t>
      </w:r>
      <w:r>
        <w:t xml:space="preserve"> to łączna zakumulowana liczba Minut Wdrożenia dla wszystkich Profili wdrożonych przez Klienta w ramach danej subskrypcji Microsoft</w:t>
      </w:r>
    </w:p>
    <w:p w14:paraId="749C09A7" w14:textId="12D8D3F0" w:rsidR="00895748" w:rsidRPr="00EF7CF9" w:rsidRDefault="00895748" w:rsidP="007F1B6A">
      <w:pPr>
        <w:pStyle w:val="ProductList-Body"/>
        <w:keepNext/>
      </w:pPr>
      <w:r>
        <w:t>Azure, podczas których Profil jest niedostępny. Minuta uznawana jest za minutę niedostępności dla danego Profilu, jeśli wszystkie kolejne zapytania DNS dla nazwy DNS podanej w Profilu, wykonane w trakcie tej minuty, nie kończą się Prawidłową Odpowiedzią DNS w ciągu dwóch sekund.</w:t>
      </w:r>
    </w:p>
    <w:p w14:paraId="212B449B" w14:textId="18892ABC" w:rsidR="00895748" w:rsidRDefault="00AC48A7" w:rsidP="00895748">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058F6251" w14:textId="5673F181" w:rsidR="00895748" w:rsidRPr="00EF7CF9" w:rsidRDefault="00000000" w:rsidP="009A1A37">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68BB5F11" w14:textId="77777777" w:rsidR="00895748" w:rsidRPr="00EF7CF9" w:rsidRDefault="00895748" w:rsidP="00895748">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95748" w:rsidRPr="00B44CF9" w14:paraId="237D57EE" w14:textId="77777777" w:rsidTr="00277097">
        <w:trPr>
          <w:tblHeader/>
        </w:trPr>
        <w:tc>
          <w:tcPr>
            <w:tcW w:w="5400" w:type="dxa"/>
            <w:shd w:val="clear" w:color="auto" w:fill="0072C6"/>
          </w:tcPr>
          <w:p w14:paraId="773AFE5E" w14:textId="6B131518" w:rsidR="00895748"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D3D4B45" w14:textId="77777777" w:rsidR="00895748" w:rsidRPr="00EF7CF9" w:rsidRDefault="00895748" w:rsidP="000F31B4">
            <w:pPr>
              <w:pStyle w:val="ProductList-OfferingBody"/>
              <w:jc w:val="center"/>
              <w:rPr>
                <w:color w:val="FFFFFF" w:themeColor="background1"/>
              </w:rPr>
            </w:pPr>
            <w:r>
              <w:rPr>
                <w:color w:val="FFFFFF" w:themeColor="background1"/>
              </w:rPr>
              <w:t>Środki Serwisowe na Używanie Usług</w:t>
            </w:r>
          </w:p>
        </w:tc>
      </w:tr>
      <w:tr w:rsidR="00E05F09" w:rsidRPr="00B44CF9" w14:paraId="7EE69333" w14:textId="77777777" w:rsidTr="00277097">
        <w:tc>
          <w:tcPr>
            <w:tcW w:w="5400" w:type="dxa"/>
          </w:tcPr>
          <w:p w14:paraId="4870285F" w14:textId="50156BB9" w:rsidR="00E05F09" w:rsidRDefault="00E05F09" w:rsidP="00E05F09">
            <w:pPr>
              <w:pStyle w:val="ProductList-OfferingBody"/>
              <w:jc w:val="center"/>
            </w:pPr>
            <w:r>
              <w:t>&lt; 100%</w:t>
            </w:r>
          </w:p>
        </w:tc>
        <w:tc>
          <w:tcPr>
            <w:tcW w:w="5400" w:type="dxa"/>
          </w:tcPr>
          <w:p w14:paraId="11C99F07" w14:textId="03F945DA" w:rsidR="00E05F09" w:rsidRDefault="00E05F09" w:rsidP="00E05F09">
            <w:pPr>
              <w:pStyle w:val="ProductList-OfferingBody"/>
              <w:jc w:val="center"/>
            </w:pPr>
            <w:r>
              <w:t>10%</w:t>
            </w:r>
          </w:p>
        </w:tc>
      </w:tr>
      <w:tr w:rsidR="00E05F09" w:rsidRPr="00B44CF9" w14:paraId="03E16A40" w14:textId="77777777" w:rsidTr="00277097">
        <w:tc>
          <w:tcPr>
            <w:tcW w:w="5400" w:type="dxa"/>
          </w:tcPr>
          <w:p w14:paraId="1AA31257" w14:textId="77777777" w:rsidR="00E05F09" w:rsidRPr="00EF7CF9" w:rsidRDefault="00E05F09" w:rsidP="00E05F09">
            <w:pPr>
              <w:pStyle w:val="ProductList-OfferingBody"/>
              <w:jc w:val="center"/>
            </w:pPr>
            <w:r>
              <w:t>&lt; 99,99%</w:t>
            </w:r>
          </w:p>
        </w:tc>
        <w:tc>
          <w:tcPr>
            <w:tcW w:w="5400" w:type="dxa"/>
          </w:tcPr>
          <w:p w14:paraId="7D035504" w14:textId="556C6B9E" w:rsidR="00E05F09" w:rsidRPr="00EF7CF9" w:rsidRDefault="00E05F09" w:rsidP="00E05F09">
            <w:pPr>
              <w:pStyle w:val="ProductList-OfferingBody"/>
              <w:jc w:val="center"/>
            </w:pPr>
            <w:r>
              <w:t>25%</w:t>
            </w:r>
          </w:p>
        </w:tc>
      </w:tr>
      <w:tr w:rsidR="00895748" w:rsidRPr="00B44CF9" w14:paraId="379744A0" w14:textId="77777777" w:rsidTr="00277097">
        <w:tc>
          <w:tcPr>
            <w:tcW w:w="5400" w:type="dxa"/>
          </w:tcPr>
          <w:p w14:paraId="79B5CD06" w14:textId="77777777" w:rsidR="00895748" w:rsidRPr="00EF7CF9" w:rsidRDefault="00895748" w:rsidP="000F31B4">
            <w:pPr>
              <w:pStyle w:val="ProductList-OfferingBody"/>
              <w:jc w:val="center"/>
            </w:pPr>
            <w:r>
              <w:t>&lt; 99%</w:t>
            </w:r>
          </w:p>
        </w:tc>
        <w:tc>
          <w:tcPr>
            <w:tcW w:w="5400" w:type="dxa"/>
          </w:tcPr>
          <w:p w14:paraId="4E874CB9" w14:textId="6EA4797B" w:rsidR="00895748" w:rsidRPr="00EF7CF9" w:rsidRDefault="00E05F09" w:rsidP="000F31B4">
            <w:pPr>
              <w:pStyle w:val="ProductList-OfferingBody"/>
              <w:jc w:val="center"/>
            </w:pPr>
            <w:r>
              <w:t>100</w:t>
            </w:r>
            <w:r w:rsidR="00895748">
              <w:t>%</w:t>
            </w:r>
          </w:p>
        </w:tc>
      </w:tr>
    </w:tbl>
    <w:bookmarkStart w:id="429" w:name="_Toc412532215"/>
    <w:bookmarkStart w:id="430" w:name="_Toc457821586"/>
    <w:bookmarkStart w:id="431" w:name="VirtualMachines"/>
    <w:p w14:paraId="41308BC9" w14:textId="7AF785D6" w:rsidR="00895748" w:rsidRPr="00EF7CF9" w:rsidRDefault="00C71F89"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520184B" w14:textId="77777777" w:rsidR="00F82521" w:rsidRPr="00311B75" w:rsidRDefault="00F82521" w:rsidP="00311B75">
      <w:pPr>
        <w:pStyle w:val="ProductList-Offering2Heading"/>
        <w:keepNext/>
        <w:tabs>
          <w:tab w:val="clear" w:pos="360"/>
          <w:tab w:val="clear" w:pos="720"/>
          <w:tab w:val="clear" w:pos="1080"/>
        </w:tabs>
        <w:outlineLvl w:val="2"/>
      </w:pPr>
      <w:bookmarkStart w:id="432" w:name="_Toc239175079"/>
      <w:bookmarkStart w:id="433" w:name="_Toc52348994"/>
      <w:r w:rsidRPr="00311B75">
        <w:t>Podpisywanie Aplikacji</w:t>
      </w:r>
      <w:bookmarkEnd w:id="432"/>
    </w:p>
    <w:p w14:paraId="5B50C2CC" w14:textId="77777777" w:rsidR="00F82521" w:rsidRPr="00506C08" w:rsidRDefault="00F82521" w:rsidP="00F82521">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Dodatkowe definicje</w:t>
      </w:r>
      <w:r>
        <w:rPr>
          <w:rFonts w:ascii="Calibri" w:eastAsia="Times New Roman" w:hAnsi="Calibri" w:cs="Calibri"/>
          <w:sz w:val="18"/>
          <w:szCs w:val="18"/>
        </w:rPr>
        <w:t>: </w:t>
      </w:r>
    </w:p>
    <w:p w14:paraId="444DE5E0" w14:textId="77777777" w:rsidR="00F82521" w:rsidRPr="00506C08" w:rsidRDefault="00F82521" w:rsidP="00F82521">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Łączna Liczba Prób Transakcji</w:t>
      </w:r>
      <w:r>
        <w:rPr>
          <w:rFonts w:ascii="Calibri" w:eastAsia="Times New Roman" w:hAnsi="Calibri" w:cs="Calibri"/>
          <w:sz w:val="18"/>
          <w:szCs w:val="18"/>
        </w:rPr>
        <w:t>” to łączna liczba uwierzytelnionych żądań podpisu API ze strony klienta we Właściwym Okresie w ramach danej subskrypcji Microsoft Azure.</w:t>
      </w:r>
    </w:p>
    <w:p w14:paraId="7B788D13" w14:textId="77777777" w:rsidR="00F82521" w:rsidRPr="00506C08" w:rsidRDefault="00F82521" w:rsidP="00F82521">
      <w:pPr>
        <w:spacing w:after="0" w:line="240" w:lineRule="auto"/>
        <w:textAlignment w:val="baseline"/>
        <w:rPr>
          <w:rFonts w:ascii="Segoe UI" w:eastAsia="Times New Roman" w:hAnsi="Segoe UI" w:cs="Segoe UI"/>
          <w:sz w:val="18"/>
          <w:szCs w:val="18"/>
        </w:rPr>
      </w:pPr>
      <w:r>
        <w:rPr>
          <w:rFonts w:ascii="Calibri" w:eastAsia="Times New Roman" w:hAnsi="Calibri" w:cs="Calibri"/>
          <w:sz w:val="18"/>
          <w:szCs w:val="18"/>
        </w:rPr>
        <w:t>„</w:t>
      </w:r>
      <w:r>
        <w:rPr>
          <w:rFonts w:ascii="Calibri" w:eastAsia="Times New Roman" w:hAnsi="Calibri" w:cs="Calibri"/>
          <w:b/>
          <w:bCs/>
          <w:color w:val="00188F"/>
          <w:sz w:val="18"/>
          <w:szCs w:val="18"/>
        </w:rPr>
        <w:t>Transakcje Zakończone Niepowodzeniem</w:t>
      </w:r>
      <w:r>
        <w:rPr>
          <w:rFonts w:ascii="Calibri" w:eastAsia="Times New Roman" w:hAnsi="Calibri" w:cs="Calibri"/>
          <w:sz w:val="18"/>
          <w:szCs w:val="18"/>
        </w:rPr>
        <w:t>” to zbiór wszystkich uwierzytelnionych żądań podpisu API w ramach Łącznej Liczby Prób Transakcji, które zwracają kod stanu HTTP 5xx lub nie zwracają Kodu Sukcesu w ciągu 90 sekund.</w:t>
      </w:r>
    </w:p>
    <w:p w14:paraId="5AC915C6" w14:textId="77777777" w:rsidR="00F82521" w:rsidRDefault="00F82521" w:rsidP="00F82521">
      <w:pPr>
        <w:spacing w:after="0" w:line="240" w:lineRule="auto"/>
        <w:textAlignment w:val="baseline"/>
        <w:rPr>
          <w:rFonts w:ascii="Calibri" w:eastAsia="Times New Roman" w:hAnsi="Calibri" w:cs="Calibri"/>
          <w:sz w:val="18"/>
          <w:szCs w:val="18"/>
        </w:rPr>
      </w:pPr>
      <w:r>
        <w:rPr>
          <w:rFonts w:ascii="Calibri" w:eastAsia="Times New Roman" w:hAnsi="Calibri" w:cs="Calibri"/>
          <w:b/>
          <w:bCs/>
          <w:color w:val="00188F"/>
          <w:sz w:val="18"/>
          <w:szCs w:val="18"/>
        </w:rPr>
        <w:t>Procent Czasu Sprawnego Działania</w:t>
      </w:r>
      <w:r>
        <w:rPr>
          <w:rFonts w:ascii="Calibri" w:eastAsia="Times New Roman" w:hAnsi="Calibri" w:cs="Calibri"/>
          <w:sz w:val="18"/>
          <w:szCs w:val="18"/>
        </w:rPr>
        <w:t>: jest obliczany jako Łączna Liczba Prób Transakcji pomniejszona o Transakcje Zakończone Niepowodzeniem i podzielona przez Łączną Liczbę Prób Transakcji we Właściwym Okresie dla danej subskrypcji Microsoft Azure. Procent Czasu Sprawnego Działania przedstawia się za pomocą następującego wzoru: </w:t>
      </w:r>
    </w:p>
    <w:p w14:paraId="6F554124" w14:textId="77777777" w:rsidR="00F82521" w:rsidRPr="00A47C2A" w:rsidRDefault="00000000" w:rsidP="00F82521">
      <w:pPr>
        <w:spacing w:before="120" w:after="120" w:line="240" w:lineRule="auto"/>
        <w:rPr>
          <w:i/>
        </w:rPr>
      </w:pPr>
      <m:oMathPara>
        <m:oMath>
          <m:f>
            <m:fPr>
              <m:ctrlPr>
                <w:rPr>
                  <w:rFonts w:ascii="Cambria Math" w:eastAsia="Times New Roman" w:hAnsi="Cambria Math" w:cs="Calibri"/>
                  <w:i/>
                  <w:iCs/>
                  <w:sz w:val="18"/>
                  <w:szCs w:val="18"/>
                </w:rPr>
              </m:ctrlPr>
            </m:fPr>
            <m:num>
              <m:r>
                <m:rPr>
                  <m:nor/>
                </m:rPr>
                <w:rPr>
                  <w:rFonts w:ascii="Cambria Math" w:eastAsia="Times New Roman" w:hAnsi="Cambria Math" w:cs="Calibri"/>
                  <w:i/>
                  <w:iCs/>
                  <w:sz w:val="18"/>
                  <w:szCs w:val="18"/>
                </w:rPr>
                <m:t>Łączna Liczba Prób Transakcji – Transakcje Zakończone Niepowodzeniem</m:t>
              </m:r>
            </m:num>
            <m:den>
              <m:r>
                <m:rPr>
                  <m:nor/>
                </m:rPr>
                <w:rPr>
                  <w:rFonts w:ascii="Cambria Math" w:eastAsia="Times New Roman" w:hAnsi="Cambria Math" w:cs="Calibri"/>
                  <w:i/>
                  <w:iCs/>
                  <w:sz w:val="18"/>
                  <w:szCs w:val="18"/>
                </w:rPr>
                <m:t>Łączna Liczba Prób Transakcji</m:t>
              </m:r>
            </m:den>
          </m:f>
          <m:r>
            <w:rPr>
              <w:rFonts w:ascii="Cambria Math" w:hAnsi="Cambria Math"/>
              <w:sz w:val="18"/>
              <w:szCs w:val="18"/>
            </w:rPr>
            <m:t xml:space="preserve"> x 100</m:t>
          </m:r>
        </m:oMath>
      </m:oMathPara>
    </w:p>
    <w:p w14:paraId="34B0F7B7" w14:textId="77777777" w:rsidR="00F82521" w:rsidRDefault="00F82521" w:rsidP="00F82521">
      <w:pPr>
        <w:pStyle w:val="ProductList-Body"/>
        <w:rPr>
          <w:rFonts w:ascii="Calibri" w:eastAsia="Times New Roman" w:hAnsi="Calibri" w:cs="Calibri"/>
          <w:szCs w:val="18"/>
        </w:rPr>
      </w:pPr>
      <w:r>
        <w:rPr>
          <w:rFonts w:ascii="Calibri" w:eastAsia="Times New Roman" w:hAnsi="Calibri" w:cs="Calibri"/>
          <w:szCs w:val="18"/>
        </w:rPr>
        <w:t> Następujące Poziomy Usługi i Środki na Używanie Usług mogą być wykorzystane przez klienta dla Podpisywania Aplikacji:</w:t>
      </w:r>
    </w:p>
    <w:p w14:paraId="041C0838" w14:textId="77777777" w:rsidR="00F82521" w:rsidRPr="00506C08" w:rsidRDefault="00F82521" w:rsidP="00F82521">
      <w:pPr>
        <w:spacing w:after="0" w:line="240" w:lineRule="auto"/>
        <w:textAlignment w:val="baseline"/>
        <w:rPr>
          <w:rFonts w:ascii="Segoe UI" w:eastAsia="Times New Roman" w:hAnsi="Segoe UI" w:cs="Segoe UI"/>
          <w:sz w:val="18"/>
          <w:szCs w:val="18"/>
        </w:rPr>
      </w:pPr>
      <w:r>
        <w:rPr>
          <w:rFonts w:ascii="Calibri" w:eastAsia="Times New Roman" w:hAnsi="Calibri" w:cs="Calibri"/>
          <w:b/>
          <w:bCs/>
          <w:color w:val="00188F"/>
          <w:sz w:val="18"/>
          <w:szCs w:val="18"/>
        </w:rPr>
        <w:t>Środki Serwisowe na Używanie Usług</w:t>
      </w:r>
      <w:r>
        <w:rPr>
          <w:rFonts w:ascii="Calibri" w:eastAsia="Times New Roman" w:hAnsi="Calibri" w:cs="Calibri"/>
          <w:sz w:val="18"/>
          <w:szCs w:val="18"/>
        </w:rPr>
        <w:t>: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82521" w:rsidRPr="003D5054" w14:paraId="69C424DB" w14:textId="77777777" w:rsidTr="00F53095">
        <w:trPr>
          <w:tblHeader/>
        </w:trPr>
        <w:tc>
          <w:tcPr>
            <w:tcW w:w="5400" w:type="dxa"/>
            <w:shd w:val="clear" w:color="auto" w:fill="0072C6"/>
          </w:tcPr>
          <w:p w14:paraId="4273EC90" w14:textId="77777777" w:rsidR="00F82521" w:rsidRPr="003D5054" w:rsidRDefault="00F82521" w:rsidP="00F5309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400" w:type="dxa"/>
            <w:shd w:val="clear" w:color="auto" w:fill="0072C6"/>
          </w:tcPr>
          <w:p w14:paraId="74472E32" w14:textId="77777777" w:rsidR="00F82521" w:rsidRPr="003D5054" w:rsidRDefault="00F82521" w:rsidP="00F53095">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Serwisowe na Używanie Usług</w:t>
            </w:r>
          </w:p>
        </w:tc>
      </w:tr>
      <w:tr w:rsidR="00F82521" w:rsidRPr="003D5054" w14:paraId="16B0D777" w14:textId="77777777" w:rsidTr="00F53095">
        <w:tc>
          <w:tcPr>
            <w:tcW w:w="5400" w:type="dxa"/>
          </w:tcPr>
          <w:p w14:paraId="24C6C698" w14:textId="77777777" w:rsidR="00F82521" w:rsidRPr="003D5054" w:rsidRDefault="00F82521" w:rsidP="00F53095">
            <w:pPr>
              <w:pStyle w:val="ProductList-OfferingBody"/>
              <w:jc w:val="center"/>
              <w:rPr>
                <w:rFonts w:ascii="Calibri" w:hAnsi="Calibri" w:cs="Calibri"/>
                <w:szCs w:val="16"/>
              </w:rPr>
            </w:pPr>
            <w:r>
              <w:rPr>
                <w:rFonts w:ascii="Calibri" w:hAnsi="Calibri" w:cs="Calibri"/>
                <w:color w:val="000000"/>
                <w:szCs w:val="16"/>
                <w:bdr w:val="none" w:sz="0" w:space="0" w:color="auto" w:frame="1"/>
              </w:rPr>
              <w:t>&lt;99,9%</w:t>
            </w:r>
          </w:p>
        </w:tc>
        <w:tc>
          <w:tcPr>
            <w:tcW w:w="5400" w:type="dxa"/>
          </w:tcPr>
          <w:p w14:paraId="78BD714F" w14:textId="77777777" w:rsidR="00F82521" w:rsidRPr="003D5054" w:rsidRDefault="00F82521" w:rsidP="00F53095">
            <w:pPr>
              <w:pStyle w:val="ProductList-OfferingBody"/>
              <w:jc w:val="center"/>
              <w:rPr>
                <w:rFonts w:ascii="Calibri" w:hAnsi="Calibri" w:cs="Calibri"/>
                <w:szCs w:val="16"/>
              </w:rPr>
            </w:pPr>
            <w:r>
              <w:rPr>
                <w:rFonts w:ascii="Calibri" w:hAnsi="Calibri" w:cs="Calibri"/>
                <w:color w:val="000000"/>
                <w:szCs w:val="16"/>
                <w:bdr w:val="none" w:sz="0" w:space="0" w:color="auto" w:frame="1"/>
              </w:rPr>
              <w:t>10%</w:t>
            </w:r>
          </w:p>
        </w:tc>
      </w:tr>
      <w:tr w:rsidR="00F82521" w:rsidRPr="003D5054" w14:paraId="6FDD8F57" w14:textId="77777777" w:rsidTr="00F53095">
        <w:tc>
          <w:tcPr>
            <w:tcW w:w="5400" w:type="dxa"/>
          </w:tcPr>
          <w:p w14:paraId="1946BC23" w14:textId="77777777" w:rsidR="00F82521" w:rsidRPr="003D5054" w:rsidRDefault="00F82521" w:rsidP="00F53095">
            <w:pPr>
              <w:pStyle w:val="ProductList-OfferingBody"/>
              <w:jc w:val="center"/>
              <w:rPr>
                <w:rFonts w:ascii="Calibri" w:hAnsi="Calibri" w:cs="Calibri"/>
                <w:szCs w:val="16"/>
              </w:rPr>
            </w:pPr>
            <w:r>
              <w:rPr>
                <w:rFonts w:ascii="Calibri" w:hAnsi="Calibri" w:cs="Calibri"/>
                <w:szCs w:val="16"/>
              </w:rPr>
              <w:t>&lt;99%</w:t>
            </w:r>
          </w:p>
        </w:tc>
        <w:tc>
          <w:tcPr>
            <w:tcW w:w="5400" w:type="dxa"/>
          </w:tcPr>
          <w:p w14:paraId="49AC3E44" w14:textId="77777777" w:rsidR="00F82521" w:rsidRPr="003D5054" w:rsidRDefault="00F82521" w:rsidP="00F53095">
            <w:pPr>
              <w:pStyle w:val="ProductList-OfferingBody"/>
              <w:jc w:val="center"/>
              <w:rPr>
                <w:rFonts w:ascii="Calibri" w:hAnsi="Calibri" w:cs="Calibri"/>
                <w:szCs w:val="16"/>
              </w:rPr>
            </w:pPr>
            <w:r>
              <w:rPr>
                <w:rFonts w:ascii="Calibri" w:hAnsi="Calibri" w:cs="Calibri"/>
                <w:szCs w:val="16"/>
              </w:rPr>
              <w:t>25%</w:t>
            </w:r>
          </w:p>
        </w:tc>
      </w:tr>
    </w:tbl>
    <w:p w14:paraId="334625AC" w14:textId="7BC3C058" w:rsidR="00F82521" w:rsidRPr="00F82521" w:rsidRDefault="00F82521" w:rsidP="00F8252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E6F79CE" w14:textId="1999906B" w:rsidR="00895748" w:rsidRPr="00EF7CF9" w:rsidRDefault="00895748" w:rsidP="00073755">
      <w:pPr>
        <w:pStyle w:val="ProductList-Offering2Heading"/>
        <w:keepNext/>
        <w:keepLines/>
        <w:tabs>
          <w:tab w:val="clear" w:pos="360"/>
          <w:tab w:val="clear" w:pos="720"/>
          <w:tab w:val="clear" w:pos="1080"/>
        </w:tabs>
        <w:outlineLvl w:val="2"/>
      </w:pPr>
      <w:bookmarkStart w:id="434" w:name="_Toc239175080"/>
      <w:r>
        <w:t>Maszyny Wirtualne</w:t>
      </w:r>
      <w:bookmarkEnd w:id="429"/>
      <w:bookmarkEnd w:id="430"/>
      <w:bookmarkEnd w:id="431"/>
      <w:bookmarkEnd w:id="433"/>
      <w:bookmarkEnd w:id="434"/>
    </w:p>
    <w:p w14:paraId="15A0C13C" w14:textId="77777777" w:rsidR="00895748" w:rsidRPr="00EF7CF9" w:rsidRDefault="00895748" w:rsidP="00073755">
      <w:pPr>
        <w:pStyle w:val="ProductList-Body"/>
        <w:keepNext/>
        <w:keepLines/>
      </w:pPr>
      <w:r>
        <w:rPr>
          <w:b/>
          <w:color w:val="00188F"/>
        </w:rPr>
        <w:t>Dodatkowe definicje</w:t>
      </w:r>
      <w:r w:rsidRPr="0034704E">
        <w:rPr>
          <w:b/>
          <w:color w:val="00188F"/>
        </w:rPr>
        <w:t>:</w:t>
      </w:r>
    </w:p>
    <w:p w14:paraId="2ACA9E4F" w14:textId="77777777" w:rsidR="001074B3" w:rsidRPr="00EC3D00" w:rsidRDefault="001074B3" w:rsidP="001074B3">
      <w:pPr>
        <w:pStyle w:val="ProductList-Body"/>
        <w:rPr>
          <w:rFonts w:ascii="Calibri" w:hAnsi="Calibri" w:cs="Calibri"/>
        </w:rPr>
      </w:pPr>
      <w:bookmarkStart w:id="435" w:name="VPNGateway"/>
      <w:bookmarkStart w:id="436" w:name="_Toc457821587"/>
      <w:bookmarkStart w:id="437" w:name="VirtualNetworkGateway"/>
      <w:r>
        <w:rPr>
          <w:rFonts w:ascii="Calibri" w:hAnsi="Calibri" w:cs="Calibri"/>
        </w:rPr>
        <w:t>„</w:t>
      </w:r>
      <w:r>
        <w:rPr>
          <w:rFonts w:ascii="Calibri" w:hAnsi="Calibri" w:cs="Calibri"/>
          <w:b/>
          <w:color w:val="00188F"/>
        </w:rPr>
        <w:t>Zestaw Dostępności</w:t>
      </w:r>
      <w:r>
        <w:rPr>
          <w:rFonts w:ascii="Calibri" w:hAnsi="Calibri" w:cs="Calibri"/>
        </w:rPr>
        <w:t>” odnosi się do dwóch lub więcej Maszyn Wirtualnych wdrożonych w różnych Domenach Błędów, aby uniknąć pojedynczego punktu awarii.</w:t>
      </w:r>
    </w:p>
    <w:p w14:paraId="3A280A67"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Strefa Dostępności</w:t>
      </w:r>
      <w:r>
        <w:rPr>
          <w:rFonts w:ascii="Calibri" w:hAnsi="Calibri" w:cs="Calibri"/>
        </w:rPr>
        <w:t>” to bezawaryjny obszar w regionie Azure zapewniający nadmiarowe zasilanie, chłodzenie i funkcje sieciowe.</w:t>
      </w:r>
    </w:p>
    <w:p w14:paraId="2D23D2C2" w14:textId="77777777" w:rsidR="001074B3" w:rsidRPr="00EC3D00" w:rsidRDefault="001074B3" w:rsidP="001074B3">
      <w:pPr>
        <w:pStyle w:val="ProductList-Body"/>
        <w:rPr>
          <w:rFonts w:ascii="Calibri" w:hAnsi="Calibri" w:cs="Calibri"/>
        </w:rPr>
      </w:pPr>
      <w:r>
        <w:rPr>
          <w:rFonts w:ascii="Calibri" w:hAnsi="Calibri" w:cs="Calibri"/>
          <w:color w:val="00188F"/>
        </w:rPr>
        <w:t>„</w:t>
      </w:r>
      <w:r>
        <w:rPr>
          <w:rFonts w:ascii="Calibri" w:hAnsi="Calibri" w:cs="Calibri"/>
          <w:b/>
          <w:bCs/>
          <w:color w:val="00188F"/>
        </w:rPr>
        <w:t>Dedykowany Host Azure</w:t>
      </w:r>
      <w:r>
        <w:rPr>
          <w:rFonts w:ascii="Calibri" w:hAnsi="Calibri" w:cs="Calibri"/>
          <w:color w:val="00188F"/>
        </w:rPr>
        <w:t>”</w:t>
      </w:r>
      <w:r>
        <w:rPr>
          <w:rFonts w:ascii="Calibri" w:hAnsi="Calibri" w:cs="Calibri"/>
        </w:rPr>
        <w:t xml:space="preserve"> udostępnia serwery fizyczne obsługujące co najmniej jedną maszynę wirtualną platformy Azure z (domyślnym) ustawieniem autoReplaceOnFailure wymaganym w przypadku każdej umowy SLA.</w:t>
      </w:r>
    </w:p>
    <w:p w14:paraId="52591EF0"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Dysk Danych</w:t>
      </w:r>
      <w:r>
        <w:rPr>
          <w:rFonts w:ascii="Calibri" w:hAnsi="Calibri" w:cs="Calibri"/>
        </w:rPr>
        <w:t>” to trwały wirtualny dysk twardy podłączony do Maszyny Wirtualnej i wykorzystywany do przechowywania danych aplikacji.</w:t>
      </w:r>
    </w:p>
    <w:p w14:paraId="4004BB73" w14:textId="77777777" w:rsidR="001074B3" w:rsidRPr="00EC3D00" w:rsidRDefault="001074B3" w:rsidP="001074B3">
      <w:pPr>
        <w:pStyle w:val="ProductList-Body"/>
        <w:rPr>
          <w:rFonts w:ascii="Calibri" w:hAnsi="Calibri" w:cs="Calibri"/>
        </w:rPr>
      </w:pPr>
      <w:r>
        <w:rPr>
          <w:rFonts w:ascii="Calibri" w:hAnsi="Calibri" w:cs="Calibri"/>
          <w:color w:val="00188F"/>
        </w:rPr>
        <w:t>„</w:t>
      </w:r>
      <w:r>
        <w:rPr>
          <w:rFonts w:ascii="Calibri" w:hAnsi="Calibri" w:cs="Calibri"/>
          <w:b/>
          <w:bCs/>
          <w:color w:val="00188F"/>
        </w:rPr>
        <w:t>Dedykowana Grupa Hostów</w:t>
      </w:r>
      <w:r>
        <w:rPr>
          <w:rFonts w:ascii="Calibri" w:hAnsi="Calibri" w:cs="Calibri"/>
          <w:color w:val="00188F"/>
        </w:rPr>
        <w:t>”</w:t>
      </w:r>
      <w:r>
        <w:rPr>
          <w:rFonts w:ascii="Calibri" w:hAnsi="Calibri" w:cs="Calibri"/>
        </w:rPr>
        <w:t xml:space="preserve"> to zbiór Dedykowanych Hostów platformy Azure wdrożonych w regionie świadczenia usługi Azure w różnych Domenach Błędów, aby uniknąć pojedynczego punktu awarii.</w:t>
      </w:r>
    </w:p>
    <w:p w14:paraId="1097F196"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Domena Błędu</w:t>
      </w:r>
      <w:r>
        <w:rPr>
          <w:rFonts w:ascii="Calibri" w:hAnsi="Calibri" w:cs="Calibri"/>
        </w:rPr>
        <w:t>” to zbiór serwerów współdzielących wspólne zasoby, takie jak zasilanie i łączność sieciowa.</w:t>
      </w:r>
    </w:p>
    <w:p w14:paraId="301BD3EC"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Dysk z Systemem Operacyjnym</w:t>
      </w:r>
      <w:r>
        <w:rPr>
          <w:rFonts w:ascii="Calibri" w:hAnsi="Calibri" w:cs="Calibri"/>
        </w:rPr>
        <w:t>” to trwały wirtualny dysk twardy podłączony do Maszyny Wirtualnej i służący do przechowywania systemu operacyjnego Maszyny Wirtualnej.</w:t>
      </w:r>
    </w:p>
    <w:p w14:paraId="369DC2B3" w14:textId="77777777" w:rsidR="001074B3" w:rsidRPr="00EC3D00" w:rsidRDefault="001074B3" w:rsidP="001074B3">
      <w:pPr>
        <w:pStyle w:val="ProductList-Body"/>
        <w:rPr>
          <w:rFonts w:ascii="Calibri" w:hAnsi="Calibri" w:cs="Calibri"/>
        </w:rPr>
      </w:pPr>
      <w:r>
        <w:rPr>
          <w:rFonts w:ascii="Calibri" w:hAnsi="Calibri" w:cs="Calibri"/>
        </w:rPr>
        <w:t>„</w:t>
      </w:r>
      <w:r w:rsidRPr="00813936">
        <w:rPr>
          <w:rFonts w:ascii="Calibri" w:hAnsi="Calibri" w:cs="Calibri"/>
          <w:b/>
          <w:color w:val="00188F"/>
        </w:rPr>
        <w:t>Dysk Współdzielony</w:t>
      </w:r>
      <w:r>
        <w:rPr>
          <w:rFonts w:ascii="Calibri" w:hAnsi="Calibri" w:cs="Calibri"/>
        </w:rPr>
        <w:t>” jest dyskiem danych podłączonym jednocześnie do wielu Maszyn Wirtualnych.</w:t>
      </w:r>
    </w:p>
    <w:p w14:paraId="5D432F2F"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Maszyna Wirtualna z Pojedynczą Instancją</w:t>
      </w:r>
      <w:r>
        <w:rPr>
          <w:rFonts w:ascii="Calibri" w:hAnsi="Calibri" w:cs="Calibri"/>
        </w:rPr>
        <w:t xml:space="preserve">”to dowolna pojedyncza Maszyna Wirtualna Microsoft Azure, która nie jest wdrożona w Zestawie Dostępności lub ma tylko jedną instancję wdrożoną w Zestawie Dostępności. </w:t>
      </w:r>
    </w:p>
    <w:p w14:paraId="7575F5F6"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Maszyna Wirtualna</w:t>
      </w:r>
      <w:r>
        <w:rPr>
          <w:rFonts w:ascii="Calibri" w:hAnsi="Calibri" w:cs="Calibri"/>
        </w:rPr>
        <w:t xml:space="preserve">” odnosi się do trwałych typów instancji, które można wdrożyć indywidualnie lub jako część Zestawu Dostępności lub przy użyciu Dedykowanej Grupy Hostów. Maszynę wirtualną można wdrożyć w środowisku wielodzierżawnym na platformie Azure albo w izolowanym środowisku jednodzierżawnym przy użyciu Dedykowanych Hostów dla Platformy Azure. </w:t>
      </w:r>
    </w:p>
    <w:p w14:paraId="4969E10B" w14:textId="77777777" w:rsidR="001074B3" w:rsidRPr="00EC3D00" w:rsidRDefault="001074B3" w:rsidP="001074B3">
      <w:pPr>
        <w:pStyle w:val="ProductList-Body"/>
        <w:rPr>
          <w:rFonts w:ascii="Calibri" w:hAnsi="Calibri" w:cs="Calibri"/>
        </w:rPr>
      </w:pPr>
      <w:r>
        <w:rPr>
          <w:rFonts w:ascii="Calibri" w:hAnsi="Calibri" w:cs="Calibri"/>
        </w:rPr>
        <w:t>„</w:t>
      </w:r>
      <w:r>
        <w:rPr>
          <w:rFonts w:ascii="Calibri" w:hAnsi="Calibri" w:cs="Calibri"/>
          <w:b/>
          <w:color w:val="00188F"/>
        </w:rPr>
        <w:t>Łączność z Maszyną Wirtualną</w:t>
      </w:r>
      <w:r>
        <w:rPr>
          <w:rFonts w:ascii="Calibri" w:hAnsi="Calibri" w:cs="Calibri"/>
        </w:rPr>
        <w:t>” to dwukierunkowy ruch sieciowy pomiędzy Maszyną Wirtualną a innymi adresami IP wykorzystujący protokoły sieciowe TCP lub UDP, w których Maszyna Wirtualna jest skonfigurowana pod kątem dozwolonego ruchu. Adresy IP mogą być adresami IP w tej samej Usłudze Chmurowej co Maszyna Wirtualna, adresami IP w tej samej wirtualnej sieci co Maszyna Wirtualna lub publicznymi, routowalnymi adresami IP.</w:t>
      </w:r>
    </w:p>
    <w:p w14:paraId="7DEB3471" w14:textId="77777777" w:rsidR="001074B3" w:rsidRPr="00EC3D00" w:rsidRDefault="001074B3" w:rsidP="00D34C3B">
      <w:pPr>
        <w:pStyle w:val="ProductList-Body"/>
        <w:spacing w:before="60"/>
        <w:rPr>
          <w:rFonts w:ascii="Calibri" w:hAnsi="Calibri" w:cs="Calibri"/>
          <w:b/>
          <w:color w:val="00188F"/>
        </w:rPr>
      </w:pPr>
      <w:r>
        <w:rPr>
          <w:rFonts w:ascii="Calibri" w:hAnsi="Calibri" w:cs="Calibri"/>
          <w:b/>
          <w:color w:val="00188F"/>
        </w:rPr>
        <w:t>Obliczanie Czasu Sprawnego Działania i Poziomy Usługi dla Maszyn Wirtualnych i Stref Dostępności</w:t>
      </w:r>
    </w:p>
    <w:p w14:paraId="4347BDE6" w14:textId="77777777" w:rsidR="001074B3" w:rsidRPr="00EC3D00" w:rsidRDefault="001074B3" w:rsidP="001074B3">
      <w:pPr>
        <w:pStyle w:val="ProductList-Body"/>
        <w:ind w:left="360"/>
        <w:rPr>
          <w:rFonts w:ascii="Calibri" w:hAnsi="Calibri" w:cs="Calibri"/>
        </w:rPr>
      </w:pPr>
      <w:r>
        <w:rPr>
          <w:rFonts w:ascii="Calibri" w:hAnsi="Calibri" w:cs="Calibri"/>
        </w:rPr>
        <w:t>„</w:t>
      </w:r>
      <w:r>
        <w:rPr>
          <w:rFonts w:ascii="Calibri" w:hAnsi="Calibri" w:cs="Calibri"/>
          <w:b/>
          <w:color w:val="0072C6"/>
        </w:rPr>
        <w:t>Maksymalna Liczba Dostępnych Minut</w:t>
      </w:r>
      <w:r>
        <w:rPr>
          <w:rFonts w:ascii="Calibri" w:hAnsi="Calibri" w:cs="Calibri"/>
        </w:rPr>
        <w:t>” o łączna zakumulowana liczba minut we Właściwym Okresie, podczas których wdrożone są co najmniej dwie Strefy Dostępności w tym samym regionie. Maksymalna Liczba Dostępnych Minut jest mierzona od momentu uruchomienia co najmniej dwóch Maszyn Wirtualnych w dwóch Strefach Dostępności w tym samym regionie w wyniku działania zainicjowanego przez Klienta do momentu, gdy Klient zainicjuje działanie, które spowoduje zatrzymanie albo usunięcie tych Maszyn Wirtualnych.</w:t>
      </w:r>
    </w:p>
    <w:p w14:paraId="324CFB4B" w14:textId="77777777" w:rsidR="001074B3" w:rsidRPr="00EC3D00" w:rsidRDefault="001074B3" w:rsidP="001074B3">
      <w:pPr>
        <w:pStyle w:val="ProductList-Body"/>
        <w:ind w:left="360"/>
        <w:rPr>
          <w:rFonts w:ascii="Calibri" w:hAnsi="Calibri" w:cs="Calibri"/>
        </w:rPr>
      </w:pPr>
      <w:r>
        <w:rPr>
          <w:rFonts w:ascii="Calibri" w:hAnsi="Calibri" w:cs="Calibri"/>
        </w:rPr>
        <w:t>„</w:t>
      </w:r>
      <w:r>
        <w:rPr>
          <w:rFonts w:ascii="Calibri" w:hAnsi="Calibri" w:cs="Calibri"/>
          <w:b/>
          <w:color w:val="0072C6"/>
        </w:rPr>
        <w:t>Przestój</w:t>
      </w:r>
      <w:r>
        <w:rPr>
          <w:rFonts w:ascii="Calibri" w:hAnsi="Calibri" w:cs="Calibri"/>
        </w:rPr>
        <w:t>” to łączna suma zakumulowanych minut stanowiących część Maksymalnej Liczby Dostępnych Minut, podczas których w danym regionie nie ma połączenia z Maszyną Wirtualną.</w:t>
      </w:r>
    </w:p>
    <w:p w14:paraId="4E5144D0" w14:textId="77777777" w:rsidR="001074B3" w:rsidRDefault="001074B3" w:rsidP="001074B3">
      <w:pPr>
        <w:pStyle w:val="ProductList-Body"/>
        <w:ind w:left="360"/>
        <w:rPr>
          <w:rFonts w:ascii="Calibri" w:hAnsi="Calibri" w:cs="Calibri"/>
        </w:rPr>
      </w:pPr>
      <w:r>
        <w:rPr>
          <w:rFonts w:ascii="Calibri" w:hAnsi="Calibri" w:cs="Calibri"/>
        </w:rPr>
        <w:t>„</w:t>
      </w:r>
      <w:r>
        <w:rPr>
          <w:rFonts w:ascii="Calibri" w:hAnsi="Calibri" w:cs="Calibri"/>
          <w:b/>
          <w:color w:val="0072C6"/>
        </w:rPr>
        <w:t>Obliczanie Czasu Sprawnego Działania</w:t>
      </w:r>
      <w:r>
        <w:rPr>
          <w:rFonts w:ascii="Calibri" w:hAnsi="Calibri" w:cs="Calibri"/>
        </w:rPr>
        <w:t>” dla Maszyn Wirtualnych w Strefie Dostępności to Maksymalna Liczba Dostępnych Minut pomniejszona o Przestój podzielona przez Maksymalną Liczbę Dostępnych Minut we Właściwym Okresie dla danej subskrypcji Microsoft Azure. Procent Czasu Sprawnego Działania przedstawia się za pomocą następującego wzoru:</w:t>
      </w:r>
    </w:p>
    <w:p w14:paraId="1EC9ADDD" w14:textId="77777777" w:rsidR="001074B3" w:rsidRPr="00434BE0" w:rsidRDefault="001074B3" w:rsidP="00D917F9">
      <w:pPr>
        <w:pStyle w:val="ListParagraph"/>
        <w:spacing w:before="120"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Miesięczny Procent Czasu Sprawnego Działania= </m:t>
          </m:r>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x 100</m:t>
          </m:r>
        </m:oMath>
      </m:oMathPara>
    </w:p>
    <w:p w14:paraId="3A1FCA02" w14:textId="77777777" w:rsidR="001074B3" w:rsidRPr="00EC3D00" w:rsidRDefault="001074B3" w:rsidP="001074B3">
      <w:pPr>
        <w:pStyle w:val="ProductList-Body"/>
        <w:ind w:left="360"/>
        <w:rPr>
          <w:rFonts w:ascii="Calibri" w:hAnsi="Calibri" w:cs="Calibri"/>
        </w:rPr>
      </w:pPr>
      <w:r>
        <w:rPr>
          <w:rFonts w:ascii="Calibri" w:hAnsi="Calibri" w:cs="Calibri"/>
          <w:b/>
          <w:color w:val="0072C6"/>
        </w:rPr>
        <w:t>Środki Serwisowe na Używanie Usług</w:t>
      </w:r>
      <w:r w:rsidRPr="009D02BB">
        <w:rPr>
          <w:rFonts w:ascii="Calibri" w:hAnsi="Calibri" w:cs="Calibri"/>
          <w:b/>
          <w:color w:val="0072C6"/>
        </w:rPr>
        <w:t>:</w:t>
      </w:r>
    </w:p>
    <w:p w14:paraId="70957695" w14:textId="77777777" w:rsidR="001074B3" w:rsidRPr="00EC3D00" w:rsidRDefault="001074B3" w:rsidP="001074B3">
      <w:pPr>
        <w:pStyle w:val="ProductList-Body"/>
        <w:ind w:left="360"/>
        <w:rPr>
          <w:rFonts w:ascii="Calibri" w:hAnsi="Calibri" w:cs="Calibri"/>
        </w:rPr>
      </w:pPr>
      <w:r>
        <w:rPr>
          <w:rFonts w:ascii="Calibri" w:hAnsi="Calibri" w:cs="Calibri"/>
        </w:rPr>
        <w:t>Do używania przez Klienta Maszyn Wirtualnych wdrożonych w co najmniej dwóch Strefach Dostępności w tym samym regionie, mają zastosowanie następujące Poziomy Usługi i Środki Serwisowe na Używanie Usług:</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074B3" w:rsidRPr="00B44CF9" w14:paraId="1FC7BD83" w14:textId="77777777" w:rsidTr="00E50F69">
        <w:trPr>
          <w:tblHeader/>
        </w:trPr>
        <w:tc>
          <w:tcPr>
            <w:tcW w:w="5040" w:type="dxa"/>
            <w:shd w:val="clear" w:color="auto" w:fill="0072C6"/>
          </w:tcPr>
          <w:p w14:paraId="30F31363" w14:textId="77777777" w:rsidR="001074B3" w:rsidRPr="00EC3D00" w:rsidRDefault="001074B3" w:rsidP="00E50F69">
            <w:pPr>
              <w:pStyle w:val="ProductList-OfferingBody"/>
              <w:jc w:val="center"/>
              <w:rPr>
                <w:rFonts w:ascii="Calibri" w:hAnsi="Calibri" w:cs="Calibri"/>
                <w:color w:val="FFFFFF" w:themeColor="background1"/>
              </w:rPr>
            </w:pPr>
            <w:r>
              <w:rPr>
                <w:rFonts w:ascii="Calibri" w:hAnsi="Calibri" w:cs="Calibri"/>
                <w:color w:val="FFFFFF" w:themeColor="background1"/>
              </w:rPr>
              <w:t>Procent Czasu Sprawnego Działania</w:t>
            </w:r>
          </w:p>
        </w:tc>
        <w:tc>
          <w:tcPr>
            <w:tcW w:w="5400" w:type="dxa"/>
            <w:shd w:val="clear" w:color="auto" w:fill="0072C6"/>
          </w:tcPr>
          <w:p w14:paraId="783B8E1C" w14:textId="77777777" w:rsidR="001074B3" w:rsidRPr="00EC3D00" w:rsidRDefault="001074B3" w:rsidP="00E50F69">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1074B3" w:rsidRPr="00B44CF9" w14:paraId="2F128BDB" w14:textId="77777777" w:rsidTr="00E50F69">
        <w:tc>
          <w:tcPr>
            <w:tcW w:w="5040" w:type="dxa"/>
          </w:tcPr>
          <w:p w14:paraId="4CBE0F73" w14:textId="77777777" w:rsidR="001074B3" w:rsidRPr="00EC3D00" w:rsidRDefault="001074B3" w:rsidP="00E50F69">
            <w:pPr>
              <w:pStyle w:val="ProductList-OfferingBody"/>
              <w:jc w:val="center"/>
              <w:rPr>
                <w:rFonts w:ascii="Calibri" w:hAnsi="Calibri" w:cs="Calibri"/>
              </w:rPr>
            </w:pPr>
            <w:r>
              <w:rPr>
                <w:rFonts w:ascii="Calibri" w:hAnsi="Calibri" w:cs="Calibri"/>
              </w:rPr>
              <w:t>&lt; 99,99%</w:t>
            </w:r>
          </w:p>
        </w:tc>
        <w:tc>
          <w:tcPr>
            <w:tcW w:w="5400" w:type="dxa"/>
          </w:tcPr>
          <w:p w14:paraId="326385D8" w14:textId="77777777" w:rsidR="001074B3" w:rsidRPr="00EC3D00" w:rsidRDefault="001074B3" w:rsidP="00E50F69">
            <w:pPr>
              <w:pStyle w:val="ProductList-OfferingBody"/>
              <w:jc w:val="center"/>
              <w:rPr>
                <w:rFonts w:ascii="Calibri" w:hAnsi="Calibri" w:cs="Calibri"/>
              </w:rPr>
            </w:pPr>
            <w:r>
              <w:rPr>
                <w:rFonts w:ascii="Calibri" w:hAnsi="Calibri" w:cs="Calibri"/>
              </w:rPr>
              <w:t>10%</w:t>
            </w:r>
          </w:p>
        </w:tc>
      </w:tr>
      <w:tr w:rsidR="001074B3" w:rsidRPr="00B44CF9" w14:paraId="0D0F491E" w14:textId="77777777" w:rsidTr="00E50F69">
        <w:tc>
          <w:tcPr>
            <w:tcW w:w="5040" w:type="dxa"/>
          </w:tcPr>
          <w:p w14:paraId="758C28F9" w14:textId="77777777" w:rsidR="001074B3" w:rsidRPr="00EC3D00" w:rsidRDefault="001074B3" w:rsidP="00E50F69">
            <w:pPr>
              <w:pStyle w:val="ProductList-OfferingBody"/>
              <w:jc w:val="center"/>
              <w:rPr>
                <w:rFonts w:ascii="Calibri" w:hAnsi="Calibri" w:cs="Calibri"/>
              </w:rPr>
            </w:pPr>
            <w:r>
              <w:rPr>
                <w:rFonts w:ascii="Calibri" w:hAnsi="Calibri" w:cs="Calibri"/>
              </w:rPr>
              <w:t>&lt; 99%</w:t>
            </w:r>
          </w:p>
        </w:tc>
        <w:tc>
          <w:tcPr>
            <w:tcW w:w="5400" w:type="dxa"/>
          </w:tcPr>
          <w:p w14:paraId="1D0CBF30" w14:textId="77777777" w:rsidR="001074B3" w:rsidRPr="00EC3D00" w:rsidRDefault="001074B3" w:rsidP="00E50F69">
            <w:pPr>
              <w:pStyle w:val="ProductList-OfferingBody"/>
              <w:jc w:val="center"/>
              <w:rPr>
                <w:rFonts w:ascii="Calibri" w:hAnsi="Calibri" w:cs="Calibri"/>
              </w:rPr>
            </w:pPr>
            <w:r>
              <w:rPr>
                <w:rFonts w:ascii="Calibri" w:hAnsi="Calibri" w:cs="Calibri"/>
              </w:rPr>
              <w:t>25%</w:t>
            </w:r>
          </w:p>
        </w:tc>
      </w:tr>
      <w:tr w:rsidR="001074B3" w:rsidRPr="00B44CF9" w14:paraId="7A4B7669" w14:textId="77777777" w:rsidTr="00E50F69">
        <w:tc>
          <w:tcPr>
            <w:tcW w:w="5040" w:type="dxa"/>
          </w:tcPr>
          <w:p w14:paraId="1E74AB9D" w14:textId="77777777" w:rsidR="001074B3" w:rsidRPr="00EC3D00" w:rsidRDefault="001074B3" w:rsidP="00E50F69">
            <w:pPr>
              <w:pStyle w:val="ProductList-OfferingBody"/>
              <w:jc w:val="center"/>
              <w:rPr>
                <w:rFonts w:ascii="Calibri" w:hAnsi="Calibri" w:cs="Calibri"/>
              </w:rPr>
            </w:pPr>
            <w:r>
              <w:rPr>
                <w:rFonts w:ascii="Calibri" w:hAnsi="Calibri" w:cs="Calibri"/>
              </w:rPr>
              <w:t>&lt; 95%</w:t>
            </w:r>
          </w:p>
        </w:tc>
        <w:tc>
          <w:tcPr>
            <w:tcW w:w="5400" w:type="dxa"/>
          </w:tcPr>
          <w:p w14:paraId="7CE863D9" w14:textId="77777777" w:rsidR="001074B3" w:rsidRPr="00EC3D00" w:rsidRDefault="001074B3" w:rsidP="00E50F69">
            <w:pPr>
              <w:pStyle w:val="ProductList-OfferingBody"/>
              <w:jc w:val="center"/>
              <w:rPr>
                <w:rFonts w:ascii="Calibri" w:hAnsi="Calibri" w:cs="Calibri"/>
              </w:rPr>
            </w:pPr>
            <w:r>
              <w:rPr>
                <w:rFonts w:ascii="Calibri" w:hAnsi="Calibri" w:cs="Calibri"/>
              </w:rPr>
              <w:t>100%</w:t>
            </w:r>
          </w:p>
        </w:tc>
      </w:tr>
    </w:tbl>
    <w:p w14:paraId="3C0AA0A4" w14:textId="77777777" w:rsidR="001074B3" w:rsidRPr="00EC3D00" w:rsidRDefault="001074B3" w:rsidP="001074B3">
      <w:pPr>
        <w:pStyle w:val="ProductList-Body"/>
        <w:spacing w:before="120"/>
        <w:rPr>
          <w:rFonts w:ascii="Calibri" w:hAnsi="Calibri" w:cs="Calibri"/>
          <w:b/>
          <w:color w:val="00188F"/>
        </w:rPr>
      </w:pPr>
      <w:r>
        <w:rPr>
          <w:rFonts w:ascii="Calibri" w:hAnsi="Calibri" w:cs="Calibri"/>
          <w:b/>
          <w:color w:val="00188F"/>
        </w:rPr>
        <w:t>Obliczanie Czasu Sprawnego Działania i Poziomy Usługi dla Maszyn Wirtualnych w ramach Zestawu Dostępności albo w tej samej Grupie Dedykowanych Hostów</w:t>
      </w:r>
    </w:p>
    <w:p w14:paraId="7EC18F36" w14:textId="77777777" w:rsidR="001074B3" w:rsidRPr="00EC3D00" w:rsidRDefault="001074B3" w:rsidP="001074B3">
      <w:pPr>
        <w:pStyle w:val="ProductList-Body"/>
        <w:ind w:left="360"/>
        <w:rPr>
          <w:rFonts w:ascii="Calibri" w:hAnsi="Calibri" w:cs="Calibri"/>
        </w:rPr>
      </w:pPr>
      <w:r>
        <w:rPr>
          <w:rFonts w:ascii="Calibri" w:hAnsi="Calibri" w:cs="Calibri"/>
          <w:b/>
          <w:color w:val="0070C0"/>
        </w:rPr>
        <w:t>Maksymalna Liczba Dostępnych Minut</w:t>
      </w:r>
      <w:r w:rsidRPr="00D93AAF">
        <w:rPr>
          <w:rFonts w:ascii="Calibri" w:hAnsi="Calibri" w:cs="Calibri"/>
          <w:b/>
          <w:color w:val="0070C0"/>
        </w:rPr>
        <w:t>:</w:t>
      </w:r>
      <w:r>
        <w:rPr>
          <w:rFonts w:ascii="Calibri" w:hAnsi="Calibri" w:cs="Calibri"/>
        </w:rPr>
        <w:t xml:space="preserve"> Łączna zakumulowana liczba wszystkich minut we Właściwym Okresie dla wszystkich Maszyn Wirtualnych mających dostęp do Internetu, które mają przynajmniej dwa wystąpienia wdrożone w tym samej Grupie Dedykowanych Hostów. Maksymalna Liczba Dostępnych Minut jest mierzona od momentu uruchomienia co najmniej dwóch Maszyn Wirtualnych jednocześnie w tym samym Zestawie Dostępności albo w tej samej Grupie Dedykowanych Hostów w wyniku działania zainicjowanego przez Klienta do momentu, gdy Klient zainicjuje działanie, które spowoduje zatrzymanie albo usunięcie tych Maszyn Wirtualnych.</w:t>
      </w:r>
    </w:p>
    <w:p w14:paraId="62A01070" w14:textId="77777777" w:rsidR="001074B3" w:rsidRPr="00EC3D00" w:rsidRDefault="001074B3" w:rsidP="001074B3">
      <w:pPr>
        <w:pStyle w:val="ProductList-Body"/>
        <w:ind w:left="360"/>
        <w:rPr>
          <w:rFonts w:ascii="Calibri" w:hAnsi="Calibri" w:cs="Calibri"/>
        </w:rPr>
      </w:pPr>
      <w:r>
        <w:rPr>
          <w:rFonts w:ascii="Calibri" w:hAnsi="Calibri" w:cs="Calibri"/>
          <w:b/>
          <w:color w:val="0072C6"/>
        </w:rPr>
        <w:t>Przestój</w:t>
      </w:r>
      <w:r w:rsidRPr="00095381">
        <w:rPr>
          <w:rFonts w:ascii="Calibri" w:hAnsi="Calibri" w:cs="Calibri"/>
          <w:b/>
          <w:color w:val="0072C6"/>
        </w:rPr>
        <w:t>:</w:t>
      </w:r>
      <w:r>
        <w:rPr>
          <w:rFonts w:ascii="Calibri" w:hAnsi="Calibri" w:cs="Calibri"/>
        </w:rPr>
        <w:t xml:space="preserve"> to łączna zakumulowana liczba minut stanowiących część Maksymalnej Liczby Dostępnych Minut, w czasie których nie ma Łączności z Maszyną Wirtualną.</w:t>
      </w:r>
    </w:p>
    <w:p w14:paraId="31A3826A" w14:textId="77777777" w:rsidR="001074B3" w:rsidRDefault="001074B3" w:rsidP="001074B3">
      <w:pPr>
        <w:pStyle w:val="ProductList-Body"/>
        <w:keepNext/>
        <w:ind w:left="360"/>
        <w:rPr>
          <w:rFonts w:ascii="Calibri" w:hAnsi="Calibri" w:cs="Calibri"/>
        </w:rPr>
      </w:pPr>
      <w:r>
        <w:rPr>
          <w:rFonts w:ascii="Calibri" w:hAnsi="Calibri" w:cs="Calibri"/>
          <w:b/>
          <w:color w:val="0072C6"/>
        </w:rPr>
        <w:t>Procent Czasu Sprawnego Działania</w:t>
      </w:r>
      <w:r w:rsidRPr="00CA1411">
        <w:rPr>
          <w:rFonts w:ascii="Calibri" w:hAnsi="Calibri" w:cs="Calibri"/>
          <w:b/>
          <w:color w:val="0072C6"/>
        </w:rPr>
        <w:t>:</w:t>
      </w:r>
      <w:r>
        <w:rPr>
          <w:rFonts w:ascii="Calibri" w:hAnsi="Calibri" w:cs="Calibri"/>
        </w:rPr>
        <w:t xml:space="preserve"> dla Maszyn Wirtualnych to Maksymalna Liczba Dostępnych Minut pomniejszona o Przestój podzielona przez Maksymalną Liczbę Dostępnych Minut we Właściwym Okresie dla danej subskrypcji Microsoft Azure. Procent Czasu Sprawnego Działania przedstawia się za pomocą następującego wzoru:</w:t>
      </w:r>
    </w:p>
    <w:p w14:paraId="62BFD4B0" w14:textId="77777777" w:rsidR="001074B3" w:rsidRPr="00EF7CF9" w:rsidRDefault="001074B3" w:rsidP="00FC58B9">
      <w:pPr>
        <w:pStyle w:val="ListParagraph"/>
        <w:spacing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Miesięczny Procent Czasu Sprawnego Działania= </m:t>
          </m:r>
          <m:f>
            <m:fPr>
              <m:ctrlPr>
                <w:rPr>
                  <w:rFonts w:ascii="Cambria Math" w:hAnsi="Cambria Math" w:cs="Tahoma"/>
                  <w:i/>
                  <w:sz w:val="18"/>
                  <w:szCs w:val="18"/>
                </w:rPr>
              </m:ctrlPr>
            </m:fPr>
            <m:num>
              <m:r>
                <m:rPr>
                  <m:nor/>
                </m:rPr>
                <w:rPr>
                  <w:rFonts w:ascii="Cambria Math" w:hAnsi="Cambria Math" w:cs="Tahoma"/>
                  <w:i/>
                  <w:sz w:val="18"/>
                  <w:szCs w:val="18"/>
                </w:rPr>
                <m:t>(Maksymalna Liczba Minut Dostępności - Przestój)</m:t>
              </m:r>
            </m:num>
            <m:den>
              <m:r>
                <m:rPr>
                  <m:nor/>
                </m:rPr>
                <w:rPr>
                  <w:rFonts w:ascii="Cambria Math" w:hAnsi="Cambria Math" w:cs="Tahoma"/>
                  <w:i/>
                  <w:sz w:val="18"/>
                  <w:szCs w:val="18"/>
                </w:rPr>
                <m:t>Maksymalna Liczba Dostępnych Minut</m:t>
              </m:r>
            </m:den>
          </m:f>
          <m:r>
            <w:rPr>
              <w:rFonts w:ascii="Cambria Math" w:hAnsi="Cambria Math" w:cs="Tahoma"/>
              <w:sz w:val="18"/>
              <w:szCs w:val="18"/>
            </w:rPr>
            <m:t xml:space="preserve"> x 100</m:t>
          </m:r>
        </m:oMath>
      </m:oMathPara>
    </w:p>
    <w:p w14:paraId="744F5B38" w14:textId="77777777" w:rsidR="001074B3" w:rsidRPr="00EC3D00" w:rsidRDefault="001074B3" w:rsidP="001074B3">
      <w:pPr>
        <w:pStyle w:val="ProductList-Body"/>
        <w:keepNext/>
        <w:ind w:left="360"/>
        <w:rPr>
          <w:rFonts w:ascii="Calibri" w:hAnsi="Calibri" w:cs="Calibri"/>
        </w:rPr>
      </w:pPr>
      <w:r>
        <w:rPr>
          <w:rFonts w:ascii="Calibri" w:hAnsi="Calibri" w:cs="Calibri"/>
          <w:b/>
          <w:color w:val="0072C6"/>
        </w:rPr>
        <w:t>Środki Serwisowe na Używanie Usług</w:t>
      </w:r>
      <w:r w:rsidRPr="008921E1">
        <w:rPr>
          <w:rFonts w:ascii="Calibri" w:hAnsi="Calibri" w:cs="Calibri"/>
          <w:b/>
          <w:color w:val="0072C6"/>
        </w:rPr>
        <w:t>:</w:t>
      </w:r>
    </w:p>
    <w:p w14:paraId="236B7A24" w14:textId="77777777" w:rsidR="001074B3" w:rsidRPr="00EC3D00" w:rsidRDefault="001074B3" w:rsidP="001074B3">
      <w:pPr>
        <w:pStyle w:val="ProductList-Body"/>
        <w:ind w:left="360"/>
        <w:rPr>
          <w:rFonts w:ascii="Calibri" w:hAnsi="Calibri" w:cs="Calibri"/>
        </w:rPr>
      </w:pPr>
      <w:r>
        <w:rPr>
          <w:rFonts w:ascii="Calibri" w:hAnsi="Calibri" w:cs="Calibri"/>
        </w:rPr>
        <w:t>Do używania przez Klienta Maszyn Wirtualnych w ramach Zestawu Dostępności albo tej samej Grupy Dedykowanych Hostów, mają zastosowanie następujące Poziomy Usługi i Środki Serwisowe na Używanie Usług. Niniejsza umowa SLA nie ma zastosowania do Zestawów Dostępności używających współdzielonych dysków Azure:</w:t>
      </w:r>
    </w:p>
    <w:tbl>
      <w:tblPr>
        <w:tblW w:w="10440" w:type="dxa"/>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400"/>
      </w:tblGrid>
      <w:tr w:rsidR="001074B3" w:rsidRPr="00B44CF9" w14:paraId="5671D938" w14:textId="77777777" w:rsidTr="00E50F69">
        <w:trPr>
          <w:tblHeader/>
        </w:trPr>
        <w:tc>
          <w:tcPr>
            <w:tcW w:w="5040" w:type="dxa"/>
            <w:shd w:val="clear" w:color="auto" w:fill="0072C6"/>
          </w:tcPr>
          <w:p w14:paraId="6D398839" w14:textId="77777777" w:rsidR="001074B3" w:rsidRPr="00EF7CF9" w:rsidRDefault="001074B3" w:rsidP="00E50F69">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32BE80B" w14:textId="77777777" w:rsidR="001074B3" w:rsidRPr="00EF7CF9" w:rsidRDefault="001074B3" w:rsidP="00E50F69">
            <w:pPr>
              <w:pStyle w:val="ProductList-OfferingBody"/>
              <w:jc w:val="center"/>
              <w:rPr>
                <w:color w:val="FFFFFF" w:themeColor="background1"/>
              </w:rPr>
            </w:pPr>
            <w:r>
              <w:rPr>
                <w:color w:val="FFFFFF" w:themeColor="background1"/>
              </w:rPr>
              <w:t>Środki Serwisowe na Używanie Usług</w:t>
            </w:r>
          </w:p>
        </w:tc>
      </w:tr>
      <w:tr w:rsidR="001074B3" w:rsidRPr="00B44CF9" w14:paraId="251001D3" w14:textId="77777777" w:rsidTr="00E50F69">
        <w:tc>
          <w:tcPr>
            <w:tcW w:w="5040" w:type="dxa"/>
          </w:tcPr>
          <w:p w14:paraId="68A71069" w14:textId="77777777" w:rsidR="001074B3" w:rsidRPr="00EC3D00" w:rsidRDefault="001074B3" w:rsidP="00E50F69">
            <w:pPr>
              <w:pStyle w:val="ProductList-OfferingBody"/>
              <w:jc w:val="center"/>
              <w:rPr>
                <w:rFonts w:ascii="Calibri" w:hAnsi="Calibri" w:cs="Calibri"/>
              </w:rPr>
            </w:pPr>
            <w:r>
              <w:rPr>
                <w:rFonts w:ascii="Calibri" w:hAnsi="Calibri" w:cs="Calibri"/>
              </w:rPr>
              <w:t>&lt; 99,95%</w:t>
            </w:r>
          </w:p>
        </w:tc>
        <w:tc>
          <w:tcPr>
            <w:tcW w:w="5400" w:type="dxa"/>
          </w:tcPr>
          <w:p w14:paraId="6C2D6887" w14:textId="77777777" w:rsidR="001074B3" w:rsidRPr="00EC3D00" w:rsidRDefault="001074B3" w:rsidP="00E50F69">
            <w:pPr>
              <w:pStyle w:val="ProductList-OfferingBody"/>
              <w:jc w:val="center"/>
              <w:rPr>
                <w:rFonts w:ascii="Calibri" w:hAnsi="Calibri" w:cs="Calibri"/>
              </w:rPr>
            </w:pPr>
            <w:r>
              <w:rPr>
                <w:rFonts w:ascii="Calibri" w:hAnsi="Calibri" w:cs="Calibri"/>
              </w:rPr>
              <w:t>10%</w:t>
            </w:r>
          </w:p>
        </w:tc>
      </w:tr>
      <w:tr w:rsidR="001074B3" w:rsidRPr="00B44CF9" w14:paraId="74499020" w14:textId="77777777" w:rsidTr="00E50F69">
        <w:tc>
          <w:tcPr>
            <w:tcW w:w="5040" w:type="dxa"/>
          </w:tcPr>
          <w:p w14:paraId="7222BC03" w14:textId="77777777" w:rsidR="001074B3" w:rsidRPr="00EC3D00" w:rsidRDefault="001074B3" w:rsidP="00E50F69">
            <w:pPr>
              <w:pStyle w:val="ProductList-OfferingBody"/>
              <w:jc w:val="center"/>
              <w:rPr>
                <w:rFonts w:ascii="Calibri" w:hAnsi="Calibri" w:cs="Calibri"/>
              </w:rPr>
            </w:pPr>
            <w:r>
              <w:rPr>
                <w:rFonts w:ascii="Calibri" w:hAnsi="Calibri" w:cs="Calibri"/>
              </w:rPr>
              <w:t>&lt; 99%</w:t>
            </w:r>
          </w:p>
        </w:tc>
        <w:tc>
          <w:tcPr>
            <w:tcW w:w="5400" w:type="dxa"/>
          </w:tcPr>
          <w:p w14:paraId="3993C06B" w14:textId="77777777" w:rsidR="001074B3" w:rsidRPr="00EC3D00" w:rsidRDefault="001074B3" w:rsidP="00E50F69">
            <w:pPr>
              <w:pStyle w:val="ProductList-OfferingBody"/>
              <w:jc w:val="center"/>
              <w:rPr>
                <w:rFonts w:ascii="Calibri" w:hAnsi="Calibri" w:cs="Calibri"/>
              </w:rPr>
            </w:pPr>
            <w:r>
              <w:rPr>
                <w:rFonts w:ascii="Calibri" w:hAnsi="Calibri" w:cs="Calibri"/>
              </w:rPr>
              <w:t>25%</w:t>
            </w:r>
          </w:p>
        </w:tc>
      </w:tr>
      <w:tr w:rsidR="001074B3" w:rsidRPr="00B44CF9" w14:paraId="14D5A69D" w14:textId="77777777" w:rsidTr="00E50F69">
        <w:tc>
          <w:tcPr>
            <w:tcW w:w="5040" w:type="dxa"/>
          </w:tcPr>
          <w:p w14:paraId="452B11DD" w14:textId="77777777" w:rsidR="001074B3" w:rsidRPr="00EC3D00" w:rsidRDefault="001074B3" w:rsidP="00E50F69">
            <w:pPr>
              <w:pStyle w:val="ProductList-OfferingBody"/>
              <w:jc w:val="center"/>
              <w:rPr>
                <w:rFonts w:ascii="Calibri" w:hAnsi="Calibri" w:cs="Calibri"/>
              </w:rPr>
            </w:pPr>
            <w:r>
              <w:rPr>
                <w:rFonts w:ascii="Calibri" w:hAnsi="Calibri" w:cs="Calibri"/>
              </w:rPr>
              <w:t>&lt; 95%</w:t>
            </w:r>
          </w:p>
        </w:tc>
        <w:tc>
          <w:tcPr>
            <w:tcW w:w="5400" w:type="dxa"/>
          </w:tcPr>
          <w:p w14:paraId="2059170A" w14:textId="77777777" w:rsidR="001074B3" w:rsidRPr="00EC3D00" w:rsidRDefault="001074B3" w:rsidP="00E50F69">
            <w:pPr>
              <w:pStyle w:val="ProductList-OfferingBody"/>
              <w:jc w:val="center"/>
              <w:rPr>
                <w:rFonts w:ascii="Calibri" w:hAnsi="Calibri" w:cs="Calibri"/>
              </w:rPr>
            </w:pPr>
            <w:r>
              <w:rPr>
                <w:rFonts w:ascii="Calibri" w:hAnsi="Calibri" w:cs="Calibri"/>
              </w:rPr>
              <w:t>100%</w:t>
            </w:r>
          </w:p>
        </w:tc>
      </w:tr>
    </w:tbl>
    <w:p w14:paraId="63658F8D" w14:textId="77777777" w:rsidR="001074B3" w:rsidRPr="00EC3D00" w:rsidRDefault="001074B3" w:rsidP="001074B3">
      <w:pPr>
        <w:pStyle w:val="ProductList-Body"/>
        <w:spacing w:before="120"/>
        <w:rPr>
          <w:rFonts w:ascii="Calibri" w:hAnsi="Calibri" w:cs="Calibri"/>
          <w:b/>
          <w:color w:val="00188F"/>
        </w:rPr>
      </w:pPr>
      <w:r>
        <w:rPr>
          <w:rFonts w:ascii="Calibri" w:hAnsi="Calibri" w:cs="Calibri"/>
          <w:b/>
          <w:color w:val="00188F"/>
        </w:rPr>
        <w:t>Obliczanie Czasu Sprawnego Działania i Poziomy Usługi dla Maszyn Wirtualnych z Pojedynczą Instancją i Maszyn Wirtualnych wykorzystujących ten sam Dysk Współdzielony.</w:t>
      </w:r>
    </w:p>
    <w:p w14:paraId="4A410F1B" w14:textId="77777777" w:rsidR="001074B3" w:rsidRPr="00EC3D00" w:rsidRDefault="001074B3" w:rsidP="001074B3">
      <w:pPr>
        <w:pStyle w:val="ProductList-Body"/>
        <w:ind w:left="360"/>
        <w:rPr>
          <w:rFonts w:ascii="Calibri" w:hAnsi="Calibri" w:cs="Calibri"/>
        </w:rPr>
      </w:pPr>
      <w:r>
        <w:rPr>
          <w:rFonts w:ascii="Calibri" w:hAnsi="Calibri" w:cs="Calibri"/>
        </w:rPr>
        <w:t>„</w:t>
      </w:r>
      <w:r>
        <w:rPr>
          <w:rFonts w:ascii="Calibri" w:hAnsi="Calibri" w:cs="Calibri"/>
          <w:b/>
          <w:color w:val="0072C6"/>
        </w:rPr>
        <w:t>Liczba Minut we Właściwym Okresie</w:t>
      </w:r>
      <w:r>
        <w:rPr>
          <w:rFonts w:ascii="Calibri" w:hAnsi="Calibri" w:cs="Calibri"/>
        </w:rPr>
        <w:t>” to łączna liczba minut we Właściwym Okresie.</w:t>
      </w:r>
    </w:p>
    <w:p w14:paraId="3CED5474" w14:textId="77777777" w:rsidR="001074B3" w:rsidRPr="00EC3D00" w:rsidRDefault="001074B3" w:rsidP="001074B3">
      <w:pPr>
        <w:pStyle w:val="ProductList-Body"/>
        <w:ind w:left="360"/>
        <w:rPr>
          <w:rFonts w:ascii="Calibri" w:hAnsi="Calibri" w:cs="Calibri"/>
        </w:rPr>
      </w:pPr>
      <w:r>
        <w:rPr>
          <w:rFonts w:ascii="Calibri" w:hAnsi="Calibri" w:cs="Calibri"/>
          <w:b/>
          <w:color w:val="0072C6"/>
        </w:rPr>
        <w:t>Przestój</w:t>
      </w:r>
      <w:r w:rsidRPr="0008528B">
        <w:rPr>
          <w:rFonts w:ascii="Calibri" w:hAnsi="Calibri" w:cs="Calibri"/>
          <w:b/>
          <w:color w:val="0072C6"/>
        </w:rPr>
        <w:t>:</w:t>
      </w:r>
      <w:r>
        <w:rPr>
          <w:rFonts w:ascii="Calibri" w:hAnsi="Calibri" w:cs="Calibri"/>
        </w:rPr>
        <w:t xml:space="preserve"> to łączna zakumulowana liczba minut stanowiących część Minut we Właściwym Okresie, w czasie których nie ma Łączności z Maszyną Wirtualną.</w:t>
      </w:r>
    </w:p>
    <w:p w14:paraId="77CDB137" w14:textId="77777777" w:rsidR="001074B3" w:rsidRDefault="001074B3" w:rsidP="001074B3">
      <w:pPr>
        <w:pStyle w:val="ProductList-Body"/>
        <w:ind w:left="360"/>
        <w:rPr>
          <w:rFonts w:ascii="Calibri" w:hAnsi="Calibri" w:cs="Calibri"/>
        </w:rPr>
      </w:pPr>
      <w:r>
        <w:rPr>
          <w:rFonts w:ascii="Calibri" w:hAnsi="Calibri" w:cs="Calibri"/>
          <w:b/>
          <w:color w:val="0072C6"/>
        </w:rPr>
        <w:t>Procent Czasu Sprawnego Działania</w:t>
      </w:r>
      <w:r w:rsidRPr="006F2479">
        <w:rPr>
          <w:rFonts w:ascii="Calibri" w:hAnsi="Calibri" w:cs="Calibri"/>
          <w:b/>
          <w:color w:val="0072C6"/>
        </w:rPr>
        <w:t>:</w:t>
      </w:r>
      <w:r>
        <w:rPr>
          <w:rFonts w:ascii="Calibri" w:hAnsi="Calibri" w:cs="Calibri"/>
        </w:rPr>
        <w:t xml:space="preserve"> oblicza się poprzez odjęcie od 100% odsetka Minut ww Właściwym Okresie, w którym dowolna Maszyna Wirtualna z Pojedynczą Instancją miała Przestój lub w którym wszystkie Maszyny Wirtualne korzystające z tego samego Dysku Współdzielonego miały Przestój.</w:t>
      </w:r>
    </w:p>
    <w:p w14:paraId="29148B56" w14:textId="77777777" w:rsidR="001074B3" w:rsidRPr="00EF7CF9" w:rsidRDefault="001074B3" w:rsidP="00FC58B9">
      <w:pPr>
        <w:pStyle w:val="ListParagraph"/>
        <w:spacing w:after="120" w:line="240" w:lineRule="auto"/>
        <w:contextualSpacing w:val="0"/>
        <w:rPr>
          <w:rFonts w:ascii="Cambria Math" w:hAnsi="Cambria Math" w:cs="Tahoma"/>
          <w:i/>
          <w:sz w:val="12"/>
          <w:szCs w:val="12"/>
        </w:rPr>
      </w:pPr>
      <m:oMathPara>
        <m:oMath>
          <m:r>
            <w:rPr>
              <w:rFonts w:ascii="Cambria Math" w:hAnsi="Cambria Math" w:cs="Tahoma"/>
              <w:sz w:val="18"/>
              <w:szCs w:val="18"/>
            </w:rPr>
            <m:t xml:space="preserve"> Miesięczny Procent Czasu Sprawnego Działania= </m:t>
          </m:r>
          <m:f>
            <m:fPr>
              <m:ctrlPr>
                <w:rPr>
                  <w:rFonts w:ascii="Cambria Math" w:hAnsi="Cambria Math" w:cs="Tahoma"/>
                  <w:i/>
                  <w:sz w:val="18"/>
                  <w:szCs w:val="18"/>
                </w:rPr>
              </m:ctrlPr>
            </m:fPr>
            <m:num>
              <m:r>
                <m:rPr>
                  <m:nor/>
                </m:rPr>
                <w:rPr>
                  <w:rFonts w:ascii="Cambria Math" w:hAnsi="Cambria Math" w:cs="Tahoma"/>
                  <w:i/>
                  <w:sz w:val="18"/>
                  <w:szCs w:val="18"/>
                </w:rPr>
                <m:t>(Minuty we Właściwym Okresie - Przestój)</m:t>
              </m:r>
            </m:num>
            <m:den>
              <m:r>
                <m:rPr>
                  <m:nor/>
                </m:rPr>
                <w:rPr>
                  <w:rFonts w:ascii="Cambria Math" w:hAnsi="Cambria Math" w:cs="Tahoma"/>
                  <w:i/>
                  <w:sz w:val="18"/>
                  <w:szCs w:val="18"/>
                </w:rPr>
                <m:t>Minuty we Właściwym Okresie</m:t>
              </m:r>
            </m:den>
          </m:f>
          <m:r>
            <w:rPr>
              <w:rFonts w:ascii="Cambria Math" w:hAnsi="Cambria Math" w:cs="Tahoma"/>
              <w:sz w:val="18"/>
              <w:szCs w:val="18"/>
            </w:rPr>
            <m:t xml:space="preserve"> x 100</m:t>
          </m:r>
        </m:oMath>
      </m:oMathPara>
    </w:p>
    <w:p w14:paraId="14321B91" w14:textId="77777777" w:rsidR="001074B3" w:rsidRPr="00EC3D00" w:rsidRDefault="001074B3" w:rsidP="001074B3">
      <w:pPr>
        <w:pStyle w:val="ProductList-Body"/>
        <w:ind w:left="360"/>
        <w:rPr>
          <w:rFonts w:ascii="Calibri" w:hAnsi="Calibri" w:cs="Calibri"/>
        </w:rPr>
      </w:pPr>
      <w:r>
        <w:rPr>
          <w:rFonts w:ascii="Calibri" w:hAnsi="Calibri" w:cs="Calibri"/>
          <w:b/>
          <w:color w:val="0072C6"/>
        </w:rPr>
        <w:t>Środki Serwisowe na Używanie Usług</w:t>
      </w:r>
      <w:r w:rsidRPr="00246FCB">
        <w:rPr>
          <w:rFonts w:ascii="Calibri" w:hAnsi="Calibri" w:cs="Calibri"/>
          <w:b/>
          <w:color w:val="0072C6"/>
        </w:rPr>
        <w:t>:</w:t>
      </w:r>
    </w:p>
    <w:p w14:paraId="61583B6D" w14:textId="77777777" w:rsidR="001074B3" w:rsidRDefault="001074B3" w:rsidP="001074B3">
      <w:pPr>
        <w:pStyle w:val="ProductList-Body"/>
        <w:ind w:left="360"/>
        <w:rPr>
          <w:rFonts w:ascii="Calibri" w:hAnsi="Calibri" w:cs="Calibri"/>
        </w:rPr>
      </w:pPr>
      <w:r>
        <w:rPr>
          <w:rFonts w:ascii="Calibri" w:hAnsi="Calibri" w:cs="Calibri"/>
        </w:rPr>
        <w:t>Poniższe Poziomy Usług i Środki Serwisowe na Używanie Usług zastosowanie do korzystania przez Klienta z Maszyn Wirtualnych o Pojedynczej Instancji i Maszyn Wirtualnych korzystających z tego samego typu Dysków Współdzielonych. W przypadku dowolnej Maszyny Wirtualnej o Pojedynczej Instancji korzystającej z wielu typów dysków oraz w przypadku wszystkich Maszyn Wirtualnych korzystających z tych samych Dysków Współdzielonych wielu typów*, obowiązuje najniższa umowa SLA ze wszystkich dysków na Maszynie Wirtualnej:</w:t>
      </w:r>
    </w:p>
    <w:p w14:paraId="4CE4FAC2" w14:textId="77777777" w:rsidR="00813936" w:rsidRDefault="00813936" w:rsidP="001074B3">
      <w:pPr>
        <w:pStyle w:val="ProductList-Body"/>
        <w:ind w:left="360"/>
        <w:rPr>
          <w:rFonts w:ascii="Calibri" w:hAnsi="Calibri" w:cs="Calibri"/>
        </w:rPr>
      </w:pPr>
    </w:p>
    <w:p w14:paraId="10ECB5D1" w14:textId="77777777" w:rsidR="001074B3" w:rsidRPr="00EC3D00" w:rsidRDefault="001074B3" w:rsidP="001074B3">
      <w:pPr>
        <w:pStyle w:val="ProductList-Body"/>
        <w:ind w:left="360"/>
        <w:rPr>
          <w:rFonts w:ascii="Calibri" w:hAnsi="Calibri" w:cs="Calibri"/>
        </w:rPr>
      </w:pPr>
      <w:r>
        <w:rPr>
          <w:rFonts w:ascii="Calibri" w:hAnsi="Calibri" w:cs="Calibri"/>
        </w:rPr>
        <w:t>*Na przykład, biorąc pod uwagę dwie Maszyny Wirtualne VM1 i VM2 korzystające z Dysku Współdzielonego Premium SSD i standardowego Dysku Współdzielonego SSD, umowa SLA dotycząca czasu pracy dla VM1 i VM2 będzie taka sama jak umowa SLA dla Maszyny Wirtualnej z Pojedynczą Instancją korzystającej ze standardowego dysku SSD, jak pokazano poniżej</w:t>
      </w:r>
    </w:p>
    <w:tbl>
      <w:tblPr>
        <w:tblW w:w="4835" w:type="pct"/>
        <w:tblInd w:w="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428"/>
        <w:gridCol w:w="2613"/>
        <w:gridCol w:w="2880"/>
        <w:gridCol w:w="2513"/>
      </w:tblGrid>
      <w:tr w:rsidR="001074B3" w:rsidRPr="00B44CF9" w14:paraId="29866D81" w14:textId="77777777" w:rsidTr="00E50F69">
        <w:trPr>
          <w:tblHeader/>
        </w:trPr>
        <w:tc>
          <w:tcPr>
            <w:tcW w:w="1164" w:type="pct"/>
            <w:shd w:val="clear" w:color="auto" w:fill="0072C6"/>
          </w:tcPr>
          <w:p w14:paraId="6407D802" w14:textId="77777777" w:rsidR="001074B3" w:rsidRPr="00EC3D00" w:rsidRDefault="001074B3" w:rsidP="00E50F69">
            <w:pPr>
              <w:pStyle w:val="ProductList-OfferingBody"/>
              <w:rPr>
                <w:rFonts w:ascii="Calibri" w:hAnsi="Calibri" w:cs="Calibri"/>
                <w:color w:val="FFFFFF" w:themeColor="background1"/>
              </w:rPr>
            </w:pPr>
            <w:r>
              <w:rPr>
                <w:rFonts w:ascii="Calibri" w:hAnsi="Calibri" w:cs="Calibri"/>
                <w:color w:val="FFFFFF" w:themeColor="background1"/>
              </w:rPr>
              <w:t>Procent Czasu Sprawnego Działania (Premium SSD, Premium SSD v2 i Ultra Disk)**</w:t>
            </w:r>
          </w:p>
        </w:tc>
        <w:tc>
          <w:tcPr>
            <w:tcW w:w="1252" w:type="pct"/>
            <w:shd w:val="clear" w:color="auto" w:fill="0072C6"/>
          </w:tcPr>
          <w:p w14:paraId="1BF6B0B3" w14:textId="77777777" w:rsidR="001074B3" w:rsidRPr="00EC3D00" w:rsidRDefault="001074B3" w:rsidP="00E50F69">
            <w:pPr>
              <w:pStyle w:val="ProductList-OfferingBody"/>
              <w:jc w:val="center"/>
              <w:rPr>
                <w:rFonts w:ascii="Calibri" w:hAnsi="Calibri" w:cs="Calibri"/>
                <w:color w:val="FFFFFF" w:themeColor="background1"/>
              </w:rPr>
            </w:pPr>
            <w:r>
              <w:rPr>
                <w:rFonts w:ascii="Calibri" w:hAnsi="Calibri" w:cs="Calibri"/>
                <w:color w:val="FFFFFF" w:themeColor="background1"/>
              </w:rPr>
              <w:t>Procent Czasu Sprawnego Działania (Zarządzany Dysk SSD w warstwie Standardowa)</w:t>
            </w:r>
          </w:p>
        </w:tc>
        <w:tc>
          <w:tcPr>
            <w:tcW w:w="1380" w:type="pct"/>
            <w:shd w:val="clear" w:color="auto" w:fill="0072C6"/>
          </w:tcPr>
          <w:p w14:paraId="61E5930D" w14:textId="77777777" w:rsidR="001074B3" w:rsidRPr="00EC3D00" w:rsidRDefault="001074B3" w:rsidP="00E50F69">
            <w:pPr>
              <w:pStyle w:val="ProductList-OfferingBody"/>
              <w:jc w:val="center"/>
              <w:rPr>
                <w:rFonts w:ascii="Calibri" w:hAnsi="Calibri" w:cs="Calibri"/>
                <w:color w:val="FFFFFF" w:themeColor="background1"/>
              </w:rPr>
            </w:pPr>
            <w:r>
              <w:rPr>
                <w:rFonts w:ascii="Calibri" w:hAnsi="Calibri" w:cs="Calibri"/>
                <w:color w:val="FFFFFF" w:themeColor="background1"/>
              </w:rPr>
              <w:t>Procent Czasu Sprawnego Działania (Zarządzany Dysk HDD w warstwie Standardowa)</w:t>
            </w:r>
          </w:p>
        </w:tc>
        <w:tc>
          <w:tcPr>
            <w:tcW w:w="1204" w:type="pct"/>
            <w:shd w:val="clear" w:color="auto" w:fill="0072C6"/>
          </w:tcPr>
          <w:p w14:paraId="3F473343" w14:textId="77777777" w:rsidR="001074B3" w:rsidRPr="00EC3D00" w:rsidRDefault="001074B3" w:rsidP="00E50F69">
            <w:pPr>
              <w:pStyle w:val="ProductList-OfferingBody"/>
              <w:jc w:val="center"/>
              <w:rPr>
                <w:rFonts w:ascii="Calibri" w:hAnsi="Calibri" w:cs="Calibri"/>
                <w:color w:val="FFFFFF" w:themeColor="background1"/>
              </w:rPr>
            </w:pPr>
            <w:r>
              <w:rPr>
                <w:rFonts w:ascii="Calibri" w:hAnsi="Calibri" w:cs="Calibri"/>
                <w:color w:val="FFFFFF" w:themeColor="background1"/>
              </w:rPr>
              <w:t>Środki Serwisowe na Używanie Usług</w:t>
            </w:r>
          </w:p>
        </w:tc>
      </w:tr>
      <w:tr w:rsidR="001074B3" w:rsidRPr="00B44CF9" w14:paraId="512910B1" w14:textId="77777777" w:rsidTr="00E50F69">
        <w:tc>
          <w:tcPr>
            <w:tcW w:w="1164" w:type="pct"/>
          </w:tcPr>
          <w:p w14:paraId="2523B160" w14:textId="77777777" w:rsidR="001074B3" w:rsidRPr="00EC3D00" w:rsidRDefault="001074B3" w:rsidP="00E50F69">
            <w:pPr>
              <w:pStyle w:val="ProductList-OfferingBody"/>
              <w:jc w:val="center"/>
              <w:rPr>
                <w:rFonts w:ascii="Calibri" w:hAnsi="Calibri" w:cs="Calibri"/>
              </w:rPr>
            </w:pPr>
            <w:r>
              <w:rPr>
                <w:rFonts w:ascii="Calibri" w:hAnsi="Calibri" w:cs="Calibri"/>
              </w:rPr>
              <w:t>&lt; 99,9%</w:t>
            </w:r>
          </w:p>
        </w:tc>
        <w:tc>
          <w:tcPr>
            <w:tcW w:w="1252" w:type="pct"/>
          </w:tcPr>
          <w:p w14:paraId="65587C9A" w14:textId="77777777" w:rsidR="001074B3" w:rsidRPr="00EC3D00" w:rsidRDefault="001074B3" w:rsidP="00E50F69">
            <w:pPr>
              <w:pStyle w:val="ProductList-OfferingBody"/>
              <w:jc w:val="center"/>
              <w:rPr>
                <w:rFonts w:ascii="Calibri" w:hAnsi="Calibri" w:cs="Calibri"/>
              </w:rPr>
            </w:pPr>
            <w:r>
              <w:rPr>
                <w:rFonts w:ascii="Calibri" w:hAnsi="Calibri" w:cs="Calibri"/>
              </w:rPr>
              <w:t>&lt; 99,5%</w:t>
            </w:r>
          </w:p>
        </w:tc>
        <w:tc>
          <w:tcPr>
            <w:tcW w:w="1380" w:type="pct"/>
          </w:tcPr>
          <w:p w14:paraId="0EB0F9CA" w14:textId="77777777" w:rsidR="001074B3" w:rsidRPr="00EC3D00" w:rsidRDefault="001074B3" w:rsidP="00E50F69">
            <w:pPr>
              <w:pStyle w:val="ProductList-OfferingBody"/>
              <w:jc w:val="center"/>
              <w:rPr>
                <w:rFonts w:ascii="Calibri" w:hAnsi="Calibri" w:cs="Calibri"/>
              </w:rPr>
            </w:pPr>
            <w:r>
              <w:rPr>
                <w:rFonts w:ascii="Calibri" w:hAnsi="Calibri" w:cs="Calibri"/>
              </w:rPr>
              <w:t>&lt; 95%</w:t>
            </w:r>
          </w:p>
        </w:tc>
        <w:tc>
          <w:tcPr>
            <w:tcW w:w="1204" w:type="pct"/>
          </w:tcPr>
          <w:p w14:paraId="366B65B1" w14:textId="77777777" w:rsidR="001074B3" w:rsidRPr="00EC3D00" w:rsidRDefault="001074B3" w:rsidP="00E50F69">
            <w:pPr>
              <w:pStyle w:val="ProductList-OfferingBody"/>
              <w:jc w:val="center"/>
              <w:rPr>
                <w:rFonts w:ascii="Calibri" w:hAnsi="Calibri" w:cs="Calibri"/>
              </w:rPr>
            </w:pPr>
            <w:r>
              <w:rPr>
                <w:rFonts w:ascii="Calibri" w:hAnsi="Calibri" w:cs="Calibri"/>
              </w:rPr>
              <w:t>10%</w:t>
            </w:r>
          </w:p>
        </w:tc>
      </w:tr>
      <w:tr w:rsidR="001074B3" w:rsidRPr="00B44CF9" w14:paraId="4109B1E5" w14:textId="77777777" w:rsidTr="00E50F69">
        <w:tc>
          <w:tcPr>
            <w:tcW w:w="1164" w:type="pct"/>
          </w:tcPr>
          <w:p w14:paraId="2F722487" w14:textId="77777777" w:rsidR="001074B3" w:rsidRPr="00EC3D00" w:rsidRDefault="001074B3" w:rsidP="00E50F69">
            <w:pPr>
              <w:pStyle w:val="ProductList-OfferingBody"/>
              <w:jc w:val="center"/>
              <w:rPr>
                <w:rFonts w:ascii="Calibri" w:hAnsi="Calibri" w:cs="Calibri"/>
              </w:rPr>
            </w:pPr>
            <w:r>
              <w:rPr>
                <w:rFonts w:ascii="Calibri" w:hAnsi="Calibri" w:cs="Calibri"/>
              </w:rPr>
              <w:t>&lt; 99%</w:t>
            </w:r>
          </w:p>
        </w:tc>
        <w:tc>
          <w:tcPr>
            <w:tcW w:w="1252" w:type="pct"/>
          </w:tcPr>
          <w:p w14:paraId="48F01ACC" w14:textId="77777777" w:rsidR="001074B3" w:rsidRPr="00EC3D00" w:rsidRDefault="001074B3" w:rsidP="00E50F69">
            <w:pPr>
              <w:pStyle w:val="ProductList-OfferingBody"/>
              <w:jc w:val="center"/>
              <w:rPr>
                <w:rFonts w:ascii="Calibri" w:hAnsi="Calibri" w:cs="Calibri"/>
              </w:rPr>
            </w:pPr>
            <w:r>
              <w:rPr>
                <w:rFonts w:ascii="Calibri" w:hAnsi="Calibri" w:cs="Calibri"/>
              </w:rPr>
              <w:t>&lt; 95%</w:t>
            </w:r>
          </w:p>
        </w:tc>
        <w:tc>
          <w:tcPr>
            <w:tcW w:w="1380" w:type="pct"/>
          </w:tcPr>
          <w:p w14:paraId="3E40D016" w14:textId="77777777" w:rsidR="001074B3" w:rsidRPr="00EC3D00" w:rsidRDefault="001074B3" w:rsidP="00E50F69">
            <w:pPr>
              <w:pStyle w:val="ProductList-OfferingBody"/>
              <w:jc w:val="center"/>
              <w:rPr>
                <w:rFonts w:ascii="Calibri" w:hAnsi="Calibri" w:cs="Calibri"/>
              </w:rPr>
            </w:pPr>
            <w:r>
              <w:rPr>
                <w:rFonts w:ascii="Calibri" w:hAnsi="Calibri" w:cs="Calibri"/>
              </w:rPr>
              <w:t>&lt; 92%</w:t>
            </w:r>
          </w:p>
        </w:tc>
        <w:tc>
          <w:tcPr>
            <w:tcW w:w="1204" w:type="pct"/>
          </w:tcPr>
          <w:p w14:paraId="577BBCE0" w14:textId="77777777" w:rsidR="001074B3" w:rsidRPr="00EC3D00" w:rsidRDefault="001074B3" w:rsidP="00E50F69">
            <w:pPr>
              <w:pStyle w:val="ProductList-OfferingBody"/>
              <w:jc w:val="center"/>
              <w:rPr>
                <w:rFonts w:ascii="Calibri" w:hAnsi="Calibri" w:cs="Calibri"/>
              </w:rPr>
            </w:pPr>
            <w:r>
              <w:rPr>
                <w:rFonts w:ascii="Calibri" w:hAnsi="Calibri" w:cs="Calibri"/>
              </w:rPr>
              <w:t>25%</w:t>
            </w:r>
          </w:p>
        </w:tc>
      </w:tr>
      <w:tr w:rsidR="001074B3" w:rsidRPr="00B44CF9" w14:paraId="1FEC6891" w14:textId="77777777" w:rsidTr="00E50F69">
        <w:tc>
          <w:tcPr>
            <w:tcW w:w="1164" w:type="pct"/>
          </w:tcPr>
          <w:p w14:paraId="2BFA73D6" w14:textId="77777777" w:rsidR="001074B3" w:rsidRPr="00EC3D00" w:rsidRDefault="001074B3" w:rsidP="00E50F69">
            <w:pPr>
              <w:pStyle w:val="ProductList-OfferingBody"/>
              <w:jc w:val="center"/>
              <w:rPr>
                <w:rFonts w:ascii="Calibri" w:hAnsi="Calibri" w:cs="Calibri"/>
              </w:rPr>
            </w:pPr>
            <w:r>
              <w:rPr>
                <w:rFonts w:ascii="Calibri" w:hAnsi="Calibri" w:cs="Calibri"/>
              </w:rPr>
              <w:t>&lt; 95%</w:t>
            </w:r>
          </w:p>
        </w:tc>
        <w:tc>
          <w:tcPr>
            <w:tcW w:w="1252" w:type="pct"/>
          </w:tcPr>
          <w:p w14:paraId="423AA3D2" w14:textId="77777777" w:rsidR="001074B3" w:rsidRPr="00EC3D00" w:rsidRDefault="001074B3" w:rsidP="00E50F69">
            <w:pPr>
              <w:pStyle w:val="ProductList-OfferingBody"/>
              <w:jc w:val="center"/>
              <w:rPr>
                <w:rFonts w:ascii="Calibri" w:hAnsi="Calibri" w:cs="Calibri"/>
              </w:rPr>
            </w:pPr>
            <w:r>
              <w:rPr>
                <w:rFonts w:ascii="Calibri" w:hAnsi="Calibri" w:cs="Calibri"/>
              </w:rPr>
              <w:t>&lt;90%</w:t>
            </w:r>
          </w:p>
        </w:tc>
        <w:tc>
          <w:tcPr>
            <w:tcW w:w="1380" w:type="pct"/>
          </w:tcPr>
          <w:p w14:paraId="5EAB8947" w14:textId="77777777" w:rsidR="001074B3" w:rsidRPr="00EC3D00" w:rsidRDefault="001074B3" w:rsidP="00E50F69">
            <w:pPr>
              <w:pStyle w:val="ProductList-OfferingBody"/>
              <w:jc w:val="center"/>
              <w:rPr>
                <w:rFonts w:ascii="Calibri" w:hAnsi="Calibri" w:cs="Calibri"/>
              </w:rPr>
            </w:pPr>
            <w:r>
              <w:rPr>
                <w:rFonts w:ascii="Calibri" w:hAnsi="Calibri" w:cs="Calibri"/>
              </w:rPr>
              <w:t>&lt;90%</w:t>
            </w:r>
          </w:p>
        </w:tc>
        <w:tc>
          <w:tcPr>
            <w:tcW w:w="1204" w:type="pct"/>
          </w:tcPr>
          <w:p w14:paraId="75BE4866" w14:textId="77777777" w:rsidR="001074B3" w:rsidRPr="00EC3D00" w:rsidRDefault="001074B3" w:rsidP="00E50F69">
            <w:pPr>
              <w:pStyle w:val="ProductList-OfferingBody"/>
              <w:jc w:val="center"/>
              <w:rPr>
                <w:rFonts w:ascii="Calibri" w:hAnsi="Calibri" w:cs="Calibri"/>
              </w:rPr>
            </w:pPr>
            <w:r>
              <w:rPr>
                <w:rFonts w:ascii="Calibri" w:hAnsi="Calibri" w:cs="Calibri"/>
              </w:rPr>
              <w:t>100%</w:t>
            </w:r>
          </w:p>
        </w:tc>
      </w:tr>
    </w:tbl>
    <w:p w14:paraId="4B7451BA" w14:textId="77777777" w:rsidR="001074B3" w:rsidRDefault="001074B3" w:rsidP="00947ACC">
      <w:pPr>
        <w:spacing w:before="120" w:after="0" w:line="240" w:lineRule="auto"/>
        <w:rPr>
          <w:rFonts w:ascii="Calibri" w:hAnsi="Calibri" w:cs="Calibri"/>
          <w:sz w:val="18"/>
        </w:rPr>
      </w:pPr>
      <w:r>
        <w:rPr>
          <w:rFonts w:ascii="Calibri" w:hAnsi="Calibri" w:cs="Calibri"/>
          <w:sz w:val="18"/>
        </w:rPr>
        <w:t>**Premium SSD dla wszystkich Dysków z Systemem Operacyjnym oraz Premium SSD, Premium SSD v2 lub Ultra Disk dla wszystkich Dysków Danych.</w:t>
      </w:r>
    </w:p>
    <w:p w14:paraId="707E1CD7" w14:textId="093ED579" w:rsidR="00895748" w:rsidRPr="00EF7CF9" w:rsidRDefault="00C71F89" w:rsidP="0089574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FD75679" w14:textId="49C320E7" w:rsidR="00BC2A9C" w:rsidRDefault="00BC2A9C" w:rsidP="00E05F09">
      <w:pPr>
        <w:pStyle w:val="ProductList-Offering2Heading"/>
        <w:keepNext/>
        <w:tabs>
          <w:tab w:val="clear" w:pos="360"/>
        </w:tabs>
        <w:outlineLvl w:val="2"/>
      </w:pPr>
      <w:bookmarkStart w:id="438" w:name="_Toc239175081"/>
      <w:bookmarkEnd w:id="435"/>
      <w:bookmarkEnd w:id="436"/>
      <w:bookmarkEnd w:id="437"/>
      <w:r>
        <w:t>Azure Virtual Network Manager</w:t>
      </w:r>
      <w:bookmarkEnd w:id="438"/>
    </w:p>
    <w:p w14:paraId="431D4064" w14:textId="77777777" w:rsidR="00BC2A9C" w:rsidRDefault="00BC2A9C" w:rsidP="00BC2A9C">
      <w:pPr>
        <w:pStyle w:val="ProductList-Body"/>
        <w:rPr>
          <w:b/>
          <w:color w:val="00188F"/>
        </w:rPr>
      </w:pPr>
      <w:r>
        <w:rPr>
          <w:b/>
          <w:color w:val="00188F"/>
        </w:rPr>
        <w:t>Dodatkowe definicje</w:t>
      </w:r>
    </w:p>
    <w:p w14:paraId="543C0D66" w14:textId="0F5B0A93" w:rsidR="00BC2A9C" w:rsidRDefault="00BC2A9C" w:rsidP="00BC2A9C">
      <w:pPr>
        <w:pStyle w:val="ProductList-Body"/>
      </w:pPr>
      <w:r w:rsidRPr="00D011AB">
        <w:t>„</w:t>
      </w:r>
      <w:r>
        <w:rPr>
          <w:b/>
          <w:bCs/>
          <w:color w:val="00188F"/>
        </w:rPr>
        <w:t>Maksymalna Liczba Dostępnych Minut</w:t>
      </w:r>
      <w:r w:rsidR="00D011AB" w:rsidRPr="00D011AB">
        <w:t xml:space="preserve">” </w:t>
      </w:r>
      <w:r>
        <w:t>to łączna zakumulowana liczba minut we Właściwym Okresie, podczas których wdrożono Usługę Azure Virtual Network Manager w ramach danej subskrypcji Microsoft Azure.</w:t>
      </w:r>
    </w:p>
    <w:p w14:paraId="1EDAF06D" w14:textId="77777777" w:rsidR="00BC2A9C" w:rsidRDefault="00BC2A9C" w:rsidP="00BC2A9C">
      <w:pPr>
        <w:pStyle w:val="ProductList-Body"/>
      </w:pPr>
      <w:r>
        <w:t>„</w:t>
      </w:r>
      <w:r>
        <w:rPr>
          <w:b/>
          <w:bCs/>
          <w:color w:val="00188F"/>
        </w:rPr>
        <w:t>Przestój</w:t>
      </w:r>
      <w:r>
        <w:t>” to łączna zakumulowana Maksymalna Liczba Dostępnych Minut, podczas których usługa Azure Virtual Network Manager jest niedostępna. Minuta jest uznawana za minutę niedostępności, jeśli wszystkie próby nawiązania łączności z usługą Azure Virtual Network Manager podejmowane w trakcie tej minuty kończą się niepowodzeniem.</w:t>
      </w:r>
    </w:p>
    <w:p w14:paraId="50464E6D" w14:textId="4B7DA70C" w:rsidR="00BC2A9C" w:rsidRDefault="00BC2A9C" w:rsidP="00BC2A9C">
      <w:pPr>
        <w:pStyle w:val="ProductList-Body"/>
      </w:pPr>
      <w:r>
        <w:t>„</w:t>
      </w:r>
      <w:r>
        <w:rPr>
          <w:b/>
          <w:bCs/>
          <w:color w:val="00188F"/>
        </w:rPr>
        <w:t>Procent Czasu Sprawnego Działania</w:t>
      </w:r>
      <w:r>
        <w:t>” jest obliczany przy użyciu następującego wzoru:</w:t>
      </w:r>
    </w:p>
    <w:p w14:paraId="6DAB46A1" w14:textId="411D7B7E" w:rsidR="00BC2A9C" w:rsidRDefault="00000000" w:rsidP="001B6A3C">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EC17AC2" w14:textId="77777777" w:rsidR="00BC2A9C" w:rsidRDefault="00BC2A9C" w:rsidP="00BC2A9C">
      <w:pPr>
        <w:pStyle w:val="ProductList-Body"/>
        <w:keepNext/>
        <w:rPr>
          <w:b/>
          <w:bCs/>
          <w:color w:val="00188F"/>
        </w:rPr>
      </w:pPr>
      <w:r>
        <w:rPr>
          <w:b/>
          <w:bCs/>
          <w:color w:val="00188F"/>
        </w:rPr>
        <w:t>Do używania przez Klienta każdej usługi Azure Virtual Network Manager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2A9C" w14:paraId="504D6103" w14:textId="77777777" w:rsidTr="00BC2A9C">
        <w:trPr>
          <w:trHeight w:val="249"/>
          <w:tblHeader/>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3F8F5073" w14:textId="2E7E528C" w:rsidR="00BC2A9C" w:rsidRDefault="00AC48A7">
            <w:pPr>
              <w:pStyle w:val="ProductList-OfferingBody"/>
              <w:spacing w:line="254" w:lineRule="auto"/>
              <w:jc w:val="center"/>
              <w:rPr>
                <w:color w:val="FFFFFF" w:themeColor="background1"/>
              </w:rPr>
            </w:pPr>
            <w:r>
              <w:rPr>
                <w:color w:val="FFFFFF" w:themeColor="background1"/>
              </w:rPr>
              <w:t>Procent Czasu Sprawnego Działania</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72C6"/>
            <w:hideMark/>
          </w:tcPr>
          <w:p w14:paraId="780E1BCC" w14:textId="77777777" w:rsidR="00BC2A9C" w:rsidRDefault="00BC2A9C">
            <w:pPr>
              <w:pStyle w:val="ProductList-OfferingBody"/>
              <w:spacing w:line="254" w:lineRule="auto"/>
              <w:jc w:val="center"/>
              <w:rPr>
                <w:color w:val="FFFFFF" w:themeColor="background1"/>
              </w:rPr>
            </w:pPr>
            <w:r>
              <w:rPr>
                <w:color w:val="FFFFFF" w:themeColor="background1"/>
              </w:rPr>
              <w:t>Środki Serwisowe na Używanie Usług</w:t>
            </w:r>
          </w:p>
        </w:tc>
      </w:tr>
      <w:tr w:rsidR="00BC2A9C" w14:paraId="31BBCB3E" w14:textId="77777777" w:rsidTr="00BC2A9C">
        <w:trPr>
          <w:trHeight w:val="242"/>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F8C54" w14:textId="77777777" w:rsidR="00BC2A9C" w:rsidRDefault="00BC2A9C">
            <w:pPr>
              <w:pStyle w:val="ProductList-OfferingBody"/>
              <w:spacing w:line="254" w:lineRule="auto"/>
              <w:jc w:val="center"/>
            </w:pPr>
            <w:r>
              <w:t>&lt; 99,9%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73CFE" w14:textId="77777777" w:rsidR="00BC2A9C" w:rsidRDefault="00BC2A9C">
            <w:pPr>
              <w:pStyle w:val="ProductList-OfferingBody"/>
              <w:spacing w:line="254" w:lineRule="auto"/>
              <w:jc w:val="center"/>
            </w:pPr>
            <w:r>
              <w:t>10%</w:t>
            </w:r>
          </w:p>
        </w:tc>
      </w:tr>
      <w:tr w:rsidR="00BC2A9C" w14:paraId="7B5C353C" w14:textId="77777777" w:rsidTr="00BC2A9C">
        <w:trPr>
          <w:trHeight w:val="249"/>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70E3D1" w14:textId="77777777" w:rsidR="00BC2A9C" w:rsidRDefault="00BC2A9C">
            <w:pPr>
              <w:pStyle w:val="ProductList-OfferingBody"/>
              <w:spacing w:line="254" w:lineRule="auto"/>
              <w:jc w:val="center"/>
            </w:pPr>
            <w:r>
              <w:t>&lt; 99%</w:t>
            </w:r>
          </w:p>
        </w:tc>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E077AE" w14:textId="77777777" w:rsidR="00BC2A9C" w:rsidRDefault="00BC2A9C">
            <w:pPr>
              <w:pStyle w:val="ProductList-OfferingBody"/>
              <w:spacing w:line="254" w:lineRule="auto"/>
              <w:jc w:val="center"/>
            </w:pPr>
            <w:r>
              <w:t>25%</w:t>
            </w:r>
          </w:p>
        </w:tc>
      </w:tr>
    </w:tbl>
    <w:p w14:paraId="1A2873EC" w14:textId="5F49132E" w:rsidR="00BC2A9C" w:rsidRPr="00EF7CF9" w:rsidRDefault="00C71F89" w:rsidP="00BC2A9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E840184" w14:textId="5494FB94" w:rsidR="004005AF" w:rsidRPr="00EF7CF9" w:rsidRDefault="004005AF" w:rsidP="004005AF">
      <w:pPr>
        <w:pStyle w:val="ProductList-Offering2Heading"/>
        <w:tabs>
          <w:tab w:val="clear" w:pos="360"/>
          <w:tab w:val="clear" w:pos="720"/>
          <w:tab w:val="clear" w:pos="1080"/>
        </w:tabs>
        <w:outlineLvl w:val="2"/>
      </w:pPr>
      <w:bookmarkStart w:id="439" w:name="_Toc239175082"/>
      <w:r>
        <w:t>Azure Virtual WAN</w:t>
      </w:r>
      <w:bookmarkEnd w:id="354"/>
      <w:bookmarkEnd w:id="355"/>
      <w:bookmarkEnd w:id="439"/>
    </w:p>
    <w:p w14:paraId="493AD4D5" w14:textId="77777777" w:rsidR="004005AF" w:rsidRPr="0034704E" w:rsidRDefault="004005AF" w:rsidP="004005AF">
      <w:pPr>
        <w:pStyle w:val="ProductList-Body"/>
        <w:rPr>
          <w:b/>
          <w:color w:val="00188F"/>
        </w:rPr>
      </w:pPr>
      <w:r>
        <w:rPr>
          <w:b/>
          <w:color w:val="00188F"/>
        </w:rPr>
        <w:t>Dodatkowe definicje</w:t>
      </w:r>
      <w:r w:rsidRPr="0034704E">
        <w:rPr>
          <w:b/>
          <w:color w:val="00188F"/>
        </w:rPr>
        <w:t>:</w:t>
      </w:r>
    </w:p>
    <w:p w14:paraId="7103CBD6" w14:textId="4696B657" w:rsidR="004005AF" w:rsidRDefault="00D011AB" w:rsidP="004005AF">
      <w:pPr>
        <w:pStyle w:val="ProductList-Body"/>
      </w:pPr>
      <w:r>
        <w:t>„</w:t>
      </w:r>
      <w:r w:rsidR="004005AF">
        <w:rPr>
          <w:b/>
          <w:color w:val="00188F"/>
        </w:rPr>
        <w:t>Maksymalna Liczba Dostępnych Minut</w:t>
      </w:r>
      <w:r w:rsidR="004005AF">
        <w:t>” to łączna zakumulowana liczba minut we Właściwym Okresie, podczas których wdrożono Usługę Azure Virtual WAN w ramach danej subskrypcji Microsoft Azure.</w:t>
      </w:r>
    </w:p>
    <w:p w14:paraId="39AFD67D" w14:textId="77777777" w:rsidR="004005AF" w:rsidRPr="00EF7CF9" w:rsidRDefault="004005AF" w:rsidP="004005AF">
      <w:pPr>
        <w:pStyle w:val="ProductList-Body"/>
      </w:pPr>
      <w:r>
        <w:t>„</w:t>
      </w:r>
      <w:r>
        <w:rPr>
          <w:b/>
          <w:color w:val="00188F"/>
        </w:rPr>
        <w:t>Przestój</w:t>
      </w:r>
      <w:r>
        <w:t>” to łączna zakumulowana Maksymalna Liczba Dostępnych Minut, podczas których usługa Azure Virtual WAN jest niedostępna. Minuta jest uznawana za minutę niedostępności, jeśli wszystkie próby nawiązania łączności z Usługą Azure Virtual WAN podejmowane w trakcie tej minuty kończą się niepowodzeniem.</w:t>
      </w:r>
    </w:p>
    <w:p w14:paraId="29C45C18" w14:textId="7A7B4D3E" w:rsidR="004005AF" w:rsidRPr="00EF7CF9" w:rsidRDefault="00AC48A7" w:rsidP="004005AF">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43A4F939" w14:textId="2317570F" w:rsidR="004005AF" w:rsidRPr="00EF7CF9" w:rsidRDefault="00000000" w:rsidP="00D917F9">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AF9D3DA" w14:textId="77777777" w:rsidR="004005AF" w:rsidRPr="00EF7CF9" w:rsidRDefault="004005AF" w:rsidP="004005AF">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005AF" w:rsidRPr="00B44CF9" w14:paraId="42C00BED" w14:textId="77777777" w:rsidTr="00277097">
        <w:trPr>
          <w:tblHeader/>
        </w:trPr>
        <w:tc>
          <w:tcPr>
            <w:tcW w:w="5400" w:type="dxa"/>
            <w:shd w:val="clear" w:color="auto" w:fill="0072C6"/>
          </w:tcPr>
          <w:p w14:paraId="4D412B5C" w14:textId="674F4320" w:rsidR="004005AF"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829481B" w14:textId="77777777" w:rsidR="004005AF" w:rsidRPr="005A3C16"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6A8DFB2D" w14:textId="77777777" w:rsidTr="00277097">
        <w:tc>
          <w:tcPr>
            <w:tcW w:w="5400" w:type="dxa"/>
          </w:tcPr>
          <w:p w14:paraId="5C964DF3" w14:textId="77777777" w:rsidR="004005AF" w:rsidRPr="005A3C16" w:rsidRDefault="004005AF" w:rsidP="000F31B4">
            <w:pPr>
              <w:pStyle w:val="ProductList-OfferingBody"/>
              <w:jc w:val="center"/>
            </w:pPr>
            <w:r>
              <w:t>&lt; 99,95%</w:t>
            </w:r>
          </w:p>
        </w:tc>
        <w:tc>
          <w:tcPr>
            <w:tcW w:w="5400" w:type="dxa"/>
          </w:tcPr>
          <w:p w14:paraId="0D394EBA" w14:textId="77777777" w:rsidR="004005AF" w:rsidRPr="005A3C16" w:rsidRDefault="004005AF" w:rsidP="000F31B4">
            <w:pPr>
              <w:pStyle w:val="ProductList-OfferingBody"/>
              <w:jc w:val="center"/>
            </w:pPr>
            <w:r>
              <w:t>10%</w:t>
            </w:r>
          </w:p>
        </w:tc>
      </w:tr>
      <w:tr w:rsidR="004005AF" w:rsidRPr="00B44CF9" w14:paraId="0C0BF9E8" w14:textId="77777777" w:rsidTr="00277097">
        <w:tc>
          <w:tcPr>
            <w:tcW w:w="5400" w:type="dxa"/>
          </w:tcPr>
          <w:p w14:paraId="63E9E3BC" w14:textId="77777777" w:rsidR="004005AF" w:rsidRPr="005A3C16" w:rsidRDefault="004005AF" w:rsidP="000F31B4">
            <w:pPr>
              <w:pStyle w:val="ProductList-OfferingBody"/>
              <w:jc w:val="center"/>
            </w:pPr>
            <w:r>
              <w:t>&lt; 99%</w:t>
            </w:r>
          </w:p>
        </w:tc>
        <w:tc>
          <w:tcPr>
            <w:tcW w:w="5400" w:type="dxa"/>
          </w:tcPr>
          <w:p w14:paraId="1ED27CD7" w14:textId="77777777" w:rsidR="004005AF" w:rsidRPr="005A3C16" w:rsidRDefault="004005AF" w:rsidP="000F31B4">
            <w:pPr>
              <w:pStyle w:val="ProductList-OfferingBody"/>
              <w:jc w:val="center"/>
            </w:pPr>
            <w:r>
              <w:t>25%</w:t>
            </w:r>
          </w:p>
        </w:tc>
      </w:tr>
    </w:tbl>
    <w:p w14:paraId="427EFCCB" w14:textId="699B3A15"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6827D04" w14:textId="77777777" w:rsidR="003B335C" w:rsidRPr="003B335C" w:rsidRDefault="003B335C" w:rsidP="003B335C">
      <w:pPr>
        <w:pStyle w:val="ProductList-Offering2Heading"/>
        <w:keepNext/>
        <w:outlineLvl w:val="2"/>
      </w:pPr>
      <w:bookmarkStart w:id="440" w:name="_Toc239175083"/>
      <w:bookmarkStart w:id="441" w:name="_Toc11149692"/>
      <w:bookmarkStart w:id="442" w:name="_Toc52348995"/>
      <w:bookmarkStart w:id="443" w:name="VisualStudioAppCenter_BuildService"/>
      <w:bookmarkStart w:id="444" w:name="_Hlk496874584"/>
      <w:bookmarkStart w:id="445" w:name="_Toc457821588"/>
      <w:bookmarkStart w:id="446" w:name="_Hlk496876971"/>
      <w:bookmarkStart w:id="447" w:name="VisualStudioTeamServices_BuildService"/>
      <w:bookmarkEnd w:id="356"/>
      <w:r>
        <w:t>Azure VMware Solution</w:t>
      </w:r>
      <w:bookmarkEnd w:id="440"/>
    </w:p>
    <w:p w14:paraId="4AD39B53" w14:textId="77777777" w:rsidR="00E06B4F" w:rsidRPr="00C51C89" w:rsidRDefault="00E06B4F" w:rsidP="00E06B4F">
      <w:pPr>
        <w:pStyle w:val="ProductList-Body"/>
        <w:rPr>
          <w:rFonts w:ascii="Calibri" w:hAnsi="Calibri" w:cs="Calibri"/>
          <w:b/>
          <w:color w:val="00188F"/>
        </w:rPr>
      </w:pPr>
      <w:r>
        <w:rPr>
          <w:rFonts w:ascii="Calibri" w:hAnsi="Calibri" w:cs="Calibri"/>
          <w:b/>
          <w:color w:val="00188F"/>
        </w:rPr>
        <w:t>Dodatkowe wymogi</w:t>
      </w:r>
    </w:p>
    <w:p w14:paraId="32FA9219" w14:textId="77777777" w:rsidR="00E06B4F" w:rsidRPr="00C25966" w:rsidRDefault="00E06B4F" w:rsidP="00E06B4F">
      <w:pPr>
        <w:pStyle w:val="ProductList-Body"/>
        <w:rPr>
          <w:rFonts w:ascii="Calibri" w:hAnsi="Calibri" w:cs="Calibri"/>
        </w:rPr>
      </w:pPr>
      <w:r>
        <w:rPr>
          <w:rFonts w:ascii="Calibri" w:hAnsi="Calibri" w:cs="Calibri"/>
        </w:rPr>
        <w:t>Klient powinien utrzymywać następującą minimalną konfigurację dla każdego magazynu dla maszyny wirtualnej:</w:t>
      </w:r>
    </w:p>
    <w:p w14:paraId="51C3A5D8" w14:textId="77777777" w:rsidR="00E06B4F" w:rsidRPr="00C25966"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W przypadku klastrów standardowych: Gdy klaster ma od 3 do 5 hostów, liczba tolerowanych awarii wynosi 1; a gdy klaster ma od 6 do 16 hostów, liczba tolerowanych awarii wynosi 2.</w:t>
      </w:r>
    </w:p>
    <w:p w14:paraId="59BE245C" w14:textId="77777777" w:rsidR="00E06B4F" w:rsidRPr="00C25966"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W przypadku rozciągniętych klastrów: W klastrze wdrożonych jest co najmniej 6 węzłów (3 w każdej strefie dostępności), a zasady dotyczącej minimalnej ilości przechowywanych maszyn wirtualnych muszą obejmować (i) podstawowy poziom tolerowanych awarii „Dual-Site Mirroring” oraz (ii) dodatkowy poziom tolerowanych awarii wynoszący 1, który jest używany przez maszyny wirtualne obciążenia.</w:t>
      </w:r>
    </w:p>
    <w:p w14:paraId="6E85D5E7" w14:textId="77777777" w:rsidR="00E06B4F" w:rsidRPr="00C25966"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 xml:space="preserve">Pojemność pamięci masowej klastra zachowuje 25% dostępnej przestrzeni (zgodnie z opisem w </w:t>
      </w:r>
      <w:hyperlink r:id="rId27" w:anchor="GUID-C0B73B38-F68D-4D7C-BCF4-67CCD1E9875A-en" w:history="1">
        <w:r>
          <w:rPr>
            <w:rStyle w:val="Hyperlink"/>
            <w:rFonts w:ascii="Calibri" w:hAnsi="Calibri" w:cs="Calibri"/>
          </w:rPr>
          <w:t>Przewodniku po pamięci masowej vSAN</w:t>
        </w:r>
      </w:hyperlink>
      <w:r>
        <w:rPr>
          <w:rFonts w:ascii="Calibri" w:hAnsi="Calibri" w:cs="Calibri"/>
        </w:rPr>
        <w:t>).</w:t>
      </w:r>
    </w:p>
    <w:p w14:paraId="1F6C021F" w14:textId="77777777" w:rsidR="00E06B4F" w:rsidRPr="00C25966"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Klient nie wykonał żadnych działań w trybie podwyższonych uprawnień, które uniemożliwiłyby Microsoft dotrzymanie zobowiązania dotyczącego dostępności.</w:t>
      </w:r>
    </w:p>
    <w:p w14:paraId="0D9A14D7" w14:textId="77777777" w:rsidR="00E06B4F" w:rsidRPr="00C25966"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Klaster ma wystarczającą pojemność, aby obsłużyć funkcję włączania maszyny wirtualnej.</w:t>
      </w:r>
    </w:p>
    <w:p w14:paraId="6B1E2AB5" w14:textId="77777777" w:rsidR="00E06B4F" w:rsidRPr="00C25966"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Planowane prace konserwacyjne nie są uwzględniane w obliczeniach całkowitego dostępnego czasu sprawnego działania.</w:t>
      </w:r>
    </w:p>
    <w:p w14:paraId="7F596134" w14:textId="77777777" w:rsidR="00E06B4F" w:rsidRPr="00975B85" w:rsidRDefault="00E06B4F" w:rsidP="00E06B4F">
      <w:pPr>
        <w:pStyle w:val="ProductList-Body"/>
        <w:spacing w:before="120"/>
        <w:rPr>
          <w:rFonts w:ascii="Calibri" w:hAnsi="Calibri" w:cs="Calibri"/>
          <w:b/>
          <w:color w:val="00188F"/>
        </w:rPr>
      </w:pPr>
      <w:r>
        <w:rPr>
          <w:rFonts w:ascii="Calibri" w:hAnsi="Calibri" w:cs="Calibri"/>
          <w:b/>
          <w:color w:val="00188F"/>
        </w:rPr>
        <w:t>Dodatkowe definicje</w:t>
      </w:r>
    </w:p>
    <w:p w14:paraId="22F3070C" w14:textId="77777777" w:rsidR="00E06B4F" w:rsidRPr="00975B85" w:rsidRDefault="00E06B4F" w:rsidP="00E06B4F">
      <w:pPr>
        <w:pStyle w:val="ProductList-Body"/>
        <w:rPr>
          <w:rFonts w:ascii="Calibri" w:hAnsi="Calibri" w:cs="Calibri"/>
          <w:b/>
          <w:color w:val="00188F"/>
        </w:rPr>
      </w:pPr>
      <w:r>
        <w:rPr>
          <w:rFonts w:ascii="Calibri" w:hAnsi="Calibri" w:cs="Calibri"/>
          <w:b/>
          <w:color w:val="00188F"/>
        </w:rPr>
        <w:t>Obliczanie Czasu Sprawnego Działania i Poziomy Usługi dla Infrastruktury Obsługi Obciążeń Azure VMware Solution</w:t>
      </w:r>
    </w:p>
    <w:p w14:paraId="60621446" w14:textId="77777777" w:rsidR="00E06B4F" w:rsidRPr="00975B85" w:rsidRDefault="00E06B4F" w:rsidP="00E06B4F">
      <w:pPr>
        <w:pStyle w:val="ProductList-Body"/>
        <w:rPr>
          <w:rFonts w:ascii="Calibri" w:hAnsi="Calibri" w:cs="Calibri"/>
        </w:rPr>
      </w:pPr>
      <w:r w:rsidRPr="00820D3E">
        <w:rPr>
          <w:rFonts w:ascii="Calibri" w:hAnsi="Calibri" w:cs="Calibri"/>
          <w:b/>
          <w:color w:val="00188F"/>
        </w:rPr>
        <w:t>„</w:t>
      </w:r>
      <w:r>
        <w:rPr>
          <w:rFonts w:ascii="Calibri" w:hAnsi="Calibri" w:cs="Calibri"/>
          <w:b/>
          <w:color w:val="00188F"/>
        </w:rPr>
        <w:t>Maksymalna Liczba Dostępnych Minut</w:t>
      </w:r>
      <w:r w:rsidRPr="00820D3E">
        <w:rPr>
          <w:rFonts w:ascii="Calibri" w:hAnsi="Calibri" w:cs="Calibri"/>
          <w:b/>
          <w:color w:val="00188F"/>
        </w:rPr>
        <w:t>”</w:t>
      </w:r>
      <w:r>
        <w:rPr>
          <w:rFonts w:ascii="Calibri" w:hAnsi="Calibri" w:cs="Calibri"/>
        </w:rPr>
        <w:t xml:space="preserve"> to łączna liczba minut zgromadzonych we Właściwym Okresie dla wszystkich maszyn wirtualnych w klastrze VMware vSphere, w trakcie których rozwiązanie Azure VMware zostało wdrożone w ramach subskrypcji Microsoft Azure.</w:t>
      </w:r>
    </w:p>
    <w:p w14:paraId="2DB0B51F" w14:textId="77777777" w:rsidR="00E06B4F" w:rsidRPr="00975B85" w:rsidRDefault="00E06B4F" w:rsidP="00E06B4F">
      <w:pPr>
        <w:pStyle w:val="ProductList-Body"/>
        <w:tabs>
          <w:tab w:val="clear" w:pos="360"/>
          <w:tab w:val="clear" w:pos="720"/>
          <w:tab w:val="clear" w:pos="1080"/>
        </w:tabs>
        <w:rPr>
          <w:rFonts w:ascii="Calibri" w:hAnsi="Calibri" w:cs="Calibri"/>
        </w:rPr>
      </w:pPr>
      <w:r w:rsidRPr="00820D3E">
        <w:rPr>
          <w:rFonts w:ascii="Calibri" w:hAnsi="Calibri" w:cs="Calibri"/>
          <w:b/>
          <w:color w:val="00188F"/>
        </w:rPr>
        <w:t>„</w:t>
      </w:r>
      <w:r>
        <w:rPr>
          <w:rFonts w:ascii="Calibri" w:hAnsi="Calibri" w:cs="Calibri"/>
          <w:b/>
          <w:color w:val="00188F"/>
        </w:rPr>
        <w:t>Przestój</w:t>
      </w:r>
      <w:r w:rsidRPr="00820D3E">
        <w:rPr>
          <w:rFonts w:ascii="Calibri" w:hAnsi="Calibri" w:cs="Calibri"/>
          <w:b/>
          <w:color w:val="00188F"/>
        </w:rPr>
        <w:t>”</w:t>
      </w:r>
      <w:r>
        <w:rPr>
          <w:rFonts w:ascii="Calibri" w:hAnsi="Calibri" w:cs="Calibri"/>
        </w:rPr>
        <w:t xml:space="preserve"> to łączna zakumulowana Maksymalna Liczba Dostępnych Minut we Właściwym Okresie dla danego klastra VMware vSphere na platformie Azure, w czasie których Usługa jest niedostępna. Minuta jest uznawana za minutę niedostępności, jeśli dowolny z poniższych warunków został spełniony:</w:t>
      </w:r>
    </w:p>
    <w:p w14:paraId="6F212B1E" w14:textId="77777777" w:rsidR="00E06B4F" w:rsidRPr="00975B85"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Żadne Maszyny Wirtualne w uruchomionym klastrze nie mają łączności przez cztery kolejne minuty.</w:t>
      </w:r>
    </w:p>
    <w:p w14:paraId="66801B54" w14:textId="77777777" w:rsidR="00E06B4F" w:rsidRPr="00975B85"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Żadne Maszyny Wirtualne nie mogą uzyskać dostępu do magazynu przez cztery kolejne minuty.</w:t>
      </w:r>
    </w:p>
    <w:p w14:paraId="5BA5420D" w14:textId="77777777" w:rsidR="00E06B4F" w:rsidRPr="00975B85" w:rsidRDefault="00E06B4F" w:rsidP="00DB4449">
      <w:pPr>
        <w:pStyle w:val="ProductList-Body"/>
        <w:numPr>
          <w:ilvl w:val="0"/>
          <w:numId w:val="13"/>
        </w:numPr>
        <w:tabs>
          <w:tab w:val="clear" w:pos="360"/>
          <w:tab w:val="clear" w:pos="720"/>
          <w:tab w:val="clear" w:pos="1080"/>
        </w:tabs>
        <w:rPr>
          <w:rFonts w:ascii="Calibri" w:hAnsi="Calibri" w:cs="Calibri"/>
        </w:rPr>
      </w:pPr>
      <w:r>
        <w:rPr>
          <w:rFonts w:ascii="Calibri" w:hAnsi="Calibri" w:cs="Calibri"/>
        </w:rPr>
        <w:t>Żadne Maszyny Wirtualne nie mogą zostać uruchomione przez cztery kolejne minuty.</w:t>
      </w:r>
    </w:p>
    <w:p w14:paraId="6DE3D312" w14:textId="77777777" w:rsidR="00E06B4F" w:rsidRPr="00F10635" w:rsidRDefault="00E06B4F" w:rsidP="00E06B4F">
      <w:pPr>
        <w:pStyle w:val="ProductList-Body"/>
      </w:pPr>
      <w:r w:rsidRPr="00820D3E">
        <w:rPr>
          <w:rFonts w:ascii="Calibri" w:hAnsi="Calibri" w:cs="Calibri"/>
          <w:b/>
          <w:color w:val="00188F"/>
        </w:rPr>
        <w:t>„</w:t>
      </w:r>
      <w:r>
        <w:rPr>
          <w:rFonts w:ascii="Calibri" w:hAnsi="Calibri" w:cs="Calibri"/>
          <w:b/>
          <w:color w:val="00188F"/>
        </w:rPr>
        <w:t>Procent Czasu Sprawnego Działania</w:t>
      </w:r>
      <w:r w:rsidRPr="00820D3E">
        <w:rPr>
          <w:rFonts w:ascii="Calibri" w:hAnsi="Calibri" w:cs="Calibri"/>
          <w:b/>
          <w:color w:val="00188F"/>
        </w:rPr>
        <w:t>”</w:t>
      </w:r>
      <w:r>
        <w:t xml:space="preserve"> </w:t>
      </w:r>
      <w:r>
        <w:rPr>
          <w:rFonts w:ascii="Calibri" w:hAnsi="Calibri" w:cs="Calibri"/>
        </w:rPr>
        <w:t>jest obliczany przy użyciu następującego wzoru:</w:t>
      </w:r>
    </w:p>
    <w:p w14:paraId="2CA2D7C1" w14:textId="77777777" w:rsidR="00E06B4F" w:rsidRPr="00F10635" w:rsidRDefault="00000000" w:rsidP="00E06B4F">
      <w:pPr>
        <w:spacing w:before="120" w:after="0" w:line="240" w:lineRule="auto"/>
        <w:rPr>
          <w:rFonts w:ascii="Cambria Math" w:hAnsi="Cambria Math"/>
          <w:i/>
          <w:color w:val="000000" w:themeColor="text1"/>
          <w:sz w:val="18"/>
        </w:rPr>
      </w:pPr>
      <m:oMathPara>
        <m:oMath>
          <m:f>
            <m:fPr>
              <m:ctrlPr>
                <w:rPr>
                  <w:rFonts w:ascii="Cambria Math" w:hAnsi="Cambria Math"/>
                  <w:color w:val="000000" w:themeColor="text1"/>
                  <w:sz w:val="18"/>
                </w:rPr>
              </m:ctrlPr>
            </m:fPr>
            <m:num>
              <m:r>
                <w:rPr>
                  <w:rFonts w:ascii="Cambria Math" w:hAnsi="Cambria Math"/>
                  <w:color w:val="000000" w:themeColor="text1"/>
                  <w:sz w:val="18"/>
                </w:rPr>
                <m:t>Maksymalna Liczba Dostępnych Minut - Przestój</m:t>
              </m:r>
            </m:num>
            <m:den>
              <m:r>
                <w:rPr>
                  <w:rFonts w:ascii="Cambria Math" w:hAnsi="Cambria Math"/>
                  <w:color w:val="000000" w:themeColor="text1"/>
                  <w:sz w:val="18"/>
                </w:rPr>
                <m:t>Maksymalna Liczba Dostępnych Minut</m:t>
              </m:r>
            </m:den>
          </m:f>
          <m:r>
            <w:rPr>
              <w:rFonts w:ascii="Cambria Math" w:hAnsi="Cambria Math"/>
              <w:color w:val="000000" w:themeColor="text1"/>
              <w:sz w:val="18"/>
            </w:rPr>
            <m:t xml:space="preserve"> x 100</m:t>
          </m:r>
        </m:oMath>
      </m:oMathPara>
    </w:p>
    <w:p w14:paraId="7E3BCE24" w14:textId="77777777" w:rsidR="00E06B4F" w:rsidRPr="00F44E97" w:rsidRDefault="00E06B4F" w:rsidP="00E06B4F">
      <w:pPr>
        <w:pStyle w:val="ProductList-Body"/>
        <w:rPr>
          <w:rFonts w:ascii="Calibri" w:hAnsi="Calibri" w:cs="Calibri"/>
          <w:b/>
          <w:color w:val="00188F"/>
        </w:rPr>
      </w:pPr>
      <w:r>
        <w:rPr>
          <w:rFonts w:ascii="Calibri" w:hAnsi="Calibri" w:cs="Calibri"/>
          <w:b/>
          <w:color w:val="00188F"/>
        </w:rPr>
        <w:t>Środki na Używanie Usług</w:t>
      </w:r>
    </w:p>
    <w:tbl>
      <w:tblPr>
        <w:tblW w:w="1062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310"/>
        <w:gridCol w:w="5310"/>
      </w:tblGrid>
      <w:tr w:rsidR="00E06B4F" w14:paraId="32637D58" w14:textId="77777777" w:rsidTr="00C33532">
        <w:trPr>
          <w:tblHeader/>
        </w:trPr>
        <w:tc>
          <w:tcPr>
            <w:tcW w:w="5310" w:type="dxa"/>
            <w:shd w:val="clear" w:color="auto" w:fill="0072C6"/>
          </w:tcPr>
          <w:p w14:paraId="576042C6" w14:textId="77777777" w:rsidR="00E06B4F" w:rsidRPr="00D768A9" w:rsidRDefault="00E06B4F"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Procent Czasu Sprawnego Działania</w:t>
            </w:r>
          </w:p>
        </w:tc>
        <w:tc>
          <w:tcPr>
            <w:tcW w:w="5310" w:type="dxa"/>
            <w:shd w:val="clear" w:color="auto" w:fill="0072C6"/>
          </w:tcPr>
          <w:p w14:paraId="22EE7DF9" w14:textId="77777777" w:rsidR="00E06B4F" w:rsidRPr="00D768A9" w:rsidRDefault="00E06B4F" w:rsidP="00C33532">
            <w:pPr>
              <w:pStyle w:val="ProductList-OfferingBody"/>
              <w:jc w:val="center"/>
              <w:rPr>
                <w:rFonts w:ascii="Calibri" w:hAnsi="Calibri" w:cs="Calibri"/>
                <w:color w:val="FFFFFF" w:themeColor="background1"/>
                <w:szCs w:val="16"/>
              </w:rPr>
            </w:pPr>
            <w:r>
              <w:rPr>
                <w:rFonts w:ascii="Calibri" w:hAnsi="Calibri" w:cs="Calibri"/>
                <w:color w:val="FFFFFF" w:themeColor="background1"/>
                <w:szCs w:val="16"/>
              </w:rPr>
              <w:t>Środki na Używanie Usług</w:t>
            </w:r>
          </w:p>
        </w:tc>
      </w:tr>
      <w:tr w:rsidR="00E06B4F" w14:paraId="4E7EB0AC" w14:textId="77777777" w:rsidTr="00C33532">
        <w:tc>
          <w:tcPr>
            <w:tcW w:w="5310" w:type="dxa"/>
          </w:tcPr>
          <w:p w14:paraId="2DCC622D" w14:textId="77777777" w:rsidR="00E06B4F" w:rsidRPr="00D768A9" w:rsidRDefault="00E06B4F" w:rsidP="00C33532">
            <w:pPr>
              <w:pStyle w:val="ProductList-OfferingBody"/>
              <w:jc w:val="center"/>
              <w:rPr>
                <w:rFonts w:ascii="Calibri" w:hAnsi="Calibri" w:cs="Calibri"/>
                <w:szCs w:val="16"/>
              </w:rPr>
            </w:pPr>
            <w:r>
              <w:rPr>
                <w:rFonts w:ascii="Calibri" w:hAnsi="Calibri" w:cs="Calibri"/>
                <w:szCs w:val="16"/>
              </w:rPr>
              <w:t>&lt; 99,9% w przypadku klastrów standardowych</w:t>
            </w:r>
          </w:p>
        </w:tc>
        <w:tc>
          <w:tcPr>
            <w:tcW w:w="5310" w:type="dxa"/>
          </w:tcPr>
          <w:p w14:paraId="14DF1D96" w14:textId="77777777" w:rsidR="00E06B4F" w:rsidRPr="00D768A9" w:rsidRDefault="00E06B4F" w:rsidP="00C33532">
            <w:pPr>
              <w:pStyle w:val="ProductList-OfferingBody"/>
              <w:jc w:val="center"/>
              <w:rPr>
                <w:rFonts w:ascii="Calibri" w:hAnsi="Calibri" w:cs="Calibri"/>
                <w:szCs w:val="16"/>
              </w:rPr>
            </w:pPr>
            <w:r>
              <w:rPr>
                <w:rFonts w:ascii="Calibri" w:hAnsi="Calibri" w:cs="Calibri"/>
                <w:szCs w:val="16"/>
              </w:rPr>
              <w:t>10%</w:t>
            </w:r>
          </w:p>
        </w:tc>
      </w:tr>
      <w:tr w:rsidR="00E06B4F" w14:paraId="36F63D7D" w14:textId="77777777" w:rsidTr="00C33532">
        <w:trPr>
          <w:trHeight w:val="215"/>
        </w:trPr>
        <w:tc>
          <w:tcPr>
            <w:tcW w:w="5310" w:type="dxa"/>
          </w:tcPr>
          <w:p w14:paraId="6D4CA4A0" w14:textId="77777777" w:rsidR="00E06B4F" w:rsidRPr="00D768A9" w:rsidRDefault="00E06B4F" w:rsidP="00C33532">
            <w:pPr>
              <w:pStyle w:val="ProductList-OfferingBody"/>
              <w:jc w:val="center"/>
              <w:rPr>
                <w:rFonts w:ascii="Calibri" w:hAnsi="Calibri" w:cs="Calibri"/>
                <w:szCs w:val="16"/>
              </w:rPr>
            </w:pPr>
            <w:r>
              <w:rPr>
                <w:rFonts w:ascii="Calibri" w:hAnsi="Calibri" w:cs="Calibri"/>
                <w:szCs w:val="16"/>
              </w:rPr>
              <w:t>&lt; 99,99% w przypadku rozciągniętych klastrów</w:t>
            </w:r>
          </w:p>
        </w:tc>
        <w:tc>
          <w:tcPr>
            <w:tcW w:w="5310" w:type="dxa"/>
          </w:tcPr>
          <w:p w14:paraId="30548EC7" w14:textId="77777777" w:rsidR="00E06B4F" w:rsidRPr="00D768A9" w:rsidRDefault="00E06B4F" w:rsidP="00C33532">
            <w:pPr>
              <w:pStyle w:val="ProductList-OfferingBody"/>
              <w:jc w:val="center"/>
              <w:rPr>
                <w:rFonts w:ascii="Calibri" w:hAnsi="Calibri" w:cs="Calibri"/>
                <w:szCs w:val="16"/>
              </w:rPr>
            </w:pPr>
            <w:r>
              <w:rPr>
                <w:rFonts w:ascii="Calibri" w:hAnsi="Calibri" w:cs="Calibri"/>
                <w:szCs w:val="16"/>
              </w:rPr>
              <w:t>10%</w:t>
            </w:r>
          </w:p>
        </w:tc>
      </w:tr>
      <w:tr w:rsidR="00E06B4F" w14:paraId="1A31A9B2" w14:textId="77777777" w:rsidTr="00C33532">
        <w:tc>
          <w:tcPr>
            <w:tcW w:w="5310" w:type="dxa"/>
          </w:tcPr>
          <w:p w14:paraId="1FA1AC0B" w14:textId="77777777" w:rsidR="00E06B4F" w:rsidRPr="00D768A9" w:rsidRDefault="00E06B4F" w:rsidP="00C33532">
            <w:pPr>
              <w:pStyle w:val="ProductList-OfferingBody"/>
              <w:jc w:val="center"/>
              <w:rPr>
                <w:rFonts w:ascii="Calibri" w:hAnsi="Calibri" w:cs="Calibri"/>
                <w:szCs w:val="16"/>
              </w:rPr>
            </w:pPr>
            <w:r>
              <w:rPr>
                <w:rFonts w:ascii="Calibri" w:hAnsi="Calibri" w:cs="Calibri"/>
                <w:szCs w:val="16"/>
              </w:rPr>
              <w:t>&lt; 99% dowolnego klastra</w:t>
            </w:r>
          </w:p>
        </w:tc>
        <w:tc>
          <w:tcPr>
            <w:tcW w:w="5310" w:type="dxa"/>
          </w:tcPr>
          <w:p w14:paraId="1851EE5A" w14:textId="77777777" w:rsidR="00E06B4F" w:rsidRPr="00D768A9" w:rsidRDefault="00E06B4F" w:rsidP="00C33532">
            <w:pPr>
              <w:pStyle w:val="ProductList-OfferingBody"/>
              <w:jc w:val="center"/>
              <w:rPr>
                <w:rFonts w:ascii="Calibri" w:hAnsi="Calibri" w:cs="Calibri"/>
                <w:szCs w:val="16"/>
              </w:rPr>
            </w:pPr>
            <w:r>
              <w:rPr>
                <w:rFonts w:ascii="Calibri" w:hAnsi="Calibri" w:cs="Calibri"/>
                <w:szCs w:val="16"/>
              </w:rPr>
              <w:t>25%</w:t>
            </w:r>
          </w:p>
        </w:tc>
      </w:tr>
    </w:tbl>
    <w:p w14:paraId="7E47D193" w14:textId="77777777" w:rsidR="00E06B4F" w:rsidRPr="00975B85" w:rsidRDefault="00E06B4F" w:rsidP="00E06B4F">
      <w:pPr>
        <w:pStyle w:val="ProductList-Body"/>
        <w:spacing w:before="120"/>
        <w:rPr>
          <w:rFonts w:ascii="Calibri" w:hAnsi="Calibri" w:cs="Calibri"/>
          <w:b/>
          <w:color w:val="00188F"/>
        </w:rPr>
      </w:pPr>
      <w:r>
        <w:rPr>
          <w:rFonts w:ascii="Calibri" w:hAnsi="Calibri" w:cs="Calibri"/>
          <w:b/>
          <w:color w:val="00188F"/>
        </w:rPr>
        <w:t>Obliczanie Czasu Sprawnego Działania i Poziomy Usługi dla narzędzi zarządzania Azure VMware Solutions</w:t>
      </w:r>
    </w:p>
    <w:p w14:paraId="243FF249" w14:textId="77777777" w:rsidR="00E06B4F" w:rsidRPr="00975B85" w:rsidRDefault="00E06B4F" w:rsidP="00E06B4F">
      <w:pPr>
        <w:pStyle w:val="ProductList-Body"/>
        <w:rPr>
          <w:rFonts w:ascii="Calibri" w:hAnsi="Calibri" w:cs="Calibri"/>
        </w:rPr>
      </w:pPr>
      <w:r w:rsidRPr="00820D3E">
        <w:rPr>
          <w:rFonts w:ascii="Calibri" w:hAnsi="Calibri" w:cs="Calibri"/>
          <w:b/>
          <w:color w:val="00188F"/>
        </w:rPr>
        <w:t>„</w:t>
      </w:r>
      <w:r>
        <w:rPr>
          <w:rFonts w:ascii="Calibri" w:hAnsi="Calibri" w:cs="Calibri"/>
          <w:b/>
          <w:color w:val="00188F"/>
        </w:rPr>
        <w:t>Maksymalna Liczba Dostępnych Minut</w:t>
      </w:r>
      <w:r w:rsidRPr="00820D3E">
        <w:rPr>
          <w:rFonts w:ascii="Calibri" w:hAnsi="Calibri" w:cs="Calibri"/>
          <w:b/>
          <w:color w:val="00188F"/>
        </w:rPr>
        <w:t>”</w:t>
      </w:r>
      <w:r>
        <w:rPr>
          <w:rFonts w:ascii="Calibri" w:hAnsi="Calibri" w:cs="Calibri"/>
        </w:rPr>
        <w:t xml:space="preserve"> to łączna zakumulowana liczba minut we Właściwym Okresie dla danego klastra VMware vSphere, w trakcie których narzędzia zarządzania Azure VMware zostały wdrożone w ramach subskrypcji Microsoft Azure.</w:t>
      </w:r>
    </w:p>
    <w:p w14:paraId="443E93FD" w14:textId="77777777" w:rsidR="00E06B4F" w:rsidRPr="00975B85" w:rsidRDefault="00E06B4F" w:rsidP="00E06B4F">
      <w:pPr>
        <w:pStyle w:val="ProductList-Body"/>
        <w:rPr>
          <w:rFonts w:ascii="Calibri" w:hAnsi="Calibri" w:cs="Calibri"/>
        </w:rPr>
      </w:pPr>
      <w:r w:rsidRPr="00820D3E">
        <w:rPr>
          <w:rFonts w:ascii="Calibri" w:hAnsi="Calibri" w:cs="Calibri"/>
          <w:b/>
          <w:color w:val="00188F"/>
        </w:rPr>
        <w:t>„</w:t>
      </w:r>
      <w:r>
        <w:rPr>
          <w:rFonts w:ascii="Calibri" w:hAnsi="Calibri" w:cs="Calibri"/>
          <w:b/>
          <w:color w:val="00188F"/>
        </w:rPr>
        <w:t>Przestój</w:t>
      </w:r>
      <w:r w:rsidRPr="00820D3E">
        <w:rPr>
          <w:rFonts w:ascii="Calibri" w:hAnsi="Calibri" w:cs="Calibri"/>
          <w:b/>
          <w:color w:val="00188F"/>
        </w:rPr>
        <w:t>”</w:t>
      </w:r>
      <w:r>
        <w:rPr>
          <w:rFonts w:ascii="Calibri" w:hAnsi="Calibri" w:cs="Calibri"/>
        </w:rPr>
        <w:t xml:space="preserve"> to łączna zakumulowana Maksymalna Liczba Dostępnych Minut we Właściwym Okresie dla danego klastra VMware vSphere na platformie Azure, w czasie których Usługi Zarządzania (vCenter Server i NSX Manager) są niedostępne. Minuta jest uznawana za minutę niedostępności, jeśli dowolny z poniższych warunków został spełniony:</w:t>
      </w:r>
    </w:p>
    <w:p w14:paraId="2FC036F7" w14:textId="77777777" w:rsidR="00E06B4F" w:rsidRPr="00975B85" w:rsidRDefault="00E06B4F" w:rsidP="00DB4449">
      <w:pPr>
        <w:pStyle w:val="ProductList-Body"/>
        <w:numPr>
          <w:ilvl w:val="0"/>
          <w:numId w:val="14"/>
        </w:numPr>
        <w:rPr>
          <w:rFonts w:ascii="Calibri" w:hAnsi="Calibri" w:cs="Calibri"/>
        </w:rPr>
      </w:pPr>
      <w:r>
        <w:rPr>
          <w:rFonts w:ascii="Calibri" w:hAnsi="Calibri" w:cs="Calibri"/>
        </w:rPr>
        <w:t>Serwer vCenter nie ma połączenia przez cztery kolejne minuty.</w:t>
      </w:r>
    </w:p>
    <w:p w14:paraId="7C096457" w14:textId="77777777" w:rsidR="00E06B4F" w:rsidRPr="00975B85" w:rsidRDefault="00E06B4F" w:rsidP="00DB4449">
      <w:pPr>
        <w:pStyle w:val="ProductList-Body"/>
        <w:numPr>
          <w:ilvl w:val="0"/>
          <w:numId w:val="14"/>
        </w:numPr>
        <w:rPr>
          <w:rFonts w:ascii="Calibri" w:hAnsi="Calibri" w:cs="Calibri"/>
        </w:rPr>
      </w:pPr>
      <w:r>
        <w:rPr>
          <w:rFonts w:ascii="Calibri" w:hAnsi="Calibri" w:cs="Calibri"/>
        </w:rPr>
        <w:t>Usługa NSX Manager nie ma łączności przez cztery kolejne minuty.</w:t>
      </w:r>
    </w:p>
    <w:p w14:paraId="7E4C2823" w14:textId="36F2EAE4" w:rsidR="003B335C" w:rsidRDefault="003B335C" w:rsidP="003B335C">
      <w:pPr>
        <w:pStyle w:val="ProductList-Body"/>
      </w:pPr>
      <w:r>
        <w:t>„</w:t>
      </w:r>
      <w:r>
        <w:rPr>
          <w:b/>
          <w:bCs/>
          <w:color w:val="00188F"/>
        </w:rPr>
        <w:t>Procent Czasu Sprawnego Działania</w:t>
      </w:r>
      <w:r>
        <w:t>” jest obliczany przy użyciu następującego wzoru:</w:t>
      </w:r>
    </w:p>
    <w:p w14:paraId="1F98E7A5" w14:textId="5B4635AE" w:rsidR="0087490E" w:rsidRPr="0048402F" w:rsidRDefault="00000000" w:rsidP="00E06B4F">
      <w:pPr>
        <w:spacing w:before="120" w:after="0" w:line="240" w:lineRule="auto"/>
        <w:rPr>
          <w:rFonts w:ascii="Cambria Math" w:eastAsiaTheme="minorEastAsia"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AD71F65" w14:textId="28EDBCF8" w:rsidR="0048402F" w:rsidRPr="0048402F" w:rsidRDefault="0048402F" w:rsidP="0048402F">
      <w:pPr>
        <w:pStyle w:val="ProductList-Body"/>
        <w:rPr>
          <w:b/>
          <w:bCs/>
          <w:color w:val="00188F"/>
        </w:rPr>
      </w:pP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87490E" w:rsidRPr="00B44CF9" w14:paraId="16E12F41" w14:textId="77777777" w:rsidTr="00277097">
        <w:trPr>
          <w:tblHeader/>
        </w:trPr>
        <w:tc>
          <w:tcPr>
            <w:tcW w:w="5400" w:type="dxa"/>
            <w:shd w:val="clear" w:color="auto" w:fill="0072C6"/>
          </w:tcPr>
          <w:p w14:paraId="684B2B65" w14:textId="057A14E0" w:rsidR="0087490E"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6CCB8FB" w14:textId="77777777" w:rsidR="0087490E" w:rsidRPr="005A3C16" w:rsidRDefault="0087490E" w:rsidP="000F31B4">
            <w:pPr>
              <w:pStyle w:val="ProductList-OfferingBody"/>
              <w:jc w:val="center"/>
              <w:rPr>
                <w:color w:val="FFFFFF" w:themeColor="background1"/>
              </w:rPr>
            </w:pPr>
            <w:r>
              <w:rPr>
                <w:color w:val="FFFFFF" w:themeColor="background1"/>
              </w:rPr>
              <w:t>Środki Serwisowe na Używanie Usług</w:t>
            </w:r>
          </w:p>
        </w:tc>
      </w:tr>
      <w:tr w:rsidR="0087490E" w:rsidRPr="00B44CF9" w14:paraId="41DDA0BF" w14:textId="77777777" w:rsidTr="00277097">
        <w:tc>
          <w:tcPr>
            <w:tcW w:w="5400" w:type="dxa"/>
          </w:tcPr>
          <w:p w14:paraId="57DEA1AF" w14:textId="77777777" w:rsidR="0087490E" w:rsidRPr="005A3C16" w:rsidRDefault="0087490E" w:rsidP="000F31B4">
            <w:pPr>
              <w:pStyle w:val="ProductList-OfferingBody"/>
              <w:jc w:val="center"/>
            </w:pPr>
            <w:r>
              <w:t>&lt; 99,9%</w:t>
            </w:r>
          </w:p>
        </w:tc>
        <w:tc>
          <w:tcPr>
            <w:tcW w:w="5400" w:type="dxa"/>
          </w:tcPr>
          <w:p w14:paraId="12EDA4F2" w14:textId="77777777" w:rsidR="0087490E" w:rsidRPr="005A3C16" w:rsidRDefault="0087490E" w:rsidP="000F31B4">
            <w:pPr>
              <w:pStyle w:val="ProductList-OfferingBody"/>
              <w:jc w:val="center"/>
            </w:pPr>
            <w:r>
              <w:t>10%</w:t>
            </w:r>
          </w:p>
        </w:tc>
      </w:tr>
      <w:tr w:rsidR="0087490E" w:rsidRPr="00B44CF9" w14:paraId="73C85E7D" w14:textId="77777777" w:rsidTr="00277097">
        <w:tc>
          <w:tcPr>
            <w:tcW w:w="5400" w:type="dxa"/>
          </w:tcPr>
          <w:p w14:paraId="6E6C8824" w14:textId="77777777" w:rsidR="0087490E" w:rsidRPr="005A3C16" w:rsidRDefault="0087490E" w:rsidP="000F31B4">
            <w:pPr>
              <w:pStyle w:val="ProductList-OfferingBody"/>
              <w:jc w:val="center"/>
            </w:pPr>
            <w:r>
              <w:t>&lt; 99%</w:t>
            </w:r>
          </w:p>
        </w:tc>
        <w:tc>
          <w:tcPr>
            <w:tcW w:w="5400" w:type="dxa"/>
          </w:tcPr>
          <w:p w14:paraId="54AFB53A" w14:textId="77777777" w:rsidR="0087490E" w:rsidRPr="005A3C16" w:rsidRDefault="0087490E" w:rsidP="000F31B4">
            <w:pPr>
              <w:pStyle w:val="ProductList-OfferingBody"/>
              <w:jc w:val="center"/>
            </w:pPr>
            <w:r>
              <w:t>25%</w:t>
            </w:r>
          </w:p>
        </w:tc>
      </w:tr>
    </w:tbl>
    <w:p w14:paraId="6A383821" w14:textId="0B706C9F" w:rsidR="00901D78" w:rsidRPr="00EF7CF9" w:rsidRDefault="00C71F89" w:rsidP="00901D7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030F3AE" w14:textId="77777777" w:rsidR="00111EE9" w:rsidRPr="00111EE9" w:rsidRDefault="00111EE9" w:rsidP="00111EE9">
      <w:pPr>
        <w:pStyle w:val="ProductList-Offering2Heading"/>
        <w:keepNext/>
        <w:outlineLvl w:val="2"/>
      </w:pPr>
      <w:bookmarkStart w:id="448" w:name="_Toc239175084"/>
      <w:r>
        <w:t>Azure VMware Solution by CloudSimple</w:t>
      </w:r>
      <w:bookmarkEnd w:id="448"/>
    </w:p>
    <w:p w14:paraId="11011C87" w14:textId="77777777" w:rsidR="00111EE9" w:rsidRPr="00111EE9" w:rsidRDefault="00111EE9" w:rsidP="00111EE9">
      <w:pPr>
        <w:pStyle w:val="ProductList-Body"/>
        <w:rPr>
          <w:b/>
          <w:bCs/>
          <w:color w:val="00188F"/>
        </w:rPr>
      </w:pPr>
      <w:r>
        <w:rPr>
          <w:b/>
          <w:bCs/>
          <w:color w:val="00188F"/>
        </w:rPr>
        <w:t>Dodatkowe wymogi</w:t>
      </w:r>
    </w:p>
    <w:p w14:paraId="72B01100" w14:textId="77777777" w:rsidR="00111EE9" w:rsidRDefault="00111EE9" w:rsidP="00111EE9">
      <w:pPr>
        <w:pStyle w:val="ProductList-Body"/>
      </w:pPr>
      <w:r>
        <w:t>Klient powinien utrzymywać następującą minimalną konfigurację dla każdego magazynu dla maszyny wirtualnej:</w:t>
      </w:r>
    </w:p>
    <w:p w14:paraId="12FA0843" w14:textId="77777777" w:rsidR="00111EE9" w:rsidRDefault="00111EE9" w:rsidP="00DB4449">
      <w:pPr>
        <w:pStyle w:val="ProductList-Body"/>
        <w:numPr>
          <w:ilvl w:val="0"/>
          <w:numId w:val="15"/>
        </w:numPr>
      </w:pPr>
      <w:r>
        <w:t>Gdy klaster ma od 3 do 5 hostów, liczba braku akceptacji = 1; a gdy klaster ma od 6 do 32 hostów, liczba braku akceptacji = 2</w:t>
      </w:r>
    </w:p>
    <w:p w14:paraId="1D1BBE52" w14:textId="03A08F0E" w:rsidR="00111EE9" w:rsidRDefault="00111EE9" w:rsidP="00DB4449">
      <w:pPr>
        <w:pStyle w:val="ProductList-Body"/>
        <w:numPr>
          <w:ilvl w:val="0"/>
          <w:numId w:val="15"/>
        </w:numPr>
      </w:pPr>
      <w:r>
        <w:t xml:space="preserve">Pojemność magazynu dla klastra utrzymuje dostępną przestrzeń zapasową o wielkości 25% (zgodnie z opisem w instrukcji przechowywania VSAN) </w:t>
      </w:r>
      <w:hyperlink r:id="rId28" w:history="1">
        <w:r>
          <w:rPr>
            <w:rStyle w:val="Hyperlink"/>
          </w:rPr>
          <w:t>https://docs.vmware.com/en/VMware-vSphere/6.7/vsan-671-administration-guide.pdf</w:t>
        </w:r>
      </w:hyperlink>
    </w:p>
    <w:p w14:paraId="4C610A4F" w14:textId="77777777" w:rsidR="00111EE9" w:rsidRDefault="00111EE9" w:rsidP="00DB4449">
      <w:pPr>
        <w:pStyle w:val="ProductList-Body"/>
        <w:numPr>
          <w:ilvl w:val="0"/>
          <w:numId w:val="15"/>
        </w:numPr>
      </w:pPr>
      <w:r>
        <w:t>Klaster ma wystarczającą pojemność, aby obsługiwać uruchomienie maszyny wirtualnej, a Klient nie wykonał w trybie Wyższych Uprawnień żadnych działań, które uniemożliwiają dostawcy wywiązanie się ze Zobowiązania do Zapewnienia Dostępności.</w:t>
      </w:r>
    </w:p>
    <w:p w14:paraId="41D54D38" w14:textId="419CC854" w:rsidR="00111EE9" w:rsidRDefault="00111EE9" w:rsidP="00DB4449">
      <w:pPr>
        <w:pStyle w:val="ProductList-Body"/>
        <w:numPr>
          <w:ilvl w:val="0"/>
          <w:numId w:val="15"/>
        </w:numPr>
      </w:pPr>
      <w:r>
        <w:t>Planowa konserwacja jest wyłączona z obliczeń łącznego dostępnego czasu sprawnego działania</w:t>
      </w:r>
    </w:p>
    <w:p w14:paraId="2F0032FD" w14:textId="77777777" w:rsidR="00111EE9" w:rsidRPr="0048402F" w:rsidRDefault="00111EE9" w:rsidP="00111EE9">
      <w:pPr>
        <w:pStyle w:val="ProductList-Body"/>
        <w:rPr>
          <w:b/>
          <w:bCs/>
          <w:color w:val="00188F"/>
        </w:rPr>
      </w:pPr>
      <w:r>
        <w:rPr>
          <w:b/>
          <w:bCs/>
          <w:color w:val="00188F"/>
        </w:rPr>
        <w:t>Dodatkowe definicje</w:t>
      </w:r>
    </w:p>
    <w:p w14:paraId="35B0DEFD" w14:textId="377F9BF5" w:rsidR="00111EE9" w:rsidRPr="0048402F" w:rsidRDefault="00EE6E3C" w:rsidP="00111EE9">
      <w:pPr>
        <w:pStyle w:val="ProductList-Body"/>
        <w:rPr>
          <w:b/>
          <w:bCs/>
          <w:color w:val="00188F"/>
        </w:rPr>
      </w:pPr>
      <w:r>
        <w:rPr>
          <w:b/>
          <w:bCs/>
          <w:color w:val="00188F"/>
        </w:rPr>
        <w:t>Obliczanie Czasu Sprawnego Działania i Poziomy Usługi dla Infrastruktury Azure VMware Solutions Workload</w:t>
      </w:r>
    </w:p>
    <w:p w14:paraId="5D6769E6" w14:textId="3FE6ADE1" w:rsidR="00111EE9" w:rsidRDefault="00111EE9" w:rsidP="00C84B0F">
      <w:pPr>
        <w:pStyle w:val="ProductList-Body"/>
      </w:pPr>
      <w:r>
        <w:rPr>
          <w:b/>
          <w:bCs/>
          <w:color w:val="00188F"/>
        </w:rPr>
        <w:t>„Maksymalna Liczba Dostępnych Minut</w:t>
      </w:r>
      <w:r>
        <w:t>” to łączna zakumulowana liczba minut we Właściwym Okresie dla wszystkich maszyn wirtualnych w</w:t>
      </w:r>
      <w:r w:rsidR="00C84B0F">
        <w:t> </w:t>
      </w:r>
      <w:r>
        <w:t>klastrze VMware, podczas których w ramach subskrypcji Microsoft Azure wdrożone były usługi Azure VMware Solutions Workload.</w:t>
      </w:r>
    </w:p>
    <w:p w14:paraId="07E62869" w14:textId="02400CA8" w:rsidR="00111EE9" w:rsidRDefault="00111EE9" w:rsidP="00111EE9">
      <w:pPr>
        <w:pStyle w:val="ProductList-Body"/>
      </w:pPr>
      <w:r>
        <w:t>„</w:t>
      </w:r>
      <w:r>
        <w:rPr>
          <w:b/>
          <w:bCs/>
          <w:color w:val="00188F"/>
        </w:rPr>
        <w:t>Przestój</w:t>
      </w:r>
      <w:r w:rsidR="00FD5D80">
        <w:t>”</w:t>
      </w:r>
      <w:r>
        <w:t xml:space="preserve"> to łączna zakumulowana Maksymalna Liczba Dostępnych Minut we Właściwym Okresie dla danej Usługi VMware Cluster on Azure, podczas których Usługa jest niedostępna. Minuta jest uznawana za minutę niedostępności, jeśli</w:t>
      </w:r>
    </w:p>
    <w:p w14:paraId="228F9330" w14:textId="77777777" w:rsidR="00111EE9" w:rsidRDefault="00111EE9" w:rsidP="00DB4449">
      <w:pPr>
        <w:pStyle w:val="ProductList-Body"/>
        <w:numPr>
          <w:ilvl w:val="0"/>
          <w:numId w:val="16"/>
        </w:numPr>
      </w:pPr>
      <w:r>
        <w:t>Żadne Maszyny Wirtualne w uruchomionym klastrze nie mają łączności przez cztery kolejne minuty.</w:t>
      </w:r>
    </w:p>
    <w:p w14:paraId="790E6190" w14:textId="77777777" w:rsidR="00111EE9" w:rsidRDefault="00111EE9" w:rsidP="00DB4449">
      <w:pPr>
        <w:pStyle w:val="ProductList-Body"/>
        <w:numPr>
          <w:ilvl w:val="0"/>
          <w:numId w:val="16"/>
        </w:numPr>
      </w:pPr>
      <w:r>
        <w:t>Żadne Maszyny Wirtualne nie mogą uzyskać dostępu do magazynu przez cztery kolejne minuty.</w:t>
      </w:r>
    </w:p>
    <w:p w14:paraId="37C1DC4E" w14:textId="77777777" w:rsidR="00111EE9" w:rsidRDefault="00111EE9" w:rsidP="00DB4449">
      <w:pPr>
        <w:pStyle w:val="ProductList-Body"/>
        <w:numPr>
          <w:ilvl w:val="0"/>
          <w:numId w:val="16"/>
        </w:numPr>
      </w:pPr>
      <w:r>
        <w:t>Żadne Maszyny Wirtualne nie mogą zostać uruchomione przez cztery kolejne minuty.</w:t>
      </w:r>
    </w:p>
    <w:p w14:paraId="232D7414" w14:textId="62F663F7" w:rsidR="00111EE9" w:rsidRDefault="00111EE9" w:rsidP="00111EE9">
      <w:pPr>
        <w:pStyle w:val="ProductList-Body"/>
      </w:pPr>
      <w:r>
        <w:t>„</w:t>
      </w:r>
      <w:r>
        <w:rPr>
          <w:b/>
          <w:bCs/>
          <w:color w:val="00188F"/>
        </w:rPr>
        <w:t>Procent Czasu Sprawnego Działania</w:t>
      </w:r>
      <w:r>
        <w:t>” jest obliczany przy użyciu następującego wzoru:</w:t>
      </w:r>
    </w:p>
    <w:p w14:paraId="19F1D4EB" w14:textId="2F8633BF" w:rsidR="0048402F" w:rsidRPr="00EF7CF9" w:rsidRDefault="00000000" w:rsidP="001B6A3C">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3121ECCE" w14:textId="035CFF96" w:rsidR="00111EE9" w:rsidRPr="00C074BC" w:rsidRDefault="0048402F" w:rsidP="00111EE9">
      <w:pPr>
        <w:pStyle w:val="ProductList-Body"/>
        <w:rPr>
          <w:b/>
          <w:bCs/>
          <w:color w:val="00188F"/>
        </w:rPr>
      </w:pP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61871884" w14:textId="77777777" w:rsidTr="00277097">
        <w:trPr>
          <w:tblHeader/>
        </w:trPr>
        <w:tc>
          <w:tcPr>
            <w:tcW w:w="5400" w:type="dxa"/>
            <w:shd w:val="clear" w:color="auto" w:fill="0072C6"/>
          </w:tcPr>
          <w:p w14:paraId="3B9B5B07" w14:textId="2165ECEC" w:rsidR="0048402F"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1FFE87E" w14:textId="77777777" w:rsidR="0048402F" w:rsidRPr="005A3C16" w:rsidRDefault="0048402F" w:rsidP="000F31B4">
            <w:pPr>
              <w:pStyle w:val="ProductList-OfferingBody"/>
              <w:jc w:val="center"/>
              <w:rPr>
                <w:color w:val="FFFFFF" w:themeColor="background1"/>
              </w:rPr>
            </w:pPr>
            <w:r>
              <w:rPr>
                <w:color w:val="FFFFFF" w:themeColor="background1"/>
              </w:rPr>
              <w:t>Środki Serwisowe na Używanie Usług</w:t>
            </w:r>
          </w:p>
        </w:tc>
      </w:tr>
      <w:tr w:rsidR="0048402F" w:rsidRPr="00B44CF9" w14:paraId="27355E3D" w14:textId="77777777" w:rsidTr="00277097">
        <w:tc>
          <w:tcPr>
            <w:tcW w:w="5400" w:type="dxa"/>
          </w:tcPr>
          <w:p w14:paraId="16C46BA1" w14:textId="77777777" w:rsidR="0048402F" w:rsidRPr="005A3C16" w:rsidRDefault="0048402F" w:rsidP="000F31B4">
            <w:pPr>
              <w:pStyle w:val="ProductList-OfferingBody"/>
              <w:jc w:val="center"/>
            </w:pPr>
            <w:r>
              <w:t>&lt; 99,9%</w:t>
            </w:r>
          </w:p>
        </w:tc>
        <w:tc>
          <w:tcPr>
            <w:tcW w:w="5400" w:type="dxa"/>
          </w:tcPr>
          <w:p w14:paraId="0861B3A4" w14:textId="77777777" w:rsidR="0048402F" w:rsidRPr="005A3C16" w:rsidRDefault="0048402F" w:rsidP="000F31B4">
            <w:pPr>
              <w:pStyle w:val="ProductList-OfferingBody"/>
              <w:jc w:val="center"/>
            </w:pPr>
            <w:r>
              <w:t>10%</w:t>
            </w:r>
          </w:p>
        </w:tc>
      </w:tr>
      <w:tr w:rsidR="0048402F" w:rsidRPr="00B44CF9" w14:paraId="05205DAD" w14:textId="77777777" w:rsidTr="00277097">
        <w:tc>
          <w:tcPr>
            <w:tcW w:w="5400" w:type="dxa"/>
          </w:tcPr>
          <w:p w14:paraId="456D24D3" w14:textId="77777777" w:rsidR="0048402F" w:rsidRPr="005A3C16" w:rsidRDefault="0048402F" w:rsidP="000F31B4">
            <w:pPr>
              <w:pStyle w:val="ProductList-OfferingBody"/>
              <w:jc w:val="center"/>
            </w:pPr>
            <w:r>
              <w:t>&lt; 99%</w:t>
            </w:r>
          </w:p>
        </w:tc>
        <w:tc>
          <w:tcPr>
            <w:tcW w:w="5400" w:type="dxa"/>
          </w:tcPr>
          <w:p w14:paraId="072A8441" w14:textId="1E9FCDF3" w:rsidR="0048402F" w:rsidRPr="005A3C16" w:rsidRDefault="0048402F" w:rsidP="000F31B4">
            <w:pPr>
              <w:pStyle w:val="ProductList-OfferingBody"/>
              <w:jc w:val="center"/>
            </w:pPr>
            <w:r>
              <w:t>30%</w:t>
            </w:r>
          </w:p>
        </w:tc>
      </w:tr>
    </w:tbl>
    <w:p w14:paraId="7925C666" w14:textId="5E3EECAE" w:rsidR="00111EE9" w:rsidRPr="0048402F" w:rsidRDefault="00EE6E3C" w:rsidP="005A0413">
      <w:pPr>
        <w:pStyle w:val="ProductList-Body"/>
        <w:spacing w:before="120"/>
        <w:rPr>
          <w:b/>
          <w:bCs/>
          <w:color w:val="00188F"/>
        </w:rPr>
      </w:pPr>
      <w:r>
        <w:rPr>
          <w:b/>
          <w:bCs/>
          <w:color w:val="00188F"/>
        </w:rPr>
        <w:t>Obliczanie Czasu Sprawnego Działania i Poziomy Usługi dla narzędzi zarządzania Azure VMware Solutions</w:t>
      </w:r>
    </w:p>
    <w:p w14:paraId="39393875" w14:textId="2F0AABF9" w:rsidR="00111EE9" w:rsidRDefault="00111EE9" w:rsidP="00111EE9">
      <w:pPr>
        <w:pStyle w:val="ProductList-Body"/>
      </w:pPr>
      <w:r w:rsidRPr="00FD5D80">
        <w:t>„</w:t>
      </w:r>
      <w:r>
        <w:rPr>
          <w:b/>
          <w:bCs/>
          <w:color w:val="00188F"/>
        </w:rPr>
        <w:t>Maksymalna Liczba Dostępnych Minut</w:t>
      </w:r>
      <w:r>
        <w:t>” to łączna zakumulowana liczba minut we Właściwym Okresie dla danego klastra VMware, podczas których w ramach subskrypcji Microsoft Azure wdrożone były narzędzia zarządzania Azure VMware.</w:t>
      </w:r>
    </w:p>
    <w:p w14:paraId="6A3427D0" w14:textId="1012E7EA" w:rsidR="00111EE9" w:rsidRDefault="00111EE9" w:rsidP="00111EE9">
      <w:pPr>
        <w:pStyle w:val="ProductList-Body"/>
      </w:pPr>
      <w:r>
        <w:t>„</w:t>
      </w:r>
      <w:r>
        <w:rPr>
          <w:b/>
          <w:bCs/>
          <w:color w:val="00188F"/>
        </w:rPr>
        <w:t>Przestój</w:t>
      </w:r>
      <w:r w:rsidR="00FD5D80">
        <w:t>”</w:t>
      </w:r>
      <w:r>
        <w:t xml:space="preserve"> to łączna zakumulowana Maksymalna Liczba Dostępnych Minut we Właściwym Okresie dla danej usługi VMware Cluster on Azure, podczas których Usługi Zarządzania (vCenter Server i NSX Manager) są niedostępne. Minuta jest uznawana za minutę niedostępności, jeśli</w:t>
      </w:r>
    </w:p>
    <w:p w14:paraId="03DFBFB1" w14:textId="77777777" w:rsidR="00111EE9" w:rsidRDefault="00111EE9" w:rsidP="00DB4449">
      <w:pPr>
        <w:pStyle w:val="ProductList-Body"/>
        <w:numPr>
          <w:ilvl w:val="0"/>
          <w:numId w:val="17"/>
        </w:numPr>
      </w:pPr>
      <w:r>
        <w:t>Serwer vCenter nie ma łączności przez cztery kolejne minuty.</w:t>
      </w:r>
    </w:p>
    <w:p w14:paraId="39C99AFB" w14:textId="77777777" w:rsidR="00111EE9" w:rsidRDefault="00111EE9" w:rsidP="00DB4449">
      <w:pPr>
        <w:pStyle w:val="ProductList-Body"/>
        <w:numPr>
          <w:ilvl w:val="0"/>
          <w:numId w:val="17"/>
        </w:numPr>
      </w:pPr>
      <w:r>
        <w:t>Usługa NSX Manager nie ma łączności przez cztery kolejne minuty.</w:t>
      </w:r>
    </w:p>
    <w:p w14:paraId="064B5313" w14:textId="07CBE8C4" w:rsidR="00111EE9" w:rsidRDefault="00111EE9" w:rsidP="00111EE9">
      <w:pPr>
        <w:pStyle w:val="ProductList-Body"/>
      </w:pPr>
      <w:r>
        <w:t>„</w:t>
      </w:r>
      <w:r>
        <w:rPr>
          <w:b/>
          <w:bCs/>
          <w:color w:val="00188F"/>
        </w:rPr>
        <w:t>Procent Czasu Sprawnego Działania</w:t>
      </w:r>
      <w:r>
        <w:t>” jest obliczany przy użyciu następującego wzoru:</w:t>
      </w:r>
    </w:p>
    <w:p w14:paraId="5E4EF5A0" w14:textId="4A7BF091" w:rsidR="0048402F" w:rsidRPr="00EF7CF9" w:rsidRDefault="00000000" w:rsidP="00BD59B3">
      <w:pPr>
        <w:spacing w:before="120" w:after="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714D2D4E" w14:textId="30B312FE" w:rsidR="00111EE9" w:rsidRPr="0048402F" w:rsidRDefault="0048402F" w:rsidP="00111EE9">
      <w:pPr>
        <w:pStyle w:val="ProductList-Body"/>
        <w:rPr>
          <w:b/>
          <w:bCs/>
          <w:color w:val="00188F"/>
        </w:rPr>
      </w:pPr>
      <w:r>
        <w:rPr>
          <w:b/>
          <w:bCs/>
          <w:color w:val="00188F"/>
        </w:rPr>
        <w:t>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8402F" w:rsidRPr="00B44CF9" w14:paraId="173A6555" w14:textId="77777777" w:rsidTr="00277097">
        <w:trPr>
          <w:tblHeader/>
        </w:trPr>
        <w:tc>
          <w:tcPr>
            <w:tcW w:w="5400" w:type="dxa"/>
            <w:shd w:val="clear" w:color="auto" w:fill="0072C6"/>
          </w:tcPr>
          <w:p w14:paraId="1C9F910D" w14:textId="34AD5CB4" w:rsidR="0048402F"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08C7392" w14:textId="77777777" w:rsidR="0048402F" w:rsidRPr="005A3C16" w:rsidRDefault="0048402F" w:rsidP="000F31B4">
            <w:pPr>
              <w:pStyle w:val="ProductList-OfferingBody"/>
              <w:jc w:val="center"/>
              <w:rPr>
                <w:color w:val="FFFFFF" w:themeColor="background1"/>
              </w:rPr>
            </w:pPr>
            <w:r>
              <w:rPr>
                <w:color w:val="FFFFFF" w:themeColor="background1"/>
              </w:rPr>
              <w:t>Środki Serwisowe na Używanie Usług</w:t>
            </w:r>
          </w:p>
        </w:tc>
      </w:tr>
      <w:tr w:rsidR="0048402F" w:rsidRPr="00B44CF9" w14:paraId="2FA92FBE" w14:textId="77777777" w:rsidTr="00277097">
        <w:tc>
          <w:tcPr>
            <w:tcW w:w="5400" w:type="dxa"/>
          </w:tcPr>
          <w:p w14:paraId="364E37AF" w14:textId="77777777" w:rsidR="0048402F" w:rsidRPr="005A3C16" w:rsidRDefault="0048402F" w:rsidP="000F31B4">
            <w:pPr>
              <w:pStyle w:val="ProductList-OfferingBody"/>
              <w:jc w:val="center"/>
            </w:pPr>
            <w:r>
              <w:t>&lt; 99,9%</w:t>
            </w:r>
          </w:p>
        </w:tc>
        <w:tc>
          <w:tcPr>
            <w:tcW w:w="5400" w:type="dxa"/>
          </w:tcPr>
          <w:p w14:paraId="71BB0B30" w14:textId="77777777" w:rsidR="0048402F" w:rsidRPr="005A3C16" w:rsidRDefault="0048402F" w:rsidP="000F31B4">
            <w:pPr>
              <w:pStyle w:val="ProductList-OfferingBody"/>
              <w:jc w:val="center"/>
            </w:pPr>
            <w:r>
              <w:t>10%</w:t>
            </w:r>
          </w:p>
        </w:tc>
      </w:tr>
      <w:tr w:rsidR="0048402F" w:rsidRPr="00B44CF9" w14:paraId="0059F644" w14:textId="77777777" w:rsidTr="00277097">
        <w:tc>
          <w:tcPr>
            <w:tcW w:w="5400" w:type="dxa"/>
          </w:tcPr>
          <w:p w14:paraId="089956E1" w14:textId="77777777" w:rsidR="0048402F" w:rsidRPr="005A3C16" w:rsidRDefault="0048402F" w:rsidP="000F31B4">
            <w:pPr>
              <w:pStyle w:val="ProductList-OfferingBody"/>
              <w:jc w:val="center"/>
            </w:pPr>
            <w:r>
              <w:t>&lt; 99%</w:t>
            </w:r>
          </w:p>
        </w:tc>
        <w:tc>
          <w:tcPr>
            <w:tcW w:w="5400" w:type="dxa"/>
          </w:tcPr>
          <w:p w14:paraId="7DA6BAD2" w14:textId="77777777" w:rsidR="0048402F" w:rsidRPr="005A3C16" w:rsidRDefault="0048402F" w:rsidP="000F31B4">
            <w:pPr>
              <w:pStyle w:val="ProductList-OfferingBody"/>
              <w:jc w:val="center"/>
            </w:pPr>
            <w:r>
              <w:t>30%</w:t>
            </w:r>
          </w:p>
        </w:tc>
      </w:tr>
    </w:tbl>
    <w:p w14:paraId="12070133" w14:textId="179F5DAC" w:rsidR="0048402F" w:rsidRPr="00EF7CF9" w:rsidRDefault="00C71F89" w:rsidP="0048402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BD958DA" w14:textId="6A55E9E0" w:rsidR="00C074BC" w:rsidRPr="00C074BC" w:rsidRDefault="00C074BC" w:rsidP="00C074BC">
      <w:pPr>
        <w:pStyle w:val="ProductList-Offering2Heading"/>
        <w:keepNext/>
        <w:outlineLvl w:val="2"/>
      </w:pPr>
      <w:bookmarkStart w:id="449" w:name="_Toc239175085"/>
      <w:r>
        <w:t>Azure VNet NAT</w:t>
      </w:r>
      <w:bookmarkEnd w:id="449"/>
    </w:p>
    <w:p w14:paraId="7C326E58" w14:textId="77777777" w:rsidR="00C074BC" w:rsidRPr="00C074BC" w:rsidRDefault="00C074BC" w:rsidP="00C074BC">
      <w:pPr>
        <w:pStyle w:val="ProductList-Body"/>
        <w:rPr>
          <w:b/>
          <w:bCs/>
          <w:color w:val="00188F"/>
        </w:rPr>
      </w:pPr>
      <w:r>
        <w:rPr>
          <w:b/>
          <w:bCs/>
          <w:color w:val="00188F"/>
        </w:rPr>
        <w:t>Dodatkowe definicje</w:t>
      </w:r>
    </w:p>
    <w:p w14:paraId="35C02D4A" w14:textId="77777777" w:rsidR="00C074BC" w:rsidRDefault="00C074BC" w:rsidP="00C074BC">
      <w:pPr>
        <w:pStyle w:val="ProductList-Body"/>
      </w:pPr>
      <w:r>
        <w:t>„</w:t>
      </w:r>
      <w:r>
        <w:rPr>
          <w:b/>
          <w:bCs/>
          <w:color w:val="00188F"/>
        </w:rPr>
        <w:t>Statyczny Publiczny Adres IP</w:t>
      </w:r>
      <w:r>
        <w:t>” to adres IP, który został skonfigurowany na potrzeby obciążenia użytkownika. Statyczny adres IP nie podlega zmianom.</w:t>
      </w:r>
    </w:p>
    <w:p w14:paraId="28DC0CC7" w14:textId="77777777" w:rsidR="00C074BC" w:rsidRDefault="00C074BC" w:rsidP="00C074BC">
      <w:pPr>
        <w:pStyle w:val="ProductList-Body"/>
      </w:pPr>
      <w:r>
        <w:t>„</w:t>
      </w:r>
      <w:r>
        <w:rPr>
          <w:b/>
          <w:bCs/>
          <w:color w:val="00188F"/>
        </w:rPr>
        <w:t>Translacja Adresów Sieciowych</w:t>
      </w:r>
      <w:r>
        <w:t>” to proces konwersji adresów IP sieci prywatnej na publiczny adres IP w celu umożliwienia wielu zasobom obliczeniowym platformy Azure (tj. maszynom wirtualnym) połączenia z Internetem za pomocą jednego adresu publicznego.</w:t>
      </w:r>
    </w:p>
    <w:p w14:paraId="4957B914" w14:textId="451CFF72" w:rsidR="00C074BC" w:rsidRDefault="00C074BC" w:rsidP="00C074BC">
      <w:pPr>
        <w:pStyle w:val="ProductList-Body"/>
      </w:pPr>
      <w:r>
        <w:t>„</w:t>
      </w:r>
      <w:r>
        <w:rPr>
          <w:b/>
          <w:bCs/>
          <w:color w:val="00188F"/>
        </w:rPr>
        <w:t>Łączność</w:t>
      </w:r>
      <w:r>
        <w:t>” to dwukierunkowy ruch sieciowy w ramach obsługiwanych protokołów transportowych IP, który można zainicjować i przyjąć z</w:t>
      </w:r>
      <w:r w:rsidR="00B60FF7">
        <w:t> </w:t>
      </w:r>
      <w:r>
        <w:t>dowolnego adresu IP skonfigurowanego tak, aby dopuszczać ruch.</w:t>
      </w:r>
    </w:p>
    <w:p w14:paraId="2CF65708" w14:textId="77777777" w:rsidR="00C074BC" w:rsidRDefault="00C074BC" w:rsidP="00C074BC">
      <w:pPr>
        <w:pStyle w:val="ProductList-Body"/>
      </w:pPr>
      <w:r>
        <w:t>„</w:t>
      </w:r>
      <w:r>
        <w:rPr>
          <w:b/>
          <w:bCs/>
          <w:color w:val="00188F"/>
        </w:rPr>
        <w:t>Wychodzący Ruch Sieciowy</w:t>
      </w:r>
      <w:r>
        <w:t>” to ruch, który przepływa z sieci prywatnej do publicznego punktu końcowego za pośrednictwem Internetu.</w:t>
      </w:r>
    </w:p>
    <w:p w14:paraId="15FC86BD" w14:textId="79CA3363" w:rsidR="00C074BC" w:rsidRPr="00C074BC" w:rsidRDefault="00EE6E3C" w:rsidP="00C074BC">
      <w:pPr>
        <w:pStyle w:val="ProductList-Body"/>
        <w:rPr>
          <w:b/>
          <w:bCs/>
          <w:color w:val="00188F"/>
        </w:rPr>
      </w:pPr>
      <w:r>
        <w:rPr>
          <w:b/>
          <w:bCs/>
          <w:color w:val="00188F"/>
        </w:rPr>
        <w:t>Obliczanie Czasu Sprawnego Działania i Poziomy Usługi Azure VNet NAT</w:t>
      </w:r>
    </w:p>
    <w:p w14:paraId="13C9C4ED" w14:textId="5D22608A" w:rsidR="00C074BC" w:rsidRDefault="00C074BC" w:rsidP="00C074BC">
      <w:pPr>
        <w:pStyle w:val="ProductList-Body"/>
      </w:pPr>
      <w:r>
        <w:t>„</w:t>
      </w:r>
      <w:r>
        <w:rPr>
          <w:b/>
          <w:bCs/>
          <w:color w:val="00188F"/>
        </w:rPr>
        <w:t>Maksymalna Liczba Dostępnych Minut</w:t>
      </w:r>
      <w:r>
        <w:t>” to łączna liczba minut, przez którą usługa Azure VNet NAT (obsługująca co najmniej dwie Maszyny Wirtualne w Dobrej Kondycji) była wdrożona przez Klienta w ramach danej subskrypcji Microsoft Azure we Właściwym Okresie.</w:t>
      </w:r>
    </w:p>
    <w:p w14:paraId="5DA3B703" w14:textId="77777777" w:rsidR="00C074BC" w:rsidRDefault="00C074BC" w:rsidP="00C074BC">
      <w:pPr>
        <w:pStyle w:val="ProductList-Body"/>
      </w:pPr>
      <w:r>
        <w:t>„</w:t>
      </w:r>
      <w:r>
        <w:rPr>
          <w:b/>
          <w:bCs/>
          <w:color w:val="00188F"/>
        </w:rPr>
        <w:t>Przestój</w:t>
      </w:r>
      <w:r>
        <w:t>” to łączna liczba minut z Maksymalnej Liczby Dostępnych Minut, w ciągu których dana usługa Azure VNet NAT jest niedostępna. Minuta jest uznawana za minutę niedostępności, jeśli wszystkie Maszyny Wirtualne w Dobrej Kondycji nie mają Łączności za pośrednictwem punktu końcowego usługi VNet NAT. Przestój nie obejmuje minut wynikających z wyczerpania portów SNAT.</w:t>
      </w:r>
    </w:p>
    <w:p w14:paraId="545A6DFC" w14:textId="110E0FB8" w:rsidR="00C074BC" w:rsidRDefault="00C074BC" w:rsidP="00C074BC">
      <w:pPr>
        <w:pStyle w:val="ProductList-Body"/>
      </w:pPr>
      <w:r>
        <w:t>„</w:t>
      </w:r>
      <w:r>
        <w:rPr>
          <w:b/>
          <w:bCs/>
          <w:color w:val="00188F"/>
        </w:rPr>
        <w:t>Obliczanie Czasu Sprawnego Działania</w:t>
      </w:r>
      <w:r>
        <w:t>” dla Azure VNet NAT to Maksymalna Liczba Dostępnych Minut pomniejszona o Przestój podzielona przez Maksymalną Liczbę Dostępnych Minut we Właściwym Okresie pomnożona przez 100.</w:t>
      </w:r>
    </w:p>
    <w:p w14:paraId="14D300FF" w14:textId="637DBE90" w:rsidR="00C074BC" w:rsidRDefault="00AC48A7" w:rsidP="00C074BC">
      <w:pPr>
        <w:pStyle w:val="ProductList-Body"/>
      </w:pPr>
      <w:r>
        <w:t>Procent Czasu Sprawnego Działania przedstawia się za pomocą następującego wzoru:</w:t>
      </w:r>
    </w:p>
    <w:p w14:paraId="7623F496" w14:textId="0FC8BDC6" w:rsidR="00C074BC" w:rsidRPr="00EF7CF9" w:rsidRDefault="00000000" w:rsidP="001B6A3C">
      <w:pPr>
        <w:spacing w:before="120" w:after="120" w:line="240" w:lineRule="auto"/>
        <w:rPr>
          <w:rFonts w:ascii="Cambria Math" w:hAnsi="Cambria Math" w:cs="Tahoma"/>
          <w:i/>
          <w:color w:val="000000" w:themeColor="text1"/>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54A7BEA" w14:textId="77777777" w:rsidR="00C074BC" w:rsidRPr="00FC58B9" w:rsidRDefault="00C074BC" w:rsidP="00C074BC">
      <w:pPr>
        <w:pStyle w:val="ProductList-Body"/>
        <w:rPr>
          <w:b/>
          <w:color w:val="00188F"/>
        </w:rPr>
      </w:pPr>
      <w:r w:rsidRPr="00FC58B9">
        <w:rPr>
          <w:b/>
          <w:color w:val="00188F"/>
        </w:rPr>
        <w:t>Do używania przez Klienta Usługi Azure NAT Gateway mają zastosowanie następujące Poziomy Usługi i Środki Serwisowe na 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C074BC" w:rsidRPr="00B44CF9" w14:paraId="1478731F" w14:textId="77777777" w:rsidTr="001428C6">
        <w:trPr>
          <w:tblHeader/>
        </w:trPr>
        <w:tc>
          <w:tcPr>
            <w:tcW w:w="5400" w:type="dxa"/>
            <w:shd w:val="clear" w:color="auto" w:fill="0072C6"/>
          </w:tcPr>
          <w:p w14:paraId="4B83ABFC" w14:textId="4ACB8C9A" w:rsidR="00C074BC" w:rsidRPr="005A3C16"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569BCB0" w14:textId="77777777" w:rsidR="00C074BC" w:rsidRPr="005A3C16" w:rsidRDefault="00C074BC" w:rsidP="000F31B4">
            <w:pPr>
              <w:pStyle w:val="ProductList-OfferingBody"/>
              <w:jc w:val="center"/>
              <w:rPr>
                <w:color w:val="FFFFFF" w:themeColor="background1"/>
              </w:rPr>
            </w:pPr>
            <w:r>
              <w:rPr>
                <w:color w:val="FFFFFF" w:themeColor="background1"/>
              </w:rPr>
              <w:t>Środki Serwisowe na Używanie Usług</w:t>
            </w:r>
          </w:p>
        </w:tc>
      </w:tr>
      <w:tr w:rsidR="00C074BC" w:rsidRPr="00B44CF9" w14:paraId="46D64DFF" w14:textId="77777777" w:rsidTr="001428C6">
        <w:tc>
          <w:tcPr>
            <w:tcW w:w="5400" w:type="dxa"/>
          </w:tcPr>
          <w:p w14:paraId="6BE5352A" w14:textId="795C5DE0" w:rsidR="00C074BC" w:rsidRPr="005A3C16" w:rsidRDefault="00C074BC" w:rsidP="000F31B4">
            <w:pPr>
              <w:pStyle w:val="ProductList-OfferingBody"/>
              <w:jc w:val="center"/>
            </w:pPr>
            <w:r>
              <w:t>&lt; 99,99%</w:t>
            </w:r>
          </w:p>
        </w:tc>
        <w:tc>
          <w:tcPr>
            <w:tcW w:w="5400" w:type="dxa"/>
          </w:tcPr>
          <w:p w14:paraId="53358258" w14:textId="77777777" w:rsidR="00C074BC" w:rsidRPr="005A3C16" w:rsidRDefault="00C074BC" w:rsidP="000F31B4">
            <w:pPr>
              <w:pStyle w:val="ProductList-OfferingBody"/>
              <w:jc w:val="center"/>
            </w:pPr>
            <w:r>
              <w:t>10%</w:t>
            </w:r>
          </w:p>
        </w:tc>
      </w:tr>
      <w:tr w:rsidR="00C074BC" w:rsidRPr="00B44CF9" w14:paraId="757DE237" w14:textId="77777777" w:rsidTr="001428C6">
        <w:tc>
          <w:tcPr>
            <w:tcW w:w="5400" w:type="dxa"/>
          </w:tcPr>
          <w:p w14:paraId="267B1C49" w14:textId="3F6BCC6A" w:rsidR="00C074BC" w:rsidRPr="005A3C16" w:rsidRDefault="00C074BC" w:rsidP="000F31B4">
            <w:pPr>
              <w:pStyle w:val="ProductList-OfferingBody"/>
              <w:jc w:val="center"/>
            </w:pPr>
            <w:r>
              <w:t>&lt; 99,9%</w:t>
            </w:r>
          </w:p>
        </w:tc>
        <w:tc>
          <w:tcPr>
            <w:tcW w:w="5400" w:type="dxa"/>
          </w:tcPr>
          <w:p w14:paraId="5BF8DE88" w14:textId="6FD720FA" w:rsidR="00C074BC" w:rsidRPr="005A3C16" w:rsidRDefault="00C074BC" w:rsidP="000F31B4">
            <w:pPr>
              <w:pStyle w:val="ProductList-OfferingBody"/>
              <w:jc w:val="center"/>
            </w:pPr>
            <w:r>
              <w:t>25%</w:t>
            </w:r>
          </w:p>
        </w:tc>
      </w:tr>
    </w:tbl>
    <w:p w14:paraId="785C438D" w14:textId="4DDDDA18" w:rsidR="00C074BC" w:rsidRPr="00EF7CF9" w:rsidRDefault="00C71F89" w:rsidP="00C074BC">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9152353" w14:textId="59D04F87" w:rsidR="003C3E42" w:rsidRPr="00F23CAA" w:rsidRDefault="003C3E42" w:rsidP="00BD59B3">
      <w:pPr>
        <w:pStyle w:val="ProductList-Offering2Heading"/>
        <w:keepNext/>
        <w:outlineLvl w:val="2"/>
      </w:pPr>
      <w:bookmarkStart w:id="450" w:name="_Toc178268191"/>
      <w:bookmarkStart w:id="451" w:name="_Toc239175086"/>
      <w:bookmarkEnd w:id="441"/>
      <w:bookmarkEnd w:id="442"/>
      <w:r w:rsidRPr="00F23CAA">
        <w:t>Brama Sieci Wirtualnej</w:t>
      </w:r>
      <w:bookmarkEnd w:id="450"/>
      <w:bookmarkEnd w:id="451"/>
    </w:p>
    <w:p w14:paraId="3214EABD" w14:textId="77777777" w:rsidR="004005AF" w:rsidRPr="00EF7CF9" w:rsidRDefault="004005AF" w:rsidP="004005AF">
      <w:pPr>
        <w:pStyle w:val="ProductList-Body"/>
      </w:pPr>
      <w:r>
        <w:rPr>
          <w:b/>
          <w:color w:val="00188F"/>
        </w:rPr>
        <w:t>Dodatkowe definicje</w:t>
      </w:r>
      <w:r w:rsidRPr="0034704E">
        <w:rPr>
          <w:b/>
          <w:color w:val="00188F"/>
        </w:rPr>
        <w:t>:</w:t>
      </w:r>
    </w:p>
    <w:p w14:paraId="3827F38C" w14:textId="77777777" w:rsidR="001055B5" w:rsidRPr="00BA2725" w:rsidRDefault="001055B5" w:rsidP="001055B5">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sz w:val="18"/>
        </w:rPr>
        <w:t>„</w:t>
      </w:r>
      <w:r>
        <w:rPr>
          <w:rFonts w:ascii="Calibri" w:eastAsia="Calibri" w:hAnsi="Calibri" w:cs="Arial"/>
          <w:b/>
          <w:color w:val="00188F"/>
          <w:sz w:val="18"/>
        </w:rPr>
        <w:t>Maksymalna Liczba Dostępnych Minut</w:t>
      </w:r>
      <w:r>
        <w:rPr>
          <w:rFonts w:ascii="Calibri" w:eastAsia="Calibri" w:hAnsi="Calibri" w:cs="Arial"/>
          <w:sz w:val="18"/>
        </w:rPr>
        <w:t>” to łączna zakumulowana liczba minut we Właściwym Okresie, podczas których dana Brama Sieci Wirtualnej została wdrożona w ramach subskrypcji Microsoft Azure.</w:t>
      </w:r>
    </w:p>
    <w:p w14:paraId="6FB72523" w14:textId="77777777" w:rsidR="001055B5" w:rsidRPr="00BA2725" w:rsidRDefault="001055B5" w:rsidP="001055B5">
      <w:pPr>
        <w:tabs>
          <w:tab w:val="left" w:pos="360"/>
          <w:tab w:val="left" w:pos="720"/>
          <w:tab w:val="left" w:pos="1080"/>
        </w:tabs>
        <w:spacing w:after="40" w:line="240" w:lineRule="auto"/>
        <w:rPr>
          <w:rFonts w:ascii="Calibri" w:eastAsia="Calibri" w:hAnsi="Calibri" w:cs="Arial"/>
          <w:sz w:val="18"/>
        </w:rPr>
      </w:pPr>
      <w:r>
        <w:rPr>
          <w:rFonts w:ascii="Calibri" w:eastAsia="Calibri" w:hAnsi="Calibri" w:cs="Arial"/>
          <w:b/>
          <w:color w:val="00188F"/>
          <w:sz w:val="18"/>
        </w:rPr>
        <w:t>Przestój</w:t>
      </w:r>
      <w:r w:rsidRPr="005F309B">
        <w:rPr>
          <w:rFonts w:ascii="Calibri" w:eastAsia="Calibri" w:hAnsi="Calibri" w:cs="Arial"/>
          <w:b/>
          <w:bCs/>
          <w:sz w:val="18"/>
        </w:rPr>
        <w:t>:</w:t>
      </w:r>
      <w:r>
        <w:rPr>
          <w:rFonts w:ascii="Calibri" w:eastAsia="Calibri" w:hAnsi="Calibri" w:cs="Arial"/>
          <w:sz w:val="18"/>
        </w:rPr>
        <w:t xml:space="preserve"> To łączna skumulowana Maksymalna Liczba Dostępnych Minut podczas których Usługa Bramy Sieci Wirtualnej jest niedostępna. Minutę uznaje się za niedostępną, jeśli wszystkie próby połączenia z Bramą Sieci Wirtualnej w ciągu trzydziestu sekund okażą się nieudane.</w:t>
      </w:r>
    </w:p>
    <w:p w14:paraId="6018A367" w14:textId="77777777" w:rsidR="001055B5" w:rsidRPr="00BA2725" w:rsidRDefault="001055B5" w:rsidP="001055B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Procent Czasu Sprawnego Działania</w:t>
      </w:r>
      <w:r w:rsidRPr="005F309B">
        <w:rPr>
          <w:rFonts w:ascii="Calibri" w:eastAsia="Calibri" w:hAnsi="Calibri" w:cs="Arial"/>
          <w:b/>
          <w:bCs/>
          <w:sz w:val="18"/>
        </w:rPr>
        <w:t>:</w:t>
      </w:r>
      <w:r>
        <w:rPr>
          <w:rFonts w:ascii="Calibri" w:eastAsia="Calibri" w:hAnsi="Calibri" w:cs="Arial"/>
          <w:sz w:val="18"/>
        </w:rPr>
        <w:t xml:space="preserve"> Procent Czasu Sprawnego Działania dla danej Bramy Sieci Wirtualnej to Maksymalna Liczba Dostępnych Minut pomniejszona o Przestój podzielona przez Maksymalną Liczbę Dostępnych Minut we Właściwym Okresie dla danej Bramy Sieci Wirtualnej. Procent Czasu Sprawnego Działania oblicza się według poniższego wzoru:</w:t>
      </w:r>
    </w:p>
    <w:p w14:paraId="6A7D17A4" w14:textId="77777777" w:rsidR="001055B5" w:rsidRPr="005F309B" w:rsidRDefault="00000000" w:rsidP="001B6A3C">
      <w:pPr>
        <w:spacing w:before="120" w:after="120" w:line="240" w:lineRule="auto"/>
        <w:ind w:left="720"/>
        <w:rPr>
          <w:rFonts w:ascii="Cambria Math" w:eastAsia="Calibri" w:hAnsi="Cambria Math" w:cs="Tahoma"/>
          <w:i/>
          <w:sz w:val="18"/>
          <w:szCs w:val="18"/>
        </w:rPr>
      </w:pPr>
      <m:oMathPara>
        <m:oMath>
          <m:f>
            <m:fPr>
              <m:ctrlPr>
                <w:rPr>
                  <w:rFonts w:ascii="Cambria Math" w:eastAsia="Calibri" w:hAnsi="Cambria Math" w:cs="Tahoma"/>
                  <w:i/>
                  <w:sz w:val="18"/>
                  <w:szCs w:val="18"/>
                </w:rPr>
              </m:ctrlPr>
            </m:fPr>
            <m:num>
              <m:r>
                <m:rPr>
                  <m:nor/>
                </m:rPr>
                <w:rPr>
                  <w:rFonts w:ascii="Cambria Math" w:eastAsia="Calibri" w:hAnsi="Cambria Math" w:cs="Tahoma"/>
                  <w:i/>
                  <w:sz w:val="18"/>
                  <w:szCs w:val="18"/>
                </w:rPr>
                <m:t>Maksymalna Liczba Minut Dostępności - Przestój</m:t>
              </m:r>
            </m:num>
            <m:den>
              <m:r>
                <m:rPr>
                  <m:nor/>
                </m:rPr>
                <w:rPr>
                  <w:rFonts w:ascii="Cambria Math" w:eastAsia="Calibri" w:hAnsi="Cambria Math" w:cs="Tahoma"/>
                  <w:i/>
                  <w:sz w:val="18"/>
                  <w:szCs w:val="18"/>
                </w:rPr>
                <m:t>Maksymalna Liczba Dostępnych Minut</m:t>
              </m:r>
            </m:den>
          </m:f>
          <m:r>
            <w:rPr>
              <w:rFonts w:ascii="Cambria Math" w:eastAsia="Calibri" w:hAnsi="Cambria Math" w:cs="Tahoma"/>
              <w:sz w:val="18"/>
              <w:szCs w:val="18"/>
            </w:rPr>
            <m:t xml:space="preserve"> </m:t>
          </m:r>
          <m:r>
            <w:rPr>
              <w:rFonts w:ascii="Cambria Math" w:eastAsia="Calibri" w:hAnsi="Cambria Math" w:cs="Calibri"/>
              <w:sz w:val="18"/>
              <w:szCs w:val="18"/>
            </w:rPr>
            <m:t>x</m:t>
          </m:r>
          <m:r>
            <w:rPr>
              <w:rFonts w:ascii="Cambria Math" w:eastAsia="Calibri" w:hAnsi="Cambria Math" w:cs="Tahoma"/>
              <w:sz w:val="18"/>
              <w:szCs w:val="18"/>
            </w:rPr>
            <m:t xml:space="preserve"> 100</m:t>
          </m:r>
        </m:oMath>
      </m:oMathPara>
    </w:p>
    <w:p w14:paraId="2B36FBEF" w14:textId="503D01F4" w:rsidR="001055B5" w:rsidRDefault="001055B5" w:rsidP="001055B5">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Następujące Poziomy Usługi i Środki na Używanie Usług mogą być wykorzystane przez Klienta dla każdej Bramy Sieci Wirtualnej</w:t>
      </w:r>
      <w:r w:rsidRPr="005F309B">
        <w:rPr>
          <w:rFonts w:ascii="Calibri" w:eastAsia="Calibri" w:hAnsi="Calibri" w:cs="Arial"/>
          <w:b/>
          <w:bCs/>
          <w:sz w:val="18"/>
        </w:rPr>
        <w:t>:</w:t>
      </w:r>
    </w:p>
    <w:p w14:paraId="3E0B3097" w14:textId="77777777" w:rsidR="004005AF" w:rsidRPr="00EF7CF9" w:rsidRDefault="004005AF" w:rsidP="004005AF">
      <w:pPr>
        <w:pStyle w:val="ProductList-Body"/>
        <w:ind w:left="360"/>
      </w:pPr>
      <w:r>
        <w:rPr>
          <w:b/>
          <w:color w:val="00188F"/>
        </w:rPr>
        <w:t>Środki Serwisowe na Używanie Usług Gateway for VPN lub Gateway for ExpressRoute w warstwie Podstawowa</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25735ADB" w14:textId="77777777" w:rsidTr="00683581">
        <w:trPr>
          <w:tblHeader/>
        </w:trPr>
        <w:tc>
          <w:tcPr>
            <w:tcW w:w="5220" w:type="dxa"/>
            <w:shd w:val="clear" w:color="auto" w:fill="0072C6"/>
          </w:tcPr>
          <w:p w14:paraId="4E53F423" w14:textId="0F0061A5" w:rsidR="004005AF" w:rsidRPr="00EF7CF9" w:rsidRDefault="00AC48A7" w:rsidP="000F31B4">
            <w:pPr>
              <w:pStyle w:val="ProductList-OfferingBody"/>
              <w:ind w:left="-23" w:firstLine="23"/>
              <w:jc w:val="center"/>
              <w:rPr>
                <w:color w:val="FFFFFF" w:themeColor="background1"/>
              </w:rPr>
            </w:pPr>
            <w:r>
              <w:rPr>
                <w:color w:val="FFFFFF" w:themeColor="background1"/>
              </w:rPr>
              <w:t>Procent Czasu Sprawnego Działania</w:t>
            </w:r>
          </w:p>
        </w:tc>
        <w:tc>
          <w:tcPr>
            <w:tcW w:w="5580" w:type="dxa"/>
            <w:shd w:val="clear" w:color="auto" w:fill="0072C6"/>
          </w:tcPr>
          <w:p w14:paraId="05C9B00B"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5AB7E201" w14:textId="77777777" w:rsidTr="00683581">
        <w:tc>
          <w:tcPr>
            <w:tcW w:w="5220" w:type="dxa"/>
          </w:tcPr>
          <w:p w14:paraId="55715AA0" w14:textId="77777777" w:rsidR="004005AF" w:rsidRPr="00EF7CF9" w:rsidRDefault="004005AF" w:rsidP="000F31B4">
            <w:pPr>
              <w:pStyle w:val="ProductList-OfferingBody"/>
              <w:ind w:left="-23" w:firstLine="23"/>
              <w:jc w:val="center"/>
            </w:pPr>
            <w:r>
              <w:t>&lt; 99,9%</w:t>
            </w:r>
          </w:p>
        </w:tc>
        <w:tc>
          <w:tcPr>
            <w:tcW w:w="5580" w:type="dxa"/>
          </w:tcPr>
          <w:p w14:paraId="78AE8882" w14:textId="77777777" w:rsidR="004005AF" w:rsidRPr="00EF7CF9" w:rsidRDefault="004005AF" w:rsidP="000F31B4">
            <w:pPr>
              <w:pStyle w:val="ProductList-OfferingBody"/>
              <w:jc w:val="center"/>
            </w:pPr>
            <w:r>
              <w:t>10%</w:t>
            </w:r>
          </w:p>
        </w:tc>
      </w:tr>
      <w:tr w:rsidR="004005AF" w:rsidRPr="00B44CF9" w14:paraId="2272A8E6" w14:textId="77777777" w:rsidTr="00683581">
        <w:tc>
          <w:tcPr>
            <w:tcW w:w="5220" w:type="dxa"/>
          </w:tcPr>
          <w:p w14:paraId="5B662717" w14:textId="77777777" w:rsidR="004005AF" w:rsidRPr="00EF7CF9" w:rsidRDefault="004005AF" w:rsidP="000F31B4">
            <w:pPr>
              <w:pStyle w:val="ProductList-OfferingBody"/>
              <w:ind w:left="-23" w:firstLine="23"/>
              <w:jc w:val="center"/>
            </w:pPr>
            <w:r>
              <w:t>&lt; 99%</w:t>
            </w:r>
          </w:p>
        </w:tc>
        <w:tc>
          <w:tcPr>
            <w:tcW w:w="5580" w:type="dxa"/>
          </w:tcPr>
          <w:p w14:paraId="78F67851" w14:textId="77777777" w:rsidR="004005AF" w:rsidRPr="00EF7CF9" w:rsidRDefault="004005AF" w:rsidP="000F31B4">
            <w:pPr>
              <w:pStyle w:val="ProductList-OfferingBody"/>
              <w:jc w:val="center"/>
            </w:pPr>
            <w:r>
              <w:t>25%</w:t>
            </w:r>
          </w:p>
        </w:tc>
      </w:tr>
    </w:tbl>
    <w:p w14:paraId="07CE327E" w14:textId="77777777" w:rsidR="004005AF" w:rsidRPr="00EF7CF9" w:rsidRDefault="004005AF" w:rsidP="001B6A3C">
      <w:pPr>
        <w:pStyle w:val="ProductList-Body"/>
        <w:spacing w:before="120"/>
        <w:ind w:left="360"/>
      </w:pPr>
      <w:r>
        <w:rPr>
          <w:b/>
          <w:bCs/>
          <w:color w:val="00188F"/>
        </w:rPr>
        <w:t>Jednostki magazynowe usług Gateway for VPN i Gateway for ExpressRoute, z wyłączeniem warstwy Podstawowa</w:t>
      </w:r>
      <w: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4005AF" w:rsidRPr="00B44CF9" w14:paraId="3E8F65D1" w14:textId="77777777" w:rsidTr="00683581">
        <w:trPr>
          <w:trHeight w:val="249"/>
          <w:tblHeader/>
        </w:trPr>
        <w:tc>
          <w:tcPr>
            <w:tcW w:w="5220" w:type="dxa"/>
            <w:shd w:val="clear" w:color="auto" w:fill="0072C6"/>
          </w:tcPr>
          <w:p w14:paraId="0C73C4F2" w14:textId="1CAEA70C" w:rsidR="004005AF"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580" w:type="dxa"/>
            <w:shd w:val="clear" w:color="auto" w:fill="0072C6"/>
          </w:tcPr>
          <w:p w14:paraId="50574218" w14:textId="77777777" w:rsidR="004005AF" w:rsidRPr="00EF7CF9" w:rsidRDefault="004005AF" w:rsidP="000F31B4">
            <w:pPr>
              <w:pStyle w:val="ProductList-OfferingBody"/>
              <w:jc w:val="center"/>
              <w:rPr>
                <w:color w:val="FFFFFF" w:themeColor="background1"/>
              </w:rPr>
            </w:pPr>
            <w:r>
              <w:rPr>
                <w:color w:val="FFFFFF" w:themeColor="background1"/>
              </w:rPr>
              <w:t>Środki Serwisowe na Używanie Usług</w:t>
            </w:r>
          </w:p>
        </w:tc>
      </w:tr>
      <w:tr w:rsidR="004005AF" w:rsidRPr="00B44CF9" w14:paraId="20D2E025" w14:textId="77777777" w:rsidTr="00683581">
        <w:trPr>
          <w:trHeight w:val="242"/>
        </w:trPr>
        <w:tc>
          <w:tcPr>
            <w:tcW w:w="5220" w:type="dxa"/>
          </w:tcPr>
          <w:p w14:paraId="1E41C743" w14:textId="77777777" w:rsidR="004005AF" w:rsidRPr="00EF7CF9" w:rsidRDefault="004005AF" w:rsidP="000F31B4">
            <w:pPr>
              <w:pStyle w:val="ProductList-OfferingBody"/>
              <w:jc w:val="center"/>
            </w:pPr>
            <w:r>
              <w:t>&lt; 99,95%</w:t>
            </w:r>
          </w:p>
        </w:tc>
        <w:tc>
          <w:tcPr>
            <w:tcW w:w="5580" w:type="dxa"/>
          </w:tcPr>
          <w:p w14:paraId="5C8621FD" w14:textId="77777777" w:rsidR="004005AF" w:rsidRPr="00EF7CF9" w:rsidRDefault="004005AF" w:rsidP="000F31B4">
            <w:pPr>
              <w:pStyle w:val="ProductList-OfferingBody"/>
              <w:jc w:val="center"/>
            </w:pPr>
            <w:r>
              <w:t>10%</w:t>
            </w:r>
          </w:p>
        </w:tc>
      </w:tr>
      <w:tr w:rsidR="004005AF" w:rsidRPr="00B44CF9" w14:paraId="6508444F" w14:textId="77777777" w:rsidTr="00683581">
        <w:trPr>
          <w:trHeight w:val="249"/>
        </w:trPr>
        <w:tc>
          <w:tcPr>
            <w:tcW w:w="5220" w:type="dxa"/>
          </w:tcPr>
          <w:p w14:paraId="54EDC13C" w14:textId="77777777" w:rsidR="004005AF" w:rsidRPr="00EF7CF9" w:rsidRDefault="004005AF" w:rsidP="000F31B4">
            <w:pPr>
              <w:pStyle w:val="ProductList-OfferingBody"/>
              <w:keepNext/>
              <w:jc w:val="center"/>
            </w:pPr>
            <w:r>
              <w:t>&lt; 99%</w:t>
            </w:r>
          </w:p>
        </w:tc>
        <w:tc>
          <w:tcPr>
            <w:tcW w:w="5580" w:type="dxa"/>
          </w:tcPr>
          <w:p w14:paraId="401AF3D0" w14:textId="77777777" w:rsidR="004005AF" w:rsidRPr="00EF7CF9" w:rsidRDefault="004005AF" w:rsidP="000F31B4">
            <w:pPr>
              <w:pStyle w:val="ProductList-OfferingBody"/>
              <w:keepNext/>
              <w:jc w:val="center"/>
            </w:pPr>
            <w:r>
              <w:t>25%</w:t>
            </w:r>
          </w:p>
        </w:tc>
      </w:tr>
    </w:tbl>
    <w:p w14:paraId="09316B10" w14:textId="1D00C38C" w:rsidR="004005AF" w:rsidRPr="00EF7CF9" w:rsidRDefault="00C71F89" w:rsidP="004005AF">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D0785CF" w14:textId="77777777" w:rsidR="00637D9A" w:rsidRPr="00637D9A" w:rsidRDefault="00637D9A" w:rsidP="00637D9A">
      <w:pPr>
        <w:pStyle w:val="ProductList-Offering2Heading"/>
        <w:keepNext/>
        <w:outlineLvl w:val="2"/>
      </w:pPr>
      <w:bookmarkStart w:id="452" w:name="_Toc239175087"/>
      <w:bookmarkEnd w:id="443"/>
      <w:bookmarkEnd w:id="444"/>
      <w:bookmarkEnd w:id="445"/>
      <w:bookmarkEnd w:id="446"/>
      <w:bookmarkEnd w:id="447"/>
      <w:r>
        <w:t>Azure Web PubSub</w:t>
      </w:r>
      <w:bookmarkEnd w:id="452"/>
    </w:p>
    <w:p w14:paraId="44A5270C" w14:textId="77777777" w:rsidR="00637D9A" w:rsidRPr="00637D9A" w:rsidRDefault="00637D9A" w:rsidP="00637D9A">
      <w:pPr>
        <w:pStyle w:val="ProductList-Body"/>
        <w:rPr>
          <w:b/>
          <w:bCs/>
          <w:color w:val="00188F"/>
        </w:rPr>
      </w:pPr>
      <w:r>
        <w:rPr>
          <w:b/>
          <w:bCs/>
          <w:color w:val="00188F"/>
        </w:rPr>
        <w:t>Dodatkowe definicje</w:t>
      </w:r>
    </w:p>
    <w:p w14:paraId="0ED7D0D4" w14:textId="77777777" w:rsidR="00637D9A" w:rsidRDefault="00637D9A" w:rsidP="00637D9A">
      <w:pPr>
        <w:pStyle w:val="ProductList-Body"/>
      </w:pPr>
      <w:r>
        <w:t>„</w:t>
      </w:r>
      <w:r>
        <w:rPr>
          <w:b/>
          <w:bCs/>
          <w:color w:val="00188F"/>
        </w:rPr>
        <w:t>Punkt Końcowy Usługi Web PubSub</w:t>
      </w:r>
      <w:r>
        <w:t>” to nazwa serwera, z którego usługa Web PubSub jest udostępniana serwerom lub klientom w celu wykonania transakcji Web PubSub.</w:t>
      </w:r>
    </w:p>
    <w:p w14:paraId="3F676377" w14:textId="252D21A0" w:rsidR="00637D9A" w:rsidRDefault="00637D9A" w:rsidP="00637D9A">
      <w:pPr>
        <w:pStyle w:val="ProductList-Body"/>
      </w:pPr>
      <w:r>
        <w:t>„</w:t>
      </w:r>
      <w:r>
        <w:rPr>
          <w:b/>
          <w:bCs/>
          <w:color w:val="00188F"/>
        </w:rPr>
        <w:t>Transakcje Web PubSub</w:t>
      </w:r>
      <w:r>
        <w:t>” to zestaw żądań transakcji wysyłanych z klienta do serwera lub z serwera do klienta za pośrednictwem Punktu Końcowego Usługi Web PubSub. Te żądania transakcji obejmują konfigurację połączenia między serwerem/klientem a Punktem Końcowym Usługi</w:t>
      </w:r>
      <w:r w:rsidR="00376CC6">
        <w:t> </w:t>
      </w:r>
      <w:r>
        <w:t>Web PubSub lub wysyłanie wiadomości za pośrednictwem Punktu Końcowego Usługi Web PubSub.</w:t>
      </w:r>
    </w:p>
    <w:p w14:paraId="7A6D697D" w14:textId="734B425C" w:rsidR="00637D9A" w:rsidRPr="00637D9A" w:rsidRDefault="00EE6E3C" w:rsidP="00637D9A">
      <w:pPr>
        <w:pStyle w:val="ProductList-Body"/>
        <w:rPr>
          <w:b/>
          <w:bCs/>
          <w:color w:val="00188F"/>
        </w:rPr>
      </w:pPr>
      <w:r>
        <w:rPr>
          <w:b/>
          <w:bCs/>
          <w:color w:val="00188F"/>
        </w:rPr>
        <w:t>Obliczanie Czasu Sprawnego Działania i Poziomy Usługi dla Wystąpienia usługi Web PubSub</w:t>
      </w:r>
    </w:p>
    <w:p w14:paraId="5274C6D6" w14:textId="293DBCCF" w:rsidR="00637D9A" w:rsidRDefault="00637D9A" w:rsidP="00637D9A">
      <w:pPr>
        <w:pStyle w:val="ProductList-Body"/>
      </w:pPr>
      <w:r>
        <w:t>„</w:t>
      </w:r>
      <w:r>
        <w:rPr>
          <w:b/>
          <w:bCs/>
          <w:color w:val="00188F"/>
        </w:rPr>
        <w:t>Maksymalna Liczba Dostępnych Minut</w:t>
      </w:r>
      <w:r>
        <w:t>” to łączna liczba minut, przez które Usługa Web PubSub jest wdrożona przez Klienta w ramach danej subskrypcji Microsoft Azure we Właściwym Okresie.</w:t>
      </w:r>
    </w:p>
    <w:p w14:paraId="54F466A0" w14:textId="40810E91" w:rsidR="00637D9A" w:rsidRDefault="00637D9A" w:rsidP="00637D9A">
      <w:pPr>
        <w:pStyle w:val="ProductList-Body"/>
      </w:pPr>
      <w:r w:rsidRPr="00FD5D80">
        <w:t>„</w:t>
      </w:r>
      <w:r>
        <w:rPr>
          <w:b/>
          <w:bCs/>
          <w:color w:val="00188F"/>
        </w:rPr>
        <w:t>Przestój</w:t>
      </w:r>
      <w:r>
        <w:t>” to łączna zakumulowana Maksymalna Liczba Dostępnych Minut we Właściwym Okresie dla usługi Web PubSub, podczas których usługa Web PubSub jest niedostępna. Minuta jest uznawana za minutę niedostępności, jeśli wszystkie próby wysłania transakcji w usłudze Web PubSub przeprowadzone w ciągu minuty zwracają Kod Błędu albo nie zwracają Kodu Sukcesu w ciągu tej minuty.</w:t>
      </w:r>
    </w:p>
    <w:p w14:paraId="2D69C325" w14:textId="3218A173" w:rsidR="00637D9A" w:rsidRDefault="00637D9A" w:rsidP="00637D9A">
      <w:pPr>
        <w:pStyle w:val="ProductList-Body"/>
      </w:pPr>
      <w:r>
        <w:t>„</w:t>
      </w:r>
      <w:r>
        <w:rPr>
          <w:b/>
          <w:bCs/>
          <w:color w:val="00188F"/>
        </w:rPr>
        <w:t>Obliczanie Czasu Sprawnego Działania</w:t>
      </w:r>
      <w:r>
        <w:t>” dla Usługi Web PubSub to Maksymalna Liczba Dostępnych Minut pomniejszona o Przestój podzielona przez Maksymalną Liczbę Dostępnych Minut.</w:t>
      </w:r>
    </w:p>
    <w:p w14:paraId="61D19559" w14:textId="75F68B45" w:rsidR="00637D9A" w:rsidRDefault="00AC48A7" w:rsidP="00637D9A">
      <w:pPr>
        <w:pStyle w:val="ProductList-Body"/>
      </w:pPr>
      <w:r>
        <w:t>Procent Czasu Sprawnego Działania przedstawia się za pomocą następującego wzoru:</w:t>
      </w:r>
    </w:p>
    <w:p w14:paraId="062095F6" w14:textId="6147125A" w:rsidR="00A21B39" w:rsidRPr="00EF7CF9" w:rsidRDefault="00000000" w:rsidP="00BD59B3">
      <w:pPr>
        <w:pStyle w:val="ListParagraph"/>
        <w:spacing w:before="120" w:after="12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EDCA498" w14:textId="1B29AC89" w:rsidR="00637D9A" w:rsidRPr="00A21B39" w:rsidRDefault="00637D9A" w:rsidP="00637D9A">
      <w:pPr>
        <w:pStyle w:val="ProductList-Body"/>
        <w:rPr>
          <w:b/>
          <w:bCs/>
          <w:color w:val="00188F"/>
        </w:rPr>
      </w:pPr>
      <w:r>
        <w:rPr>
          <w:b/>
          <w:bCs/>
          <w:color w:val="00188F"/>
        </w:rPr>
        <w:t>Do używania przez Klienta warstwy Standardowa usługi Web PubSub mają zastosowanie następujące Poziomy Usługi i Środki Serwisowe na Używanie Usług</w:t>
      </w:r>
      <w:r w:rsidRPr="0034704E">
        <w:rPr>
          <w:b/>
          <w:color w:val="00188F"/>
        </w:rPr>
        <w:t>:</w:t>
      </w:r>
      <w:r>
        <w:rPr>
          <w:b/>
          <w:bCs/>
          <w:color w:val="00188F"/>
        </w:rPr>
        <w:t xml:space="preserve"> </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220"/>
        <w:gridCol w:w="5580"/>
      </w:tblGrid>
      <w:tr w:rsidR="00A21B39" w:rsidRPr="00B44CF9" w14:paraId="4138CB16" w14:textId="77777777" w:rsidTr="00D30BA2">
        <w:trPr>
          <w:trHeight w:val="249"/>
          <w:tblHeader/>
        </w:trPr>
        <w:tc>
          <w:tcPr>
            <w:tcW w:w="5220" w:type="dxa"/>
            <w:shd w:val="clear" w:color="auto" w:fill="0072C6"/>
          </w:tcPr>
          <w:p w14:paraId="6152B28C" w14:textId="0E49D5BF" w:rsidR="00A21B39"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580" w:type="dxa"/>
            <w:shd w:val="clear" w:color="auto" w:fill="0072C6"/>
          </w:tcPr>
          <w:p w14:paraId="3C987E79" w14:textId="77777777" w:rsidR="00A21B39" w:rsidRPr="00EF7CF9" w:rsidRDefault="00A21B39" w:rsidP="000F31B4">
            <w:pPr>
              <w:pStyle w:val="ProductList-OfferingBody"/>
              <w:jc w:val="center"/>
              <w:rPr>
                <w:color w:val="FFFFFF" w:themeColor="background1"/>
              </w:rPr>
            </w:pPr>
            <w:r>
              <w:rPr>
                <w:color w:val="FFFFFF" w:themeColor="background1"/>
              </w:rPr>
              <w:t>Środki Serwisowe na Używanie Usług</w:t>
            </w:r>
          </w:p>
        </w:tc>
      </w:tr>
      <w:tr w:rsidR="00A21B39" w:rsidRPr="00B44CF9" w14:paraId="57CB3DBA" w14:textId="77777777" w:rsidTr="00D30BA2">
        <w:trPr>
          <w:trHeight w:val="242"/>
        </w:trPr>
        <w:tc>
          <w:tcPr>
            <w:tcW w:w="5220" w:type="dxa"/>
          </w:tcPr>
          <w:p w14:paraId="3AD3F0BF" w14:textId="24FDC99B" w:rsidR="00A21B39" w:rsidRPr="00EF7CF9" w:rsidRDefault="00A21B39" w:rsidP="000F31B4">
            <w:pPr>
              <w:pStyle w:val="ProductList-OfferingBody"/>
              <w:jc w:val="center"/>
            </w:pPr>
            <w:r>
              <w:t>&lt; 99,9%</w:t>
            </w:r>
          </w:p>
        </w:tc>
        <w:tc>
          <w:tcPr>
            <w:tcW w:w="5580" w:type="dxa"/>
          </w:tcPr>
          <w:p w14:paraId="6FC79C7C" w14:textId="77777777" w:rsidR="00A21B39" w:rsidRPr="00EF7CF9" w:rsidRDefault="00A21B39" w:rsidP="000F31B4">
            <w:pPr>
              <w:pStyle w:val="ProductList-OfferingBody"/>
              <w:jc w:val="center"/>
            </w:pPr>
            <w:r>
              <w:t>10%</w:t>
            </w:r>
          </w:p>
        </w:tc>
      </w:tr>
      <w:tr w:rsidR="00A21B39" w:rsidRPr="00B44CF9" w14:paraId="04DCC853" w14:textId="77777777" w:rsidTr="00D30BA2">
        <w:trPr>
          <w:trHeight w:val="249"/>
        </w:trPr>
        <w:tc>
          <w:tcPr>
            <w:tcW w:w="5220" w:type="dxa"/>
          </w:tcPr>
          <w:p w14:paraId="2B0BEC00" w14:textId="77777777" w:rsidR="00A21B39" w:rsidRPr="00EF7CF9" w:rsidRDefault="00A21B39" w:rsidP="000F31B4">
            <w:pPr>
              <w:pStyle w:val="ProductList-OfferingBody"/>
              <w:keepNext/>
              <w:jc w:val="center"/>
            </w:pPr>
            <w:r>
              <w:t>&lt; 99%</w:t>
            </w:r>
          </w:p>
        </w:tc>
        <w:tc>
          <w:tcPr>
            <w:tcW w:w="5580" w:type="dxa"/>
          </w:tcPr>
          <w:p w14:paraId="03699744" w14:textId="77777777" w:rsidR="00A21B39" w:rsidRPr="00EF7CF9" w:rsidRDefault="00A21B39" w:rsidP="000F31B4">
            <w:pPr>
              <w:pStyle w:val="ProductList-OfferingBody"/>
              <w:keepNext/>
              <w:jc w:val="center"/>
            </w:pPr>
            <w:r>
              <w:t>25%</w:t>
            </w:r>
          </w:p>
        </w:tc>
      </w:tr>
    </w:tbl>
    <w:p w14:paraId="3121203D" w14:textId="01306929" w:rsidR="00A21B39" w:rsidRPr="00EF7CF9" w:rsidRDefault="00C71F89" w:rsidP="00A21B39">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E5FA765" w14:textId="6D80694C" w:rsidR="0054334B" w:rsidRPr="002D6760" w:rsidRDefault="0054334B" w:rsidP="0054334B">
      <w:pPr>
        <w:pStyle w:val="ProductList-Offering2Heading"/>
        <w:keepNext/>
        <w:outlineLvl w:val="2"/>
      </w:pPr>
      <w:bookmarkStart w:id="453" w:name="_Toc239175088"/>
      <w:r>
        <w:t>Windows 10 IoT Core Services</w:t>
      </w:r>
      <w:bookmarkEnd w:id="453"/>
    </w:p>
    <w:p w14:paraId="66A5ACEC" w14:textId="438CD4D1" w:rsidR="0054334B" w:rsidRPr="002D6760" w:rsidRDefault="00EE6E3C" w:rsidP="0054334B">
      <w:pPr>
        <w:pStyle w:val="ProductList-Body"/>
        <w:rPr>
          <w:b/>
          <w:bCs/>
          <w:color w:val="00188F"/>
        </w:rPr>
      </w:pPr>
      <w:r>
        <w:rPr>
          <w:b/>
          <w:bCs/>
          <w:color w:val="00188F"/>
        </w:rPr>
        <w:t>Obliczanie Czasu Sprawnego Działania i Poziomy Usługi dla Usługi Windows 10 IoT Core Services</w:t>
      </w:r>
    </w:p>
    <w:p w14:paraId="7CE7D4D7" w14:textId="0512484D" w:rsidR="0054334B" w:rsidRDefault="0054334B" w:rsidP="0054334B">
      <w:pPr>
        <w:pStyle w:val="ProductList-Body"/>
      </w:pPr>
      <w:r>
        <w:t>„</w:t>
      </w:r>
      <w:r>
        <w:rPr>
          <w:b/>
          <w:bCs/>
          <w:color w:val="00188F"/>
        </w:rPr>
        <w:t>Maksymalna Liczba Dostępnych Minut</w:t>
      </w:r>
      <w:r>
        <w:t>” to łączna liczba minut, przez które Usługa Windows 10 IoT Core Services jest wdrożona przez Klienta w</w:t>
      </w:r>
      <w:r w:rsidR="00305E97">
        <w:t> </w:t>
      </w:r>
      <w:r>
        <w:t>ramach danej subskrypcji Microsoft Azure we Właściwym Okresie.</w:t>
      </w:r>
    </w:p>
    <w:p w14:paraId="64DD26A7" w14:textId="77777777" w:rsidR="0054334B" w:rsidRDefault="0054334B" w:rsidP="0054334B">
      <w:pPr>
        <w:pStyle w:val="ProductList-Body"/>
      </w:pPr>
      <w:r>
        <w:t>„</w:t>
      </w:r>
      <w:r>
        <w:rPr>
          <w:b/>
          <w:bCs/>
          <w:color w:val="00188F"/>
        </w:rPr>
        <w:t>Przestój</w:t>
      </w:r>
      <w:r>
        <w:t>” to łączna liczba minut w ramach Maksymalnej Liczby Dostępnych Minut, w czasie których usługa Windows 10 IoT Core Services jest niedostępna. Minuta jest uznawana za minutę niedostępności dla danego wystąpienia usługi Windows 10 IoT Core Services, jeśli wszystkie kolejne próby zalogowania się do Centrum Aktualizacji Urządzeń lub wykonania operacji w Centrum Aktualizacji Urządzeń w ciągu tej minuty zwracają Kod Błędu albo nie zwracają Kodu Sukcesu przed upływem dwóch minut.</w:t>
      </w:r>
    </w:p>
    <w:p w14:paraId="1320B9E6" w14:textId="7F68C3E6" w:rsidR="0054334B" w:rsidRDefault="0054334B" w:rsidP="0054334B">
      <w:pPr>
        <w:pStyle w:val="ProductList-Body"/>
      </w:pPr>
      <w:r>
        <w:t>„</w:t>
      </w:r>
      <w:r>
        <w:rPr>
          <w:b/>
          <w:bCs/>
          <w:color w:val="00188F"/>
        </w:rPr>
        <w:t>Procent Czasu Sprawnego Działania</w:t>
      </w:r>
      <w:r>
        <w:t>” jest obliczany przy użyciu następującego wzoru:</w:t>
      </w:r>
    </w:p>
    <w:p w14:paraId="32206A53" w14:textId="7E97FFED" w:rsidR="0054334B"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209BD2F6" w14:textId="1555BAFD" w:rsidR="0054334B" w:rsidRPr="00E51CB1" w:rsidRDefault="0054334B" w:rsidP="00250244">
      <w:pPr>
        <w:pStyle w:val="ProductList-Body"/>
        <w:keepNext/>
        <w:rPr>
          <w:b/>
          <w:bCs/>
          <w:color w:val="00188F"/>
        </w:rPr>
      </w:pPr>
      <w:r>
        <w:rPr>
          <w:b/>
          <w:bCs/>
          <w:color w:val="00188F"/>
        </w:rPr>
        <w:t xml:space="preserve">Do używania przez Klienta Usługi Windows 10 IoT Core Services mają zastosowanie następujące Poziomy Usługi i Środki Serwisowe na </w:t>
      </w:r>
      <w:r w:rsidR="00C84B0F">
        <w:rPr>
          <w:b/>
          <w:bCs/>
          <w:color w:val="00188F"/>
        </w:rPr>
        <w:br/>
      </w:r>
      <w:r>
        <w:rPr>
          <w:b/>
          <w:bCs/>
          <w:color w:val="00188F"/>
        </w:rPr>
        <w:t>Używanie Usług.</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4334B" w:rsidRPr="00B44CF9" w14:paraId="6DA9CA6A" w14:textId="77777777" w:rsidTr="00277097">
        <w:trPr>
          <w:tblHeader/>
        </w:trPr>
        <w:tc>
          <w:tcPr>
            <w:tcW w:w="5400" w:type="dxa"/>
            <w:shd w:val="clear" w:color="auto" w:fill="0072C6"/>
          </w:tcPr>
          <w:p w14:paraId="14F8F4EC" w14:textId="713051C0" w:rsidR="0054334B"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2DD8B523" w14:textId="77777777" w:rsidR="0054334B" w:rsidRPr="00EF7CF9" w:rsidRDefault="0054334B" w:rsidP="000F31B4">
            <w:pPr>
              <w:pStyle w:val="ProductList-OfferingBody"/>
              <w:jc w:val="center"/>
              <w:rPr>
                <w:color w:val="FFFFFF" w:themeColor="background1"/>
              </w:rPr>
            </w:pPr>
            <w:r>
              <w:rPr>
                <w:color w:val="FFFFFF" w:themeColor="background1"/>
              </w:rPr>
              <w:t>Środki Serwisowe na Używanie Usług</w:t>
            </w:r>
          </w:p>
        </w:tc>
      </w:tr>
      <w:tr w:rsidR="0054334B" w:rsidRPr="00B44CF9" w14:paraId="0A48226B" w14:textId="77777777" w:rsidTr="00277097">
        <w:tc>
          <w:tcPr>
            <w:tcW w:w="5400" w:type="dxa"/>
          </w:tcPr>
          <w:p w14:paraId="25C74862" w14:textId="77777777" w:rsidR="0054334B" w:rsidRPr="00EF7CF9" w:rsidRDefault="0054334B" w:rsidP="000F31B4">
            <w:pPr>
              <w:pStyle w:val="ProductList-OfferingBody"/>
              <w:jc w:val="center"/>
            </w:pPr>
            <w:r>
              <w:t>&lt; 99,9%</w:t>
            </w:r>
          </w:p>
        </w:tc>
        <w:tc>
          <w:tcPr>
            <w:tcW w:w="5400" w:type="dxa"/>
          </w:tcPr>
          <w:p w14:paraId="6930A573" w14:textId="77777777" w:rsidR="0054334B" w:rsidRPr="00EF7CF9" w:rsidRDefault="0054334B" w:rsidP="000F31B4">
            <w:pPr>
              <w:pStyle w:val="ProductList-OfferingBody"/>
              <w:jc w:val="center"/>
            </w:pPr>
            <w:r>
              <w:t>10%</w:t>
            </w:r>
          </w:p>
        </w:tc>
      </w:tr>
      <w:tr w:rsidR="0054334B" w:rsidRPr="00B44CF9" w14:paraId="729307E9" w14:textId="77777777" w:rsidTr="00277097">
        <w:tc>
          <w:tcPr>
            <w:tcW w:w="5400" w:type="dxa"/>
          </w:tcPr>
          <w:p w14:paraId="0C5D1D18" w14:textId="77777777" w:rsidR="0054334B" w:rsidRPr="00EF7CF9" w:rsidRDefault="0054334B" w:rsidP="000F31B4">
            <w:pPr>
              <w:pStyle w:val="ProductList-OfferingBody"/>
              <w:jc w:val="center"/>
            </w:pPr>
            <w:r>
              <w:t>&lt; 99%</w:t>
            </w:r>
          </w:p>
        </w:tc>
        <w:tc>
          <w:tcPr>
            <w:tcW w:w="5400" w:type="dxa"/>
          </w:tcPr>
          <w:p w14:paraId="6B31DA5D" w14:textId="77777777" w:rsidR="0054334B" w:rsidRPr="00EF7CF9" w:rsidRDefault="0054334B" w:rsidP="000F31B4">
            <w:pPr>
              <w:pStyle w:val="ProductList-OfferingBody"/>
              <w:keepNext/>
              <w:jc w:val="center"/>
            </w:pPr>
            <w:r>
              <w:t>25%</w:t>
            </w:r>
          </w:p>
        </w:tc>
      </w:tr>
    </w:tbl>
    <w:p w14:paraId="57AC2C61" w14:textId="67111F9E" w:rsidR="0054334B" w:rsidRPr="00EF7CF9" w:rsidRDefault="00C71F89" w:rsidP="0054334B">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E8BDC16" w14:textId="6CBA0832" w:rsidR="003A16EB" w:rsidRPr="00EF7CF9" w:rsidRDefault="003A16EB" w:rsidP="002149D5">
      <w:pPr>
        <w:pStyle w:val="ProductList-OfferingGroupHeading"/>
        <w:pageBreakBefore/>
        <w:tabs>
          <w:tab w:val="clear" w:pos="360"/>
          <w:tab w:val="clear" w:pos="720"/>
          <w:tab w:val="clear" w:pos="1080"/>
        </w:tabs>
        <w:outlineLvl w:val="1"/>
      </w:pPr>
      <w:bookmarkStart w:id="454" w:name="_Toc239175089"/>
      <w:r>
        <w:t>Inne Usługi Online</w:t>
      </w:r>
      <w:bookmarkEnd w:id="113"/>
      <w:bookmarkEnd w:id="454"/>
    </w:p>
    <w:p w14:paraId="7002A494" w14:textId="77777777" w:rsidR="00657A3A" w:rsidRDefault="00657A3A" w:rsidP="00657A3A">
      <w:pPr>
        <w:pStyle w:val="ProductList-Offering2Heading"/>
        <w:tabs>
          <w:tab w:val="clear" w:pos="360"/>
          <w:tab w:val="clear" w:pos="720"/>
          <w:tab w:val="clear" w:pos="1080"/>
        </w:tabs>
        <w:outlineLvl w:val="2"/>
      </w:pPr>
      <w:bookmarkStart w:id="455" w:name="_Toc55920316"/>
      <w:bookmarkStart w:id="456" w:name="_Toc239175090"/>
      <w:bookmarkStart w:id="457" w:name="MicrosoftDefenderforIdentity"/>
      <w:bookmarkStart w:id="458" w:name="_Toc457821592"/>
      <w:r>
        <w:t>Microsoft Defender for Identity</w:t>
      </w:r>
      <w:bookmarkEnd w:id="455"/>
      <w:bookmarkEnd w:id="456"/>
    </w:p>
    <w:bookmarkEnd w:id="457"/>
    <w:p w14:paraId="3070A80B" w14:textId="77777777" w:rsidR="00657A3A" w:rsidRPr="00DA6241" w:rsidRDefault="00657A3A" w:rsidP="00657A3A">
      <w:pPr>
        <w:pStyle w:val="ProductList-Body"/>
      </w:pPr>
      <w:r>
        <w:rPr>
          <w:b/>
          <w:color w:val="00188F"/>
        </w:rPr>
        <w:t>Dodatkowe definicje</w:t>
      </w:r>
      <w:r w:rsidRPr="0034704E">
        <w:rPr>
          <w:b/>
          <w:color w:val="00188F"/>
        </w:rPr>
        <w:t>:</w:t>
      </w:r>
    </w:p>
    <w:p w14:paraId="7B084D0A" w14:textId="6CEB8596" w:rsidR="00ED3A16" w:rsidRDefault="00657A3A" w:rsidP="00657A3A">
      <w:pPr>
        <w:spacing w:after="0"/>
        <w:rPr>
          <w:sz w:val="18"/>
        </w:rPr>
      </w:pPr>
      <w:r>
        <w:rPr>
          <w:sz w:val="18"/>
        </w:rPr>
        <w:t>„</w:t>
      </w:r>
      <w:r>
        <w:rPr>
          <w:b/>
          <w:color w:val="00188F"/>
          <w:sz w:val="18"/>
        </w:rPr>
        <w:t>Przestój</w:t>
      </w:r>
      <w:r>
        <w:rPr>
          <w:sz w:val="18"/>
        </w:rPr>
        <w:t>” oznacza dowolny okres czasu, w którym administrator nie może uzyskać dostępu do portalu usługi Microsoft Defender for Identity.</w:t>
      </w:r>
    </w:p>
    <w:p w14:paraId="08807E89" w14:textId="069779A6" w:rsidR="00ED3A16" w:rsidRPr="00CE181C" w:rsidRDefault="00AC48A7" w:rsidP="00ED3A16">
      <w:pPr>
        <w:pStyle w:val="ProductList-Body"/>
      </w:pPr>
      <w:r>
        <w:rPr>
          <w:b/>
          <w:bCs/>
          <w:color w:val="00188F"/>
        </w:rPr>
        <w:t>Procent Czasu Sprawnego Działania</w:t>
      </w:r>
      <w:r w:rsidRPr="0034704E">
        <w:rPr>
          <w:b/>
          <w:color w:val="00188F"/>
        </w:rPr>
        <w:t>:</w:t>
      </w:r>
      <w:r>
        <w:t xml:space="preserve"> Procent Czasu Sprawnego Działania jest obliczany przy użyciu następującego wzoru: </w:t>
      </w:r>
    </w:p>
    <w:p w14:paraId="6E7DBA75" w14:textId="28422341" w:rsidR="00ED3A16"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68670114" w14:textId="53FA516C" w:rsidR="00ED3A16" w:rsidRDefault="00AC48A7" w:rsidP="00ED3A16">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19A8F31F" w14:textId="77777777" w:rsidR="00D3765F" w:rsidRDefault="00D3765F" w:rsidP="00ED3A16">
      <w:pPr>
        <w:pStyle w:val="ProductList-Body"/>
      </w:pPr>
    </w:p>
    <w:p w14:paraId="117C8F41" w14:textId="77777777" w:rsidR="00ED3A16" w:rsidRDefault="00ED3A16" w:rsidP="00DC0631">
      <w:pPr>
        <w:pStyle w:val="ProductList-Body"/>
        <w:keepNext/>
      </w:pPr>
      <w:r>
        <w:rPr>
          <w:b/>
          <w:bCs/>
          <w:color w:val="00188F"/>
        </w:rPr>
        <w:t>Środki Serwisowe na Używanie Usług</w:t>
      </w:r>
      <w:r w:rsidRPr="0034704E">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D3A16" w:rsidRPr="00B44CF9" w14:paraId="26761017" w14:textId="77777777" w:rsidTr="00CA2047">
        <w:trPr>
          <w:tblHeader/>
        </w:trPr>
        <w:tc>
          <w:tcPr>
            <w:tcW w:w="5400" w:type="dxa"/>
            <w:shd w:val="clear" w:color="auto" w:fill="0072C6"/>
            <w:tcMar>
              <w:top w:w="0" w:type="dxa"/>
              <w:left w:w="108" w:type="dxa"/>
              <w:bottom w:w="0" w:type="dxa"/>
              <w:right w:w="108" w:type="dxa"/>
            </w:tcMar>
            <w:hideMark/>
          </w:tcPr>
          <w:p w14:paraId="72906DAD" w14:textId="45127F37" w:rsidR="00ED3A16" w:rsidRPr="00CE181C" w:rsidRDefault="00AC48A7" w:rsidP="00CA2047">
            <w:pPr>
              <w:pStyle w:val="ProductList-OfferingBody"/>
              <w:spacing w:line="252" w:lineRule="auto"/>
              <w:jc w:val="center"/>
              <w:rPr>
                <w:color w:val="FFFFFF"/>
              </w:rPr>
            </w:pPr>
            <w:r>
              <w:rPr>
                <w:color w:val="FFFFFF"/>
              </w:rPr>
              <w:t>Procent Czasu Sprawnego Działania</w:t>
            </w:r>
          </w:p>
        </w:tc>
        <w:tc>
          <w:tcPr>
            <w:tcW w:w="5400" w:type="dxa"/>
            <w:shd w:val="clear" w:color="auto" w:fill="0072C6"/>
            <w:tcMar>
              <w:top w:w="0" w:type="dxa"/>
              <w:left w:w="108" w:type="dxa"/>
              <w:bottom w:w="0" w:type="dxa"/>
              <w:right w:w="108" w:type="dxa"/>
            </w:tcMar>
            <w:hideMark/>
          </w:tcPr>
          <w:p w14:paraId="29CC877A" w14:textId="77777777" w:rsidR="00ED3A16" w:rsidRPr="00CE181C" w:rsidRDefault="00ED3A16" w:rsidP="00CA2047">
            <w:pPr>
              <w:pStyle w:val="ProductList-OfferingBody"/>
              <w:spacing w:line="252" w:lineRule="auto"/>
              <w:jc w:val="center"/>
              <w:rPr>
                <w:color w:val="FFFFFF"/>
              </w:rPr>
            </w:pPr>
            <w:r>
              <w:rPr>
                <w:color w:val="FFFFFF"/>
              </w:rPr>
              <w:t>Środki Serwisowe na Używanie Usług</w:t>
            </w:r>
          </w:p>
        </w:tc>
      </w:tr>
      <w:tr w:rsidR="00ED3A16" w:rsidRPr="00B44CF9" w14:paraId="0EE596BB" w14:textId="77777777" w:rsidTr="00CA2047">
        <w:tc>
          <w:tcPr>
            <w:tcW w:w="5400" w:type="dxa"/>
            <w:tcMar>
              <w:top w:w="0" w:type="dxa"/>
              <w:left w:w="108" w:type="dxa"/>
              <w:bottom w:w="0" w:type="dxa"/>
              <w:right w:w="108" w:type="dxa"/>
            </w:tcMar>
            <w:hideMark/>
          </w:tcPr>
          <w:p w14:paraId="1A5401BF" w14:textId="77777777" w:rsidR="00ED3A16" w:rsidRDefault="00ED3A16" w:rsidP="00CA2047">
            <w:pPr>
              <w:pStyle w:val="ProductList-OfferingBody"/>
              <w:spacing w:line="252" w:lineRule="auto"/>
              <w:jc w:val="center"/>
            </w:pPr>
            <w:r>
              <w:t>&lt; 99,9%</w:t>
            </w:r>
          </w:p>
        </w:tc>
        <w:tc>
          <w:tcPr>
            <w:tcW w:w="5400" w:type="dxa"/>
            <w:tcMar>
              <w:top w:w="0" w:type="dxa"/>
              <w:left w:w="108" w:type="dxa"/>
              <w:bottom w:w="0" w:type="dxa"/>
              <w:right w:w="108" w:type="dxa"/>
            </w:tcMar>
            <w:hideMark/>
          </w:tcPr>
          <w:p w14:paraId="23D3C97D" w14:textId="03623311" w:rsidR="00ED3A16" w:rsidRDefault="00ED3A16" w:rsidP="00CA2047">
            <w:pPr>
              <w:pStyle w:val="ProductList-OfferingBody"/>
              <w:spacing w:line="252" w:lineRule="auto"/>
              <w:jc w:val="center"/>
            </w:pPr>
            <w:r>
              <w:t>10%</w:t>
            </w:r>
          </w:p>
        </w:tc>
      </w:tr>
      <w:tr w:rsidR="00ED3A16" w:rsidRPr="00B44CF9" w14:paraId="08E88553" w14:textId="77777777" w:rsidTr="00CA2047">
        <w:tc>
          <w:tcPr>
            <w:tcW w:w="5400" w:type="dxa"/>
            <w:tcMar>
              <w:top w:w="0" w:type="dxa"/>
              <w:left w:w="108" w:type="dxa"/>
              <w:bottom w:w="0" w:type="dxa"/>
              <w:right w:w="108" w:type="dxa"/>
            </w:tcMar>
            <w:hideMark/>
          </w:tcPr>
          <w:p w14:paraId="18D44101" w14:textId="77777777" w:rsidR="00ED3A16" w:rsidRDefault="00ED3A16" w:rsidP="00CA2047">
            <w:pPr>
              <w:pStyle w:val="ProductList-OfferingBody"/>
              <w:spacing w:line="252" w:lineRule="auto"/>
              <w:jc w:val="center"/>
            </w:pPr>
            <w:r>
              <w:t>&lt; 99%</w:t>
            </w:r>
          </w:p>
        </w:tc>
        <w:tc>
          <w:tcPr>
            <w:tcW w:w="5400" w:type="dxa"/>
            <w:tcMar>
              <w:top w:w="0" w:type="dxa"/>
              <w:left w:w="108" w:type="dxa"/>
              <w:bottom w:w="0" w:type="dxa"/>
              <w:right w:w="108" w:type="dxa"/>
            </w:tcMar>
            <w:hideMark/>
          </w:tcPr>
          <w:p w14:paraId="21CE7844" w14:textId="04C132C0" w:rsidR="00ED3A16" w:rsidRDefault="00ED3A16" w:rsidP="00CA2047">
            <w:pPr>
              <w:pStyle w:val="ProductList-OfferingBody"/>
              <w:spacing w:line="252" w:lineRule="auto"/>
              <w:jc w:val="center"/>
            </w:pPr>
            <w:r>
              <w:t>25%</w:t>
            </w:r>
          </w:p>
        </w:tc>
      </w:tr>
    </w:tbl>
    <w:p w14:paraId="057ED546" w14:textId="3C2093E8" w:rsidR="00ED3A16" w:rsidRPr="00EF7CF9" w:rsidRDefault="00C71F89" w:rsidP="00ED3A16">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7EF96CA" w14:textId="56FFC343" w:rsidR="00E856FE" w:rsidRDefault="00E856FE" w:rsidP="002149D5">
      <w:pPr>
        <w:pStyle w:val="ProductList-Offering2Heading"/>
        <w:keepNext/>
        <w:tabs>
          <w:tab w:val="clear" w:pos="360"/>
          <w:tab w:val="clear" w:pos="720"/>
          <w:tab w:val="clear" w:pos="1080"/>
        </w:tabs>
        <w:outlineLvl w:val="2"/>
      </w:pPr>
      <w:bookmarkStart w:id="459" w:name="_Toc239175091"/>
      <w:r>
        <w:t>Microsoft Defender for IoT</w:t>
      </w:r>
      <w:bookmarkEnd w:id="459"/>
    </w:p>
    <w:p w14:paraId="0D787271" w14:textId="77777777" w:rsidR="00E856FE" w:rsidRDefault="00E856FE" w:rsidP="00E856FE">
      <w:pPr>
        <w:pStyle w:val="ProductList-Body"/>
      </w:pPr>
      <w:r>
        <w:rPr>
          <w:b/>
          <w:color w:val="00188F"/>
        </w:rPr>
        <w:t>Dodatkowe definicje</w:t>
      </w:r>
      <w:r w:rsidRPr="0034704E">
        <w:rPr>
          <w:b/>
          <w:color w:val="00188F"/>
        </w:rPr>
        <w:t>:</w:t>
      </w:r>
    </w:p>
    <w:p w14:paraId="30311482" w14:textId="11940E04" w:rsidR="0050152D" w:rsidRDefault="0050152D" w:rsidP="0050152D">
      <w:pPr>
        <w:pStyle w:val="ProductList-Body"/>
      </w:pPr>
      <w:r>
        <w:t>„</w:t>
      </w:r>
      <w:r>
        <w:rPr>
          <w:b/>
          <w:bCs/>
          <w:color w:val="00188F"/>
        </w:rPr>
        <w:t>Maksymalna Liczba Dostępnych Minut</w:t>
      </w:r>
      <w:r w:rsidR="00FD5D80">
        <w:t>”</w:t>
      </w:r>
      <w:r>
        <w:t xml:space="preserve"> znaczą łączną liczbę minut zgromadzonych we Właściwym Okresie dla portalu Microsoft Defender for IoT. Maksymalna liczba minut dostępności jest obliczana od momentu utworzenia Subskrypcji po pomyślnym zakończeniu procesu konfiguracji.</w:t>
      </w:r>
    </w:p>
    <w:p w14:paraId="65EC79CF" w14:textId="4057B63A" w:rsidR="0050152D" w:rsidRPr="00F66064" w:rsidRDefault="0050152D" w:rsidP="0050152D">
      <w:pPr>
        <w:pStyle w:val="ProductList-Body"/>
      </w:pPr>
      <w:r>
        <w:rPr>
          <w:b/>
          <w:bCs/>
          <w:color w:val="00188F"/>
        </w:rPr>
        <w:t>Przestój</w:t>
      </w:r>
      <w:r w:rsidR="00FD5D80">
        <w:rPr>
          <w:b/>
          <w:bCs/>
          <w:color w:val="00188F"/>
        </w:rPr>
        <w:t xml:space="preserve"> </w:t>
      </w:r>
      <w:r>
        <w:t>to łączna liczba minut, przez które klient nie może uzyskać dostępu do żadnej części portalu Microsoft Defender for IoT, na którą ten klient posiada ma odpowiednie uprawnienia i aktywną, ważną licencję. </w:t>
      </w:r>
    </w:p>
    <w:p w14:paraId="3C09ECCD" w14:textId="77777777" w:rsidR="0050152D" w:rsidRDefault="0050152D" w:rsidP="0050152D">
      <w:pPr>
        <w:pStyle w:val="ProductList-Body"/>
      </w:pPr>
      <w:r>
        <w:rPr>
          <w:b/>
          <w:color w:val="00188F"/>
        </w:rPr>
        <w:t>Subskrypcja</w:t>
      </w:r>
      <w:r>
        <w:rPr>
          <w:rStyle w:val="normaltextrun"/>
          <w:rFonts w:ascii="Calibri" w:hAnsi="Calibri" w:cs="Calibri"/>
          <w:color w:val="000000"/>
          <w:sz w:val="22"/>
          <w:shd w:val="clear" w:color="auto" w:fill="FFFFFF"/>
        </w:rPr>
        <w:t xml:space="preserve"> </w:t>
      </w:r>
      <w:r>
        <w:t>oznacza środowisko chmurowe specyficzne dla danego klienta usługi Microsoft Defender for IoT.</w:t>
      </w:r>
      <w:r>
        <w:rPr>
          <w:rStyle w:val="eop"/>
          <w:rFonts w:ascii="Calibri" w:hAnsi="Calibri" w:cs="Calibri"/>
          <w:color w:val="000000"/>
          <w:sz w:val="22"/>
          <w:shd w:val="clear" w:color="auto" w:fill="FFFFFF"/>
        </w:rPr>
        <w:t> </w:t>
      </w:r>
    </w:p>
    <w:p w14:paraId="63CE5A86" w14:textId="61158512" w:rsidR="0050152D" w:rsidRDefault="0050152D" w:rsidP="0050152D">
      <w:pPr>
        <w:pStyle w:val="ProductList-Body"/>
      </w:pPr>
      <w:r w:rsidRPr="00FD5D80">
        <w:t>„</w:t>
      </w:r>
      <w:r>
        <w:rPr>
          <w:b/>
          <w:color w:val="00188F"/>
        </w:rPr>
        <w:t>Procent Czasu Sprawnego Działania</w:t>
      </w:r>
      <w:r w:rsidRPr="00FD5D80">
        <w:t>”</w:t>
      </w:r>
      <w:r>
        <w:t xml:space="preserve"> Przestój jest mierzony w minutach użytkownika. Oznacza to, że przez Właściwy Okres Przestój będzie sumą czasu trwania (w minutach) każdego Incydentu w ciągu tego Właściwego Okresu pomnożonym przez liczbę użytkowników, których dotyczy dany Incydent. Procent Czasu Sprawnego Działania jest obliczany przy użyciu następującego wzoru:</w:t>
      </w:r>
    </w:p>
    <w:p w14:paraId="38A08E23" w14:textId="0C4F4DB5" w:rsidR="00591147" w:rsidRPr="00614354" w:rsidRDefault="00000000" w:rsidP="00762E04">
      <w:pPr>
        <w:pStyle w:val="ListParagraph"/>
        <w:spacing w:before="120" w:after="0" w:line="240" w:lineRule="auto"/>
        <w:contextualSpacing w:val="0"/>
        <w:rPr>
          <w:rFonts w:ascii="Cambria Math" w:hAnsi="Cambria Math" w:cs="Tahoma"/>
          <w:i/>
          <w:sz w:val="12"/>
          <w:szCs w:val="12"/>
        </w:rPr>
      </w:pPr>
      <m:oMathPara>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098D8363" w14:textId="77777777" w:rsidR="00EC1B71" w:rsidRDefault="00EC1B71" w:rsidP="00EC1B71">
      <w:pPr>
        <w:pStyle w:val="ProductList-Body"/>
        <w:keepNext/>
      </w:pPr>
      <w:r>
        <w:rPr>
          <w:b/>
          <w:bCs/>
          <w:color w:val="00188F"/>
        </w:rPr>
        <w:t>Środki Serwisowe na Używanie Usług</w:t>
      </w:r>
      <w:r w:rsidRPr="0034704E">
        <w:rPr>
          <w:b/>
          <w:color w:val="00188F"/>
        </w:rPr>
        <w: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0"/>
        <w:gridCol w:w="5400"/>
      </w:tblGrid>
      <w:tr w:rsidR="00EC1B71" w:rsidRPr="00B44CF9" w14:paraId="29630091" w14:textId="77777777" w:rsidTr="000F31B4">
        <w:trPr>
          <w:tblHeader/>
        </w:trPr>
        <w:tc>
          <w:tcPr>
            <w:tcW w:w="5400" w:type="dxa"/>
            <w:shd w:val="clear" w:color="auto" w:fill="0072C6"/>
            <w:tcMar>
              <w:top w:w="0" w:type="dxa"/>
              <w:left w:w="108" w:type="dxa"/>
              <w:bottom w:w="0" w:type="dxa"/>
              <w:right w:w="108" w:type="dxa"/>
            </w:tcMar>
            <w:hideMark/>
          </w:tcPr>
          <w:p w14:paraId="14F61F18" w14:textId="119EE327" w:rsidR="00EC1B71" w:rsidRPr="00CE181C" w:rsidRDefault="00AC48A7" w:rsidP="000F31B4">
            <w:pPr>
              <w:pStyle w:val="ProductList-OfferingBody"/>
              <w:spacing w:line="252" w:lineRule="auto"/>
              <w:jc w:val="center"/>
              <w:rPr>
                <w:color w:val="FFFFFF"/>
              </w:rPr>
            </w:pPr>
            <w:r>
              <w:rPr>
                <w:color w:val="FFFFFF"/>
              </w:rPr>
              <w:t>Procent Czasu Sprawnego Działania</w:t>
            </w:r>
          </w:p>
        </w:tc>
        <w:tc>
          <w:tcPr>
            <w:tcW w:w="5400" w:type="dxa"/>
            <w:shd w:val="clear" w:color="auto" w:fill="0072C6"/>
            <w:tcMar>
              <w:top w:w="0" w:type="dxa"/>
              <w:left w:w="108" w:type="dxa"/>
              <w:bottom w:w="0" w:type="dxa"/>
              <w:right w:w="108" w:type="dxa"/>
            </w:tcMar>
            <w:hideMark/>
          </w:tcPr>
          <w:p w14:paraId="4113A30D" w14:textId="77777777" w:rsidR="00EC1B71" w:rsidRPr="00CE181C" w:rsidRDefault="00EC1B71" w:rsidP="000F31B4">
            <w:pPr>
              <w:pStyle w:val="ProductList-OfferingBody"/>
              <w:spacing w:line="252" w:lineRule="auto"/>
              <w:jc w:val="center"/>
              <w:rPr>
                <w:color w:val="FFFFFF"/>
              </w:rPr>
            </w:pPr>
            <w:r>
              <w:rPr>
                <w:color w:val="FFFFFF"/>
              </w:rPr>
              <w:t>Środki Serwisowe na Używanie Usług</w:t>
            </w:r>
          </w:p>
        </w:tc>
      </w:tr>
      <w:tr w:rsidR="00EC1B71" w:rsidRPr="00B44CF9" w14:paraId="2BA8454E" w14:textId="77777777" w:rsidTr="000F31B4">
        <w:tc>
          <w:tcPr>
            <w:tcW w:w="5400" w:type="dxa"/>
            <w:tcMar>
              <w:top w:w="0" w:type="dxa"/>
              <w:left w:w="108" w:type="dxa"/>
              <w:bottom w:w="0" w:type="dxa"/>
              <w:right w:w="108" w:type="dxa"/>
            </w:tcMar>
            <w:hideMark/>
          </w:tcPr>
          <w:p w14:paraId="56198228" w14:textId="77777777" w:rsidR="00EC1B71" w:rsidRDefault="00EC1B71" w:rsidP="000F31B4">
            <w:pPr>
              <w:pStyle w:val="ProductList-OfferingBody"/>
              <w:spacing w:line="252" w:lineRule="auto"/>
              <w:jc w:val="center"/>
            </w:pPr>
            <w:r>
              <w:t>&lt; 99,9%</w:t>
            </w:r>
          </w:p>
        </w:tc>
        <w:tc>
          <w:tcPr>
            <w:tcW w:w="5400" w:type="dxa"/>
            <w:tcMar>
              <w:top w:w="0" w:type="dxa"/>
              <w:left w:w="108" w:type="dxa"/>
              <w:bottom w:w="0" w:type="dxa"/>
              <w:right w:w="108" w:type="dxa"/>
            </w:tcMar>
            <w:hideMark/>
          </w:tcPr>
          <w:p w14:paraId="2BA31D50" w14:textId="77777777" w:rsidR="00EC1B71" w:rsidRDefault="00EC1B71" w:rsidP="000F31B4">
            <w:pPr>
              <w:pStyle w:val="ProductList-OfferingBody"/>
              <w:spacing w:line="252" w:lineRule="auto"/>
              <w:jc w:val="center"/>
            </w:pPr>
            <w:r>
              <w:t>10%</w:t>
            </w:r>
          </w:p>
        </w:tc>
      </w:tr>
      <w:tr w:rsidR="00EC1B71" w:rsidRPr="00B44CF9" w14:paraId="07F55B49" w14:textId="77777777" w:rsidTr="000F31B4">
        <w:tc>
          <w:tcPr>
            <w:tcW w:w="5400" w:type="dxa"/>
            <w:tcMar>
              <w:top w:w="0" w:type="dxa"/>
              <w:left w:w="108" w:type="dxa"/>
              <w:bottom w:w="0" w:type="dxa"/>
              <w:right w:w="108" w:type="dxa"/>
            </w:tcMar>
            <w:hideMark/>
          </w:tcPr>
          <w:p w14:paraId="7177807F" w14:textId="77777777" w:rsidR="00EC1B71" w:rsidRDefault="00EC1B71" w:rsidP="000F31B4">
            <w:pPr>
              <w:pStyle w:val="ProductList-OfferingBody"/>
              <w:spacing w:line="252" w:lineRule="auto"/>
              <w:jc w:val="center"/>
            </w:pPr>
            <w:r>
              <w:t>&lt; 99%</w:t>
            </w:r>
          </w:p>
        </w:tc>
        <w:tc>
          <w:tcPr>
            <w:tcW w:w="5400" w:type="dxa"/>
            <w:tcMar>
              <w:top w:w="0" w:type="dxa"/>
              <w:left w:w="108" w:type="dxa"/>
              <w:bottom w:w="0" w:type="dxa"/>
              <w:right w:w="108" w:type="dxa"/>
            </w:tcMar>
            <w:hideMark/>
          </w:tcPr>
          <w:p w14:paraId="10898D10" w14:textId="77777777" w:rsidR="00EC1B71" w:rsidRDefault="00EC1B71" w:rsidP="000F31B4">
            <w:pPr>
              <w:pStyle w:val="ProductList-OfferingBody"/>
              <w:spacing w:line="252" w:lineRule="auto"/>
              <w:jc w:val="center"/>
            </w:pPr>
            <w:r>
              <w:t>25%</w:t>
            </w:r>
          </w:p>
        </w:tc>
      </w:tr>
    </w:tbl>
    <w:p w14:paraId="5071DA77" w14:textId="19FD1D3A" w:rsidR="00E15FC0" w:rsidRDefault="00F81546" w:rsidP="002E4EE1">
      <w:pPr>
        <w:pStyle w:val="paragraph"/>
        <w:spacing w:before="120" w:beforeAutospacing="0" w:after="0" w:afterAutospacing="0"/>
        <w:textAlignment w:val="baseline"/>
        <w:rPr>
          <w:rStyle w:val="eop"/>
          <w:rFonts w:ascii="Calibri" w:hAnsi="Calibri" w:cs="Calibri"/>
          <w:sz w:val="18"/>
          <w:szCs w:val="18"/>
        </w:rPr>
      </w:pPr>
      <w:r>
        <w:rPr>
          <w:rStyle w:val="normaltextrun"/>
          <w:rFonts w:ascii="Calibri" w:hAnsi="Calibri" w:cs="Calibri"/>
          <w:b/>
          <w:bCs/>
          <w:color w:val="00188F"/>
          <w:sz w:val="18"/>
          <w:szCs w:val="18"/>
        </w:rPr>
        <w:t>Wyjątki dotyczące Poziomu Usługi</w:t>
      </w:r>
      <w:r>
        <w:rPr>
          <w:rStyle w:val="normaltextrun"/>
          <w:rFonts w:ascii="Calibri" w:hAnsi="Calibri" w:cs="Calibri"/>
          <w:sz w:val="18"/>
          <w:szCs w:val="18"/>
        </w:rPr>
        <w:t>. Niniejsza umowa SLA nie ma zastosowania do składników lokalnych, takich jak czujniki i agenci zabezpieczeń.</w:t>
      </w:r>
    </w:p>
    <w:p w14:paraId="114A6039" w14:textId="7F35B0CF" w:rsidR="00E15FC0" w:rsidRPr="00EF7CF9" w:rsidRDefault="00C71F89" w:rsidP="00E15FC0">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83879D8" w14:textId="77777777" w:rsidR="00A617A2" w:rsidRPr="00EF7CF9" w:rsidRDefault="00A617A2" w:rsidP="009B46D4">
      <w:pPr>
        <w:pStyle w:val="ProductList-Offering2Heading"/>
        <w:keepNext/>
        <w:tabs>
          <w:tab w:val="clear" w:pos="360"/>
          <w:tab w:val="clear" w:pos="720"/>
          <w:tab w:val="clear" w:pos="1080"/>
        </w:tabs>
        <w:outlineLvl w:val="2"/>
      </w:pPr>
      <w:bookmarkStart w:id="460" w:name="_Toc239175092"/>
      <w:r>
        <w:t>Bing Maps Enterprise Platform</w:t>
      </w:r>
      <w:bookmarkEnd w:id="460"/>
    </w:p>
    <w:p w14:paraId="49A70EF6" w14:textId="77777777" w:rsidR="00A617A2" w:rsidRPr="00EF7CF9" w:rsidRDefault="00A617A2" w:rsidP="00A617A2">
      <w:pPr>
        <w:pStyle w:val="ProductList-Body"/>
      </w:pPr>
      <w:r>
        <w:rPr>
          <w:b/>
          <w:color w:val="00188F"/>
        </w:rPr>
        <w:t>Przestój</w:t>
      </w:r>
      <w:r w:rsidRPr="0034704E">
        <w:rPr>
          <w:b/>
          <w:color w:val="00188F"/>
        </w:rPr>
        <w:t>:</w:t>
      </w:r>
      <w:r>
        <w:t xml:space="preserve"> Dowolny okres, w którym Usługa nie jest dostępna, mierzony w centrach danych Microsoft, pod warunkiem, że Klient uzyskuje dostęp do Usługi przy użyciu metod dostępu, uwierzytelniania i śledzenia udokumentowanych w pakietach SDK platformy Bing Maps.</w:t>
      </w:r>
    </w:p>
    <w:p w14:paraId="7A15ED2E" w14:textId="77777777" w:rsidR="00A617A2" w:rsidRPr="00EF7CF9" w:rsidRDefault="00A617A2" w:rsidP="00A617A2">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41F65CD3" w14:textId="77777777" w:rsidR="00A617A2"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we Właściwym Okresie - Przestój</m:t>
              </m:r>
            </m:num>
            <m:den>
              <m:r>
                <m:rPr>
                  <m:nor/>
                </m:rPr>
                <w:rPr>
                  <w:rFonts w:ascii="Cambria Math" w:hAnsi="Cambria Math" w:cs="Calibri"/>
                  <w:i/>
                  <w:sz w:val="18"/>
                  <w:szCs w:val="18"/>
                </w:rPr>
                <m:t>Łączna liczba minut we Właściwym Okresie</m:t>
              </m:r>
            </m:den>
          </m:f>
          <m:r>
            <w:rPr>
              <w:rFonts w:ascii="Cambria Math" w:hAnsi="Cambria Math" w:cs="Calibri"/>
              <w:sz w:val="18"/>
              <w:szCs w:val="18"/>
            </w:rPr>
            <m:t xml:space="preserve"> x 100</m:t>
          </m:r>
        </m:oMath>
      </m:oMathPara>
    </w:p>
    <w:p w14:paraId="369FF8DF" w14:textId="77777777" w:rsidR="00A617A2" w:rsidRDefault="00A617A2" w:rsidP="00A617A2">
      <w:pPr>
        <w:pStyle w:val="ProductList-Body"/>
      </w:pPr>
      <w:r>
        <w:t>gdzie Przestój jest mierzony jako całkowita liczba minut we Właściwym Okresie, gdy aspekty Usługi określone powyżej są niedostępne.</w:t>
      </w:r>
    </w:p>
    <w:bookmarkEnd w:id="458"/>
    <w:p w14:paraId="26174FF9" w14:textId="7B753AAA" w:rsidR="00515EF4" w:rsidRPr="00EF7CF9" w:rsidRDefault="00515EF4"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072DD82D" w14:textId="77777777" w:rsidTr="00515EF4">
        <w:trPr>
          <w:tblHeader/>
        </w:trPr>
        <w:tc>
          <w:tcPr>
            <w:tcW w:w="5400" w:type="dxa"/>
            <w:shd w:val="clear" w:color="auto" w:fill="0072C6"/>
          </w:tcPr>
          <w:p w14:paraId="6763C431" w14:textId="46CCEE57" w:rsidR="00515EF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96A899A" w14:textId="77777777" w:rsidR="00515EF4" w:rsidRPr="00EF7CF9" w:rsidRDefault="00515EF4" w:rsidP="002A586E">
            <w:pPr>
              <w:pStyle w:val="ProductList-OfferingBody"/>
              <w:jc w:val="center"/>
              <w:rPr>
                <w:color w:val="FFFFFF" w:themeColor="background1"/>
              </w:rPr>
            </w:pPr>
            <w:r>
              <w:rPr>
                <w:color w:val="FFFFFF" w:themeColor="background1"/>
              </w:rPr>
              <w:t>Środki Serwisowe na Używanie Usług</w:t>
            </w:r>
          </w:p>
        </w:tc>
      </w:tr>
      <w:tr w:rsidR="00515EF4" w:rsidRPr="00B44CF9" w14:paraId="3FB6EA7D" w14:textId="77777777" w:rsidTr="00515EF4">
        <w:tc>
          <w:tcPr>
            <w:tcW w:w="5400" w:type="dxa"/>
          </w:tcPr>
          <w:p w14:paraId="04CAFA50" w14:textId="61E959DE" w:rsidR="00515EF4" w:rsidRPr="00EF7CF9" w:rsidRDefault="00515EF4" w:rsidP="002A586E">
            <w:pPr>
              <w:pStyle w:val="ProductList-OfferingBody"/>
              <w:jc w:val="center"/>
            </w:pPr>
            <w:r>
              <w:t>&lt; 99,9%</w:t>
            </w:r>
          </w:p>
        </w:tc>
        <w:tc>
          <w:tcPr>
            <w:tcW w:w="5400" w:type="dxa"/>
          </w:tcPr>
          <w:p w14:paraId="79F178DF" w14:textId="7F10E0CE" w:rsidR="00515EF4" w:rsidRPr="00EF7CF9" w:rsidRDefault="00515EF4" w:rsidP="002A586E">
            <w:pPr>
              <w:pStyle w:val="ProductList-OfferingBody"/>
              <w:jc w:val="center"/>
            </w:pPr>
            <w:r>
              <w:t>25%</w:t>
            </w:r>
          </w:p>
        </w:tc>
      </w:tr>
      <w:tr w:rsidR="00515EF4" w:rsidRPr="00B44CF9" w14:paraId="777F4AA6" w14:textId="77777777" w:rsidTr="00515EF4">
        <w:tc>
          <w:tcPr>
            <w:tcW w:w="5400" w:type="dxa"/>
          </w:tcPr>
          <w:p w14:paraId="674E9167" w14:textId="50297AE8" w:rsidR="00515EF4" w:rsidRPr="00EF7CF9" w:rsidRDefault="00515EF4" w:rsidP="002A586E">
            <w:pPr>
              <w:pStyle w:val="ProductList-OfferingBody"/>
              <w:jc w:val="center"/>
            </w:pPr>
            <w:r>
              <w:t>&lt; 99%</w:t>
            </w:r>
          </w:p>
        </w:tc>
        <w:tc>
          <w:tcPr>
            <w:tcW w:w="5400" w:type="dxa"/>
          </w:tcPr>
          <w:p w14:paraId="4C2D0E02" w14:textId="661EED97" w:rsidR="00515EF4" w:rsidRPr="00EF7CF9" w:rsidRDefault="00515EF4" w:rsidP="002A586E">
            <w:pPr>
              <w:pStyle w:val="ProductList-OfferingBody"/>
              <w:jc w:val="center"/>
            </w:pPr>
            <w:r>
              <w:t>50%</w:t>
            </w:r>
          </w:p>
        </w:tc>
      </w:tr>
      <w:tr w:rsidR="00515EF4" w:rsidRPr="00B44CF9" w14:paraId="4EB982B3" w14:textId="77777777" w:rsidTr="00515EF4">
        <w:tc>
          <w:tcPr>
            <w:tcW w:w="5400" w:type="dxa"/>
          </w:tcPr>
          <w:p w14:paraId="1CE067A9" w14:textId="625CE747" w:rsidR="00515EF4" w:rsidRPr="00EF7CF9" w:rsidRDefault="00515EF4" w:rsidP="002A586E">
            <w:pPr>
              <w:pStyle w:val="ProductList-OfferingBody"/>
              <w:jc w:val="center"/>
            </w:pPr>
            <w:r>
              <w:t>&lt; 95%</w:t>
            </w:r>
          </w:p>
        </w:tc>
        <w:tc>
          <w:tcPr>
            <w:tcW w:w="5400" w:type="dxa"/>
          </w:tcPr>
          <w:p w14:paraId="67F575EA" w14:textId="0AACC5D0" w:rsidR="00515EF4" w:rsidRPr="00EF7CF9" w:rsidRDefault="00515EF4" w:rsidP="002A586E">
            <w:pPr>
              <w:pStyle w:val="ProductList-OfferingBody"/>
              <w:jc w:val="center"/>
            </w:pPr>
            <w:r>
              <w:t>100%</w:t>
            </w:r>
          </w:p>
        </w:tc>
      </w:tr>
    </w:tbl>
    <w:p w14:paraId="087D7891" w14:textId="25FE396F" w:rsidR="00515EF4" w:rsidRPr="00EF7CF9" w:rsidRDefault="00515EF4" w:rsidP="00CE7536">
      <w:pPr>
        <w:pStyle w:val="ProductList-Body"/>
        <w:spacing w:before="120"/>
      </w:pPr>
      <w:r>
        <w:rPr>
          <w:b/>
          <w:color w:val="00188F"/>
        </w:rPr>
        <w:t>Wyjątki dotyczące Poziomu Usługi</w:t>
      </w:r>
      <w:r>
        <w:t>. Niniejsza umowa SLA nie ma zastosowania do platformy Bing Maps Enterprise Platform zakupionej w ramach umów licencjonowania zbiorowego Open Value i Open Value Subscription.</w:t>
      </w:r>
    </w:p>
    <w:p w14:paraId="39219096" w14:textId="77777777" w:rsidR="00515EF4" w:rsidRPr="00EF7CF9" w:rsidRDefault="00515EF4" w:rsidP="002A586E">
      <w:pPr>
        <w:pStyle w:val="ProductList-Body"/>
      </w:pPr>
    </w:p>
    <w:p w14:paraId="084D7DBE" w14:textId="730E785E" w:rsidR="001E0407" w:rsidRPr="00EF7CF9" w:rsidRDefault="00515EF4" w:rsidP="00DC0631">
      <w:pPr>
        <w:pStyle w:val="ProductList-Body"/>
      </w:pPr>
      <w:r>
        <w:t>Środki Serwisowe na Używanie Usług nie mają zastosowania jeżeli Klient: (i) nie wdroży żadnych aktualizacji Usług w terminie określonym w</w:t>
      </w:r>
      <w:r w:rsidR="00F61584">
        <w:t> </w:t>
      </w:r>
      <w:r>
        <w:t>Warunkach Korzystania z interfejsu API platformy Bing Maps Platform; oraz (ii) nie powiadomi firmy Microsoft z co najmniej dziewięćdziesięciodniowym (90) wyprzedzeniem o wszelkim znaczącym wzroście wykorzystania, którego jest świadomy, przy czym znaczny wzrost</w:t>
      </w:r>
      <w:r w:rsidR="00F61584">
        <w:t> </w:t>
      </w:r>
      <w:r>
        <w:t>wolumenu wykorzystania jest zdefiniowany jako co najmniej 50% wykorzystania w poprzednim Właściwym Okresie.</w:t>
      </w:r>
    </w:p>
    <w:bookmarkStart w:id="461" w:name="_Toc413421605"/>
    <w:bookmarkStart w:id="462" w:name="_Toc457821593"/>
    <w:p w14:paraId="58C264B1" w14:textId="5672E2A6"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710B993D" w14:textId="77777777" w:rsidR="00FD7891" w:rsidRPr="00EF7CF9" w:rsidRDefault="00FD7891" w:rsidP="002D6760">
      <w:pPr>
        <w:pStyle w:val="ProductList-Offering2Heading"/>
        <w:keepNext/>
        <w:outlineLvl w:val="2"/>
      </w:pPr>
      <w:bookmarkStart w:id="463" w:name="_Toc239175093"/>
      <w:r>
        <w:t>Bing Maps Mobile Asset Management</w:t>
      </w:r>
      <w:bookmarkEnd w:id="461"/>
      <w:bookmarkEnd w:id="462"/>
      <w:bookmarkEnd w:id="463"/>
    </w:p>
    <w:p w14:paraId="65029C5D" w14:textId="606DEF1A" w:rsidR="00FD7891" w:rsidRPr="00EF7CF9" w:rsidRDefault="00FD7891" w:rsidP="002A586E">
      <w:pPr>
        <w:pStyle w:val="ProductList-Body"/>
      </w:pPr>
      <w:r>
        <w:rPr>
          <w:b/>
          <w:color w:val="00188F"/>
        </w:rPr>
        <w:t>Przestój</w:t>
      </w:r>
      <w:r w:rsidRPr="0034704E">
        <w:rPr>
          <w:b/>
          <w:color w:val="00188F"/>
        </w:rPr>
        <w:t>:</w:t>
      </w:r>
      <w:r>
        <w:t xml:space="preserve"> Dowolny okres, w którym Usługa nie jest dostępna, mierzony w centrach danych Microsoft, pod warunkiem, że Klient uzyskuje dostęp do Usługi przy użyciu metod dostępu, uwierzytelniania i śledzenia udokumentowanych w pakietach SDK platformy Bing Maps.</w:t>
      </w:r>
    </w:p>
    <w:p w14:paraId="10C2AC36" w14:textId="7B6AEA68" w:rsidR="00FD7891" w:rsidRPr="00EF7CF9"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3D1C7AD3" w14:textId="484DBCCF" w:rsidR="00FD7891"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we Właściwym Okresie - Przestój</m:t>
              </m:r>
            </m:num>
            <m:den>
              <m:r>
                <m:rPr>
                  <m:nor/>
                </m:rPr>
                <w:rPr>
                  <w:rFonts w:ascii="Cambria Math" w:hAnsi="Cambria Math" w:cs="Calibri"/>
                  <w:i/>
                  <w:sz w:val="18"/>
                  <w:szCs w:val="18"/>
                </w:rPr>
                <m:t>Łączna liczba minut we Właściwym Okresie</m:t>
              </m:r>
            </m:den>
          </m:f>
          <m:r>
            <w:rPr>
              <w:rFonts w:ascii="Cambria Math" w:hAnsi="Cambria Math" w:cs="Calibri"/>
              <w:sz w:val="18"/>
              <w:szCs w:val="18"/>
            </w:rPr>
            <m:t xml:space="preserve"> x 100</m:t>
          </m:r>
        </m:oMath>
      </m:oMathPara>
    </w:p>
    <w:p w14:paraId="08A0B750" w14:textId="3A875414" w:rsidR="00FD7891" w:rsidRDefault="00FD7891" w:rsidP="002A586E">
      <w:pPr>
        <w:pStyle w:val="ProductList-Body"/>
      </w:pPr>
      <w:r>
        <w:t>gdzie Przestój jest mierzony jako całkowita liczba minut we Właściwym Okresie, gdy aspekty Usługi określone powyżej są niedostępne.</w:t>
      </w:r>
    </w:p>
    <w:p w14:paraId="3463EB9D" w14:textId="77777777" w:rsidR="00D3765F" w:rsidRDefault="00D3765F" w:rsidP="002A586E">
      <w:pPr>
        <w:pStyle w:val="ProductList-Body"/>
      </w:pPr>
    </w:p>
    <w:p w14:paraId="152AABCC" w14:textId="6C944870" w:rsidR="00FD7891" w:rsidRPr="00EF7CF9" w:rsidRDefault="00FD7891"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D7891" w:rsidRPr="00B44CF9" w14:paraId="284D0B9B" w14:textId="77777777" w:rsidTr="00085A0D">
        <w:trPr>
          <w:tblHeader/>
        </w:trPr>
        <w:tc>
          <w:tcPr>
            <w:tcW w:w="5400" w:type="dxa"/>
            <w:shd w:val="clear" w:color="auto" w:fill="0072C6"/>
          </w:tcPr>
          <w:p w14:paraId="210D6C28" w14:textId="74B166B1" w:rsidR="00FD7891"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AFAF31B" w14:textId="77777777" w:rsidR="00FD7891" w:rsidRPr="00EF7CF9" w:rsidRDefault="00FD7891" w:rsidP="002A586E">
            <w:pPr>
              <w:pStyle w:val="ProductList-OfferingBody"/>
              <w:jc w:val="center"/>
              <w:rPr>
                <w:color w:val="FFFFFF" w:themeColor="background1"/>
              </w:rPr>
            </w:pPr>
            <w:r>
              <w:rPr>
                <w:color w:val="FFFFFF" w:themeColor="background1"/>
              </w:rPr>
              <w:t>Środki Serwisowe na Używanie Usług</w:t>
            </w:r>
          </w:p>
        </w:tc>
      </w:tr>
      <w:tr w:rsidR="00FD7891" w:rsidRPr="00B44CF9" w14:paraId="50ECA16C" w14:textId="77777777" w:rsidTr="00085A0D">
        <w:tc>
          <w:tcPr>
            <w:tcW w:w="5400" w:type="dxa"/>
          </w:tcPr>
          <w:p w14:paraId="2EC30703" w14:textId="77777777" w:rsidR="00FD7891" w:rsidRPr="00EF7CF9" w:rsidRDefault="00FD7891" w:rsidP="002A586E">
            <w:pPr>
              <w:pStyle w:val="ProductList-OfferingBody"/>
              <w:jc w:val="center"/>
            </w:pPr>
            <w:r>
              <w:t>&lt; 99,9%</w:t>
            </w:r>
          </w:p>
        </w:tc>
        <w:tc>
          <w:tcPr>
            <w:tcW w:w="5400" w:type="dxa"/>
          </w:tcPr>
          <w:p w14:paraId="0AF0BF6E" w14:textId="77777777" w:rsidR="00FD7891" w:rsidRPr="00EF7CF9" w:rsidRDefault="00FD7891" w:rsidP="002A586E">
            <w:pPr>
              <w:pStyle w:val="ProductList-OfferingBody"/>
              <w:jc w:val="center"/>
            </w:pPr>
            <w:r>
              <w:t>25%</w:t>
            </w:r>
          </w:p>
        </w:tc>
      </w:tr>
      <w:tr w:rsidR="00FD7891" w:rsidRPr="00B44CF9" w14:paraId="43224057" w14:textId="77777777" w:rsidTr="00085A0D">
        <w:tc>
          <w:tcPr>
            <w:tcW w:w="5400" w:type="dxa"/>
          </w:tcPr>
          <w:p w14:paraId="20F98A7F" w14:textId="77777777" w:rsidR="00FD7891" w:rsidRPr="00EF7CF9" w:rsidRDefault="00FD7891" w:rsidP="002A586E">
            <w:pPr>
              <w:pStyle w:val="ProductList-OfferingBody"/>
              <w:jc w:val="center"/>
            </w:pPr>
            <w:r>
              <w:t>&lt; 99%</w:t>
            </w:r>
          </w:p>
        </w:tc>
        <w:tc>
          <w:tcPr>
            <w:tcW w:w="5400" w:type="dxa"/>
          </w:tcPr>
          <w:p w14:paraId="2042F0F2" w14:textId="77777777" w:rsidR="00FD7891" w:rsidRPr="00EF7CF9" w:rsidRDefault="00FD7891" w:rsidP="002A586E">
            <w:pPr>
              <w:pStyle w:val="ProductList-OfferingBody"/>
              <w:jc w:val="center"/>
            </w:pPr>
            <w:r>
              <w:t>50%</w:t>
            </w:r>
          </w:p>
        </w:tc>
      </w:tr>
      <w:tr w:rsidR="00FD7891" w:rsidRPr="00B44CF9" w14:paraId="464E7413" w14:textId="77777777" w:rsidTr="00085A0D">
        <w:tc>
          <w:tcPr>
            <w:tcW w:w="5400" w:type="dxa"/>
          </w:tcPr>
          <w:p w14:paraId="140B2DF0" w14:textId="77777777" w:rsidR="00FD7891" w:rsidRPr="00EF7CF9" w:rsidRDefault="00FD7891" w:rsidP="002A586E">
            <w:pPr>
              <w:pStyle w:val="ProductList-OfferingBody"/>
              <w:jc w:val="center"/>
            </w:pPr>
            <w:r>
              <w:t>&lt; 95%</w:t>
            </w:r>
          </w:p>
        </w:tc>
        <w:tc>
          <w:tcPr>
            <w:tcW w:w="5400" w:type="dxa"/>
          </w:tcPr>
          <w:p w14:paraId="0BEE0BFC" w14:textId="77777777" w:rsidR="00FD7891" w:rsidRPr="00EF7CF9" w:rsidRDefault="00FD7891" w:rsidP="002A586E">
            <w:pPr>
              <w:pStyle w:val="ProductList-OfferingBody"/>
              <w:jc w:val="center"/>
            </w:pPr>
            <w:r>
              <w:t>100%</w:t>
            </w:r>
          </w:p>
        </w:tc>
      </w:tr>
    </w:tbl>
    <w:p w14:paraId="6FE4E46D" w14:textId="773326ED" w:rsidR="00FD7891" w:rsidRPr="00EF7CF9" w:rsidRDefault="00FD7891" w:rsidP="00CE7536">
      <w:pPr>
        <w:pStyle w:val="ProductList-Body"/>
        <w:spacing w:before="120"/>
      </w:pPr>
      <w:r>
        <w:rPr>
          <w:b/>
          <w:color w:val="00188F"/>
        </w:rPr>
        <w:t>Wyjątki dotyczące Poziomu Usługi</w:t>
      </w:r>
      <w:r>
        <w:t>. Niniejsza umowa SLA nie ma zastosowania do platformy Bing Maps Enterprise Platform zakupionej w ramach umów licencjonowania zbiorowego Open Value i Open Value Subscription.</w:t>
      </w:r>
    </w:p>
    <w:p w14:paraId="3B1C1472" w14:textId="77777777" w:rsidR="00FD7891" w:rsidRPr="00EF7CF9" w:rsidRDefault="00FD7891" w:rsidP="002A586E">
      <w:pPr>
        <w:pStyle w:val="ProductList-Body"/>
      </w:pPr>
    </w:p>
    <w:p w14:paraId="3F493427" w14:textId="54BD95ED" w:rsidR="00FD7891" w:rsidRPr="00EF7CF9" w:rsidRDefault="00FD7891" w:rsidP="00657A3A">
      <w:pPr>
        <w:pStyle w:val="ProductList-Body"/>
        <w:keepNext/>
      </w:pPr>
      <w:r>
        <w:t>Środki Serwisowe na Używanie Usług nie mają zastosowania jeżeli: (i) nie wdroży żadnych aktualizacji Usług w terminie określonym w Warunkach Korzystania z interfejsu API platformy Bing Maps Platform; oraz (ii) nie powiadomi firmy Microsoft z co najmniej dziewięćdziesięciodniowym (90) wyprzedzeniem o wszelkim znaczącym wzroście wykorzystania, którego jest świadomy, przy czym znaczny wzrost wolumenu wykorzystania jest zdefiniowany jako co najmniej 50% wykorzystania w poprzednim Właściwym Okresie.</w:t>
      </w:r>
    </w:p>
    <w:bookmarkStart w:id="464" w:name="Intune"/>
    <w:bookmarkStart w:id="465" w:name="PowerBIPro"/>
    <w:p w14:paraId="349DB93C" w14:textId="7AB2E393"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67114557" w14:textId="77777777" w:rsidR="00CC255D" w:rsidRPr="00EF7CF9" w:rsidRDefault="00CC255D" w:rsidP="009B46D4">
      <w:pPr>
        <w:pStyle w:val="ProductList-Offering2Heading"/>
        <w:keepNext/>
        <w:tabs>
          <w:tab w:val="clear" w:pos="360"/>
          <w:tab w:val="clear" w:pos="720"/>
          <w:tab w:val="clear" w:pos="1080"/>
        </w:tabs>
        <w:outlineLvl w:val="2"/>
      </w:pPr>
      <w:bookmarkStart w:id="466" w:name="_Toc239175094"/>
      <w:r>
        <w:t>Microsoft Cloud App Security</w:t>
      </w:r>
      <w:bookmarkEnd w:id="466"/>
    </w:p>
    <w:p w14:paraId="1C9E0BAD" w14:textId="77777777" w:rsidR="00CC255D" w:rsidRPr="00EF7CF9" w:rsidRDefault="00CC255D" w:rsidP="00CC255D">
      <w:pPr>
        <w:pStyle w:val="ProductList-Body"/>
      </w:pPr>
      <w:r>
        <w:rPr>
          <w:b/>
          <w:color w:val="00188F"/>
        </w:rPr>
        <w:t>Przestój</w:t>
      </w:r>
      <w:r w:rsidRPr="0034704E">
        <w:rPr>
          <w:b/>
          <w:color w:val="00188F"/>
        </w:rPr>
        <w:t>:</w:t>
      </w:r>
      <w:r>
        <w:t xml:space="preserve"> Dowolny okres, w którym administrator IT Klienta lub użytkownicy upoważnieni przez Klienta nie mogą się zalogować przy użyciu prawidłowych danych logowania. Planowy Przestój nie przekracza 10 godzin w roku kalendarzowym.</w:t>
      </w:r>
    </w:p>
    <w:p w14:paraId="0FA3DE7E" w14:textId="77777777" w:rsidR="00CC255D" w:rsidRDefault="00CC255D" w:rsidP="00CC255D">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08AA6A08" w14:textId="77777777" w:rsidR="00CC255D" w:rsidRPr="009E2B16" w:rsidRDefault="00000000" w:rsidP="00BD59B3">
      <w:pPr>
        <w:spacing w:before="120" w:after="120" w:line="240" w:lineRule="auto"/>
        <w:jc w:val="both"/>
        <w:rPr>
          <w:rFonts w:ascii="Cambria Math" w:hAnsi="Cambria Math" w:cs="Calibri"/>
          <w:i/>
          <w:sz w:val="18"/>
          <w:szCs w:val="18"/>
        </w:rPr>
      </w:pPr>
      <m:oMathPara>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0CB2696F" w14:textId="77777777" w:rsidR="00CC255D" w:rsidRDefault="00CC255D" w:rsidP="00CC255D">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3D3BA6FD" w14:textId="77777777" w:rsidR="00D3765F" w:rsidRDefault="00D3765F" w:rsidP="00CC255D">
      <w:pPr>
        <w:pStyle w:val="ProductList-Body"/>
      </w:pPr>
    </w:p>
    <w:p w14:paraId="4BE32466" w14:textId="77777777" w:rsidR="00F06C94" w:rsidRPr="00EF7CF9" w:rsidRDefault="00F06C94" w:rsidP="004D0C63">
      <w:pPr>
        <w:pStyle w:val="ProductList-Body"/>
        <w:keepNext/>
        <w:keepLines/>
      </w:pPr>
      <w:r>
        <w:rPr>
          <w:b/>
          <w:bCs/>
          <w:color w:val="00188F"/>
        </w:rPr>
        <w:t>Środki Serwisowe na Używanie Usług</w:t>
      </w:r>
      <w:r w:rsidRPr="0034704E">
        <w:rPr>
          <w:b/>
          <w:color w:val="00188F"/>
        </w:rPr>
        <w:t>:</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00"/>
        <w:gridCol w:w="5400"/>
      </w:tblGrid>
      <w:tr w:rsidR="00F06C94" w:rsidRPr="00B44CF9" w14:paraId="2367C59E" w14:textId="77777777" w:rsidTr="00B75220">
        <w:trPr>
          <w:tblHeader/>
        </w:trPr>
        <w:tc>
          <w:tcPr>
            <w:tcW w:w="5400" w:type="dxa"/>
            <w:shd w:val="clear" w:color="auto" w:fill="0072C6"/>
            <w:tcMar>
              <w:top w:w="0" w:type="dxa"/>
              <w:left w:w="108" w:type="dxa"/>
              <w:bottom w:w="0" w:type="dxa"/>
              <w:right w:w="108" w:type="dxa"/>
            </w:tcMar>
            <w:hideMark/>
          </w:tcPr>
          <w:p w14:paraId="63F83DC9" w14:textId="2773D265" w:rsidR="00F06C94" w:rsidRPr="00EF7CF9" w:rsidRDefault="00AC48A7" w:rsidP="004D0C63">
            <w:pPr>
              <w:pStyle w:val="ProductList-OfferingBody"/>
              <w:keepNext/>
              <w:keepLines/>
              <w:spacing w:line="252" w:lineRule="auto"/>
              <w:jc w:val="center"/>
              <w:rPr>
                <w:color w:val="FFFFFF"/>
              </w:rPr>
            </w:pPr>
            <w:r>
              <w:rPr>
                <w:color w:val="FFFFFF"/>
              </w:rPr>
              <w:t>Procent Czasu Sprawnego Działania</w:t>
            </w:r>
          </w:p>
        </w:tc>
        <w:tc>
          <w:tcPr>
            <w:tcW w:w="5400" w:type="dxa"/>
            <w:shd w:val="clear" w:color="auto" w:fill="0072C6"/>
            <w:tcMar>
              <w:top w:w="0" w:type="dxa"/>
              <w:left w:w="108" w:type="dxa"/>
              <w:bottom w:w="0" w:type="dxa"/>
              <w:right w:w="108" w:type="dxa"/>
            </w:tcMar>
            <w:hideMark/>
          </w:tcPr>
          <w:p w14:paraId="456734F7" w14:textId="77777777" w:rsidR="00F06C94" w:rsidRPr="00EF7CF9" w:rsidRDefault="00F06C94" w:rsidP="004D0C63">
            <w:pPr>
              <w:pStyle w:val="ProductList-OfferingBody"/>
              <w:keepNext/>
              <w:keepLines/>
              <w:spacing w:line="252" w:lineRule="auto"/>
              <w:jc w:val="center"/>
              <w:rPr>
                <w:color w:val="FFFFFF"/>
              </w:rPr>
            </w:pPr>
            <w:r>
              <w:rPr>
                <w:color w:val="FFFFFF"/>
              </w:rPr>
              <w:t>Środki Serwisowe na Używanie Usług</w:t>
            </w:r>
          </w:p>
        </w:tc>
      </w:tr>
      <w:tr w:rsidR="00F06C94" w:rsidRPr="00B44CF9" w14:paraId="2BDCFE67" w14:textId="77777777" w:rsidTr="00B75220">
        <w:tc>
          <w:tcPr>
            <w:tcW w:w="5400" w:type="dxa"/>
            <w:tcMar>
              <w:top w:w="0" w:type="dxa"/>
              <w:left w:w="108" w:type="dxa"/>
              <w:bottom w:w="0" w:type="dxa"/>
              <w:right w:w="108" w:type="dxa"/>
            </w:tcMar>
            <w:hideMark/>
          </w:tcPr>
          <w:p w14:paraId="5F1508BA" w14:textId="77777777" w:rsidR="00F06C94" w:rsidRPr="00EF7CF9" w:rsidRDefault="00F06C94" w:rsidP="004D0C63">
            <w:pPr>
              <w:pStyle w:val="ProductList-OfferingBody"/>
              <w:keepNext/>
              <w:keepLines/>
              <w:spacing w:line="252" w:lineRule="auto"/>
              <w:jc w:val="center"/>
            </w:pPr>
            <w:r>
              <w:t>&lt; 99,9%</w:t>
            </w:r>
          </w:p>
        </w:tc>
        <w:tc>
          <w:tcPr>
            <w:tcW w:w="5400" w:type="dxa"/>
            <w:tcMar>
              <w:top w:w="0" w:type="dxa"/>
              <w:left w:w="108" w:type="dxa"/>
              <w:bottom w:w="0" w:type="dxa"/>
              <w:right w:w="108" w:type="dxa"/>
            </w:tcMar>
            <w:hideMark/>
          </w:tcPr>
          <w:p w14:paraId="44FCA89A" w14:textId="77777777" w:rsidR="00F06C94" w:rsidRPr="00EF7CF9" w:rsidRDefault="00F06C94" w:rsidP="004D0C63">
            <w:pPr>
              <w:pStyle w:val="ProductList-OfferingBody"/>
              <w:keepNext/>
              <w:keepLines/>
              <w:spacing w:line="252" w:lineRule="auto"/>
              <w:jc w:val="center"/>
            </w:pPr>
            <w:r>
              <w:t>10%</w:t>
            </w:r>
          </w:p>
        </w:tc>
      </w:tr>
      <w:tr w:rsidR="00F06C94" w:rsidRPr="00B44CF9" w14:paraId="4D7617D8" w14:textId="77777777" w:rsidTr="00B75220">
        <w:tc>
          <w:tcPr>
            <w:tcW w:w="5400" w:type="dxa"/>
            <w:tcMar>
              <w:top w:w="0" w:type="dxa"/>
              <w:left w:w="108" w:type="dxa"/>
              <w:bottom w:w="0" w:type="dxa"/>
              <w:right w:w="108" w:type="dxa"/>
            </w:tcMar>
            <w:hideMark/>
          </w:tcPr>
          <w:p w14:paraId="581882D1" w14:textId="77777777" w:rsidR="00F06C94" w:rsidRPr="00EF7CF9" w:rsidRDefault="00F06C94" w:rsidP="004D0C63">
            <w:pPr>
              <w:pStyle w:val="ProductList-OfferingBody"/>
              <w:keepNext/>
              <w:keepLines/>
              <w:spacing w:line="252" w:lineRule="auto"/>
              <w:jc w:val="center"/>
            </w:pPr>
            <w:r>
              <w:t>&lt; 99%</w:t>
            </w:r>
          </w:p>
        </w:tc>
        <w:tc>
          <w:tcPr>
            <w:tcW w:w="5400" w:type="dxa"/>
            <w:tcMar>
              <w:top w:w="0" w:type="dxa"/>
              <w:left w:w="108" w:type="dxa"/>
              <w:bottom w:w="0" w:type="dxa"/>
              <w:right w:w="108" w:type="dxa"/>
            </w:tcMar>
            <w:hideMark/>
          </w:tcPr>
          <w:p w14:paraId="3F5F7E1E" w14:textId="77777777" w:rsidR="00F06C94" w:rsidRPr="00EF7CF9" w:rsidRDefault="00F06C94" w:rsidP="004D0C63">
            <w:pPr>
              <w:pStyle w:val="ProductList-OfferingBody"/>
              <w:keepNext/>
              <w:keepLines/>
              <w:spacing w:line="252" w:lineRule="auto"/>
              <w:jc w:val="center"/>
            </w:pPr>
            <w:r>
              <w:t>25%</w:t>
            </w:r>
          </w:p>
        </w:tc>
      </w:tr>
    </w:tbl>
    <w:p w14:paraId="5AF92A53" w14:textId="4377F599" w:rsidR="00F06C94" w:rsidRPr="00EF7CF9" w:rsidRDefault="00F06C94" w:rsidP="00CE7536">
      <w:pPr>
        <w:pStyle w:val="ProductList-Body"/>
        <w:spacing w:before="120" w:after="40"/>
      </w:pPr>
      <w:r>
        <w:rPr>
          <w:b/>
          <w:color w:val="00188F"/>
        </w:rPr>
        <w:t>Wyjątki dotyczące Poziomu Usługi</w:t>
      </w:r>
      <w:r>
        <w:t>. Ten Poziom Usługi nie ma zastosowania do: (i) oprogramowania zainstalowanego lokalnie, które jest licencjonowane w ramach subskrypcji Usługi, ani (ii) usług internetowych (z wyjątkiem usługi Microsoft Cloud App Security), które za pośrednictwem interfejsu API (interfejsu programowania aplikacji) dostarczają aktualizacje dowolnych usług licencjonowanych w ramach subskrypcji Usługi.</w:t>
      </w:r>
    </w:p>
    <w:p w14:paraId="21D811F5" w14:textId="74D1C796"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B2CB998" w14:textId="1A22DBC6" w:rsidR="00DC2BDE" w:rsidRDefault="00F82521" w:rsidP="00DC0631">
      <w:pPr>
        <w:pStyle w:val="ProductList-Offering2Heading"/>
        <w:tabs>
          <w:tab w:val="clear" w:pos="360"/>
          <w:tab w:val="clear" w:pos="720"/>
          <w:tab w:val="clear" w:pos="1080"/>
        </w:tabs>
        <w:outlineLvl w:val="2"/>
      </w:pPr>
      <w:bookmarkStart w:id="467" w:name="_Toc239175095"/>
      <w:r>
        <w:t xml:space="preserve">Microsoft </w:t>
      </w:r>
      <w:r w:rsidR="00DC2BDE">
        <w:t>Dragon Copilot</w:t>
      </w:r>
      <w:bookmarkEnd w:id="467"/>
    </w:p>
    <w:p w14:paraId="182849DB" w14:textId="77777777" w:rsidR="00F44569" w:rsidRPr="00C130F5" w:rsidRDefault="00F44569" w:rsidP="00F44569">
      <w:pPr>
        <w:pStyle w:val="ProductList-Body"/>
        <w:rPr>
          <w:rFonts w:ascii="Calibri" w:hAnsi="Calibri" w:cs="Calibri"/>
          <w:b/>
          <w:color w:val="00188F"/>
        </w:rPr>
      </w:pPr>
      <w:r>
        <w:rPr>
          <w:rFonts w:ascii="Calibri" w:hAnsi="Calibri" w:cs="Calibri"/>
          <w:b/>
          <w:color w:val="00188F"/>
        </w:rPr>
        <w:t>Dodatkowe definicje:</w:t>
      </w:r>
    </w:p>
    <w:p w14:paraId="65E9BBAA" w14:textId="77777777" w:rsidR="001C0D4C" w:rsidRDefault="001C0D4C" w:rsidP="001C0D4C">
      <w:pPr>
        <w:pStyle w:val="ProductList-Body"/>
        <w:rPr>
          <w:rFonts w:ascii="Calibri" w:hAnsi="Calibri" w:cs="Calibri"/>
          <w:bCs/>
        </w:rPr>
      </w:pPr>
      <w:r>
        <w:rPr>
          <w:rFonts w:ascii="Calibri" w:hAnsi="Calibri" w:cs="Calibri"/>
          <w:b/>
          <w:color w:val="00188F"/>
        </w:rPr>
        <w:t xml:space="preserve">„Ambient Speech” </w:t>
      </w:r>
      <w:r>
        <w:rPr>
          <w:rFonts w:ascii="Calibri" w:hAnsi="Calibri" w:cs="Calibri"/>
          <w:bCs/>
        </w:rPr>
        <w:t>oznacza możliwość nagrania spotkania z przedstawicielem opieki zdrowotnej lub innej narracji głosowej w celu wygenerowania Treści wyjściowej i/lub Dokumentacji spotkania.</w:t>
      </w:r>
    </w:p>
    <w:p w14:paraId="6AFB147F" w14:textId="77777777" w:rsidR="00F44569" w:rsidRPr="00C130F5" w:rsidRDefault="00F44569" w:rsidP="00F44569">
      <w:pPr>
        <w:pStyle w:val="ProductList-Body"/>
        <w:rPr>
          <w:rFonts w:ascii="Calibri" w:hAnsi="Calibri" w:cs="Calibri"/>
          <w:b/>
          <w:color w:val="00188F"/>
        </w:rPr>
      </w:pPr>
      <w:r>
        <w:rPr>
          <w:rFonts w:ascii="Calibri" w:hAnsi="Calibri" w:cs="Calibri"/>
          <w:b/>
          <w:color w:val="00188F"/>
        </w:rPr>
        <w:t xml:space="preserve">„Przestój Ambient Speech” </w:t>
      </w:r>
      <w:r>
        <w:rPr>
          <w:rFonts w:ascii="Calibri" w:hAnsi="Calibri" w:cs="Calibri"/>
          <w:bCs/>
        </w:rPr>
        <w:t>oznacza Przestój obowiązujący w przypadku Ambient Speech. Przestój Ambient Speech to okres czasu w minutach, w którym usługa Ambient Speech jest znacząco ograniczona lub niedostępna z powodu awarii, usterki lub innego zakłócenia usługi, za które odpowiada Microsoft. Jakość Ambient Speech jest uznawana za istotnie pogorszoną, jeśli usługa nie zwraca odpowiedzi w ciągu 15 minut przy zwykłych warunkach sieciowych.</w:t>
      </w:r>
    </w:p>
    <w:p w14:paraId="3D4E4047" w14:textId="77777777" w:rsidR="00F44569" w:rsidRPr="00C130F5" w:rsidRDefault="00F44569" w:rsidP="00F44569">
      <w:pPr>
        <w:pStyle w:val="ProductList-Body"/>
        <w:rPr>
          <w:rFonts w:ascii="Calibri" w:hAnsi="Calibri" w:cs="Calibri"/>
          <w:b/>
          <w:color w:val="00188F"/>
        </w:rPr>
      </w:pPr>
      <w:r>
        <w:rPr>
          <w:rFonts w:ascii="Calibri" w:hAnsi="Calibri" w:cs="Calibri"/>
          <w:b/>
          <w:color w:val="00188F"/>
        </w:rPr>
        <w:t xml:space="preserve">„Front-End Speech” </w:t>
      </w:r>
      <w:r>
        <w:rPr>
          <w:rFonts w:ascii="Calibri" w:hAnsi="Calibri" w:cs="Calibri"/>
          <w:bCs/>
        </w:rPr>
        <w:t>oznacza możliwość dyktowania informacji do aplikacji docelowej i wyzwalania określonych działań za pomocą wyraźnych poleceń głosowych.</w:t>
      </w:r>
    </w:p>
    <w:p w14:paraId="7E04AC3F" w14:textId="77777777" w:rsidR="00F44569" w:rsidRPr="00C130F5" w:rsidRDefault="00F44569" w:rsidP="00F44569">
      <w:pPr>
        <w:pStyle w:val="ProductList-Body"/>
        <w:rPr>
          <w:rFonts w:ascii="Calibri" w:hAnsi="Calibri" w:cs="Calibri"/>
          <w:b/>
          <w:color w:val="00188F"/>
        </w:rPr>
      </w:pPr>
      <w:r>
        <w:rPr>
          <w:rFonts w:ascii="Calibri" w:hAnsi="Calibri" w:cs="Calibri"/>
          <w:b/>
          <w:color w:val="00188F"/>
        </w:rPr>
        <w:t xml:space="preserve">„Przestój Front-End Speech” </w:t>
      </w:r>
      <w:r>
        <w:rPr>
          <w:rFonts w:ascii="Calibri" w:hAnsi="Calibri" w:cs="Calibri"/>
          <w:bCs/>
        </w:rPr>
        <w:t>oznacza Przestój obowiązujący w przypadku Front-End Speech. Przestój Front-End Speech to okres czasu w minutach, w którym usługa Front-End Speech jest znacząco ograniczona lub niedostępna z powodu awarii, usterki lub innego zakłócenia usługi, za które odpowiada Microsoft. Front-End Speech jest uznawana za istotnie pogorszoną, jeśli usługa nie zwraca odpowiedzi w ciągu 2 minut przy zwykłych warunkach sieciowych.</w:t>
      </w:r>
    </w:p>
    <w:p w14:paraId="1450DF88" w14:textId="77777777" w:rsidR="00F44569" w:rsidRPr="00C130F5" w:rsidRDefault="00F44569" w:rsidP="00F44569">
      <w:pPr>
        <w:pStyle w:val="ProductList-Body"/>
        <w:rPr>
          <w:rFonts w:ascii="Calibri" w:hAnsi="Calibri" w:cs="Calibri"/>
          <w:b/>
          <w:color w:val="00188F"/>
        </w:rPr>
      </w:pPr>
      <w:r>
        <w:rPr>
          <w:rFonts w:ascii="Calibri" w:hAnsi="Calibri" w:cs="Calibri"/>
          <w:b/>
          <w:color w:val="00188F"/>
        </w:rPr>
        <w:t xml:space="preserve">Procent Czasu Sprawnego Działania: </w:t>
      </w:r>
      <w:r>
        <w:rPr>
          <w:rFonts w:ascii="Calibri" w:hAnsi="Calibri" w:cs="Calibri"/>
          <w:bCs/>
        </w:rPr>
        <w:t>Procent Czasu Sprawnego Działania dla Ambient Speech jest obliczany przy użyciu następującego wzoru:</w:t>
      </w:r>
    </w:p>
    <w:p w14:paraId="7D9C1495" w14:textId="77777777" w:rsidR="00F44569" w:rsidRDefault="00000000" w:rsidP="00F44569">
      <w:pPr>
        <w:spacing w:before="120" w:after="120" w:line="240" w:lineRule="auto"/>
        <w:jc w:val="both"/>
        <w:rPr>
          <w:rFonts w:ascii="Aptos" w:eastAsia="Aptos" w:hAnsi="Aptos" w:cs="Aptos"/>
          <w:color w:val="000000" w:themeColor="text1"/>
          <w:sz w:val="18"/>
          <w:szCs w:val="18"/>
        </w:rPr>
      </w:pPr>
      <m:oMathPara>
        <m:oMath>
          <m:f>
            <m:fPr>
              <m:ctrlPr>
                <w:rPr>
                  <w:rFonts w:ascii="Cambria Math" w:hAnsi="Cambria Math"/>
                  <w:sz w:val="18"/>
                  <w:szCs w:val="18"/>
                </w:rPr>
              </m:ctrlPr>
            </m:fPr>
            <m:num>
              <m:r>
                <w:rPr>
                  <w:rFonts w:ascii="Cambria Math" w:hAnsi="Cambria Math"/>
                  <w:sz w:val="18"/>
                  <w:szCs w:val="18"/>
                </w:rPr>
                <m:t>Minuty Użytkownika - Przestój Ambient Speech </m:t>
              </m:r>
            </m:num>
            <m:den>
              <m:r>
                <w:rPr>
                  <w:rFonts w:ascii="Cambria Math" w:hAnsi="Cambria Math"/>
                  <w:sz w:val="18"/>
                  <w:szCs w:val="18"/>
                </w:rPr>
                <m:t>Minuty Użytkownika</m:t>
              </m:r>
            </m:den>
          </m:f>
          <m:r>
            <w:rPr>
              <w:rFonts w:ascii="Cambria Math" w:hAnsi="Cambria Math"/>
              <w:sz w:val="18"/>
              <w:szCs w:val="18"/>
            </w:rPr>
            <m:t> x 100</m:t>
          </m:r>
        </m:oMath>
      </m:oMathPara>
    </w:p>
    <w:p w14:paraId="67CE9076" w14:textId="77777777" w:rsidR="00F44569" w:rsidRPr="005D7F76" w:rsidRDefault="00F44569" w:rsidP="00F44569">
      <w:pPr>
        <w:pStyle w:val="ProductList-Body"/>
        <w:rPr>
          <w:rFonts w:ascii="Calibri" w:hAnsi="Calibri" w:cs="Calibri"/>
          <w:bCs/>
        </w:rPr>
      </w:pPr>
      <w:r>
        <w:rPr>
          <w:rFonts w:ascii="Calibri" w:hAnsi="Calibri" w:cs="Calibri"/>
          <w:bCs/>
        </w:rPr>
        <w:t>gdzie Przestój Ambient Speech jest mierzony w minutach użytkownika; to znaczy, dla każdego Właściwego Okresu Przestój Ambient Speech jest sumą czasu trwania (w minutach) każdego Incydentu, który występuje w tym Właściwym Okresie, pomnożoną przez liczbę użytkowników, których dotyczy.</w:t>
      </w:r>
    </w:p>
    <w:p w14:paraId="7A88F447" w14:textId="77777777" w:rsidR="00F44569" w:rsidRPr="005D7F76" w:rsidRDefault="00F44569" w:rsidP="00F44569">
      <w:pPr>
        <w:tabs>
          <w:tab w:val="left" w:pos="360"/>
          <w:tab w:val="left" w:pos="720"/>
          <w:tab w:val="left" w:pos="1080"/>
        </w:tabs>
        <w:spacing w:after="0" w:line="240" w:lineRule="auto"/>
        <w:rPr>
          <w:rFonts w:ascii="Calibri" w:hAnsi="Calibri" w:cs="Calibri"/>
          <w:bCs/>
          <w:sz w:val="18"/>
        </w:rPr>
      </w:pPr>
    </w:p>
    <w:p w14:paraId="731039D5" w14:textId="77777777" w:rsidR="00F44569" w:rsidRPr="005D7F76" w:rsidRDefault="00F44569" w:rsidP="00F44569">
      <w:pPr>
        <w:pStyle w:val="ProductList-Body"/>
        <w:rPr>
          <w:rFonts w:ascii="Calibri" w:hAnsi="Calibri" w:cs="Calibri"/>
          <w:bCs/>
        </w:rPr>
      </w:pPr>
      <w:r>
        <w:rPr>
          <w:rFonts w:ascii="Calibri" w:hAnsi="Calibri" w:cs="Calibri"/>
          <w:bCs/>
        </w:rPr>
        <w:t>Procent Czasu Sprawnego Działania dla Front-End Speech jest obliczany przy użyciu następującego wzoru:</w:t>
      </w:r>
    </w:p>
    <w:p w14:paraId="50878BE6" w14:textId="77777777" w:rsidR="00F44569" w:rsidRDefault="00000000" w:rsidP="00F44569">
      <w:pPr>
        <w:spacing w:before="120" w:after="120" w:line="240" w:lineRule="auto"/>
        <w:jc w:val="both"/>
      </w:pPr>
      <m:oMathPara>
        <m:oMath>
          <m:f>
            <m:fPr>
              <m:ctrlPr>
                <w:rPr>
                  <w:rFonts w:ascii="Cambria Math" w:hAnsi="Cambria Math"/>
                  <w:sz w:val="18"/>
                  <w:szCs w:val="18"/>
                </w:rPr>
              </m:ctrlPr>
            </m:fPr>
            <m:num>
              <m:r>
                <w:rPr>
                  <w:rFonts w:ascii="Cambria Math" w:hAnsi="Cambria Math"/>
                  <w:sz w:val="18"/>
                  <w:szCs w:val="18"/>
                </w:rPr>
                <m:t>Minuty Użytkownika - Przestój Front End Speech</m:t>
              </m:r>
            </m:num>
            <m:den>
              <m:r>
                <w:rPr>
                  <w:rFonts w:ascii="Cambria Math" w:hAnsi="Cambria Math"/>
                  <w:sz w:val="18"/>
                  <w:szCs w:val="18"/>
                </w:rPr>
                <m:t>Minuty Użytkownika</m:t>
              </m:r>
            </m:den>
          </m:f>
          <m:r>
            <w:rPr>
              <w:rFonts w:ascii="Cambria Math" w:hAnsi="Cambria Math"/>
              <w:sz w:val="18"/>
              <w:szCs w:val="18"/>
            </w:rPr>
            <m:t> x 100</m:t>
          </m:r>
        </m:oMath>
      </m:oMathPara>
    </w:p>
    <w:p w14:paraId="7B0EE991" w14:textId="77777777" w:rsidR="00F44569" w:rsidRDefault="00F44569" w:rsidP="00F44569">
      <w:pPr>
        <w:pStyle w:val="ProductList-Body"/>
        <w:rPr>
          <w:rFonts w:ascii="Calibri" w:hAnsi="Calibri" w:cs="Calibri"/>
          <w:bCs/>
        </w:rPr>
      </w:pPr>
      <w:r>
        <w:rPr>
          <w:rFonts w:ascii="Calibri" w:hAnsi="Calibri" w:cs="Calibri"/>
          <w:bCs/>
        </w:rPr>
        <w:t>gdzie Przestój Front-End Speech jest mierzony w minutach użytkownika; to znaczy, dla każdego Właściwego Okresu Przestój Front-End Speech jest sumą czasu trwania (w minutach) każdego Incydentu, który występuje w tym Właściwym Okresie, pomnożoną przez liczbę użytkowników, których dotyczy.</w:t>
      </w:r>
    </w:p>
    <w:p w14:paraId="799CEAB3" w14:textId="77777777" w:rsidR="00D3765F" w:rsidRPr="005D7F76" w:rsidRDefault="00D3765F" w:rsidP="00F44569">
      <w:pPr>
        <w:pStyle w:val="ProductList-Body"/>
        <w:rPr>
          <w:rFonts w:ascii="Calibri" w:hAnsi="Calibri" w:cs="Calibri"/>
          <w:bCs/>
        </w:rPr>
      </w:pPr>
    </w:p>
    <w:p w14:paraId="1516B897" w14:textId="77777777" w:rsidR="00F44569" w:rsidRPr="000C6829" w:rsidRDefault="00F44569" w:rsidP="00F44569">
      <w:pPr>
        <w:shd w:val="clear" w:color="auto" w:fill="FFFFFF"/>
        <w:spacing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Środki na Używanie Usług Ambient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44569" w14:paraId="01937F7B"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23B43972" w14:textId="77777777" w:rsidR="00F44569" w:rsidRPr="00DA45B3" w:rsidRDefault="00F44569"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Procent Czasu Sprawnego Działania</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540C93EB" w14:textId="77777777" w:rsidR="00F44569" w:rsidRPr="00DA45B3" w:rsidRDefault="00F44569"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Środki na Używanie Usług</w:t>
            </w:r>
          </w:p>
        </w:tc>
      </w:tr>
      <w:tr w:rsidR="00F44569" w14:paraId="706533D2"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28E54BF" w14:textId="420F1855"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&lt; 99</w:t>
            </w:r>
            <w:r w:rsidR="000B734D">
              <w:rPr>
                <w:rFonts w:ascii="Calibri" w:eastAsia="Aptos" w:hAnsi="Calibri" w:cs="Calibri"/>
                <w:szCs w:val="16"/>
              </w:rPr>
              <w:t>,9</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955ECAA" w14:textId="77777777"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F44569" w14:paraId="237F0A69"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58203D6" w14:textId="784382B2"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&lt; 98</w:t>
            </w:r>
            <w:r w:rsidR="000B734D">
              <w:rPr>
                <w:rFonts w:ascii="Calibri" w:eastAsia="Aptos" w:hAnsi="Calibri" w:cs="Calibri"/>
                <w:szCs w:val="16"/>
              </w:rPr>
              <w:t>,5</w:t>
            </w:r>
            <w:r>
              <w:rPr>
                <w:rFonts w:ascii="Calibri" w:eastAsia="Aptos" w:hAnsi="Calibri" w:cs="Calibri"/>
                <w:szCs w:val="16"/>
              </w:rPr>
              <w:t>%</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DA0F06" w14:textId="77777777"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5BBF1E95" w14:textId="77777777" w:rsidR="00F44569" w:rsidRPr="000C6829" w:rsidRDefault="00F44569" w:rsidP="00F44569">
      <w:pPr>
        <w:shd w:val="clear" w:color="auto" w:fill="FFFFFF"/>
        <w:spacing w:before="120" w:after="0" w:line="240" w:lineRule="auto"/>
        <w:rPr>
          <w:rFonts w:ascii="Calibri" w:eastAsia="Times New Roman" w:hAnsi="Calibri" w:cs="Calibri"/>
          <w:b/>
          <w:color w:val="00188F"/>
          <w:sz w:val="18"/>
          <w:szCs w:val="18"/>
          <w:bdr w:val="none" w:sz="0" w:space="0" w:color="auto" w:frame="1"/>
        </w:rPr>
      </w:pPr>
      <w:r>
        <w:rPr>
          <w:rFonts w:ascii="Calibri" w:eastAsia="Times New Roman" w:hAnsi="Calibri" w:cs="Calibri"/>
          <w:b/>
          <w:color w:val="00188F"/>
          <w:sz w:val="18"/>
          <w:szCs w:val="18"/>
          <w:bdr w:val="none" w:sz="0" w:space="0" w:color="auto" w:frame="1"/>
        </w:rPr>
        <w:t>Środki na Używanie Usług Front-End Speech:</w:t>
      </w:r>
    </w:p>
    <w:tbl>
      <w:tblPr>
        <w:tblW w:w="10800" w:type="dxa"/>
        <w:tblInd w:w="-1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400"/>
        <w:gridCol w:w="5400"/>
      </w:tblGrid>
      <w:tr w:rsidR="00F44569" w14:paraId="1B4BFEC9" w14:textId="77777777" w:rsidTr="00CD184E">
        <w:trPr>
          <w:trHeight w:val="29"/>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4E051C0F" w14:textId="77777777" w:rsidR="00F44569" w:rsidRPr="00FB7EE5" w:rsidRDefault="00F44569"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Procent Czasu Sprawnego Działania</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2C6"/>
            <w:tcMar>
              <w:left w:w="105" w:type="dxa"/>
              <w:right w:w="105" w:type="dxa"/>
            </w:tcMar>
          </w:tcPr>
          <w:p w14:paraId="351254CD" w14:textId="77777777" w:rsidR="00F44569" w:rsidRPr="00FB7EE5" w:rsidRDefault="00F44569" w:rsidP="00CD184E">
            <w:pPr>
              <w:pStyle w:val="ProductList-OfferingBody"/>
              <w:jc w:val="center"/>
              <w:rPr>
                <w:rFonts w:ascii="Calibri" w:eastAsia="Aptos" w:hAnsi="Calibri" w:cs="Calibri"/>
                <w:color w:val="FFFFFF" w:themeColor="background1"/>
                <w:szCs w:val="16"/>
              </w:rPr>
            </w:pPr>
            <w:r>
              <w:rPr>
                <w:rFonts w:ascii="Calibri" w:eastAsia="Aptos" w:hAnsi="Calibri" w:cs="Calibri"/>
                <w:color w:val="FFFFFF" w:themeColor="background1"/>
                <w:szCs w:val="16"/>
              </w:rPr>
              <w:t>Środki na Używanie Usług</w:t>
            </w:r>
          </w:p>
        </w:tc>
      </w:tr>
      <w:tr w:rsidR="00F44569" w14:paraId="686DCB7E"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D7A3558" w14:textId="77777777"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&lt; 99,9%</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45D4004" w14:textId="77777777"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5%</w:t>
            </w:r>
          </w:p>
        </w:tc>
      </w:tr>
      <w:tr w:rsidR="00F44569" w14:paraId="087E8590" w14:textId="77777777" w:rsidTr="00CD184E">
        <w:trPr>
          <w:trHeight w:val="245"/>
        </w:trPr>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7248C25" w14:textId="77777777"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&lt; 98,5%</w:t>
            </w:r>
          </w:p>
        </w:tc>
        <w:tc>
          <w:tcPr>
            <w:tcW w:w="540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0214C72" w14:textId="77777777" w:rsidR="00F44569" w:rsidRPr="00FB7EE5" w:rsidRDefault="00F44569" w:rsidP="00CD184E">
            <w:pPr>
              <w:pStyle w:val="ProductList-OfferingBody"/>
              <w:jc w:val="center"/>
              <w:rPr>
                <w:rFonts w:ascii="Calibri" w:eastAsia="Aptos" w:hAnsi="Calibri" w:cs="Calibri"/>
                <w:szCs w:val="16"/>
              </w:rPr>
            </w:pPr>
            <w:r>
              <w:rPr>
                <w:rFonts w:ascii="Calibri" w:eastAsia="Aptos" w:hAnsi="Calibri" w:cs="Calibri"/>
                <w:szCs w:val="16"/>
              </w:rPr>
              <w:t>10%</w:t>
            </w:r>
          </w:p>
        </w:tc>
      </w:tr>
    </w:tbl>
    <w:p w14:paraId="78D6981C" w14:textId="77777777" w:rsidR="00F44569" w:rsidRPr="000C6829" w:rsidRDefault="00F44569" w:rsidP="00F44569">
      <w:pPr>
        <w:pStyle w:val="ProductList-Body"/>
        <w:spacing w:before="120"/>
        <w:rPr>
          <w:rFonts w:ascii="Calibri" w:hAnsi="Calibri" w:cs="Calibri"/>
          <w:b/>
          <w:color w:val="00188F"/>
        </w:rPr>
      </w:pPr>
      <w:r>
        <w:rPr>
          <w:rFonts w:ascii="Calibri" w:hAnsi="Calibri" w:cs="Calibri"/>
          <w:b/>
          <w:color w:val="00188F"/>
        </w:rPr>
        <w:t xml:space="preserve">Dodatkowe postanowienia: </w:t>
      </w:r>
    </w:p>
    <w:p w14:paraId="5B967038" w14:textId="77777777" w:rsidR="00F44569" w:rsidRPr="000C6829" w:rsidRDefault="00F44569" w:rsidP="00F44569">
      <w:pPr>
        <w:spacing w:after="0" w:line="240" w:lineRule="auto"/>
        <w:rPr>
          <w:rFonts w:ascii="Calibri" w:hAnsi="Calibri" w:cs="Calibri"/>
          <w:sz w:val="18"/>
          <w:szCs w:val="18"/>
        </w:rPr>
      </w:pPr>
      <w:r>
        <w:rPr>
          <w:rFonts w:ascii="Calibri" w:hAnsi="Calibri" w:cs="Calibri"/>
          <w:sz w:val="18"/>
          <w:szCs w:val="18"/>
        </w:rPr>
        <w:t xml:space="preserve">We Właściwym Okresie przysługuje tylko jeden Środek na Używanie Usług dla Dragon Copilot. Jeśli Klientowi przysługują zarówno Środki na Używanie Usług dla Front-End Speech Service oraz Środki na Używanie Usług dla Ambient Speech, Klient może odebrać Środki na Używanie Usług o najwyższej wartości. </w:t>
      </w:r>
    </w:p>
    <w:p w14:paraId="68C745C8" w14:textId="77777777" w:rsidR="00757B04" w:rsidRPr="00EF7CF9" w:rsidRDefault="00757B04" w:rsidP="00757B04">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A85610C" w14:textId="23A20F2B" w:rsidR="005C2F5C" w:rsidRPr="00EF7CF9" w:rsidRDefault="005C2F5C" w:rsidP="00DC0631">
      <w:pPr>
        <w:pStyle w:val="ProductList-Offering2Heading"/>
        <w:tabs>
          <w:tab w:val="clear" w:pos="360"/>
          <w:tab w:val="clear" w:pos="720"/>
          <w:tab w:val="clear" w:pos="1080"/>
        </w:tabs>
        <w:outlineLvl w:val="2"/>
      </w:pPr>
      <w:bookmarkStart w:id="468" w:name="_Toc239175096"/>
      <w:r>
        <w:t>Microsoft Power Automate</w:t>
      </w:r>
      <w:bookmarkEnd w:id="468"/>
    </w:p>
    <w:p w14:paraId="49E8FEB2" w14:textId="1CA232CB" w:rsidR="005C2F5C" w:rsidRPr="00EF7CF9" w:rsidRDefault="005C2F5C" w:rsidP="002A586E">
      <w:pPr>
        <w:pStyle w:val="ProductList-Body"/>
      </w:pPr>
      <w:r>
        <w:rPr>
          <w:b/>
          <w:color w:val="00188F"/>
        </w:rPr>
        <w:t>Przestój</w:t>
      </w:r>
      <w:r w:rsidRPr="0034704E">
        <w:rPr>
          <w:b/>
          <w:color w:val="00188F"/>
        </w:rPr>
        <w:t>:</w:t>
      </w:r>
      <w:r>
        <w:t xml:space="preserve"> </w:t>
      </w:r>
      <w:r>
        <w:rPr>
          <w:szCs w:val="18"/>
        </w:rPr>
        <w:t>Dowolny okres, w którym przepływy używane przez użytkowników nie mają łączności z bramą internetową Microsoft.</w:t>
      </w:r>
    </w:p>
    <w:p w14:paraId="666A64CA" w14:textId="402497D7" w:rsidR="005C2F5C" w:rsidRPr="00EF7CF9"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735410C1" w14:textId="7C3E90FB" w:rsidR="005C2F5C"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 miesiącu - Przestój</m:t>
              </m:r>
            </m:num>
            <m:den>
              <m:r>
                <m:rPr>
                  <m:nor/>
                </m:rPr>
                <w:rPr>
                  <w:rFonts w:ascii="Cambria Math" w:hAnsi="Cambria Math" w:cs="Calibri"/>
                  <w:i/>
                  <w:sz w:val="18"/>
                  <w:szCs w:val="18"/>
                </w:rPr>
                <m:t>Łączna liczba minut w miesiącu</m:t>
              </m:r>
            </m:den>
          </m:f>
          <m:r>
            <w:rPr>
              <w:rFonts w:ascii="Cambria Math" w:hAnsi="Cambria Math" w:cs="Calibri"/>
              <w:sz w:val="18"/>
              <w:szCs w:val="18"/>
            </w:rPr>
            <m:t xml:space="preserve"> x 100</m:t>
          </m:r>
        </m:oMath>
      </m:oMathPara>
    </w:p>
    <w:p w14:paraId="7B13A9E1" w14:textId="32A264BA" w:rsidR="005C2F5C"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4B98D868" w14:textId="77777777" w:rsidR="00D3765F" w:rsidRDefault="00D3765F" w:rsidP="002A586E">
      <w:pPr>
        <w:pStyle w:val="ProductList-Body"/>
      </w:pPr>
    </w:p>
    <w:p w14:paraId="28235451" w14:textId="77777777" w:rsidR="005C2F5C" w:rsidRPr="00EF7CF9" w:rsidRDefault="005C2F5C"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54A3A4A7" w14:textId="77777777" w:rsidTr="00170FD9">
        <w:trPr>
          <w:tblHeader/>
        </w:trPr>
        <w:tc>
          <w:tcPr>
            <w:tcW w:w="5400" w:type="dxa"/>
            <w:shd w:val="clear" w:color="auto" w:fill="0072C6"/>
          </w:tcPr>
          <w:p w14:paraId="6E66690F" w14:textId="1AFF0911" w:rsidR="005C2F5C"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9D96925" w14:textId="77777777" w:rsidR="005C2F5C" w:rsidRPr="00EF7CF9" w:rsidRDefault="005C2F5C" w:rsidP="002A586E">
            <w:pPr>
              <w:pStyle w:val="ProductList-OfferingBody"/>
              <w:jc w:val="center"/>
              <w:rPr>
                <w:color w:val="FFFFFF" w:themeColor="background1"/>
              </w:rPr>
            </w:pPr>
            <w:r>
              <w:rPr>
                <w:color w:val="FFFFFF" w:themeColor="background1"/>
              </w:rPr>
              <w:t>Środki Serwisowe na Używanie Usług</w:t>
            </w:r>
          </w:p>
        </w:tc>
      </w:tr>
      <w:tr w:rsidR="005C2F5C" w:rsidRPr="00B44CF9" w14:paraId="23AD7662" w14:textId="77777777" w:rsidTr="00170FD9">
        <w:tc>
          <w:tcPr>
            <w:tcW w:w="5400" w:type="dxa"/>
          </w:tcPr>
          <w:p w14:paraId="24F0904F" w14:textId="77777777" w:rsidR="005C2F5C" w:rsidRPr="00EF7CF9" w:rsidRDefault="005C2F5C" w:rsidP="002A586E">
            <w:pPr>
              <w:pStyle w:val="ProductList-OfferingBody"/>
              <w:jc w:val="center"/>
            </w:pPr>
            <w:r>
              <w:t>&lt; 99,9%</w:t>
            </w:r>
          </w:p>
        </w:tc>
        <w:tc>
          <w:tcPr>
            <w:tcW w:w="5400" w:type="dxa"/>
          </w:tcPr>
          <w:p w14:paraId="3BDCE0EB" w14:textId="77777777" w:rsidR="005C2F5C" w:rsidRPr="00EF7CF9" w:rsidRDefault="005C2F5C" w:rsidP="002A586E">
            <w:pPr>
              <w:pStyle w:val="ProductList-OfferingBody"/>
              <w:jc w:val="center"/>
            </w:pPr>
            <w:r>
              <w:t>25%</w:t>
            </w:r>
          </w:p>
        </w:tc>
      </w:tr>
      <w:tr w:rsidR="005C2F5C" w:rsidRPr="00B44CF9" w14:paraId="44163FA5" w14:textId="77777777" w:rsidTr="00170FD9">
        <w:tc>
          <w:tcPr>
            <w:tcW w:w="5400" w:type="dxa"/>
          </w:tcPr>
          <w:p w14:paraId="50A34D5D" w14:textId="77777777" w:rsidR="005C2F5C" w:rsidRPr="00EF7CF9" w:rsidRDefault="005C2F5C" w:rsidP="002A586E">
            <w:pPr>
              <w:pStyle w:val="ProductList-OfferingBody"/>
              <w:jc w:val="center"/>
            </w:pPr>
            <w:r>
              <w:t>&lt; 99%</w:t>
            </w:r>
          </w:p>
        </w:tc>
        <w:tc>
          <w:tcPr>
            <w:tcW w:w="5400" w:type="dxa"/>
          </w:tcPr>
          <w:p w14:paraId="23DBD8BB" w14:textId="77777777" w:rsidR="005C2F5C" w:rsidRPr="00EF7CF9" w:rsidRDefault="005C2F5C" w:rsidP="002A586E">
            <w:pPr>
              <w:pStyle w:val="ProductList-OfferingBody"/>
              <w:jc w:val="center"/>
            </w:pPr>
            <w:r>
              <w:t>50%</w:t>
            </w:r>
          </w:p>
        </w:tc>
      </w:tr>
      <w:tr w:rsidR="005C2F5C" w:rsidRPr="00B44CF9" w14:paraId="1964C12E" w14:textId="77777777" w:rsidTr="00170FD9">
        <w:tc>
          <w:tcPr>
            <w:tcW w:w="5400" w:type="dxa"/>
          </w:tcPr>
          <w:p w14:paraId="2494823F" w14:textId="77777777" w:rsidR="005C2F5C" w:rsidRPr="00EF7CF9" w:rsidRDefault="005C2F5C" w:rsidP="002A586E">
            <w:pPr>
              <w:pStyle w:val="ProductList-OfferingBody"/>
              <w:jc w:val="center"/>
            </w:pPr>
            <w:r>
              <w:t>&lt; 95%</w:t>
            </w:r>
          </w:p>
        </w:tc>
        <w:tc>
          <w:tcPr>
            <w:tcW w:w="5400" w:type="dxa"/>
          </w:tcPr>
          <w:p w14:paraId="7055748A" w14:textId="77777777" w:rsidR="005C2F5C" w:rsidRPr="00EF7CF9" w:rsidRDefault="005C2F5C" w:rsidP="002A586E">
            <w:pPr>
              <w:pStyle w:val="ProductList-OfferingBody"/>
              <w:jc w:val="center"/>
            </w:pPr>
            <w:r>
              <w:t>100%</w:t>
            </w:r>
          </w:p>
        </w:tc>
      </w:tr>
    </w:tbl>
    <w:p w14:paraId="7935B1B4" w14:textId="4B223AD5"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1C66C93A" w14:textId="0705762F" w:rsidR="00BF343A" w:rsidRPr="00EF7CF9" w:rsidRDefault="00BF343A" w:rsidP="008F1AAC">
      <w:pPr>
        <w:pStyle w:val="ProductList-Offering2Heading"/>
        <w:keepNext/>
        <w:tabs>
          <w:tab w:val="clear" w:pos="360"/>
          <w:tab w:val="clear" w:pos="720"/>
          <w:tab w:val="clear" w:pos="1080"/>
        </w:tabs>
        <w:outlineLvl w:val="2"/>
      </w:pPr>
      <w:bookmarkStart w:id="469" w:name="_Toc239175097"/>
      <w:r>
        <w:t xml:space="preserve">Microsoft Power </w:t>
      </w:r>
      <w:r w:rsidR="00FB394E">
        <w:t>Pages</w:t>
      </w:r>
      <w:bookmarkEnd w:id="469"/>
    </w:p>
    <w:p w14:paraId="30795420" w14:textId="77777777" w:rsidR="00FB394E" w:rsidRPr="007D3F9A" w:rsidRDefault="00FB394E" w:rsidP="00FB394E">
      <w:pPr>
        <w:shd w:val="clear" w:color="auto" w:fill="FFFFFF"/>
        <w:spacing w:after="0" w:line="240" w:lineRule="auto"/>
        <w:rPr>
          <w:rFonts w:eastAsia="Times New Roman" w:cstheme="minorHAnsi"/>
          <w:color w:val="242424"/>
          <w:sz w:val="18"/>
          <w:szCs w:val="18"/>
        </w:rPr>
      </w:pPr>
      <w:r w:rsidRPr="007D3F9A">
        <w:rPr>
          <w:rFonts w:eastAsia="Times New Roman" w:cstheme="minorHAnsi"/>
          <w:color w:val="242424"/>
          <w:sz w:val="18"/>
          <w:szCs w:val="18"/>
          <w:bdr w:val="none" w:sz="0" w:space="0" w:color="auto" w:frame="1"/>
        </w:rPr>
        <w:t>Niniejsza umowa SLA ma zastosowanie do witryny internetowej użytkownika końcowego, która jest publikowana przy wykorzystaniu Power Pages, jeśli spełnione są następujące kryteria: witryna musi być w trybie produkcyjnym, mieć ustawioną widoczność witryny jako publiczną i być powiązana ze środowiskiem produkcyjnym.</w:t>
      </w:r>
    </w:p>
    <w:p w14:paraId="399D10E3" w14:textId="77777777" w:rsidR="00FB394E" w:rsidRPr="007D3F9A" w:rsidRDefault="00FB394E" w:rsidP="00FB394E">
      <w:pPr>
        <w:shd w:val="clear" w:color="auto" w:fill="FFFFFF"/>
        <w:spacing w:after="0" w:line="240" w:lineRule="auto"/>
        <w:rPr>
          <w:rFonts w:eastAsia="Times New Roman" w:cstheme="minorHAnsi"/>
          <w:color w:val="242424"/>
          <w:sz w:val="18"/>
          <w:szCs w:val="18"/>
        </w:rPr>
      </w:pPr>
      <w:r w:rsidRPr="007D3F9A">
        <w:rPr>
          <w:rFonts w:eastAsia="Times New Roman" w:cstheme="minorHAnsi"/>
          <w:b/>
          <w:bCs/>
          <w:color w:val="00188F"/>
          <w:sz w:val="18"/>
          <w:szCs w:val="18"/>
          <w:bdr w:val="none" w:sz="0" w:space="0" w:color="auto" w:frame="1"/>
        </w:rPr>
        <w:t>Dodatkowe definicje:</w:t>
      </w:r>
    </w:p>
    <w:p w14:paraId="599DB652" w14:textId="77777777" w:rsidR="00FB394E" w:rsidRPr="007D3F9A" w:rsidRDefault="00FB394E" w:rsidP="00FB394E">
      <w:pPr>
        <w:shd w:val="clear" w:color="auto" w:fill="FFFFFF"/>
        <w:spacing w:after="0" w:line="240" w:lineRule="auto"/>
        <w:rPr>
          <w:rFonts w:eastAsia="Times New Roman" w:cstheme="minorHAnsi"/>
          <w:color w:val="242424"/>
          <w:sz w:val="18"/>
          <w:szCs w:val="18"/>
        </w:rPr>
      </w:pPr>
      <w:r w:rsidRPr="007D3F9A">
        <w:rPr>
          <w:rFonts w:eastAsia="Times New Roman" w:cstheme="minorHAnsi"/>
          <w:b/>
          <w:bCs/>
          <w:color w:val="00188F"/>
          <w:sz w:val="18"/>
          <w:szCs w:val="18"/>
          <w:bdr w:val="none" w:sz="0" w:space="0" w:color="auto" w:frame="1"/>
        </w:rPr>
        <w:t>„Łączna Liczba Żądań Witryny”</w:t>
      </w:r>
      <w:r w:rsidRPr="007D3F9A">
        <w:rPr>
          <w:rFonts w:eastAsia="Times New Roman" w:cstheme="minorHAnsi"/>
          <w:color w:val="000000"/>
          <w:sz w:val="18"/>
          <w:szCs w:val="18"/>
          <w:bdr w:val="none" w:sz="0" w:space="0" w:color="auto" w:frame="1"/>
        </w:rPr>
        <w:t xml:space="preserve"> to łączna liczba żądań witryny wysłanych przez upoważnionych (uwierzytelnionych lub anonimowych) użytkowników końcowych do witryny Power Pages we Właściwym Okresie.</w:t>
      </w:r>
    </w:p>
    <w:p w14:paraId="12684A2C" w14:textId="77777777" w:rsidR="00FB394E" w:rsidRPr="007D3F9A" w:rsidRDefault="00FB394E" w:rsidP="00FB394E">
      <w:pPr>
        <w:shd w:val="clear" w:color="auto" w:fill="FFFFFF"/>
        <w:spacing w:after="0" w:line="240" w:lineRule="auto"/>
        <w:rPr>
          <w:rFonts w:eastAsia="Times New Roman" w:cstheme="minorHAnsi"/>
          <w:color w:val="242424"/>
          <w:sz w:val="18"/>
          <w:szCs w:val="18"/>
        </w:rPr>
      </w:pPr>
      <w:r w:rsidRPr="007D3F9A">
        <w:rPr>
          <w:rFonts w:eastAsia="Times New Roman" w:cstheme="minorHAnsi"/>
          <w:b/>
          <w:bCs/>
          <w:color w:val="00188F"/>
          <w:sz w:val="18"/>
          <w:szCs w:val="18"/>
          <w:bdr w:val="none" w:sz="0" w:space="0" w:color="auto" w:frame="1"/>
        </w:rPr>
        <w:t>„Żądania Witryny Zakończone Niepowodzeniem”</w:t>
      </w:r>
      <w:r w:rsidRPr="007D3F9A">
        <w:rPr>
          <w:rFonts w:eastAsia="Times New Roman" w:cstheme="minorHAnsi"/>
          <w:color w:val="000000"/>
          <w:sz w:val="18"/>
          <w:szCs w:val="18"/>
          <w:bdr w:val="none" w:sz="0" w:space="0" w:color="auto" w:frame="1"/>
        </w:rPr>
        <w:t xml:space="preserve"> to łączna liczba żądań w ramach Łącznej Liczby Żądań Witryny, dla których Power Pages wysyła odpowiedź o błędzie z powodu błędu systemowego Power Pages. Błędy użytkownika, problemy wynikające z nieodpowiednich licencji lub błędy wynikające z konfiguracji lub dostosowania klienta nie są uwzględniane w Żądaniach Witryny Zakończonych Niepowodzeniem.</w:t>
      </w:r>
    </w:p>
    <w:p w14:paraId="799E18D1" w14:textId="77777777" w:rsidR="00FB394E" w:rsidRPr="007D3F9A" w:rsidRDefault="00FB394E" w:rsidP="00FB394E">
      <w:pPr>
        <w:shd w:val="clear" w:color="auto" w:fill="FFFFFF"/>
        <w:spacing w:after="0" w:line="240" w:lineRule="auto"/>
        <w:rPr>
          <w:rFonts w:eastAsia="Times New Roman" w:cstheme="minorHAnsi"/>
          <w:color w:val="242424"/>
          <w:sz w:val="18"/>
          <w:szCs w:val="18"/>
          <w:bdr w:val="none" w:sz="0" w:space="0" w:color="auto" w:frame="1"/>
        </w:rPr>
      </w:pPr>
      <w:r w:rsidRPr="007D3F9A">
        <w:rPr>
          <w:rFonts w:eastAsia="Times New Roman" w:cstheme="minorHAnsi"/>
          <w:b/>
          <w:bCs/>
          <w:color w:val="00188F"/>
          <w:sz w:val="18"/>
          <w:szCs w:val="18"/>
          <w:bdr w:val="none" w:sz="0" w:space="0" w:color="auto" w:frame="1"/>
        </w:rPr>
        <w:t>Procent Czasu Sprawnego Działania:</w:t>
      </w:r>
      <w:r w:rsidRPr="007D3F9A">
        <w:rPr>
          <w:rFonts w:eastAsia="Times New Roman" w:cstheme="minorHAnsi"/>
          <w:color w:val="242424"/>
          <w:sz w:val="18"/>
          <w:szCs w:val="18"/>
          <w:bdr w:val="none" w:sz="0" w:space="0" w:color="auto" w:frame="1"/>
        </w:rPr>
        <w:t xml:space="preserve"> Procent Czasu Sprawnego Działania jest obliczany przy użyciu następującego wzoru:</w:t>
      </w:r>
    </w:p>
    <w:p w14:paraId="2A19925B" w14:textId="77777777" w:rsidR="00FB394E" w:rsidRPr="00F8560A" w:rsidRDefault="00000000" w:rsidP="00BD59B3">
      <w:pPr>
        <w:shd w:val="clear" w:color="auto" w:fill="FFFFFF"/>
        <w:spacing w:before="120" w:after="0" w:line="240" w:lineRule="auto"/>
        <w:rPr>
          <w:rFonts w:ascii="Calibri" w:eastAsia="Times New Roman" w:hAnsi="Calibri" w:cs="Calibri"/>
          <w:color w:val="242424"/>
        </w:rPr>
      </w:pPr>
      <m:oMathPara>
        <m:oMath>
          <m:f>
            <m:fPr>
              <m:ctrlPr>
                <w:rPr>
                  <w:rFonts w:ascii="Cambria Math" w:eastAsia="Calibri" w:hAnsi="Cambria Math" w:cs="Calibri"/>
                  <w:i/>
                  <w:sz w:val="18"/>
                  <w:szCs w:val="18"/>
                </w:rPr>
              </m:ctrlPr>
            </m:fPr>
            <m:num>
              <m:r>
                <m:rPr>
                  <m:nor/>
                </m:rPr>
                <w:rPr>
                  <w:rFonts w:ascii="Cambria Math" w:eastAsia="Calibri" w:hAnsi="Cambria Math" w:cs="Calibri"/>
                  <w:i/>
                  <w:iCs/>
                  <w:sz w:val="18"/>
                  <w:szCs w:val="18"/>
                </w:rPr>
                <m:t>Łączna Liczba Żądań Witryny - Żądania Witryny Zakończone Niepowodzeniem</m:t>
              </m:r>
            </m:num>
            <m:den>
              <m:r>
                <m:rPr>
                  <m:nor/>
                </m:rPr>
                <w:rPr>
                  <w:rFonts w:ascii="Cambria Math" w:eastAsia="Calibri" w:hAnsi="Cambria Math" w:cs="Calibri"/>
                  <w:i/>
                  <w:iCs/>
                  <w:sz w:val="18"/>
                  <w:szCs w:val="18"/>
                </w:rPr>
                <m:t>Łączna Liczba Żądań Witryny</m:t>
              </m:r>
            </m:den>
          </m:f>
          <m:r>
            <w:rPr>
              <w:rFonts w:ascii="Cambria Math" w:eastAsia="Calibri" w:hAnsi="Cambria Math" w:cs="Calibri"/>
              <w:sz w:val="18"/>
              <w:szCs w:val="18"/>
            </w:rPr>
            <m:t xml:space="preserve"> x 100</m:t>
          </m:r>
        </m:oMath>
      </m:oMathPara>
    </w:p>
    <w:p w14:paraId="3DC3A65C" w14:textId="64D8DAAA" w:rsidR="00FB394E" w:rsidRPr="007D3F9A" w:rsidRDefault="00FB394E" w:rsidP="00FB394E">
      <w:pPr>
        <w:shd w:val="clear" w:color="auto" w:fill="FFFFFF"/>
        <w:spacing w:after="0" w:line="240" w:lineRule="auto"/>
        <w:rPr>
          <w:rFonts w:eastAsia="Times New Roman" w:cstheme="minorHAnsi"/>
          <w:color w:val="242424"/>
          <w:sz w:val="18"/>
          <w:szCs w:val="18"/>
        </w:rPr>
      </w:pPr>
      <w:r w:rsidRPr="007D3F9A">
        <w:rPr>
          <w:rFonts w:eastAsia="Times New Roman" w:cstheme="minorHAnsi"/>
          <w:b/>
          <w:bCs/>
          <w:color w:val="00188F"/>
          <w:sz w:val="18"/>
          <w:szCs w:val="18"/>
          <w:bdr w:val="none" w:sz="0" w:space="0" w:color="auto" w:frame="1"/>
        </w:rPr>
        <w:t>Środki na Używanie Usług:</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0"/>
        <w:gridCol w:w="5400"/>
      </w:tblGrid>
      <w:tr w:rsidR="00FB394E" w:rsidRPr="00F8560A" w14:paraId="7E568C4C" w14:textId="77777777" w:rsidTr="00EA2F1A">
        <w:trPr>
          <w:tblHeader/>
        </w:trPr>
        <w:tc>
          <w:tcPr>
            <w:tcW w:w="5400" w:type="dxa"/>
            <w:shd w:val="clear" w:color="auto" w:fill="0072C6"/>
          </w:tcPr>
          <w:p w14:paraId="15D1E041" w14:textId="77777777" w:rsidR="00FB394E" w:rsidRPr="007D3F9A" w:rsidRDefault="00FB394E"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7D3F9A">
              <w:rPr>
                <w:rFonts w:eastAsia="Calibri" w:cstheme="minorHAnsi"/>
                <w:color w:val="FFFFFF"/>
                <w:sz w:val="16"/>
              </w:rPr>
              <w:t>Procent Czasu Sprawnego Działania</w:t>
            </w:r>
          </w:p>
        </w:tc>
        <w:tc>
          <w:tcPr>
            <w:tcW w:w="5400" w:type="dxa"/>
            <w:shd w:val="clear" w:color="auto" w:fill="0072C6"/>
          </w:tcPr>
          <w:p w14:paraId="2F94E65F" w14:textId="77777777" w:rsidR="00FB394E" w:rsidRPr="007D3F9A" w:rsidRDefault="00FB394E" w:rsidP="00EA2F1A">
            <w:pPr>
              <w:tabs>
                <w:tab w:val="left" w:pos="360"/>
                <w:tab w:val="left" w:pos="720"/>
                <w:tab w:val="left" w:pos="1080"/>
              </w:tabs>
              <w:spacing w:before="20" w:after="20" w:line="240" w:lineRule="auto"/>
              <w:ind w:left="-14" w:right="-101"/>
              <w:jc w:val="center"/>
              <w:rPr>
                <w:rFonts w:eastAsia="Calibri" w:cstheme="minorHAnsi"/>
                <w:color w:val="FFFFFF"/>
                <w:sz w:val="16"/>
              </w:rPr>
            </w:pPr>
            <w:r w:rsidRPr="007D3F9A">
              <w:rPr>
                <w:rFonts w:eastAsia="Calibri" w:cstheme="minorHAnsi"/>
                <w:color w:val="FFFFFF"/>
                <w:sz w:val="16"/>
              </w:rPr>
              <w:t>Środki na Używanie Usług</w:t>
            </w:r>
          </w:p>
        </w:tc>
      </w:tr>
      <w:tr w:rsidR="00FB394E" w:rsidRPr="00F8560A" w14:paraId="09C51025" w14:textId="77777777" w:rsidTr="00EA2F1A">
        <w:tc>
          <w:tcPr>
            <w:tcW w:w="5400" w:type="dxa"/>
          </w:tcPr>
          <w:p w14:paraId="59512BE1" w14:textId="77777777" w:rsidR="00FB394E" w:rsidRPr="007D3F9A" w:rsidRDefault="00FB394E" w:rsidP="00EA2F1A">
            <w:pPr>
              <w:tabs>
                <w:tab w:val="left" w:pos="360"/>
                <w:tab w:val="left" w:pos="720"/>
                <w:tab w:val="left" w:pos="1080"/>
              </w:tabs>
              <w:spacing w:before="20" w:after="20" w:line="240" w:lineRule="auto"/>
              <w:ind w:left="-14" w:right="-101"/>
              <w:jc w:val="center"/>
              <w:rPr>
                <w:rFonts w:eastAsia="Calibri" w:cstheme="minorHAnsi"/>
                <w:sz w:val="16"/>
              </w:rPr>
            </w:pPr>
            <w:r w:rsidRPr="007D3F9A">
              <w:rPr>
                <w:rFonts w:eastAsia="Calibri" w:cstheme="minorHAnsi"/>
                <w:sz w:val="16"/>
              </w:rPr>
              <w:t>&lt; 99,9%</w:t>
            </w:r>
          </w:p>
        </w:tc>
        <w:tc>
          <w:tcPr>
            <w:tcW w:w="5400" w:type="dxa"/>
          </w:tcPr>
          <w:p w14:paraId="1A0D42B6" w14:textId="77777777" w:rsidR="00FB394E" w:rsidRPr="007D3F9A" w:rsidRDefault="00FB394E" w:rsidP="00EA2F1A">
            <w:pPr>
              <w:tabs>
                <w:tab w:val="left" w:pos="360"/>
                <w:tab w:val="left" w:pos="720"/>
                <w:tab w:val="left" w:pos="1080"/>
              </w:tabs>
              <w:spacing w:before="20" w:after="20" w:line="240" w:lineRule="auto"/>
              <w:ind w:left="-14" w:right="-101"/>
              <w:jc w:val="center"/>
              <w:rPr>
                <w:rFonts w:eastAsia="Calibri" w:cstheme="minorHAnsi"/>
                <w:sz w:val="16"/>
              </w:rPr>
            </w:pPr>
            <w:r w:rsidRPr="007D3F9A">
              <w:rPr>
                <w:rFonts w:eastAsia="Calibri" w:cstheme="minorHAnsi"/>
                <w:sz w:val="16"/>
              </w:rPr>
              <w:t>10%</w:t>
            </w:r>
          </w:p>
        </w:tc>
      </w:tr>
    </w:tbl>
    <w:p w14:paraId="1521544B" w14:textId="77777777" w:rsidR="007D3F9A" w:rsidRPr="00EF7CF9" w:rsidRDefault="007D3F9A" w:rsidP="007D3F9A">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0DA652E1" w14:textId="4B39F505" w:rsidR="00040759" w:rsidRPr="00EF7CF9" w:rsidRDefault="00040759" w:rsidP="00CE7536">
      <w:pPr>
        <w:pStyle w:val="ProductList-Offering2Heading"/>
        <w:keepNext/>
        <w:tabs>
          <w:tab w:val="clear" w:pos="360"/>
          <w:tab w:val="clear" w:pos="720"/>
          <w:tab w:val="clear" w:pos="1080"/>
        </w:tabs>
        <w:outlineLvl w:val="2"/>
      </w:pPr>
      <w:bookmarkStart w:id="470" w:name="_Toc239175098"/>
      <w:r>
        <w:t>Microsoft Intune</w:t>
      </w:r>
      <w:bookmarkEnd w:id="464"/>
      <w:bookmarkEnd w:id="470"/>
    </w:p>
    <w:p w14:paraId="40C62B19" w14:textId="77445B94" w:rsidR="00040759" w:rsidRPr="00EF7CF9" w:rsidRDefault="00040759" w:rsidP="002A586E">
      <w:pPr>
        <w:pStyle w:val="ProductList-Body"/>
      </w:pPr>
      <w:r>
        <w:rPr>
          <w:b/>
          <w:color w:val="00188F"/>
        </w:rPr>
        <w:t>Przestój</w:t>
      </w:r>
      <w:r w:rsidRPr="0034704E">
        <w:rPr>
          <w:b/>
          <w:color w:val="00188F"/>
        </w:rPr>
        <w:t>:</w:t>
      </w:r>
      <w:r>
        <w:t xml:space="preserve"> </w:t>
      </w:r>
      <w:r>
        <w:rPr>
          <w:szCs w:val="18"/>
        </w:rPr>
        <w:t>Dowolny okres, w którym administrator IT Klienta lub użytkownicy upoważnieni przez Klienta nie mogą się zalogować przy użyciu prawidłowych danych logowania. Planowy Przestój nie przekracza 10 godzin w roku kalendarzowym.</w:t>
      </w:r>
    </w:p>
    <w:p w14:paraId="26A518D2" w14:textId="675F9BA8" w:rsidR="00040759" w:rsidRPr="00EF7CF9" w:rsidRDefault="00AC48A7" w:rsidP="00657A3A">
      <w:pPr>
        <w:pStyle w:val="ProductList-Body"/>
        <w:keepNext/>
      </w:pPr>
      <w:r>
        <w:rPr>
          <w:b/>
          <w:color w:val="00188F"/>
        </w:rPr>
        <w:t>Procent Czasu Sprawnego Działania</w:t>
      </w:r>
      <w:r w:rsidRPr="0034704E">
        <w:rPr>
          <w:b/>
          <w:color w:val="00188F"/>
        </w:rPr>
        <w:t>:</w:t>
      </w:r>
      <w:r>
        <w:t xml:space="preserve"> Procent Czasu Sprawnego Działania jest obliczany przy użyciu następującego wzoru:</w:t>
      </w:r>
    </w:p>
    <w:p w14:paraId="2D1D4ECA" w14:textId="074CF542" w:rsidR="00040759"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5864548D" w14:textId="0222B506" w:rsidR="00040759"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7587158" w14:textId="77777777" w:rsidR="00D3765F" w:rsidRDefault="00D3765F" w:rsidP="002A586E">
      <w:pPr>
        <w:pStyle w:val="ProductList-Body"/>
      </w:pPr>
    </w:p>
    <w:p w14:paraId="29DA534D" w14:textId="3B9D6918" w:rsidR="00040759" w:rsidRPr="00EF7CF9" w:rsidRDefault="00040759"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040759" w:rsidRPr="00B44CF9" w14:paraId="50066391" w14:textId="77777777" w:rsidTr="00085CEE">
        <w:trPr>
          <w:tblHeader/>
        </w:trPr>
        <w:tc>
          <w:tcPr>
            <w:tcW w:w="5400" w:type="dxa"/>
            <w:shd w:val="clear" w:color="auto" w:fill="0072C6"/>
          </w:tcPr>
          <w:p w14:paraId="37BA754F" w14:textId="088752A4" w:rsidR="00040759"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733245B" w14:textId="77777777" w:rsidR="00040759" w:rsidRPr="00EF7CF9" w:rsidRDefault="00040759" w:rsidP="002A586E">
            <w:pPr>
              <w:pStyle w:val="ProductList-OfferingBody"/>
              <w:jc w:val="center"/>
              <w:rPr>
                <w:color w:val="FFFFFF" w:themeColor="background1"/>
              </w:rPr>
            </w:pPr>
            <w:r>
              <w:rPr>
                <w:color w:val="FFFFFF" w:themeColor="background1"/>
              </w:rPr>
              <w:t>Środki Serwisowe na Używanie Usług</w:t>
            </w:r>
          </w:p>
        </w:tc>
      </w:tr>
      <w:tr w:rsidR="00040759" w:rsidRPr="00B44CF9" w14:paraId="71BA356A" w14:textId="77777777" w:rsidTr="00085CEE">
        <w:tc>
          <w:tcPr>
            <w:tcW w:w="5400" w:type="dxa"/>
          </w:tcPr>
          <w:p w14:paraId="20268779" w14:textId="77777777" w:rsidR="00040759" w:rsidRPr="00EF7CF9" w:rsidRDefault="00040759" w:rsidP="002A586E">
            <w:pPr>
              <w:pStyle w:val="ProductList-OfferingBody"/>
              <w:jc w:val="center"/>
            </w:pPr>
            <w:r>
              <w:t>&lt; 99,9%</w:t>
            </w:r>
          </w:p>
        </w:tc>
        <w:tc>
          <w:tcPr>
            <w:tcW w:w="5400" w:type="dxa"/>
          </w:tcPr>
          <w:p w14:paraId="0127DF9D" w14:textId="77777777" w:rsidR="00040759" w:rsidRPr="00EF7CF9" w:rsidRDefault="00040759" w:rsidP="002A586E">
            <w:pPr>
              <w:pStyle w:val="ProductList-OfferingBody"/>
              <w:jc w:val="center"/>
            </w:pPr>
            <w:r>
              <w:t>25%</w:t>
            </w:r>
          </w:p>
        </w:tc>
      </w:tr>
      <w:tr w:rsidR="00040759" w:rsidRPr="00B44CF9" w14:paraId="03609D59" w14:textId="77777777" w:rsidTr="00085CEE">
        <w:tc>
          <w:tcPr>
            <w:tcW w:w="5400" w:type="dxa"/>
          </w:tcPr>
          <w:p w14:paraId="0FA02A3C" w14:textId="77777777" w:rsidR="00040759" w:rsidRPr="00EF7CF9" w:rsidRDefault="00040759" w:rsidP="002A586E">
            <w:pPr>
              <w:pStyle w:val="ProductList-OfferingBody"/>
              <w:jc w:val="center"/>
            </w:pPr>
            <w:r>
              <w:t>&lt; 99%</w:t>
            </w:r>
          </w:p>
        </w:tc>
        <w:tc>
          <w:tcPr>
            <w:tcW w:w="5400" w:type="dxa"/>
          </w:tcPr>
          <w:p w14:paraId="0E80EF14" w14:textId="77777777" w:rsidR="00040759" w:rsidRPr="00EF7CF9" w:rsidRDefault="00040759" w:rsidP="002A586E">
            <w:pPr>
              <w:pStyle w:val="ProductList-OfferingBody"/>
              <w:jc w:val="center"/>
            </w:pPr>
            <w:r>
              <w:t>50%</w:t>
            </w:r>
          </w:p>
        </w:tc>
      </w:tr>
      <w:tr w:rsidR="00040759" w:rsidRPr="00B44CF9" w14:paraId="020CF830" w14:textId="77777777" w:rsidTr="00085CEE">
        <w:tc>
          <w:tcPr>
            <w:tcW w:w="5400" w:type="dxa"/>
          </w:tcPr>
          <w:p w14:paraId="2C8112F6" w14:textId="77777777" w:rsidR="00040759" w:rsidRPr="00EF7CF9" w:rsidRDefault="00040759" w:rsidP="002A586E">
            <w:pPr>
              <w:pStyle w:val="ProductList-OfferingBody"/>
              <w:jc w:val="center"/>
            </w:pPr>
            <w:r>
              <w:t>&lt; 95%</w:t>
            </w:r>
          </w:p>
        </w:tc>
        <w:tc>
          <w:tcPr>
            <w:tcW w:w="5400" w:type="dxa"/>
          </w:tcPr>
          <w:p w14:paraId="6EC1209C" w14:textId="77777777" w:rsidR="00040759" w:rsidRPr="00EF7CF9" w:rsidRDefault="00040759" w:rsidP="002A586E">
            <w:pPr>
              <w:pStyle w:val="ProductList-OfferingBody"/>
              <w:jc w:val="center"/>
            </w:pPr>
            <w:r>
              <w:t>100%</w:t>
            </w:r>
          </w:p>
        </w:tc>
      </w:tr>
    </w:tbl>
    <w:p w14:paraId="1AEA814F" w14:textId="36157571" w:rsidR="00040759" w:rsidRPr="00EF7CF9" w:rsidRDefault="00040759" w:rsidP="00593B4E">
      <w:pPr>
        <w:pStyle w:val="ProductList-Body"/>
        <w:spacing w:before="120"/>
      </w:pPr>
      <w:r>
        <w:rPr>
          <w:b/>
          <w:color w:val="00188F"/>
        </w:rPr>
        <w:t>Wyjątki dotyczące Poziomu Usługi</w:t>
      </w:r>
      <w:r>
        <w:t>. Ten Poziom Usługi nie ma zastosowania do: (i) oprogramowania zainstalowanego lokalnie, licencjonowanego jako część subskrypcji Usługi, lub (ii) usług internetowych (z wyjątkiem Usługi Microsoft Intune), które dostarczają aktualizacje dowolnego oprogramowania zainstalowanego lokalnie, licencjonowanego jako część subskrypcji Usługi.</w:t>
      </w:r>
    </w:p>
    <w:p w14:paraId="1BEF2E18" w14:textId="312178FA"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C0C7EA3" w14:textId="200A09C8" w:rsidR="00B4740C" w:rsidRPr="00EF7CF9" w:rsidRDefault="00B4740C" w:rsidP="0043417B">
      <w:pPr>
        <w:pStyle w:val="ProductList-Offering2Heading"/>
        <w:keepNext/>
        <w:outlineLvl w:val="2"/>
      </w:pPr>
      <w:bookmarkStart w:id="471" w:name="_Toc239175099"/>
      <w:r>
        <w:t>Microsoft Kaizala Pro</w:t>
      </w:r>
      <w:bookmarkEnd w:id="471"/>
    </w:p>
    <w:p w14:paraId="4662FA79" w14:textId="083D289A" w:rsidR="00B4740C" w:rsidRPr="00EF7CF9" w:rsidRDefault="008835A9" w:rsidP="002A586E">
      <w:pPr>
        <w:pStyle w:val="ProductList-Body"/>
      </w:pPr>
      <w:r>
        <w:rPr>
          <w:b/>
          <w:color w:val="00188F"/>
        </w:rPr>
        <w:t>Przestój</w:t>
      </w:r>
      <w:r w:rsidRPr="0034704E">
        <w:rPr>
          <w:b/>
          <w:color w:val="00188F"/>
        </w:rPr>
        <w:t>:</w:t>
      </w:r>
      <w:r>
        <w:t xml:space="preserve"> Dowolny okres, w którym użytkownicy końcowi nie mogą odczytywać ani publikować wiadomości w grupach organizacji, do korzystania z</w:t>
      </w:r>
      <w:r w:rsidR="0009779E">
        <w:t> </w:t>
      </w:r>
      <w:r>
        <w:t>których mają stosowne uprawnienia.</w:t>
      </w:r>
    </w:p>
    <w:p w14:paraId="69788DFB" w14:textId="49F29779" w:rsidR="00B4740C"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7E61F59D" w14:textId="2E69930F" w:rsidR="00B4740C"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0F18822C" w14:textId="60BC009E" w:rsidR="00B4740C"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2896C84A" w14:textId="77777777" w:rsidR="00D3765F" w:rsidRDefault="00D3765F" w:rsidP="002A586E">
      <w:pPr>
        <w:pStyle w:val="ProductList-Body"/>
      </w:pPr>
    </w:p>
    <w:p w14:paraId="3EEDCC5E" w14:textId="6C502919" w:rsidR="00B4740C" w:rsidRPr="00EF7CF9" w:rsidRDefault="00B4740C"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4740C" w:rsidRPr="00B44CF9" w14:paraId="167B64CC" w14:textId="77777777" w:rsidTr="00B0776A">
        <w:trPr>
          <w:tblHeader/>
        </w:trPr>
        <w:tc>
          <w:tcPr>
            <w:tcW w:w="5400" w:type="dxa"/>
            <w:shd w:val="clear" w:color="auto" w:fill="0072C6"/>
          </w:tcPr>
          <w:p w14:paraId="43C60026" w14:textId="27708823" w:rsidR="00B4740C"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E008F05" w14:textId="77777777" w:rsidR="00B4740C" w:rsidRPr="00EF7CF9" w:rsidRDefault="00B4740C" w:rsidP="002A586E">
            <w:pPr>
              <w:pStyle w:val="ProductList-OfferingBody"/>
              <w:jc w:val="center"/>
              <w:rPr>
                <w:color w:val="FFFFFF" w:themeColor="background1"/>
              </w:rPr>
            </w:pPr>
            <w:r>
              <w:rPr>
                <w:color w:val="FFFFFF" w:themeColor="background1"/>
              </w:rPr>
              <w:t>Środki Serwisowe na Używanie Usług</w:t>
            </w:r>
          </w:p>
        </w:tc>
      </w:tr>
      <w:tr w:rsidR="00B4740C" w:rsidRPr="00B44CF9" w14:paraId="405B8F03" w14:textId="77777777" w:rsidTr="00B0776A">
        <w:tc>
          <w:tcPr>
            <w:tcW w:w="5400" w:type="dxa"/>
          </w:tcPr>
          <w:p w14:paraId="16D69F82" w14:textId="77777777" w:rsidR="00B4740C" w:rsidRPr="00EF7CF9" w:rsidRDefault="00B4740C" w:rsidP="002A586E">
            <w:pPr>
              <w:pStyle w:val="ProductList-OfferingBody"/>
              <w:jc w:val="center"/>
            </w:pPr>
            <w:r>
              <w:t>&lt; 99,9%</w:t>
            </w:r>
          </w:p>
        </w:tc>
        <w:tc>
          <w:tcPr>
            <w:tcW w:w="5400" w:type="dxa"/>
          </w:tcPr>
          <w:p w14:paraId="42B1F6F3" w14:textId="77777777" w:rsidR="00B4740C" w:rsidRPr="00EF7CF9" w:rsidRDefault="00B4740C" w:rsidP="002A586E">
            <w:pPr>
              <w:pStyle w:val="ProductList-OfferingBody"/>
              <w:jc w:val="center"/>
            </w:pPr>
            <w:r>
              <w:t>25%</w:t>
            </w:r>
          </w:p>
        </w:tc>
      </w:tr>
      <w:tr w:rsidR="00B4740C" w:rsidRPr="00B44CF9" w14:paraId="6C54F27A" w14:textId="77777777" w:rsidTr="00B0776A">
        <w:tc>
          <w:tcPr>
            <w:tcW w:w="5400" w:type="dxa"/>
          </w:tcPr>
          <w:p w14:paraId="138A2B8D" w14:textId="77777777" w:rsidR="00B4740C" w:rsidRPr="00EF7CF9" w:rsidRDefault="00B4740C" w:rsidP="002A586E">
            <w:pPr>
              <w:pStyle w:val="ProductList-OfferingBody"/>
              <w:jc w:val="center"/>
            </w:pPr>
            <w:r>
              <w:t>&lt; 99%</w:t>
            </w:r>
          </w:p>
        </w:tc>
        <w:tc>
          <w:tcPr>
            <w:tcW w:w="5400" w:type="dxa"/>
          </w:tcPr>
          <w:p w14:paraId="36B5824F" w14:textId="77777777" w:rsidR="00B4740C" w:rsidRPr="00EF7CF9" w:rsidRDefault="00B4740C" w:rsidP="002A586E">
            <w:pPr>
              <w:pStyle w:val="ProductList-OfferingBody"/>
              <w:jc w:val="center"/>
            </w:pPr>
            <w:r>
              <w:t>50%</w:t>
            </w:r>
          </w:p>
        </w:tc>
      </w:tr>
      <w:tr w:rsidR="00B4740C" w:rsidRPr="00B44CF9" w14:paraId="7068D5C9" w14:textId="77777777" w:rsidTr="00B0776A">
        <w:tc>
          <w:tcPr>
            <w:tcW w:w="5400" w:type="dxa"/>
          </w:tcPr>
          <w:p w14:paraId="11E73419" w14:textId="77777777" w:rsidR="00B4740C" w:rsidRPr="00EF7CF9" w:rsidRDefault="00B4740C" w:rsidP="002A586E">
            <w:pPr>
              <w:pStyle w:val="ProductList-OfferingBody"/>
              <w:jc w:val="center"/>
            </w:pPr>
            <w:r>
              <w:t>&lt; 95%</w:t>
            </w:r>
          </w:p>
        </w:tc>
        <w:tc>
          <w:tcPr>
            <w:tcW w:w="5400" w:type="dxa"/>
          </w:tcPr>
          <w:p w14:paraId="6DC66DA2" w14:textId="77777777" w:rsidR="00B4740C" w:rsidRPr="00EF7CF9" w:rsidRDefault="00B4740C" w:rsidP="002A586E">
            <w:pPr>
              <w:pStyle w:val="ProductList-OfferingBody"/>
              <w:jc w:val="center"/>
            </w:pPr>
            <w:r>
              <w:t>100%</w:t>
            </w:r>
          </w:p>
        </w:tc>
      </w:tr>
    </w:tbl>
    <w:p w14:paraId="41C8112E" w14:textId="79E5D40D"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E1AF830" w14:textId="0C931E1D" w:rsidR="005C2F5C" w:rsidRPr="00EF7CF9" w:rsidRDefault="005C2F5C" w:rsidP="009B46D4">
      <w:pPr>
        <w:pStyle w:val="ProductList-Offering2Heading"/>
        <w:keepNext/>
        <w:tabs>
          <w:tab w:val="clear" w:pos="360"/>
          <w:tab w:val="clear" w:pos="720"/>
          <w:tab w:val="clear" w:pos="1080"/>
        </w:tabs>
        <w:outlineLvl w:val="2"/>
      </w:pPr>
      <w:bookmarkStart w:id="472" w:name="_Toc239175100"/>
      <w:r>
        <w:t>Microsoft Power Apps</w:t>
      </w:r>
      <w:bookmarkEnd w:id="472"/>
    </w:p>
    <w:p w14:paraId="5CE1D2EF" w14:textId="231BF3A3" w:rsidR="005C2F5C" w:rsidRPr="00EF7CF9" w:rsidRDefault="005C2F5C" w:rsidP="002A586E">
      <w:pPr>
        <w:pStyle w:val="ProductList-Body"/>
      </w:pPr>
      <w:r>
        <w:rPr>
          <w:b/>
          <w:color w:val="00188F"/>
        </w:rPr>
        <w:t>Przestój</w:t>
      </w:r>
      <w:r w:rsidRPr="0034704E">
        <w:rPr>
          <w:b/>
          <w:color w:val="00188F"/>
        </w:rPr>
        <w:t>:</w:t>
      </w:r>
      <w:r>
        <w:t xml:space="preserve"> </w:t>
      </w:r>
      <w:r>
        <w:rPr>
          <w:szCs w:val="18"/>
        </w:rPr>
        <w:t>Dowolny okres, w którym użytkownicy nie mogą odczytać ani zapisać dowolnej części danych w Microsoft Power Apps, mimo posiadania odpowiednich uprawnień.</w:t>
      </w:r>
    </w:p>
    <w:p w14:paraId="55599CC6" w14:textId="23D6BB75" w:rsidR="005C2F5C" w:rsidRPr="00EF7CF9"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5AAB2FAD" w14:textId="5527567E" w:rsidR="005C2F5C"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 miesiącu - Przestój</m:t>
              </m:r>
            </m:num>
            <m:den>
              <m:r>
                <m:rPr>
                  <m:nor/>
                </m:rPr>
                <w:rPr>
                  <w:rFonts w:ascii="Cambria Math" w:hAnsi="Cambria Math" w:cs="Calibri"/>
                  <w:i/>
                  <w:sz w:val="18"/>
                  <w:szCs w:val="18"/>
                </w:rPr>
                <m:t>Łączna liczba minut w miesiącu</m:t>
              </m:r>
            </m:den>
          </m:f>
          <m:r>
            <w:rPr>
              <w:rFonts w:ascii="Cambria Math" w:hAnsi="Cambria Math" w:cs="Calibri"/>
              <w:sz w:val="18"/>
              <w:szCs w:val="18"/>
            </w:rPr>
            <m:t xml:space="preserve"> x 100</m:t>
          </m:r>
        </m:oMath>
      </m:oMathPara>
    </w:p>
    <w:p w14:paraId="7450D62A" w14:textId="27465AEE" w:rsidR="005C2F5C" w:rsidRDefault="00AC48A7" w:rsidP="002A586E">
      <w:pPr>
        <w:pStyle w:val="ProductList-Body"/>
      </w:pPr>
      <w: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7568F746" w14:textId="77777777" w:rsidR="005C2F5C" w:rsidRPr="00EF7CF9" w:rsidRDefault="005C2F5C"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C2F5C" w:rsidRPr="00B44CF9" w14:paraId="4A3E8449" w14:textId="77777777" w:rsidTr="00170FD9">
        <w:trPr>
          <w:tblHeader/>
        </w:trPr>
        <w:tc>
          <w:tcPr>
            <w:tcW w:w="5400" w:type="dxa"/>
            <w:shd w:val="clear" w:color="auto" w:fill="0072C6"/>
          </w:tcPr>
          <w:p w14:paraId="56E32261" w14:textId="511B176E" w:rsidR="005C2F5C"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2AAB715" w14:textId="77777777" w:rsidR="005C2F5C" w:rsidRPr="00EF7CF9" w:rsidRDefault="005C2F5C" w:rsidP="002A586E">
            <w:pPr>
              <w:pStyle w:val="ProductList-OfferingBody"/>
              <w:jc w:val="center"/>
              <w:rPr>
                <w:color w:val="FFFFFF" w:themeColor="background1"/>
              </w:rPr>
            </w:pPr>
            <w:r>
              <w:rPr>
                <w:color w:val="FFFFFF" w:themeColor="background1"/>
              </w:rPr>
              <w:t>Środki Serwisowe na Używanie Usług</w:t>
            </w:r>
          </w:p>
        </w:tc>
      </w:tr>
      <w:tr w:rsidR="005C2F5C" w:rsidRPr="00B44CF9" w14:paraId="5A086A81" w14:textId="77777777" w:rsidTr="00170FD9">
        <w:tc>
          <w:tcPr>
            <w:tcW w:w="5400" w:type="dxa"/>
          </w:tcPr>
          <w:p w14:paraId="5B65AE53" w14:textId="77777777" w:rsidR="005C2F5C" w:rsidRPr="00EF7CF9" w:rsidRDefault="005C2F5C" w:rsidP="002A586E">
            <w:pPr>
              <w:pStyle w:val="ProductList-OfferingBody"/>
              <w:jc w:val="center"/>
            </w:pPr>
            <w:r>
              <w:t>&lt; 99,9%</w:t>
            </w:r>
          </w:p>
        </w:tc>
        <w:tc>
          <w:tcPr>
            <w:tcW w:w="5400" w:type="dxa"/>
          </w:tcPr>
          <w:p w14:paraId="66DD7CC4" w14:textId="77777777" w:rsidR="005C2F5C" w:rsidRPr="00EF7CF9" w:rsidRDefault="005C2F5C" w:rsidP="002A586E">
            <w:pPr>
              <w:pStyle w:val="ProductList-OfferingBody"/>
              <w:jc w:val="center"/>
            </w:pPr>
            <w:r>
              <w:t>25%</w:t>
            </w:r>
          </w:p>
        </w:tc>
      </w:tr>
      <w:tr w:rsidR="005C2F5C" w:rsidRPr="00B44CF9" w14:paraId="6B64D232" w14:textId="77777777" w:rsidTr="00170FD9">
        <w:tc>
          <w:tcPr>
            <w:tcW w:w="5400" w:type="dxa"/>
          </w:tcPr>
          <w:p w14:paraId="0FEAC802" w14:textId="77777777" w:rsidR="005C2F5C" w:rsidRPr="00EF7CF9" w:rsidRDefault="005C2F5C" w:rsidP="002A586E">
            <w:pPr>
              <w:pStyle w:val="ProductList-OfferingBody"/>
              <w:jc w:val="center"/>
            </w:pPr>
            <w:r>
              <w:t>&lt; 99%</w:t>
            </w:r>
          </w:p>
        </w:tc>
        <w:tc>
          <w:tcPr>
            <w:tcW w:w="5400" w:type="dxa"/>
          </w:tcPr>
          <w:p w14:paraId="3D07B2D8" w14:textId="77777777" w:rsidR="005C2F5C" w:rsidRPr="00EF7CF9" w:rsidRDefault="005C2F5C" w:rsidP="002A586E">
            <w:pPr>
              <w:pStyle w:val="ProductList-OfferingBody"/>
              <w:jc w:val="center"/>
            </w:pPr>
            <w:r>
              <w:t>50%</w:t>
            </w:r>
          </w:p>
        </w:tc>
      </w:tr>
      <w:tr w:rsidR="005C2F5C" w:rsidRPr="00B44CF9" w14:paraId="35FBE36C" w14:textId="77777777" w:rsidTr="00170FD9">
        <w:tc>
          <w:tcPr>
            <w:tcW w:w="5400" w:type="dxa"/>
          </w:tcPr>
          <w:p w14:paraId="15E0BE2E" w14:textId="77777777" w:rsidR="005C2F5C" w:rsidRPr="00EF7CF9" w:rsidRDefault="005C2F5C" w:rsidP="002A586E">
            <w:pPr>
              <w:pStyle w:val="ProductList-OfferingBody"/>
              <w:jc w:val="center"/>
            </w:pPr>
            <w:r>
              <w:t>&lt; 95%</w:t>
            </w:r>
          </w:p>
        </w:tc>
        <w:tc>
          <w:tcPr>
            <w:tcW w:w="5400" w:type="dxa"/>
          </w:tcPr>
          <w:p w14:paraId="69ECA17B" w14:textId="77777777" w:rsidR="005C2F5C" w:rsidRPr="00EF7CF9" w:rsidRDefault="005C2F5C" w:rsidP="002A586E">
            <w:pPr>
              <w:pStyle w:val="ProductList-OfferingBody"/>
              <w:jc w:val="center"/>
            </w:pPr>
            <w:r>
              <w:t>100%</w:t>
            </w:r>
          </w:p>
        </w:tc>
      </w:tr>
    </w:tbl>
    <w:p w14:paraId="3347EFF9" w14:textId="1EE94F3E"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6D0E9B8B" w14:textId="4153552B" w:rsidR="00BF3499" w:rsidRPr="00EF5F90" w:rsidRDefault="00BF3499" w:rsidP="00EF5F90">
      <w:pPr>
        <w:pStyle w:val="ProductList-Offering2Heading"/>
        <w:tabs>
          <w:tab w:val="clear" w:pos="360"/>
          <w:tab w:val="clear" w:pos="720"/>
          <w:tab w:val="clear" w:pos="1080"/>
        </w:tabs>
        <w:outlineLvl w:val="2"/>
      </w:pPr>
      <w:bookmarkStart w:id="473" w:name="_Toc34826924"/>
      <w:bookmarkStart w:id="474" w:name="_Toc239175101"/>
      <w:r w:rsidRPr="00EF5F90">
        <w:t xml:space="preserve">Microsoft </w:t>
      </w:r>
      <w:bookmarkEnd w:id="473"/>
      <w:r w:rsidR="00EF5F90" w:rsidRPr="00EF5F90">
        <w:t>Copilot Studio</w:t>
      </w:r>
      <w:bookmarkEnd w:id="474"/>
    </w:p>
    <w:p w14:paraId="64720E1E" w14:textId="77777777" w:rsidR="00BF3499" w:rsidRPr="001878FE" w:rsidRDefault="00BF3499" w:rsidP="00BF3499">
      <w:pPr>
        <w:shd w:val="clear" w:color="auto" w:fill="FFFFFF"/>
        <w:spacing w:after="0" w:line="240" w:lineRule="auto"/>
        <w:rPr>
          <w:rFonts w:ascii="Calibri" w:eastAsia="Calibri" w:hAnsi="Calibri" w:cs="Arial"/>
          <w:b/>
          <w:color w:val="00188F"/>
          <w:sz w:val="18"/>
        </w:rPr>
      </w:pPr>
      <w:r>
        <w:rPr>
          <w:rFonts w:ascii="Calibri" w:eastAsia="Calibri" w:hAnsi="Calibri" w:cs="Arial"/>
          <w:b/>
          <w:color w:val="00188F"/>
          <w:sz w:val="18"/>
        </w:rPr>
        <w:t xml:space="preserve">Dodatkowe definicje: </w:t>
      </w:r>
    </w:p>
    <w:p w14:paraId="06948106" w14:textId="1293DDE4" w:rsidR="00BF3499" w:rsidRPr="001878FE" w:rsidRDefault="00BF3499" w:rsidP="00BF3499">
      <w:pPr>
        <w:shd w:val="clear" w:color="auto" w:fill="FFFFFF"/>
        <w:spacing w:after="0" w:line="240" w:lineRule="auto"/>
        <w:rPr>
          <w:rFonts w:ascii="Calibri" w:eastAsia="Calibri" w:hAnsi="Calibri" w:cs="Arial"/>
          <w:sz w:val="18"/>
        </w:rPr>
      </w:pPr>
      <w:r w:rsidRPr="00FD5D80">
        <w:rPr>
          <w:sz w:val="18"/>
        </w:rPr>
        <w:t>„</w:t>
      </w:r>
      <w:r>
        <w:rPr>
          <w:rFonts w:ascii="Calibri" w:eastAsia="Calibri" w:hAnsi="Calibri" w:cs="Arial"/>
          <w:b/>
          <w:color w:val="00188F"/>
          <w:sz w:val="18"/>
        </w:rPr>
        <w:t>Łączna Liczba Żądań Informacji</w:t>
      </w:r>
      <w:r w:rsidRPr="00FD5D80">
        <w:rPr>
          <w:sz w:val="18"/>
        </w:rPr>
        <w:t>”</w:t>
      </w:r>
      <w:r w:rsidRPr="0045006E">
        <w:rPr>
          <w:rFonts w:ascii="Calibri" w:eastAsia="Calibri" w:hAnsi="Calibri" w:cs="Arial"/>
          <w:sz w:val="18"/>
        </w:rPr>
        <w:t xml:space="preserve"> </w:t>
      </w:r>
      <w:r>
        <w:rPr>
          <w:rFonts w:ascii="Calibri" w:eastAsia="Calibri" w:hAnsi="Calibri" w:cs="Arial"/>
          <w:sz w:val="18"/>
        </w:rPr>
        <w:t xml:space="preserve">wysłanych przez użytkownika końcowego do usługi </w:t>
      </w:r>
      <w:r w:rsidR="00EF5F90">
        <w:rPr>
          <w:rFonts w:ascii="Calibri" w:eastAsia="Calibri" w:hAnsi="Calibri" w:cs="Arial"/>
          <w:sz w:val="18"/>
        </w:rPr>
        <w:t>Copilot Studio</w:t>
      </w:r>
      <w:r>
        <w:rPr>
          <w:rFonts w:ascii="Calibri" w:eastAsia="Calibri" w:hAnsi="Calibri" w:cs="Arial"/>
          <w:sz w:val="18"/>
        </w:rPr>
        <w:t xml:space="preserve"> we Właściwym Okresie.</w:t>
      </w:r>
    </w:p>
    <w:p w14:paraId="0140F598" w14:textId="4B94CB2C" w:rsidR="00BF3499" w:rsidRPr="001878FE" w:rsidRDefault="00BF3499" w:rsidP="00BF3499">
      <w:pPr>
        <w:shd w:val="clear" w:color="auto" w:fill="FFFFFF"/>
        <w:spacing w:after="0" w:line="240" w:lineRule="auto"/>
        <w:rPr>
          <w:rFonts w:ascii="Calibri" w:eastAsia="Calibri" w:hAnsi="Calibri" w:cs="Arial"/>
          <w:sz w:val="18"/>
        </w:rPr>
      </w:pPr>
      <w:r w:rsidRPr="00FD5D80">
        <w:rPr>
          <w:sz w:val="18"/>
        </w:rPr>
        <w:t>„</w:t>
      </w:r>
      <w:r>
        <w:rPr>
          <w:rFonts w:ascii="Calibri" w:eastAsia="Calibri" w:hAnsi="Calibri" w:cs="Arial"/>
          <w:b/>
          <w:color w:val="00188F"/>
          <w:sz w:val="18"/>
        </w:rPr>
        <w:t>Żądania Informacji Zakończone Niepowodzeniem</w:t>
      </w:r>
      <w:r w:rsidRPr="00FD5D80">
        <w:rPr>
          <w:sz w:val="18"/>
        </w:rPr>
        <w:t xml:space="preserve">” </w:t>
      </w:r>
      <w:r>
        <w:rPr>
          <w:rFonts w:ascii="Calibri" w:eastAsia="Calibri" w:hAnsi="Calibri" w:cs="Arial"/>
          <w:sz w:val="18"/>
        </w:rPr>
        <w:t xml:space="preserve">to łączna liczba żądań w ramach Łącznej Liczby Żądań Informacji, na które usługa </w:t>
      </w:r>
      <w:r w:rsidR="00EF5F90">
        <w:rPr>
          <w:rFonts w:ascii="Calibri" w:eastAsia="Calibri" w:hAnsi="Calibri" w:cs="Arial"/>
          <w:sz w:val="18"/>
        </w:rPr>
        <w:t>Copilot Studio</w:t>
      </w:r>
      <w:r>
        <w:rPr>
          <w:rFonts w:ascii="Calibri" w:eastAsia="Calibri" w:hAnsi="Calibri" w:cs="Arial"/>
          <w:sz w:val="18"/>
        </w:rPr>
        <w:t xml:space="preserve"> nie może przesłać odpowiedzi ze względu na błąd systemu w ramach usługi </w:t>
      </w:r>
      <w:r w:rsidR="00EF5F90">
        <w:rPr>
          <w:rFonts w:ascii="Calibri" w:eastAsia="Calibri" w:hAnsi="Calibri" w:cs="Arial"/>
          <w:sz w:val="18"/>
        </w:rPr>
        <w:t>Copilot Studio</w:t>
      </w:r>
      <w:r>
        <w:rPr>
          <w:rFonts w:ascii="Calibri" w:eastAsia="Calibri" w:hAnsi="Calibri" w:cs="Arial"/>
          <w:sz w:val="18"/>
        </w:rPr>
        <w:t>.</w:t>
      </w:r>
    </w:p>
    <w:p w14:paraId="777E0808" w14:textId="3CC75F91" w:rsidR="00BF3499" w:rsidRPr="001878FE" w:rsidRDefault="00AC48A7" w:rsidP="00BF3499">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Procent Czasu Sprawnego Działania</w:t>
      </w:r>
      <w:r w:rsidRPr="0034704E">
        <w:rPr>
          <w:b/>
          <w:color w:val="00188F"/>
          <w:sz w:val="18"/>
        </w:rPr>
        <w:t>:</w:t>
      </w:r>
      <w:r>
        <w:rPr>
          <w:rFonts w:ascii="Calibri" w:eastAsia="Calibri" w:hAnsi="Calibri" w:cs="Arial"/>
          <w:sz w:val="18"/>
        </w:rPr>
        <w:t xml:space="preserve"> Procent Czasu Sprawnego Działania jest obliczany przy użyciu następującego wzoru:</w:t>
      </w:r>
    </w:p>
    <w:p w14:paraId="5FFCCA93" w14:textId="40D12DF0" w:rsidR="00BF3499" w:rsidRPr="001878FE" w:rsidRDefault="00000000" w:rsidP="00BD59B3">
      <w:pPr>
        <w:spacing w:before="120" w:after="0" w:line="240" w:lineRule="auto"/>
        <w:jc w:val="both"/>
        <w:rPr>
          <w:rFonts w:ascii="Calibri" w:eastAsia="Calibri" w:hAnsi="Calibri" w:cs="Arial"/>
          <w:sz w:val="18"/>
          <w:szCs w:val="18"/>
        </w:rPr>
      </w:pPr>
      <m:oMathPara>
        <m:oMathParaPr>
          <m:jc m:val="center"/>
        </m:oMathParaPr>
        <m:oMath>
          <m:f>
            <m:fPr>
              <m:ctrlPr>
                <w:rPr>
                  <w:rFonts w:ascii="Cambria Math" w:eastAsia="Calibri" w:hAnsi="Cambria Math" w:cs="Calibri"/>
                  <w:i/>
                  <w:sz w:val="18"/>
                  <w:szCs w:val="18"/>
                </w:rPr>
              </m:ctrlPr>
            </m:fPr>
            <m:num>
              <m:r>
                <m:rPr>
                  <m:nor/>
                </m:rPr>
                <w:rPr>
                  <w:rFonts w:ascii="Cambria Math" w:eastAsia="Calibri" w:hAnsi="Cambria Math" w:cs="Calibri"/>
                  <w:i/>
                  <w:sz w:val="18"/>
                  <w:szCs w:val="18"/>
                </w:rPr>
                <m:t>Łączna Liczba Żądań Informacji – Żądania Informacji Zakończone Niepowodzeniem</m:t>
              </m:r>
            </m:num>
            <m:den>
              <m:r>
                <m:rPr>
                  <m:nor/>
                </m:rPr>
                <w:rPr>
                  <w:rFonts w:ascii="Cambria Math" w:eastAsia="Calibri" w:hAnsi="Cambria Math" w:cs="Calibri"/>
                  <w:i/>
                  <w:sz w:val="18"/>
                  <w:szCs w:val="18"/>
                </w:rPr>
                <m:t>Łączna Liczba Żądań Informacji</m:t>
              </m:r>
            </m:den>
          </m:f>
          <m:r>
            <w:rPr>
              <w:rFonts w:ascii="Cambria Math" w:eastAsia="Calibri" w:hAnsi="Cambria Math" w:cs="Calibri"/>
              <w:sz w:val="18"/>
              <w:szCs w:val="18"/>
            </w:rPr>
            <m:t xml:space="preserve"> x 100</m:t>
          </m:r>
        </m:oMath>
      </m:oMathPara>
    </w:p>
    <w:p w14:paraId="7FF4554C" w14:textId="38E2628D" w:rsidR="00BF3499" w:rsidRDefault="00BF3499" w:rsidP="00EA1447">
      <w:pPr>
        <w:tabs>
          <w:tab w:val="left" w:pos="360"/>
          <w:tab w:val="left" w:pos="720"/>
          <w:tab w:val="left" w:pos="1080"/>
        </w:tabs>
        <w:spacing w:after="0" w:line="240" w:lineRule="auto"/>
        <w:rPr>
          <w:rFonts w:ascii="Calibri" w:eastAsia="Calibri" w:hAnsi="Calibri" w:cs="Arial"/>
          <w:sz w:val="18"/>
        </w:rPr>
      </w:pPr>
      <w:r>
        <w:rPr>
          <w:rFonts w:ascii="Calibri" w:eastAsia="Calibri" w:hAnsi="Calibri" w:cs="Arial"/>
          <w:b/>
          <w:color w:val="00188F"/>
          <w:sz w:val="18"/>
        </w:rPr>
        <w:t>Środki Serwisowe na Używanie Usług</w:t>
      </w:r>
      <w:r w:rsidRPr="0034704E">
        <w:rPr>
          <w:b/>
          <w:color w:val="00188F"/>
          <w:sz w:val="18"/>
        </w:rPr>
        <w:t>:</w:t>
      </w:r>
    </w:p>
    <w:tbl>
      <w:tblPr>
        <w:tblStyle w:val="TableGrid"/>
        <w:tblW w:w="10795" w:type="dxa"/>
        <w:tblLook w:val="04A0" w:firstRow="1" w:lastRow="0" w:firstColumn="1" w:lastColumn="0" w:noHBand="0" w:noVBand="1"/>
      </w:tblPr>
      <w:tblGrid>
        <w:gridCol w:w="5395"/>
        <w:gridCol w:w="5400"/>
      </w:tblGrid>
      <w:tr w:rsidR="00BF3499" w:rsidRPr="006D4DC5" w14:paraId="196F5C8D" w14:textId="77777777" w:rsidTr="007D3F9A">
        <w:trPr>
          <w:tblHeader/>
        </w:trPr>
        <w:tc>
          <w:tcPr>
            <w:tcW w:w="5395" w:type="dxa"/>
            <w:shd w:val="clear" w:color="auto" w:fill="0072C6"/>
          </w:tcPr>
          <w:p w14:paraId="5B793407" w14:textId="47AA0289" w:rsidR="00BF3499" w:rsidRPr="006D4DC5" w:rsidRDefault="00AC48A7" w:rsidP="00EA1447">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3CDCE47" w14:textId="77777777" w:rsidR="00BF3499" w:rsidRPr="006D4DC5" w:rsidRDefault="00BF3499" w:rsidP="00EA1447">
            <w:pPr>
              <w:pStyle w:val="ProductList-OfferingBody"/>
              <w:jc w:val="center"/>
              <w:rPr>
                <w:color w:val="FFFFFF" w:themeColor="background1"/>
              </w:rPr>
            </w:pPr>
            <w:r>
              <w:rPr>
                <w:color w:val="FFFFFF" w:themeColor="background1"/>
              </w:rPr>
              <w:t>Środki Serwisowe na Używanie Usług</w:t>
            </w:r>
          </w:p>
        </w:tc>
      </w:tr>
      <w:tr w:rsidR="00BF3499" w:rsidRPr="006D4DC5" w14:paraId="5DAFB5E4" w14:textId="77777777" w:rsidTr="007D3F9A">
        <w:trPr>
          <w:tblHeader/>
        </w:trPr>
        <w:tc>
          <w:tcPr>
            <w:tcW w:w="5395" w:type="dxa"/>
          </w:tcPr>
          <w:p w14:paraId="603E5022" w14:textId="77777777" w:rsidR="00BF3499" w:rsidRDefault="00BF3499" w:rsidP="00EA1447">
            <w:pPr>
              <w:pStyle w:val="ProductList-OfferingBody"/>
              <w:jc w:val="center"/>
              <w:rPr>
                <w:color w:val="000000" w:themeColor="text1"/>
              </w:rPr>
            </w:pPr>
            <w:r>
              <w:t>&lt; 99,9%</w:t>
            </w:r>
          </w:p>
        </w:tc>
        <w:tc>
          <w:tcPr>
            <w:tcW w:w="5400" w:type="dxa"/>
          </w:tcPr>
          <w:p w14:paraId="51950A0F" w14:textId="77777777" w:rsidR="00BF3499" w:rsidRDefault="00BF3499" w:rsidP="00EA1447">
            <w:pPr>
              <w:pStyle w:val="ProductList-OfferingBody"/>
              <w:jc w:val="center"/>
              <w:rPr>
                <w:color w:val="000000" w:themeColor="text1"/>
              </w:rPr>
            </w:pPr>
            <w:r>
              <w:t>10%</w:t>
            </w:r>
          </w:p>
        </w:tc>
      </w:tr>
    </w:tbl>
    <w:p w14:paraId="4C7C73D9" w14:textId="184F793C" w:rsidR="00BF3499" w:rsidRPr="001878FE" w:rsidRDefault="00C71F89" w:rsidP="00BF3499">
      <w:pPr>
        <w:shd w:val="clear" w:color="auto" w:fill="808080"/>
        <w:spacing w:before="120" w:after="240" w:line="240" w:lineRule="auto"/>
        <w:jc w:val="right"/>
        <w:rPr>
          <w:rFonts w:ascii="Calibri" w:eastAsia="Calibri" w:hAnsi="Calibri" w:cs="Arial"/>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41989FDF" w14:textId="7D811FF2" w:rsidR="00F52BD7" w:rsidRPr="00EF7CF9" w:rsidRDefault="00F52BD7" w:rsidP="00F52BD7">
      <w:pPr>
        <w:pStyle w:val="ProductList-Offering2Heading"/>
        <w:tabs>
          <w:tab w:val="clear" w:pos="360"/>
          <w:tab w:val="clear" w:pos="720"/>
          <w:tab w:val="clear" w:pos="1080"/>
        </w:tabs>
        <w:outlineLvl w:val="2"/>
      </w:pPr>
      <w:bookmarkStart w:id="475" w:name="_Toc102075655"/>
      <w:bookmarkStart w:id="476" w:name="_Toc239175102"/>
      <w:r>
        <w:t>Microsoft Sustainability Manager</w:t>
      </w:r>
      <w:bookmarkEnd w:id="475"/>
      <w:bookmarkEnd w:id="476"/>
    </w:p>
    <w:p w14:paraId="1739FE7D" w14:textId="77777777" w:rsidR="00F52BD7" w:rsidRDefault="00F52BD7" w:rsidP="00F52BD7">
      <w:pPr>
        <w:pStyle w:val="ProductList-Body"/>
        <w:rPr>
          <w:szCs w:val="18"/>
        </w:rPr>
      </w:pPr>
      <w:r>
        <w:rPr>
          <w:b/>
          <w:color w:val="00188F"/>
        </w:rPr>
        <w:t xml:space="preserve">Przestój: </w:t>
      </w:r>
      <w:r>
        <w:rPr>
          <w:szCs w:val="18"/>
        </w:rPr>
        <w:t>Dowolny okres, w którym użytkownicy końcowi nie mogą zalogować się do danego środowiska.  Przestój nie obejmuje Planowego Przestoju, braku dostępności dodatkowych funkcji Usługi lub niemożności uzyskania dostępu do Usługi z powodu modyfikacji Usługi dokonanych przez Klienta.</w:t>
      </w:r>
    </w:p>
    <w:p w14:paraId="319CDBE0" w14:textId="3035A621" w:rsidR="00F52BD7" w:rsidRPr="00044406" w:rsidRDefault="00AC48A7" w:rsidP="00F52BD7">
      <w:pPr>
        <w:pStyle w:val="ProductList-Body"/>
        <w:rPr>
          <w:szCs w:val="18"/>
        </w:rPr>
      </w:pPr>
      <w:r>
        <w:rPr>
          <w:b/>
          <w:color w:val="00188F"/>
        </w:rPr>
        <w:t>Procent Czasu Sprawnego Działania</w:t>
      </w:r>
      <w:r>
        <w:rPr>
          <w:szCs w:val="18"/>
        </w:rPr>
        <w:t xml:space="preserve"> </w:t>
      </w:r>
      <w:r>
        <w:rPr>
          <w:rFonts w:ascii="Calibri" w:eastAsia="Times New Roman" w:hAnsi="Calibri" w:cs="Calibri"/>
        </w:rPr>
        <w:t>Procent Czasu Sprawnego Działania jest obliczany przy użyciu następującego wzoru:</w:t>
      </w:r>
    </w:p>
    <w:p w14:paraId="04D06B7C" w14:textId="33DC24B5" w:rsidR="00F52BD7"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4AB82D5E" w14:textId="643C0E25" w:rsidR="00F52BD7" w:rsidRDefault="00AC48A7" w:rsidP="00F52BD7">
      <w:pPr>
        <w:pStyle w:val="ProductList-Body"/>
        <w:rPr>
          <w:szCs w:val="18"/>
        </w:rPr>
      </w:pPr>
      <w:r>
        <w:rPr>
          <w:szCs w:val="18"/>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2C2983FD" w14:textId="77777777" w:rsidR="00D3765F" w:rsidRDefault="00D3765F" w:rsidP="00F52BD7">
      <w:pPr>
        <w:pStyle w:val="ProductList-Body"/>
        <w:rPr>
          <w:szCs w:val="18"/>
        </w:rPr>
      </w:pPr>
    </w:p>
    <w:p w14:paraId="2A07C68F" w14:textId="77777777" w:rsidR="00F52BD7" w:rsidRPr="00EF7CF9" w:rsidRDefault="00F52BD7" w:rsidP="00F52BD7">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F52BD7" w:rsidRPr="00B44CF9" w14:paraId="391B56C3" w14:textId="77777777" w:rsidTr="00277097">
        <w:trPr>
          <w:tblHeader/>
        </w:trPr>
        <w:tc>
          <w:tcPr>
            <w:tcW w:w="5400" w:type="dxa"/>
            <w:shd w:val="clear" w:color="auto" w:fill="0072C6"/>
          </w:tcPr>
          <w:p w14:paraId="07592109" w14:textId="6EF77C67" w:rsidR="00F52BD7" w:rsidRPr="00EF7CF9" w:rsidRDefault="00AC48A7" w:rsidP="000F31B4">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01551BE2" w14:textId="77777777" w:rsidR="00F52BD7" w:rsidRPr="00EF7CF9" w:rsidRDefault="00F52BD7" w:rsidP="000F31B4">
            <w:pPr>
              <w:pStyle w:val="ProductList-OfferingBody"/>
              <w:jc w:val="center"/>
              <w:rPr>
                <w:color w:val="FFFFFF" w:themeColor="background1"/>
              </w:rPr>
            </w:pPr>
            <w:r>
              <w:rPr>
                <w:color w:val="FFFFFF" w:themeColor="background1"/>
              </w:rPr>
              <w:t>Środki Serwisowe na Używanie Usług</w:t>
            </w:r>
          </w:p>
        </w:tc>
      </w:tr>
      <w:tr w:rsidR="00F52BD7" w:rsidRPr="00B44CF9" w14:paraId="32D08025" w14:textId="77777777" w:rsidTr="00277097">
        <w:tc>
          <w:tcPr>
            <w:tcW w:w="5400" w:type="dxa"/>
          </w:tcPr>
          <w:p w14:paraId="68DC5061" w14:textId="77777777" w:rsidR="00F52BD7" w:rsidRPr="00EF7CF9" w:rsidRDefault="00F52BD7" w:rsidP="000F31B4">
            <w:pPr>
              <w:pStyle w:val="ProductList-OfferingBody"/>
              <w:jc w:val="center"/>
            </w:pPr>
            <w:r>
              <w:t>&lt; 99,5%</w:t>
            </w:r>
          </w:p>
        </w:tc>
        <w:tc>
          <w:tcPr>
            <w:tcW w:w="5400" w:type="dxa"/>
          </w:tcPr>
          <w:p w14:paraId="670480DD" w14:textId="77777777" w:rsidR="00F52BD7" w:rsidRPr="00EF7CF9" w:rsidRDefault="00F52BD7" w:rsidP="000F31B4">
            <w:pPr>
              <w:pStyle w:val="ProductList-OfferingBody"/>
              <w:jc w:val="center"/>
            </w:pPr>
            <w:r>
              <w:t>25%</w:t>
            </w:r>
          </w:p>
        </w:tc>
      </w:tr>
      <w:tr w:rsidR="00F52BD7" w:rsidRPr="00B44CF9" w14:paraId="155E19ED" w14:textId="77777777" w:rsidTr="00277097">
        <w:tc>
          <w:tcPr>
            <w:tcW w:w="5400" w:type="dxa"/>
          </w:tcPr>
          <w:p w14:paraId="03D0C777" w14:textId="77777777" w:rsidR="00F52BD7" w:rsidRPr="00EF7CF9" w:rsidRDefault="00F52BD7" w:rsidP="000F31B4">
            <w:pPr>
              <w:pStyle w:val="ProductList-OfferingBody"/>
              <w:jc w:val="center"/>
            </w:pPr>
            <w:r>
              <w:t>&lt; 99%</w:t>
            </w:r>
          </w:p>
        </w:tc>
        <w:tc>
          <w:tcPr>
            <w:tcW w:w="5400" w:type="dxa"/>
          </w:tcPr>
          <w:p w14:paraId="7B80C04C" w14:textId="77777777" w:rsidR="00F52BD7" w:rsidRPr="00EF7CF9" w:rsidRDefault="00F52BD7" w:rsidP="000F31B4">
            <w:pPr>
              <w:pStyle w:val="ProductList-OfferingBody"/>
              <w:jc w:val="center"/>
            </w:pPr>
            <w:r>
              <w:t>50%</w:t>
            </w:r>
          </w:p>
        </w:tc>
      </w:tr>
      <w:tr w:rsidR="00F52BD7" w:rsidRPr="00B44CF9" w14:paraId="4C5B7DCA" w14:textId="77777777" w:rsidTr="00277097">
        <w:tc>
          <w:tcPr>
            <w:tcW w:w="5400" w:type="dxa"/>
          </w:tcPr>
          <w:p w14:paraId="56154561" w14:textId="77777777" w:rsidR="00F52BD7" w:rsidRPr="00EF7CF9" w:rsidRDefault="00F52BD7" w:rsidP="000F31B4">
            <w:pPr>
              <w:pStyle w:val="ProductList-OfferingBody"/>
              <w:jc w:val="center"/>
            </w:pPr>
            <w:r>
              <w:t>&lt; 95%</w:t>
            </w:r>
          </w:p>
        </w:tc>
        <w:tc>
          <w:tcPr>
            <w:tcW w:w="5400" w:type="dxa"/>
          </w:tcPr>
          <w:p w14:paraId="0913817E" w14:textId="77777777" w:rsidR="00F52BD7" w:rsidRPr="00EF7CF9" w:rsidRDefault="00F52BD7" w:rsidP="000F31B4">
            <w:pPr>
              <w:pStyle w:val="ProductList-OfferingBody"/>
              <w:keepNext/>
              <w:jc w:val="center"/>
            </w:pPr>
            <w:r>
              <w:t>100%</w:t>
            </w:r>
          </w:p>
        </w:tc>
      </w:tr>
    </w:tbl>
    <w:p w14:paraId="6CF57F01" w14:textId="3E1EDBD4" w:rsidR="00F52BD7" w:rsidRPr="00EF7CF9" w:rsidRDefault="00C71F89" w:rsidP="00F52BD7">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B1891FA" w14:textId="034A5E06" w:rsidR="00CC255D" w:rsidRPr="00EF7CF9" w:rsidRDefault="00CC255D" w:rsidP="00CC255D">
      <w:pPr>
        <w:pStyle w:val="ProductList-Offering2Heading"/>
        <w:tabs>
          <w:tab w:val="clear" w:pos="360"/>
          <w:tab w:val="clear" w:pos="720"/>
          <w:tab w:val="clear" w:pos="1080"/>
        </w:tabs>
        <w:outlineLvl w:val="2"/>
      </w:pPr>
      <w:bookmarkStart w:id="477" w:name="_Toc239175103"/>
      <w:r>
        <w:t>Minecraft: Education Edition</w:t>
      </w:r>
      <w:bookmarkEnd w:id="477"/>
    </w:p>
    <w:p w14:paraId="78A52AC3" w14:textId="77777777" w:rsidR="00CC255D" w:rsidRPr="00EF7CF9" w:rsidRDefault="00CC255D" w:rsidP="00CC255D">
      <w:pPr>
        <w:pStyle w:val="ProductList-Body"/>
        <w:rPr>
          <w:szCs w:val="18"/>
        </w:rPr>
      </w:pPr>
      <w:r>
        <w:rPr>
          <w:b/>
          <w:color w:val="00188F"/>
        </w:rPr>
        <w:t>Przestój</w:t>
      </w:r>
      <w:r w:rsidRPr="0034704E">
        <w:rPr>
          <w:b/>
          <w:color w:val="00188F"/>
        </w:rPr>
        <w:t>:</w:t>
      </w:r>
      <w:r>
        <w:t xml:space="preserve"> </w:t>
      </w:r>
      <w:r>
        <w:rPr>
          <w:szCs w:val="18"/>
        </w:rPr>
        <w:t xml:space="preserve">Dowolny okres, w którym użytkownicy nie mogą uzyskać dostępu do usługi Minecraft: Education Edition. </w:t>
      </w:r>
    </w:p>
    <w:p w14:paraId="3E545DB1" w14:textId="77777777" w:rsidR="00CC255D" w:rsidRPr="00EF7CF9" w:rsidRDefault="00CC255D" w:rsidP="00CC255D">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6A8672C5" w14:textId="77777777" w:rsidR="00CC255D"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 miesiącu - Przestój</m:t>
              </m:r>
            </m:num>
            <m:den>
              <m:r>
                <m:rPr>
                  <m:nor/>
                </m:rPr>
                <w:rPr>
                  <w:rFonts w:ascii="Cambria Math" w:hAnsi="Cambria Math" w:cs="Calibri"/>
                  <w:i/>
                  <w:sz w:val="18"/>
                  <w:szCs w:val="18"/>
                </w:rPr>
                <m:t>Łączna liczba minut w miesiącu</m:t>
              </m:r>
            </m:den>
          </m:f>
          <m:r>
            <w:rPr>
              <w:rFonts w:ascii="Cambria Math" w:hAnsi="Cambria Math" w:cs="Calibri"/>
              <w:sz w:val="18"/>
              <w:szCs w:val="18"/>
            </w:rPr>
            <m:t xml:space="preserve"> x 100</m:t>
          </m:r>
        </m:oMath>
      </m:oMathPara>
    </w:p>
    <w:p w14:paraId="42EDCD9A" w14:textId="77777777" w:rsidR="00CC255D" w:rsidRDefault="00CC255D" w:rsidP="00CC255D">
      <w:pPr>
        <w:pStyle w:val="ProductList-Body"/>
        <w:rPr>
          <w:szCs w:val="18"/>
        </w:rPr>
      </w:pPr>
      <w:r>
        <w:rPr>
          <w:szCs w:val="18"/>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13123DFD" w14:textId="77777777" w:rsidR="00D3765F" w:rsidRPr="00EF7CF9" w:rsidRDefault="00D3765F" w:rsidP="00CC255D">
      <w:pPr>
        <w:pStyle w:val="ProductList-Body"/>
      </w:pPr>
    </w:p>
    <w:p w14:paraId="18285BB6" w14:textId="5A50394D" w:rsidR="00494CDE" w:rsidRPr="00EF7CF9" w:rsidRDefault="00494CDE"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494CDE" w:rsidRPr="00B44CF9" w14:paraId="09EAD075" w14:textId="77777777" w:rsidTr="00085CEE">
        <w:trPr>
          <w:tblHeader/>
        </w:trPr>
        <w:tc>
          <w:tcPr>
            <w:tcW w:w="5400" w:type="dxa"/>
            <w:shd w:val="clear" w:color="auto" w:fill="0072C6"/>
          </w:tcPr>
          <w:p w14:paraId="5F530EA0" w14:textId="2B3C3276" w:rsidR="00494CDE"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064E67C" w14:textId="77777777" w:rsidR="00494CDE" w:rsidRPr="00EF7CF9" w:rsidRDefault="00494CDE" w:rsidP="002A586E">
            <w:pPr>
              <w:pStyle w:val="ProductList-OfferingBody"/>
              <w:jc w:val="center"/>
              <w:rPr>
                <w:color w:val="FFFFFF" w:themeColor="background1"/>
              </w:rPr>
            </w:pPr>
            <w:r>
              <w:rPr>
                <w:color w:val="FFFFFF" w:themeColor="background1"/>
              </w:rPr>
              <w:t>Środki Serwisowe na Używanie Usług</w:t>
            </w:r>
          </w:p>
        </w:tc>
      </w:tr>
      <w:tr w:rsidR="00494CDE" w:rsidRPr="00B44CF9" w14:paraId="0CA8BBCC" w14:textId="77777777" w:rsidTr="00085CEE">
        <w:tc>
          <w:tcPr>
            <w:tcW w:w="5400" w:type="dxa"/>
          </w:tcPr>
          <w:p w14:paraId="104BCED5" w14:textId="77777777" w:rsidR="00494CDE" w:rsidRPr="00EF7CF9" w:rsidRDefault="00494CDE" w:rsidP="002A586E">
            <w:pPr>
              <w:pStyle w:val="ProductList-OfferingBody"/>
              <w:jc w:val="center"/>
            </w:pPr>
            <w:r>
              <w:t>&lt; 99,9%</w:t>
            </w:r>
          </w:p>
        </w:tc>
        <w:tc>
          <w:tcPr>
            <w:tcW w:w="5400" w:type="dxa"/>
          </w:tcPr>
          <w:p w14:paraId="474A68F1" w14:textId="77777777" w:rsidR="00494CDE" w:rsidRPr="00EF7CF9" w:rsidRDefault="00494CDE" w:rsidP="002A586E">
            <w:pPr>
              <w:pStyle w:val="ProductList-OfferingBody"/>
              <w:jc w:val="center"/>
            </w:pPr>
            <w:r>
              <w:t>25%</w:t>
            </w:r>
          </w:p>
        </w:tc>
      </w:tr>
      <w:tr w:rsidR="00494CDE" w:rsidRPr="00B44CF9" w14:paraId="3C1C0ED2" w14:textId="77777777" w:rsidTr="00085CEE">
        <w:tc>
          <w:tcPr>
            <w:tcW w:w="5400" w:type="dxa"/>
          </w:tcPr>
          <w:p w14:paraId="40393735" w14:textId="77777777" w:rsidR="00494CDE" w:rsidRPr="00EF7CF9" w:rsidRDefault="00494CDE" w:rsidP="002A586E">
            <w:pPr>
              <w:pStyle w:val="ProductList-OfferingBody"/>
              <w:jc w:val="center"/>
            </w:pPr>
            <w:r>
              <w:t>&lt; 99%</w:t>
            </w:r>
          </w:p>
        </w:tc>
        <w:tc>
          <w:tcPr>
            <w:tcW w:w="5400" w:type="dxa"/>
          </w:tcPr>
          <w:p w14:paraId="6E07CBA3" w14:textId="77777777" w:rsidR="00494CDE" w:rsidRPr="00EF7CF9" w:rsidRDefault="00494CDE" w:rsidP="002A586E">
            <w:pPr>
              <w:pStyle w:val="ProductList-OfferingBody"/>
              <w:jc w:val="center"/>
            </w:pPr>
            <w:r>
              <w:t>50%</w:t>
            </w:r>
          </w:p>
        </w:tc>
      </w:tr>
      <w:tr w:rsidR="00494CDE" w:rsidRPr="00B44CF9" w14:paraId="0EDEF19A" w14:textId="77777777" w:rsidTr="00085CEE">
        <w:tc>
          <w:tcPr>
            <w:tcW w:w="5400" w:type="dxa"/>
          </w:tcPr>
          <w:p w14:paraId="1B7169A1" w14:textId="77777777" w:rsidR="00494CDE" w:rsidRPr="00EF7CF9" w:rsidRDefault="00494CDE" w:rsidP="00BA33EB">
            <w:pPr>
              <w:pStyle w:val="ProductList-OfferingBody"/>
              <w:jc w:val="center"/>
            </w:pPr>
            <w:r>
              <w:t>&lt; 95%</w:t>
            </w:r>
          </w:p>
        </w:tc>
        <w:tc>
          <w:tcPr>
            <w:tcW w:w="5400" w:type="dxa"/>
          </w:tcPr>
          <w:p w14:paraId="68EE0912" w14:textId="77777777" w:rsidR="00494CDE" w:rsidRPr="00EF7CF9" w:rsidRDefault="00494CDE" w:rsidP="003C0B57">
            <w:pPr>
              <w:pStyle w:val="ProductList-OfferingBody"/>
              <w:keepNext/>
              <w:jc w:val="center"/>
            </w:pPr>
            <w:r>
              <w:t>100%</w:t>
            </w:r>
          </w:p>
        </w:tc>
      </w:tr>
    </w:tbl>
    <w:bookmarkStart w:id="478" w:name="_Toc457821594"/>
    <w:p w14:paraId="69CDEA43" w14:textId="664D0B9F"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383E8B2" w14:textId="0A12754D" w:rsidR="00D46BBE" w:rsidRPr="00EF7CF9" w:rsidRDefault="00D46BBE" w:rsidP="002A586E">
      <w:pPr>
        <w:pStyle w:val="ProductList-Offering2Heading"/>
        <w:tabs>
          <w:tab w:val="clear" w:pos="360"/>
          <w:tab w:val="clear" w:pos="720"/>
          <w:tab w:val="clear" w:pos="1080"/>
        </w:tabs>
        <w:outlineLvl w:val="2"/>
      </w:pPr>
      <w:bookmarkStart w:id="479" w:name="_Toc239175104"/>
      <w:r>
        <w:t>Power BI Embedded</w:t>
      </w:r>
      <w:bookmarkEnd w:id="478"/>
      <w:bookmarkEnd w:id="479"/>
    </w:p>
    <w:p w14:paraId="6682B686" w14:textId="3F68ABF7" w:rsidR="00D46BBE" w:rsidRPr="00EF7CF9" w:rsidRDefault="00D46BBE" w:rsidP="002A586E">
      <w:pPr>
        <w:shd w:val="clear" w:color="auto" w:fill="FFFFFF"/>
        <w:spacing w:before="150" w:after="0" w:line="240" w:lineRule="auto"/>
        <w:rPr>
          <w:sz w:val="18"/>
          <w:szCs w:val="18"/>
        </w:rPr>
      </w:pPr>
      <w:r>
        <w:rPr>
          <w:b/>
          <w:color w:val="00188F"/>
          <w:sz w:val="18"/>
        </w:rPr>
        <w:t>Minuty wykorzystania</w:t>
      </w:r>
      <w:r w:rsidRPr="0034704E">
        <w:rPr>
          <w:b/>
          <w:color w:val="00188F"/>
          <w:sz w:val="18"/>
        </w:rPr>
        <w:t>:</w:t>
      </w:r>
      <w:r>
        <w:rPr>
          <w:sz w:val="18"/>
          <w:szCs w:val="18"/>
        </w:rPr>
        <w:t xml:space="preserve"> Łączna liczba minut, przez które dana wbudowana struktura wydajnościowa była aktywna we Właściwym Okresie.</w:t>
      </w:r>
    </w:p>
    <w:p w14:paraId="24389026" w14:textId="2D99E711" w:rsidR="00D46BBE" w:rsidRPr="00EF7CF9" w:rsidRDefault="0080752B" w:rsidP="002A586E">
      <w:pPr>
        <w:pStyle w:val="ProductList-Body"/>
        <w:rPr>
          <w:szCs w:val="18"/>
        </w:rPr>
      </w:pPr>
      <w:r>
        <w:rPr>
          <w:b/>
          <w:color w:val="00188F"/>
        </w:rPr>
        <w:t>Maksymalna Liczba Dostępnych Minut</w:t>
      </w:r>
      <w:r w:rsidRPr="0034704E">
        <w:rPr>
          <w:b/>
          <w:color w:val="00188F"/>
        </w:rPr>
        <w:t>:</w:t>
      </w:r>
      <w:r>
        <w:t xml:space="preserve"> </w:t>
      </w:r>
      <w:r>
        <w:rPr>
          <w:szCs w:val="18"/>
        </w:rPr>
        <w:t>Suma wszystkich Minut wykorzystania dla określonej wbudowanej struktury wydajnościowej udostępnionej przez klienta w ramach danej subskrypcji Microsoft Azure we Właściwym Okresie.</w:t>
      </w:r>
    </w:p>
    <w:p w14:paraId="51C796EF" w14:textId="6D9F6BFB" w:rsidR="00D46BBE" w:rsidRPr="00963F40" w:rsidRDefault="00D46BBE" w:rsidP="002A586E">
      <w:pPr>
        <w:pStyle w:val="ProductList-Body"/>
      </w:pPr>
      <w:r>
        <w:rPr>
          <w:b/>
          <w:color w:val="00188F"/>
        </w:rPr>
        <w:t>Minuty przestojów</w:t>
      </w:r>
      <w:r w:rsidRPr="0034704E">
        <w:rPr>
          <w:b/>
          <w:color w:val="00188F"/>
        </w:rPr>
        <w:t>:</w:t>
      </w:r>
      <w:r>
        <w:t xml:space="preserve"> </w:t>
      </w:r>
      <w:r>
        <w:rPr>
          <w:szCs w:val="18"/>
        </w:rPr>
        <w:t>Łączna liczba minut wykorzystania, podczas których nie można wykorzystać wbudowanej struktury wydajnościowej w wymienionych poniżej funkcjach usługi Power BI:</w:t>
      </w:r>
    </w:p>
    <w:p w14:paraId="3A0DFCD2" w14:textId="77777777" w:rsidR="005F6A67" w:rsidRPr="00562EF3" w:rsidRDefault="005F6A67" w:rsidP="005F6A67">
      <w:pPr>
        <w:pStyle w:val="ProductList-Body"/>
        <w:ind w:left="187"/>
        <w:rPr>
          <w:szCs w:val="18"/>
        </w:rPr>
      </w:pPr>
      <w:r>
        <w:rPr>
          <w:b/>
          <w:color w:val="00188F"/>
          <w:szCs w:val="18"/>
        </w:rPr>
        <w:t>Widok:</w:t>
      </w:r>
      <w:r>
        <w:rPr>
          <w:szCs w:val="18"/>
        </w:rPr>
        <w:t xml:space="preserve"> Wyświetlanie pulpitów nawigacyjnych, raportów i aplikacji usługi Power BI.</w:t>
      </w:r>
    </w:p>
    <w:p w14:paraId="45A8D5E3" w14:textId="77777777" w:rsidR="005F6A67" w:rsidRPr="004D0C63" w:rsidRDefault="005F6A67" w:rsidP="005F6A67">
      <w:pPr>
        <w:pStyle w:val="ProductList-Body"/>
        <w:ind w:left="187"/>
        <w:rPr>
          <w:spacing w:val="-2"/>
          <w:szCs w:val="18"/>
        </w:rPr>
      </w:pPr>
      <w:r w:rsidRPr="004D0C63">
        <w:rPr>
          <w:b/>
          <w:color w:val="00188F"/>
          <w:spacing w:val="-2"/>
          <w:szCs w:val="18"/>
        </w:rPr>
        <w:t>Odświeżenie zbioru danych:</w:t>
      </w:r>
      <w:r w:rsidRPr="004D0C63">
        <w:rPr>
          <w:spacing w:val="-2"/>
          <w:szCs w:val="18"/>
        </w:rPr>
        <w:t xml:space="preserve"> Planowanie lub ręczne uruchamianie operacji odświeżania i oczekiwanie, że operacje te zakończą się w spodziewanych ramach czasowych, biorąc pod uwagę wszystkie warunki, jakie mogą mieć wpływ na szybkość odświeżania (np. wielkość zbioru danych).</w:t>
      </w:r>
    </w:p>
    <w:p w14:paraId="792237E2" w14:textId="77777777" w:rsidR="005F6A67" w:rsidRPr="00F86AAF" w:rsidRDefault="005F6A67" w:rsidP="00F86AAF">
      <w:pPr>
        <w:spacing w:after="0" w:line="240" w:lineRule="auto"/>
        <w:ind w:left="187"/>
        <w:rPr>
          <w:rFonts w:ascii="Times New Roman" w:hAnsi="Times New Roman" w:cs="Times New Roman"/>
          <w:sz w:val="18"/>
          <w:szCs w:val="18"/>
        </w:rPr>
      </w:pPr>
      <w:r>
        <w:rPr>
          <w:b/>
          <w:color w:val="00188F"/>
          <w:sz w:val="18"/>
          <w:szCs w:val="18"/>
        </w:rPr>
        <w:t>Dostęp do portalu Power BI:</w:t>
      </w:r>
      <w:r>
        <w:rPr>
          <w:sz w:val="18"/>
          <w:szCs w:val="18"/>
        </w:rPr>
        <w:t xml:space="preserve"> Uzyskiwanie dostępu do portalu Power BI i korzystanie z niego w spodziewanych ramach czasowych z uwzględnieniem warunków sieciowych i ograniczeń obecnych w środowisku klienta oraz niezależnych od Microsoft.</w:t>
      </w:r>
      <w:r>
        <w:rPr>
          <w:rFonts w:ascii="Times New Roman" w:hAnsi="Times New Roman" w:cs="Times New Roman"/>
          <w:sz w:val="18"/>
          <w:szCs w:val="18"/>
        </w:rPr>
        <w:t xml:space="preserve"> </w:t>
      </w:r>
    </w:p>
    <w:p w14:paraId="3176D16B" w14:textId="7D30EEE2" w:rsidR="00D46BBE" w:rsidRPr="00EF7CF9"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3A481C1F" w14:textId="2DFF888F" w:rsidR="00D46BBE" w:rsidRPr="00EF7CF9" w:rsidRDefault="00000000" w:rsidP="00273C21">
      <w:pPr>
        <w:spacing w:before="120" w:after="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Maksymalna liczba Minut dostępności - liczba Minut przestojów</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462B60FD" w14:textId="77777777" w:rsidR="00D46BBE" w:rsidRPr="00EF7CF9" w:rsidRDefault="00D46BBE"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D46BBE" w:rsidRPr="00B44CF9" w14:paraId="3FBA7E0C" w14:textId="77777777" w:rsidTr="00BC681F">
        <w:trPr>
          <w:tblHeader/>
        </w:trPr>
        <w:tc>
          <w:tcPr>
            <w:tcW w:w="5400" w:type="dxa"/>
            <w:shd w:val="clear" w:color="auto" w:fill="0072C6"/>
          </w:tcPr>
          <w:p w14:paraId="0934A2C7" w14:textId="59495042" w:rsidR="00D46BBE"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4355701A" w14:textId="77777777" w:rsidR="00D46BBE" w:rsidRPr="00EF7CF9" w:rsidRDefault="00D46BBE" w:rsidP="002A586E">
            <w:pPr>
              <w:pStyle w:val="ProductList-OfferingBody"/>
              <w:jc w:val="center"/>
              <w:rPr>
                <w:color w:val="FFFFFF" w:themeColor="background1"/>
              </w:rPr>
            </w:pPr>
            <w:r>
              <w:rPr>
                <w:color w:val="FFFFFF" w:themeColor="background1"/>
              </w:rPr>
              <w:t>Środki Serwisowe na Używanie Usług</w:t>
            </w:r>
          </w:p>
        </w:tc>
      </w:tr>
      <w:tr w:rsidR="00D46BBE" w:rsidRPr="00B44CF9" w14:paraId="6AA7281E" w14:textId="77777777" w:rsidTr="00BC681F">
        <w:tc>
          <w:tcPr>
            <w:tcW w:w="5400" w:type="dxa"/>
          </w:tcPr>
          <w:p w14:paraId="70825BB6" w14:textId="77777777" w:rsidR="00D46BBE" w:rsidRPr="00EF7CF9" w:rsidRDefault="00D46BBE" w:rsidP="002A586E">
            <w:pPr>
              <w:pStyle w:val="ProductList-OfferingBody"/>
              <w:jc w:val="center"/>
            </w:pPr>
            <w:r>
              <w:t>&lt; 99,9%</w:t>
            </w:r>
          </w:p>
        </w:tc>
        <w:tc>
          <w:tcPr>
            <w:tcW w:w="5400" w:type="dxa"/>
          </w:tcPr>
          <w:p w14:paraId="54054EA6" w14:textId="77777777" w:rsidR="00D46BBE" w:rsidRPr="00EF7CF9" w:rsidRDefault="00D46BBE" w:rsidP="002A586E">
            <w:pPr>
              <w:pStyle w:val="ProductList-OfferingBody"/>
              <w:jc w:val="center"/>
            </w:pPr>
            <w:r>
              <w:t>10%</w:t>
            </w:r>
          </w:p>
        </w:tc>
      </w:tr>
      <w:tr w:rsidR="00D46BBE" w:rsidRPr="00B44CF9" w14:paraId="19F0B536" w14:textId="77777777" w:rsidTr="00BC681F">
        <w:tc>
          <w:tcPr>
            <w:tcW w:w="5400" w:type="dxa"/>
          </w:tcPr>
          <w:p w14:paraId="29BB03BB" w14:textId="77777777" w:rsidR="00D46BBE" w:rsidRPr="00EF7CF9" w:rsidRDefault="00D46BBE" w:rsidP="002A586E">
            <w:pPr>
              <w:pStyle w:val="ProductList-OfferingBody"/>
              <w:jc w:val="center"/>
            </w:pPr>
            <w:r>
              <w:t>&lt; 99%</w:t>
            </w:r>
          </w:p>
        </w:tc>
        <w:tc>
          <w:tcPr>
            <w:tcW w:w="5400" w:type="dxa"/>
          </w:tcPr>
          <w:p w14:paraId="068AE7F1" w14:textId="77777777" w:rsidR="00D46BBE" w:rsidRPr="00EF7CF9" w:rsidRDefault="00D46BBE" w:rsidP="002A586E">
            <w:pPr>
              <w:pStyle w:val="ProductList-OfferingBody"/>
              <w:jc w:val="center"/>
            </w:pPr>
            <w:r>
              <w:t>25%</w:t>
            </w:r>
          </w:p>
        </w:tc>
      </w:tr>
    </w:tbl>
    <w:bookmarkStart w:id="480" w:name="_Toc457821595"/>
    <w:p w14:paraId="1BA0FF22" w14:textId="4A6D1395"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2D2D524F" w14:textId="70462449" w:rsidR="002D6A90" w:rsidRPr="00EF7CF9" w:rsidRDefault="002D6A90" w:rsidP="008F1AAC">
      <w:pPr>
        <w:pStyle w:val="ProductList-Offering2Heading"/>
        <w:keepNext/>
        <w:tabs>
          <w:tab w:val="clear" w:pos="360"/>
          <w:tab w:val="clear" w:pos="720"/>
          <w:tab w:val="clear" w:pos="1080"/>
        </w:tabs>
        <w:outlineLvl w:val="2"/>
      </w:pPr>
      <w:bookmarkStart w:id="481" w:name="_Toc239175105"/>
      <w:r>
        <w:t>Power BI Premium</w:t>
      </w:r>
      <w:bookmarkEnd w:id="481"/>
    </w:p>
    <w:p w14:paraId="4D4399A1" w14:textId="321DBA50" w:rsidR="002D6A90" w:rsidRPr="00EF7CF9" w:rsidRDefault="002D6A90" w:rsidP="00B62DF7">
      <w:pPr>
        <w:pStyle w:val="ProductList-Body"/>
        <w:ind w:right="288"/>
      </w:pPr>
      <w:r>
        <w:rPr>
          <w:b/>
          <w:color w:val="00188F"/>
        </w:rPr>
        <w:t>Struktura wydajnościowa:</w:t>
      </w:r>
      <w:r>
        <w:t xml:space="preserve"> Oznacza nazwaną strukturę wydajnościową udostępnianą przez administratora za pośrednictwem portalu administracyjnego struktury wydajnościowej usługi Power BI Premium. Struktura Wydajnościowa zapewniana jest w ramach co najmniej jednego węzła.</w:t>
      </w:r>
    </w:p>
    <w:p w14:paraId="13BA1B34" w14:textId="6C98CD10" w:rsidR="002D6A90" w:rsidRPr="00EF7CF9" w:rsidRDefault="002D6A90" w:rsidP="00B62DF7">
      <w:pPr>
        <w:pStyle w:val="ProductList-Body"/>
      </w:pPr>
      <w:r>
        <w:rPr>
          <w:b/>
          <w:color w:val="00188F"/>
        </w:rPr>
        <w:t>Maksymalna Liczba Dostępnych Minut:</w:t>
      </w:r>
      <w:r>
        <w:t xml:space="preserve"> Suma wszystkich minut, przez które dana Struktura Wydajnościowa była utworzona we Właściwym Okresie dla danego dzierżawcy.</w:t>
      </w:r>
    </w:p>
    <w:p w14:paraId="3EBB5A05" w14:textId="3CFFDDE4" w:rsidR="002D6A90" w:rsidRPr="00EF7CF9" w:rsidRDefault="002D6A90" w:rsidP="00B62DF7">
      <w:pPr>
        <w:pStyle w:val="ProductList-Body"/>
      </w:pPr>
      <w:r>
        <w:rPr>
          <w:b/>
          <w:color w:val="00188F"/>
        </w:rPr>
        <w:t>Minuty przestojów</w:t>
      </w:r>
      <w:r w:rsidRPr="0034704E">
        <w:rPr>
          <w:b/>
          <w:color w:val="00188F"/>
        </w:rPr>
        <w:t>:</w:t>
      </w:r>
      <w:r>
        <w:t xml:space="preserve"> </w:t>
      </w:r>
      <w:r>
        <w:rPr>
          <w:szCs w:val="18"/>
        </w:rPr>
        <w:t>Całkowita skumulowana liczba minut we Właściwym Okresie dla danej Struktury Wydajnościowej lub po jej utworzeniu i przed jej wyrejestrowaniem, kiedy nie można jej wykorzystać w funkcjach usługi Power BI wymienionych poniżej:</w:t>
      </w:r>
    </w:p>
    <w:p w14:paraId="3BFB5669" w14:textId="77777777" w:rsidR="00CA5CE3" w:rsidRDefault="00CA5CE3" w:rsidP="00B62DF7">
      <w:pPr>
        <w:pStyle w:val="ProductList-Body"/>
        <w:ind w:left="187"/>
        <w:rPr>
          <w:szCs w:val="18"/>
        </w:rPr>
      </w:pPr>
      <w:r>
        <w:rPr>
          <w:b/>
          <w:color w:val="00188F"/>
        </w:rPr>
        <w:t>Widok:</w:t>
      </w:r>
      <w:r>
        <w:rPr>
          <w:szCs w:val="18"/>
        </w:rPr>
        <w:t xml:space="preserve"> Wyświetlanie pulpitów nawigacyjnych, raportów i aplikacji usługi Power BI.</w:t>
      </w:r>
    </w:p>
    <w:p w14:paraId="342ED7E2" w14:textId="77777777" w:rsidR="00CA5CE3" w:rsidRPr="004D0C63" w:rsidRDefault="00CA5CE3" w:rsidP="00CA5CE3">
      <w:pPr>
        <w:pStyle w:val="ProductList-Body"/>
        <w:ind w:left="187"/>
        <w:rPr>
          <w:spacing w:val="-2"/>
          <w:szCs w:val="18"/>
        </w:rPr>
      </w:pPr>
      <w:r w:rsidRPr="004D0C63">
        <w:rPr>
          <w:b/>
          <w:color w:val="00188F"/>
          <w:spacing w:val="-2"/>
        </w:rPr>
        <w:t>Odświeżenie zbioru danych:</w:t>
      </w:r>
      <w:r w:rsidRPr="004D0C63">
        <w:rPr>
          <w:spacing w:val="-2"/>
          <w:szCs w:val="18"/>
        </w:rPr>
        <w:t xml:space="preserve"> Planowanie lub ręczne uruchamianie operacji odświeżania i oczekiwanie, że operacje te zakończą się w spodziewanych ramach czasowych, biorąc pod uwagę wszystkie warunki, jakie mogą mieć wpływ na szybkość odświeżania (np. wielkość zbioru danych).</w:t>
      </w:r>
    </w:p>
    <w:p w14:paraId="5C6B8C0C" w14:textId="01C7F631" w:rsidR="00CA5CE3" w:rsidRPr="00F86AAF" w:rsidRDefault="00CA5CE3" w:rsidP="00F86AAF">
      <w:pPr>
        <w:pStyle w:val="ProductList-Body"/>
        <w:ind w:left="180"/>
        <w:rPr>
          <w:szCs w:val="18"/>
        </w:rPr>
      </w:pPr>
      <w:r>
        <w:rPr>
          <w:b/>
          <w:color w:val="00188F"/>
        </w:rPr>
        <w:t>Dostęp do portalu Power BI:</w:t>
      </w:r>
      <w:r>
        <w:rPr>
          <w:szCs w:val="18"/>
        </w:rPr>
        <w:t xml:space="preserve"> Uzyskiwanie dostępu do portalu Power BI i korzystanie z niego w spodziewanych ramach czasowych z uwzględnieniem warunków sieciowych i ograniczeń obecnych w środowisku klienta oraz niezależnych od Microsoft.</w:t>
      </w:r>
    </w:p>
    <w:p w14:paraId="2C1620AE" w14:textId="243C66A8" w:rsidR="002D6A90"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67F0784B" w14:textId="324B2EB7" w:rsidR="002D6A90" w:rsidRPr="009E2B16" w:rsidRDefault="00000000" w:rsidP="008D7693">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Maksymalna liczba Minut dostępności - liczba Minut przestojów</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18365CB1" w14:textId="4208D190" w:rsidR="002D6A90" w:rsidRPr="00EF7CF9" w:rsidRDefault="002D6A90"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2D6A90" w:rsidRPr="00B44CF9" w14:paraId="3B3873CE" w14:textId="77777777" w:rsidTr="00EE6CC5">
        <w:trPr>
          <w:tblHeader/>
        </w:trPr>
        <w:tc>
          <w:tcPr>
            <w:tcW w:w="5400" w:type="dxa"/>
            <w:shd w:val="clear" w:color="auto" w:fill="0072C6"/>
          </w:tcPr>
          <w:p w14:paraId="788EA819" w14:textId="3C3B03A3" w:rsidR="002D6A90"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13D3B0F5" w14:textId="77777777" w:rsidR="002D6A90" w:rsidRPr="00EF7CF9" w:rsidRDefault="002D6A90" w:rsidP="002A586E">
            <w:pPr>
              <w:pStyle w:val="ProductList-OfferingBody"/>
              <w:jc w:val="center"/>
              <w:rPr>
                <w:color w:val="FFFFFF" w:themeColor="background1"/>
              </w:rPr>
            </w:pPr>
            <w:r>
              <w:rPr>
                <w:color w:val="FFFFFF" w:themeColor="background1"/>
              </w:rPr>
              <w:t>Środki Serwisowe na Używanie Usług</w:t>
            </w:r>
          </w:p>
        </w:tc>
      </w:tr>
      <w:tr w:rsidR="002D6A90" w:rsidRPr="00B44CF9" w14:paraId="3719FC9D" w14:textId="77777777" w:rsidTr="00EE6CC5">
        <w:tc>
          <w:tcPr>
            <w:tcW w:w="5400" w:type="dxa"/>
          </w:tcPr>
          <w:p w14:paraId="7FBF86A4" w14:textId="77777777" w:rsidR="002D6A90" w:rsidRPr="00EF7CF9" w:rsidRDefault="002D6A90" w:rsidP="002A586E">
            <w:pPr>
              <w:pStyle w:val="ProductList-OfferingBody"/>
              <w:jc w:val="center"/>
            </w:pPr>
            <w:r>
              <w:t>&lt; 99,9%</w:t>
            </w:r>
          </w:p>
        </w:tc>
        <w:tc>
          <w:tcPr>
            <w:tcW w:w="5400" w:type="dxa"/>
          </w:tcPr>
          <w:p w14:paraId="719D357D" w14:textId="1400E17F" w:rsidR="002D6A90" w:rsidRPr="00EF7CF9" w:rsidRDefault="002D6A90" w:rsidP="002A586E">
            <w:pPr>
              <w:pStyle w:val="ProductList-OfferingBody"/>
              <w:jc w:val="center"/>
            </w:pPr>
            <w:r>
              <w:t>10%</w:t>
            </w:r>
          </w:p>
        </w:tc>
      </w:tr>
      <w:tr w:rsidR="002D6A90" w:rsidRPr="00B44CF9" w14:paraId="36B73CB5" w14:textId="77777777" w:rsidTr="00EE6CC5">
        <w:tc>
          <w:tcPr>
            <w:tcW w:w="5400" w:type="dxa"/>
          </w:tcPr>
          <w:p w14:paraId="7AFCE4C7" w14:textId="77777777" w:rsidR="002D6A90" w:rsidRPr="00EF7CF9" w:rsidRDefault="002D6A90" w:rsidP="00DC0631">
            <w:pPr>
              <w:pStyle w:val="ProductList-OfferingBody"/>
              <w:jc w:val="center"/>
            </w:pPr>
            <w:r>
              <w:t>&lt; 99%</w:t>
            </w:r>
          </w:p>
        </w:tc>
        <w:tc>
          <w:tcPr>
            <w:tcW w:w="5400" w:type="dxa"/>
          </w:tcPr>
          <w:p w14:paraId="52E1AD03" w14:textId="14F3C7FF" w:rsidR="002D6A90" w:rsidRPr="00EF7CF9" w:rsidRDefault="002D6A90" w:rsidP="002A586E">
            <w:pPr>
              <w:pStyle w:val="ProductList-OfferingBody"/>
              <w:jc w:val="center"/>
            </w:pPr>
            <w:r>
              <w:t>25%</w:t>
            </w:r>
          </w:p>
        </w:tc>
      </w:tr>
    </w:tbl>
    <w:p w14:paraId="0A687952" w14:textId="00CA6853"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7B30F133" w14:textId="3DE0C902" w:rsidR="00515EF4" w:rsidRPr="00EF7CF9" w:rsidRDefault="00515EF4" w:rsidP="002149D5">
      <w:pPr>
        <w:pStyle w:val="ProductList-Offering2Heading"/>
        <w:keepNext/>
        <w:tabs>
          <w:tab w:val="clear" w:pos="360"/>
          <w:tab w:val="clear" w:pos="720"/>
          <w:tab w:val="clear" w:pos="1080"/>
        </w:tabs>
        <w:outlineLvl w:val="2"/>
      </w:pPr>
      <w:bookmarkStart w:id="482" w:name="_Toc239175106"/>
      <w:r>
        <w:t>Power BI Pro</w:t>
      </w:r>
      <w:bookmarkEnd w:id="465"/>
      <w:bookmarkEnd w:id="480"/>
      <w:bookmarkEnd w:id="482"/>
    </w:p>
    <w:p w14:paraId="2632FEBC" w14:textId="4613EEF9" w:rsidR="00595E65" w:rsidRDefault="00515EF4" w:rsidP="00595E65">
      <w:pPr>
        <w:pStyle w:val="ProductList-Body"/>
        <w:rPr>
          <w:szCs w:val="18"/>
        </w:rPr>
      </w:pPr>
      <w:r>
        <w:rPr>
          <w:b/>
          <w:color w:val="00188F"/>
        </w:rPr>
        <w:t>Minuty przestojów</w:t>
      </w:r>
      <w:r w:rsidRPr="0034704E">
        <w:rPr>
          <w:b/>
          <w:color w:val="00188F"/>
        </w:rPr>
        <w:t>:</w:t>
      </w:r>
      <w:r>
        <w:t xml:space="preserve"> </w:t>
      </w:r>
      <w:r>
        <w:rPr>
          <w:szCs w:val="18"/>
        </w:rPr>
        <w:t>Całkowita skumulowana liczba minut we Właściwym Okresie, kiedy wszystkie wymienione poniżej funkcje usługi Power BI są niedostępne:</w:t>
      </w:r>
    </w:p>
    <w:p w14:paraId="0D632B65" w14:textId="77777777" w:rsidR="00595E65" w:rsidRDefault="00595E65" w:rsidP="00595E65">
      <w:pPr>
        <w:pStyle w:val="ProductList-Body"/>
        <w:ind w:left="187"/>
        <w:rPr>
          <w:szCs w:val="18"/>
        </w:rPr>
      </w:pPr>
      <w:r>
        <w:rPr>
          <w:b/>
          <w:color w:val="00188F"/>
        </w:rPr>
        <w:t>Widok:</w:t>
      </w:r>
      <w:r>
        <w:rPr>
          <w:szCs w:val="18"/>
        </w:rPr>
        <w:t xml:space="preserve"> Wyświetlanie pulpitów nawigacyjnych, raportów i aplikacji usługi Power BI.</w:t>
      </w:r>
    </w:p>
    <w:p w14:paraId="308484E7" w14:textId="77777777" w:rsidR="00595E65" w:rsidRPr="004D0C63" w:rsidRDefault="00595E65" w:rsidP="00595E65">
      <w:pPr>
        <w:pStyle w:val="ProductList-Body"/>
        <w:ind w:left="187"/>
        <w:rPr>
          <w:spacing w:val="-2"/>
          <w:szCs w:val="18"/>
        </w:rPr>
      </w:pPr>
      <w:r w:rsidRPr="004D0C63">
        <w:rPr>
          <w:b/>
          <w:color w:val="00188F"/>
          <w:spacing w:val="-2"/>
        </w:rPr>
        <w:t>Odświeżenie zbioru danych:</w:t>
      </w:r>
      <w:r w:rsidRPr="004D0C63">
        <w:rPr>
          <w:spacing w:val="-2"/>
          <w:szCs w:val="18"/>
        </w:rPr>
        <w:t xml:space="preserve"> Planowanie lub ręczne uruchamianie operacji odświeżania i oczekiwanie, że operacje te zakończą się w spodziewanych ramach czasowych, biorąc pod uwagę wszystkie warunki, jakie mogą mieć wpływ na szybkość odświeżania (np. wielkość zbioru danych).</w:t>
      </w:r>
    </w:p>
    <w:p w14:paraId="66EB6922" w14:textId="77777777" w:rsidR="00595E65" w:rsidRDefault="00595E65" w:rsidP="00595E65">
      <w:pPr>
        <w:pStyle w:val="ProductList-Body"/>
        <w:ind w:left="180"/>
        <w:rPr>
          <w:szCs w:val="18"/>
        </w:rPr>
      </w:pPr>
      <w:r>
        <w:rPr>
          <w:b/>
          <w:color w:val="00188F"/>
        </w:rPr>
        <w:t>Dostęp do portalu Power BI:</w:t>
      </w:r>
      <w:r>
        <w:rPr>
          <w:szCs w:val="18"/>
        </w:rPr>
        <w:t xml:space="preserve"> Uzyskiwanie dostępu do portalu Power BI i korzystanie z niego w spodziewanych ramach czasowych z uwzględnieniem warunków sieciowych i ograniczeń obecnych w środowisku klienta oraz niezależnych od Microsoft.</w:t>
      </w:r>
    </w:p>
    <w:p w14:paraId="49ECCD62" w14:textId="3CA45863" w:rsidR="00515EF4" w:rsidRDefault="00AC48A7" w:rsidP="002A586E">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5A7E48F2" w14:textId="27D12848" w:rsidR="00515EF4" w:rsidRPr="009E2B16" w:rsidRDefault="00000000" w:rsidP="00757B04">
      <w:pPr>
        <w:spacing w:before="120" w:after="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 miesiącu - liczba Minut przestojów</m:t>
              </m:r>
            </m:num>
            <m:den>
              <m:r>
                <m:rPr>
                  <m:nor/>
                </m:rPr>
                <w:rPr>
                  <w:rFonts w:ascii="Cambria Math" w:hAnsi="Cambria Math" w:cs="Calibri"/>
                  <w:i/>
                  <w:sz w:val="18"/>
                  <w:szCs w:val="18"/>
                </w:rPr>
                <m:t>Łączna liczba minut w miesiącu</m:t>
              </m:r>
            </m:den>
          </m:f>
          <m:r>
            <w:rPr>
              <w:rFonts w:ascii="Cambria Math" w:hAnsi="Cambria Math" w:cs="Calibri"/>
              <w:sz w:val="18"/>
              <w:szCs w:val="18"/>
            </w:rPr>
            <m:t xml:space="preserve"> x 100</m:t>
          </m:r>
        </m:oMath>
      </m:oMathPara>
    </w:p>
    <w:p w14:paraId="2865395D" w14:textId="4A0086B0" w:rsidR="00515EF4" w:rsidRPr="00EF7CF9" w:rsidRDefault="00515EF4" w:rsidP="00BE5CDB">
      <w:pPr>
        <w:pStyle w:val="ProductList-Body"/>
        <w:keepNext/>
        <w:keepLines/>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3344F223" w14:textId="77777777" w:rsidTr="00515EF4">
        <w:trPr>
          <w:tblHeader/>
        </w:trPr>
        <w:tc>
          <w:tcPr>
            <w:tcW w:w="5400" w:type="dxa"/>
            <w:shd w:val="clear" w:color="auto" w:fill="0072C6"/>
          </w:tcPr>
          <w:p w14:paraId="4E5673E9" w14:textId="07DF972C" w:rsidR="00515EF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65A9844A" w14:textId="77777777" w:rsidR="00515EF4" w:rsidRPr="00EF7CF9" w:rsidRDefault="00515EF4" w:rsidP="002A586E">
            <w:pPr>
              <w:pStyle w:val="ProductList-OfferingBody"/>
              <w:jc w:val="center"/>
              <w:rPr>
                <w:color w:val="FFFFFF" w:themeColor="background1"/>
              </w:rPr>
            </w:pPr>
            <w:r>
              <w:rPr>
                <w:color w:val="FFFFFF" w:themeColor="background1"/>
              </w:rPr>
              <w:t>Środki Serwisowe na Używanie Usług</w:t>
            </w:r>
          </w:p>
        </w:tc>
      </w:tr>
      <w:tr w:rsidR="00515EF4" w:rsidRPr="00B44CF9" w14:paraId="280D4F83" w14:textId="77777777" w:rsidTr="00515EF4">
        <w:tc>
          <w:tcPr>
            <w:tcW w:w="5400" w:type="dxa"/>
          </w:tcPr>
          <w:p w14:paraId="7709E7BA" w14:textId="21217632" w:rsidR="00515EF4" w:rsidRPr="00EF7CF9" w:rsidRDefault="00515EF4" w:rsidP="002A586E">
            <w:pPr>
              <w:pStyle w:val="ProductList-OfferingBody"/>
              <w:jc w:val="center"/>
            </w:pPr>
            <w:r>
              <w:t>&lt; 99,9%</w:t>
            </w:r>
          </w:p>
        </w:tc>
        <w:tc>
          <w:tcPr>
            <w:tcW w:w="5400" w:type="dxa"/>
          </w:tcPr>
          <w:p w14:paraId="520BC18E" w14:textId="77777777" w:rsidR="00515EF4" w:rsidRPr="00EF7CF9" w:rsidRDefault="00515EF4" w:rsidP="002A586E">
            <w:pPr>
              <w:pStyle w:val="ProductList-OfferingBody"/>
              <w:jc w:val="center"/>
            </w:pPr>
            <w:r>
              <w:t>25%</w:t>
            </w:r>
          </w:p>
        </w:tc>
      </w:tr>
      <w:tr w:rsidR="00515EF4" w:rsidRPr="00B44CF9" w14:paraId="770309F5" w14:textId="77777777" w:rsidTr="00515EF4">
        <w:tc>
          <w:tcPr>
            <w:tcW w:w="5400" w:type="dxa"/>
          </w:tcPr>
          <w:p w14:paraId="21B00FC9" w14:textId="1BC0291E" w:rsidR="00515EF4" w:rsidRPr="00EF7CF9" w:rsidRDefault="00515EF4" w:rsidP="002A586E">
            <w:pPr>
              <w:pStyle w:val="ProductList-OfferingBody"/>
              <w:jc w:val="center"/>
            </w:pPr>
            <w:r>
              <w:t>&lt; 99%</w:t>
            </w:r>
          </w:p>
        </w:tc>
        <w:tc>
          <w:tcPr>
            <w:tcW w:w="5400" w:type="dxa"/>
          </w:tcPr>
          <w:p w14:paraId="7A5A5886" w14:textId="77777777" w:rsidR="00515EF4" w:rsidRPr="00EF7CF9" w:rsidRDefault="00515EF4" w:rsidP="002A586E">
            <w:pPr>
              <w:pStyle w:val="ProductList-OfferingBody"/>
              <w:jc w:val="center"/>
            </w:pPr>
            <w:r>
              <w:t>50%</w:t>
            </w:r>
          </w:p>
        </w:tc>
      </w:tr>
      <w:tr w:rsidR="00515EF4" w:rsidRPr="00B44CF9" w14:paraId="40F5B3FA" w14:textId="77777777" w:rsidTr="00515EF4">
        <w:tc>
          <w:tcPr>
            <w:tcW w:w="5400" w:type="dxa"/>
          </w:tcPr>
          <w:p w14:paraId="4AA1F0D1" w14:textId="35F62C48" w:rsidR="00515EF4" w:rsidRPr="00EF7CF9" w:rsidRDefault="00515EF4" w:rsidP="002A586E">
            <w:pPr>
              <w:pStyle w:val="ProductList-OfferingBody"/>
              <w:jc w:val="center"/>
            </w:pPr>
            <w:r>
              <w:t>&lt; 95%</w:t>
            </w:r>
          </w:p>
        </w:tc>
        <w:tc>
          <w:tcPr>
            <w:tcW w:w="5400" w:type="dxa"/>
          </w:tcPr>
          <w:p w14:paraId="41A062A9" w14:textId="77777777" w:rsidR="00515EF4" w:rsidRPr="00EF7CF9" w:rsidRDefault="00515EF4" w:rsidP="002A586E">
            <w:pPr>
              <w:pStyle w:val="ProductList-OfferingBody"/>
              <w:jc w:val="center"/>
            </w:pPr>
            <w:r>
              <w:t>100%</w:t>
            </w:r>
          </w:p>
        </w:tc>
      </w:tr>
    </w:tbl>
    <w:bookmarkStart w:id="483" w:name="_Toc457821596"/>
    <w:p w14:paraId="6502FA94" w14:textId="428DD185"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33137B2B" w14:textId="58C67343" w:rsidR="00515EF4" w:rsidRPr="00EF7CF9" w:rsidRDefault="00E3036E" w:rsidP="002A586E">
      <w:pPr>
        <w:pStyle w:val="ProductList-Offering2Heading"/>
        <w:tabs>
          <w:tab w:val="clear" w:pos="360"/>
          <w:tab w:val="clear" w:pos="720"/>
          <w:tab w:val="clear" w:pos="1080"/>
        </w:tabs>
        <w:outlineLvl w:val="2"/>
      </w:pPr>
      <w:bookmarkStart w:id="484" w:name="_Toc239175107"/>
      <w:r>
        <w:t>Azure</w:t>
      </w:r>
      <w:r w:rsidR="00515EF4">
        <w:t xml:space="preserve"> AI Translator</w:t>
      </w:r>
      <w:bookmarkEnd w:id="483"/>
      <w:bookmarkEnd w:id="484"/>
    </w:p>
    <w:p w14:paraId="0D68E64F" w14:textId="1CB465B2" w:rsidR="00515EF4" w:rsidRPr="00EF7CF9" w:rsidRDefault="00515EF4" w:rsidP="002A586E">
      <w:pPr>
        <w:pStyle w:val="ProductList-Body"/>
      </w:pPr>
      <w:r>
        <w:rPr>
          <w:b/>
          <w:color w:val="00188F"/>
        </w:rPr>
        <w:t>Przestój</w:t>
      </w:r>
      <w:r w:rsidRPr="0034704E">
        <w:rPr>
          <w:b/>
          <w:color w:val="00188F"/>
        </w:rPr>
        <w:t>:</w:t>
      </w:r>
      <w:r>
        <w:t xml:space="preserve"> </w:t>
      </w:r>
      <w:r>
        <w:rPr>
          <w:szCs w:val="18"/>
        </w:rPr>
        <w:t>Dowolny okres, w którym użytkownicy nie mogą wykonywać tłumaczeń.</w:t>
      </w:r>
    </w:p>
    <w:p w14:paraId="2A370CEF" w14:textId="5340E59C" w:rsidR="00515EF4" w:rsidRDefault="00AC48A7" w:rsidP="00657A3A">
      <w:pPr>
        <w:pStyle w:val="ProductList-Body"/>
        <w:keepNext/>
      </w:pPr>
      <w:r>
        <w:rPr>
          <w:b/>
          <w:color w:val="00188F"/>
        </w:rPr>
        <w:t>Procent Czasu Sprawnego Działania</w:t>
      </w:r>
      <w:r w:rsidRPr="0034704E">
        <w:rPr>
          <w:b/>
          <w:color w:val="00188F"/>
        </w:rPr>
        <w:t>:</w:t>
      </w:r>
      <w:r>
        <w:t xml:space="preserve"> Procent Czasu Sprawnego Działania jest obliczany przy użyciu następującego wzoru:</w:t>
      </w:r>
    </w:p>
    <w:p w14:paraId="728BF4C5" w14:textId="1B945FAC" w:rsidR="00515EF4" w:rsidRPr="009E2B16" w:rsidRDefault="00000000" w:rsidP="00BD59B3">
      <w:pPr>
        <w:spacing w:before="120" w:after="120" w:line="240" w:lineRule="auto"/>
        <w:jc w:val="both"/>
        <w:rPr>
          <w:rFonts w:ascii="Cambria Math" w:hAnsi="Cambria Math" w:cs="Calibri"/>
          <w:i/>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Łączna liczba minut we Właściwym Okresie - Przestój</m:t>
              </m:r>
            </m:num>
            <m:den>
              <m:r>
                <m:rPr>
                  <m:nor/>
                </m:rPr>
                <w:rPr>
                  <w:rFonts w:ascii="Cambria Math" w:hAnsi="Cambria Math" w:cs="Calibri"/>
                  <w:i/>
                  <w:sz w:val="18"/>
                  <w:szCs w:val="18"/>
                </w:rPr>
                <m:t>Łączna liczba minut we Właściwym Okresie</m:t>
              </m:r>
            </m:den>
          </m:f>
          <m:r>
            <w:rPr>
              <w:rFonts w:ascii="Cambria Math" w:hAnsi="Cambria Math" w:cs="Calibri"/>
              <w:sz w:val="18"/>
              <w:szCs w:val="18"/>
            </w:rPr>
            <m:t xml:space="preserve"> x 100</m:t>
          </m:r>
        </m:oMath>
      </m:oMathPara>
    </w:p>
    <w:p w14:paraId="7E3A2E69" w14:textId="65F88F81" w:rsidR="00515EF4" w:rsidRDefault="00D46DC5" w:rsidP="002A586E">
      <w:pPr>
        <w:pStyle w:val="ProductList-Body"/>
        <w:rPr>
          <w:szCs w:val="18"/>
        </w:rPr>
      </w:pPr>
      <w:r>
        <w:rPr>
          <w:szCs w:val="18"/>
        </w:rPr>
        <w:t>gdzie Przestój jest mierzony jako całkowita liczba minut we Właściwym Okresie, gdy aspekty Usługi określone powyżej są niedostępne.</w:t>
      </w:r>
    </w:p>
    <w:p w14:paraId="41966AA1" w14:textId="77777777" w:rsidR="00D3765F" w:rsidRDefault="00D3765F" w:rsidP="002A586E">
      <w:pPr>
        <w:pStyle w:val="ProductList-Body"/>
        <w:rPr>
          <w:szCs w:val="18"/>
        </w:rPr>
      </w:pPr>
    </w:p>
    <w:p w14:paraId="1A614EB8" w14:textId="77777777" w:rsidR="00515EF4" w:rsidRPr="00EF7CF9" w:rsidRDefault="00515EF4" w:rsidP="002A586E">
      <w:pPr>
        <w:pStyle w:val="ProductList-Body"/>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515EF4" w:rsidRPr="00B44CF9" w14:paraId="6B78A827" w14:textId="77777777" w:rsidTr="00515EF4">
        <w:trPr>
          <w:tblHeader/>
        </w:trPr>
        <w:tc>
          <w:tcPr>
            <w:tcW w:w="5400" w:type="dxa"/>
            <w:shd w:val="clear" w:color="auto" w:fill="0072C6"/>
          </w:tcPr>
          <w:p w14:paraId="2215AAC8" w14:textId="0BA626A7" w:rsidR="00515EF4" w:rsidRPr="00EF7CF9" w:rsidRDefault="00AC48A7" w:rsidP="002A586E">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34458E81" w14:textId="77777777" w:rsidR="00515EF4" w:rsidRPr="00EF7CF9" w:rsidRDefault="00515EF4" w:rsidP="002A586E">
            <w:pPr>
              <w:pStyle w:val="ProductList-OfferingBody"/>
              <w:jc w:val="center"/>
              <w:rPr>
                <w:color w:val="FFFFFF" w:themeColor="background1"/>
              </w:rPr>
            </w:pPr>
            <w:r>
              <w:rPr>
                <w:color w:val="FFFFFF" w:themeColor="background1"/>
              </w:rPr>
              <w:t>Środki Serwisowe na Używanie Usług</w:t>
            </w:r>
          </w:p>
        </w:tc>
      </w:tr>
      <w:tr w:rsidR="00515EF4" w:rsidRPr="00B44CF9" w14:paraId="710135BB" w14:textId="77777777" w:rsidTr="00515EF4">
        <w:tc>
          <w:tcPr>
            <w:tcW w:w="5400" w:type="dxa"/>
          </w:tcPr>
          <w:p w14:paraId="0ED7D057" w14:textId="400D8B77" w:rsidR="00515EF4" w:rsidRPr="00EF7CF9" w:rsidRDefault="00515EF4" w:rsidP="002A586E">
            <w:pPr>
              <w:pStyle w:val="ProductList-OfferingBody"/>
              <w:jc w:val="center"/>
            </w:pPr>
            <w:r>
              <w:t>&lt; 99,9%</w:t>
            </w:r>
          </w:p>
        </w:tc>
        <w:tc>
          <w:tcPr>
            <w:tcW w:w="5400" w:type="dxa"/>
          </w:tcPr>
          <w:p w14:paraId="086049F0" w14:textId="77777777" w:rsidR="00515EF4" w:rsidRPr="00EF7CF9" w:rsidRDefault="00515EF4" w:rsidP="002A586E">
            <w:pPr>
              <w:pStyle w:val="ProductList-OfferingBody"/>
              <w:jc w:val="center"/>
            </w:pPr>
            <w:r>
              <w:t>25%</w:t>
            </w:r>
          </w:p>
        </w:tc>
      </w:tr>
      <w:tr w:rsidR="00515EF4" w:rsidRPr="00B44CF9" w14:paraId="44B63A37" w14:textId="77777777" w:rsidTr="00515EF4">
        <w:tc>
          <w:tcPr>
            <w:tcW w:w="5400" w:type="dxa"/>
          </w:tcPr>
          <w:p w14:paraId="567733F4" w14:textId="62AC2EBE" w:rsidR="00515EF4" w:rsidRPr="00EF7CF9" w:rsidRDefault="00515EF4" w:rsidP="002A586E">
            <w:pPr>
              <w:pStyle w:val="ProductList-OfferingBody"/>
              <w:jc w:val="center"/>
            </w:pPr>
            <w:r>
              <w:t>&lt; 99%</w:t>
            </w:r>
          </w:p>
        </w:tc>
        <w:tc>
          <w:tcPr>
            <w:tcW w:w="5400" w:type="dxa"/>
          </w:tcPr>
          <w:p w14:paraId="3610FC92" w14:textId="77777777" w:rsidR="00515EF4" w:rsidRPr="00EF7CF9" w:rsidRDefault="00515EF4" w:rsidP="002A586E">
            <w:pPr>
              <w:pStyle w:val="ProductList-OfferingBody"/>
              <w:jc w:val="center"/>
            </w:pPr>
            <w:r>
              <w:t>50%</w:t>
            </w:r>
          </w:p>
        </w:tc>
      </w:tr>
      <w:tr w:rsidR="00515EF4" w:rsidRPr="00B44CF9" w14:paraId="5F2E73BA" w14:textId="77777777" w:rsidTr="00515EF4">
        <w:tc>
          <w:tcPr>
            <w:tcW w:w="5400" w:type="dxa"/>
          </w:tcPr>
          <w:p w14:paraId="1DE42D45" w14:textId="028A190D" w:rsidR="00515EF4" w:rsidRPr="00EF7CF9" w:rsidRDefault="00515EF4" w:rsidP="002A586E">
            <w:pPr>
              <w:pStyle w:val="ProductList-OfferingBody"/>
              <w:jc w:val="center"/>
            </w:pPr>
            <w:r>
              <w:t>&lt; 95%</w:t>
            </w:r>
          </w:p>
        </w:tc>
        <w:tc>
          <w:tcPr>
            <w:tcW w:w="5400" w:type="dxa"/>
          </w:tcPr>
          <w:p w14:paraId="55A96903" w14:textId="77777777" w:rsidR="00515EF4" w:rsidRPr="00EF7CF9" w:rsidRDefault="00515EF4" w:rsidP="002A586E">
            <w:pPr>
              <w:pStyle w:val="ProductList-OfferingBody"/>
              <w:jc w:val="center"/>
            </w:pPr>
            <w:r>
              <w:t>100%</w:t>
            </w:r>
          </w:p>
        </w:tc>
      </w:tr>
    </w:tbl>
    <w:bookmarkStart w:id="485" w:name="_Toc457821597"/>
    <w:p w14:paraId="3E53FE05" w14:textId="4AED2DC4" w:rsidR="00EA5FB1" w:rsidRPr="00EF7CF9" w:rsidRDefault="00C71F89" w:rsidP="002A586E">
      <w:pPr>
        <w:pStyle w:val="ProductList-Body"/>
        <w:shd w:val="clear" w:color="auto" w:fill="808080" w:themeFill="background1" w:themeFillShade="80"/>
        <w:tabs>
          <w:tab w:val="clear" w:pos="360"/>
          <w:tab w:val="clear" w:pos="720"/>
          <w:tab w:val="clear" w:pos="1080"/>
        </w:tabs>
        <w:spacing w:before="120" w:after="240"/>
        <w:jc w:val="right"/>
        <w:rPr>
          <w:sz w:val="16"/>
          <w:szCs w:val="16"/>
        </w:rPr>
      </w:pPr>
      <w:r>
        <w:fldChar w:fldCharType="begin"/>
      </w:r>
      <w:r>
        <w:instrText>HYPERLINK \l "TOC"</w:instrText>
      </w:r>
      <w:r>
        <w:fldChar w:fldCharType="separate"/>
      </w:r>
      <w:r w:rsidRPr="00BA73F1">
        <w:rPr>
          <w:rStyle w:val="Hyperlink"/>
          <w:sz w:val="16"/>
          <w:szCs w:val="16"/>
        </w:rPr>
        <w:t>Spis treści</w:t>
      </w:r>
      <w:r>
        <w:rPr>
          <w:rStyle w:val="Hyperlink"/>
          <w:sz w:val="16"/>
          <w:szCs w:val="16"/>
        </w:rPr>
        <w:fldChar w:fldCharType="end"/>
      </w:r>
      <w:r>
        <w:rPr>
          <w:sz w:val="16"/>
          <w:szCs w:val="16"/>
        </w:rPr>
        <w:t xml:space="preserve"> / </w:t>
      </w:r>
      <w:hyperlink w:anchor="Definitions" w:history="1">
        <w:r w:rsidRPr="00BA73F1">
          <w:rPr>
            <w:rStyle w:val="Hyperlink"/>
            <w:sz w:val="16"/>
            <w:szCs w:val="16"/>
          </w:rPr>
          <w:t>Definicje</w:t>
        </w:r>
      </w:hyperlink>
    </w:p>
    <w:p w14:paraId="48BD66AE" w14:textId="77777777" w:rsidR="00657A3A" w:rsidRPr="00EF7CF9" w:rsidRDefault="00657A3A" w:rsidP="002149D5">
      <w:pPr>
        <w:pStyle w:val="ProductList-Offering2Heading"/>
        <w:keepNext/>
        <w:pageBreakBefore/>
        <w:tabs>
          <w:tab w:val="clear" w:pos="360"/>
          <w:tab w:val="clear" w:pos="720"/>
          <w:tab w:val="clear" w:pos="1080"/>
        </w:tabs>
        <w:outlineLvl w:val="2"/>
      </w:pPr>
      <w:bookmarkStart w:id="486" w:name="MDATP"/>
      <w:bookmarkStart w:id="487" w:name="_Toc13833097"/>
      <w:bookmarkStart w:id="488" w:name="_Toc55920329"/>
      <w:bookmarkStart w:id="489" w:name="_Toc239175108"/>
      <w:bookmarkEnd w:id="485"/>
      <w:r>
        <w:t xml:space="preserve">Microsoft Defender </w:t>
      </w:r>
      <w:bookmarkEnd w:id="486"/>
      <w:bookmarkEnd w:id="487"/>
      <w:r>
        <w:t>for Endpoint</w:t>
      </w:r>
      <w:bookmarkEnd w:id="488"/>
      <w:bookmarkEnd w:id="489"/>
    </w:p>
    <w:p w14:paraId="25190B3D" w14:textId="77777777" w:rsidR="00657A3A" w:rsidRPr="00EF7CF9" w:rsidRDefault="00657A3A" w:rsidP="00657A3A">
      <w:pPr>
        <w:pStyle w:val="ProductList-Body"/>
        <w:rPr>
          <w:b/>
          <w:color w:val="00188F"/>
        </w:rPr>
      </w:pPr>
      <w:r>
        <w:rPr>
          <w:b/>
          <w:color w:val="00188F"/>
        </w:rPr>
        <w:t>Dodatkowe definicje</w:t>
      </w:r>
      <w:r w:rsidRPr="0034704E">
        <w:rPr>
          <w:b/>
          <w:color w:val="00188F"/>
        </w:rPr>
        <w:t>:</w:t>
      </w:r>
    </w:p>
    <w:p w14:paraId="4CD0D776" w14:textId="009F4C7F" w:rsidR="00657A3A" w:rsidRPr="00EF7CF9" w:rsidRDefault="00657A3A" w:rsidP="00BD59B3">
      <w:pPr>
        <w:pStyle w:val="ProductList-Body"/>
      </w:pPr>
      <w:r>
        <w:t>„</w:t>
      </w:r>
      <w:r>
        <w:rPr>
          <w:b/>
          <w:color w:val="00188F"/>
        </w:rPr>
        <w:t>Maksymalna Liczba Dostępnych Minut</w:t>
      </w:r>
      <w:r w:rsidR="00FD5D80">
        <w:t>”</w:t>
      </w:r>
      <w:r>
        <w:t xml:space="preserve"> oznacza łączną liczbę minut zgromadzonych we Właściwym Okresie dla portalu Microsoft Defender for</w:t>
      </w:r>
      <w:r w:rsidR="002529ED">
        <w:t> </w:t>
      </w:r>
      <w:r>
        <w:t>Endpoint. Maksymalna Liczba Dostępnych Minut jest mierzona od momentu utworzenia profilu Dzierżawcy w wyniku udanego zakończenia procesu wdrożenia.</w:t>
      </w:r>
    </w:p>
    <w:p w14:paraId="02E69B78" w14:textId="77777777" w:rsidR="00657A3A" w:rsidRPr="00EF7CF9" w:rsidRDefault="00657A3A" w:rsidP="00BD59B3">
      <w:pPr>
        <w:pStyle w:val="ProductList-Body"/>
      </w:pPr>
      <w:r>
        <w:t>„</w:t>
      </w:r>
      <w:r>
        <w:rPr>
          <w:b/>
          <w:color w:val="00188F"/>
        </w:rPr>
        <w:t>Dzierżawca</w:t>
      </w:r>
      <w:r>
        <w:t>” oznacza środowisko chmurowe właściwe dla klienta używającego Usługi Microsoft Defender for Endpoint.</w:t>
      </w:r>
    </w:p>
    <w:p w14:paraId="7AA0C3CA" w14:textId="02E9C725" w:rsidR="00021F08" w:rsidRPr="00EF7CF9" w:rsidRDefault="00657A3A" w:rsidP="00BD59B3">
      <w:pPr>
        <w:pStyle w:val="ProductList-Body"/>
      </w:pPr>
      <w:r>
        <w:rPr>
          <w:b/>
          <w:color w:val="00188F"/>
        </w:rPr>
        <w:t>Przestój</w:t>
      </w:r>
      <w:r w:rsidRPr="0034704E">
        <w:rPr>
          <w:b/>
          <w:color w:val="00188F"/>
        </w:rPr>
        <w:t>:</w:t>
      </w:r>
      <w:r>
        <w:t xml:space="preserve"> </w:t>
      </w:r>
      <w:r>
        <w:rPr>
          <w:szCs w:val="18"/>
        </w:rPr>
        <w:t>Łączna zakumulowana liczba minut wchodzących w skład Maksymalnej Liczby Dostępnych Minut, podczas których Klient nie może uzyskać</w:t>
      </w:r>
      <w:r w:rsidR="002529ED">
        <w:rPr>
          <w:szCs w:val="18"/>
        </w:rPr>
        <w:t> </w:t>
      </w:r>
      <w:r>
        <w:rPr>
          <w:szCs w:val="18"/>
        </w:rPr>
        <w:t>dostępu do jakiejkolwiek części zbioru witryn w portalu Microsoft Defender for Endpoint mimo posiadania odpowiednich uprawnień i</w:t>
      </w:r>
      <w:r w:rsidR="002529ED">
        <w:rPr>
          <w:szCs w:val="18"/>
        </w:rPr>
        <w:t> </w:t>
      </w:r>
      <w:r>
        <w:rPr>
          <w:szCs w:val="18"/>
        </w:rPr>
        <w:t>ważnej, aktywnej licencji</w:t>
      </w:r>
      <w:r>
        <w:t>.</w:t>
      </w:r>
    </w:p>
    <w:p w14:paraId="4ABEE834" w14:textId="53DE7AC5" w:rsidR="00BC681F" w:rsidRPr="00EF7CF9" w:rsidRDefault="00AC48A7" w:rsidP="00DC0631">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3B661105" w14:textId="2627031B" w:rsidR="00BC681F" w:rsidRPr="00EF7CF9" w:rsidRDefault="00000000" w:rsidP="00BD59B3">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 xml:space="preserve">Maksymalna Liczba Dostępnych Minut - Przestój </m:t>
              </m:r>
            </m:num>
            <m:den>
              <m:r>
                <m:rPr>
                  <m:nor/>
                </m:rPr>
                <w:rPr>
                  <w:rFonts w:ascii="Cambria Math" w:hAnsi="Cambria Math" w:cs="Calibri"/>
                  <w:i/>
                  <w:sz w:val="18"/>
                  <w:szCs w:val="18"/>
                </w:rPr>
                <m:t>Maksymalna Liczba Dostępnych Minut</m:t>
              </m:r>
            </m:den>
          </m:f>
          <m:r>
            <w:rPr>
              <w:rFonts w:ascii="Cambria Math" w:hAnsi="Cambria Math" w:cs="Calibri"/>
              <w:sz w:val="18"/>
              <w:szCs w:val="18"/>
            </w:rPr>
            <m:t xml:space="preserve"> x 100</m:t>
          </m:r>
        </m:oMath>
      </m:oMathPara>
    </w:p>
    <w:p w14:paraId="55A7C083" w14:textId="65E73718" w:rsidR="00BC681F" w:rsidRDefault="00AC48A7" w:rsidP="00BC681F">
      <w:pPr>
        <w:pStyle w:val="ProductList-Body"/>
        <w:rPr>
          <w:szCs w:val="18"/>
        </w:rPr>
      </w:pPr>
      <w:r>
        <w:rPr>
          <w:szCs w:val="18"/>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0C27F0FC" w14:textId="77777777" w:rsidR="002149D5" w:rsidRDefault="002149D5" w:rsidP="00BC681F">
      <w:pPr>
        <w:pStyle w:val="ProductList-Body"/>
        <w:rPr>
          <w:szCs w:val="18"/>
        </w:rPr>
      </w:pPr>
    </w:p>
    <w:p w14:paraId="2103A3BF" w14:textId="06BC9684" w:rsidR="00BC681F" w:rsidRDefault="00BC681F" w:rsidP="00BC681F">
      <w:pPr>
        <w:pStyle w:val="ProductList-Body"/>
        <w:rPr>
          <w:b/>
          <w:color w:val="00188F"/>
        </w:rPr>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BC681F" w:rsidRPr="00B44CF9" w14:paraId="5D00D035" w14:textId="77777777" w:rsidTr="00BC681F">
        <w:trPr>
          <w:tblHeader/>
        </w:trPr>
        <w:tc>
          <w:tcPr>
            <w:tcW w:w="5400" w:type="dxa"/>
            <w:shd w:val="clear" w:color="auto" w:fill="0072C6"/>
          </w:tcPr>
          <w:p w14:paraId="23ADAC42" w14:textId="723984B5" w:rsidR="00BC681F" w:rsidRPr="00EF7CF9" w:rsidRDefault="00AC48A7" w:rsidP="00BC681F">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58B61998" w14:textId="77777777" w:rsidR="00BC681F" w:rsidRPr="00EF7CF9" w:rsidRDefault="00BC681F" w:rsidP="00BC681F">
            <w:pPr>
              <w:pStyle w:val="ProductList-OfferingBody"/>
              <w:jc w:val="center"/>
              <w:rPr>
                <w:color w:val="FFFFFF" w:themeColor="background1"/>
              </w:rPr>
            </w:pPr>
            <w:r>
              <w:rPr>
                <w:color w:val="FFFFFF" w:themeColor="background1"/>
              </w:rPr>
              <w:t>Środki Serwisowe na Używanie Usług</w:t>
            </w:r>
          </w:p>
        </w:tc>
      </w:tr>
      <w:tr w:rsidR="00BC681F" w:rsidRPr="00B44CF9" w14:paraId="76D2D8A8" w14:textId="77777777" w:rsidTr="00BC681F">
        <w:tc>
          <w:tcPr>
            <w:tcW w:w="5400" w:type="dxa"/>
          </w:tcPr>
          <w:p w14:paraId="034061FE" w14:textId="77777777" w:rsidR="00BC681F" w:rsidRPr="00EF7CF9" w:rsidRDefault="00BC681F" w:rsidP="00BC681F">
            <w:pPr>
              <w:pStyle w:val="ProductList-OfferingBody"/>
              <w:jc w:val="center"/>
            </w:pPr>
            <w:r>
              <w:t>&lt; 99,9%</w:t>
            </w:r>
          </w:p>
        </w:tc>
        <w:tc>
          <w:tcPr>
            <w:tcW w:w="5400" w:type="dxa"/>
          </w:tcPr>
          <w:p w14:paraId="57FBED7E" w14:textId="77777777" w:rsidR="00BC681F" w:rsidRPr="00EF7CF9" w:rsidRDefault="00BC681F" w:rsidP="00BC681F">
            <w:pPr>
              <w:pStyle w:val="ProductList-OfferingBody"/>
              <w:jc w:val="center"/>
            </w:pPr>
            <w:r>
              <w:t>10%</w:t>
            </w:r>
          </w:p>
        </w:tc>
      </w:tr>
      <w:tr w:rsidR="00BC681F" w:rsidRPr="00B44CF9" w14:paraId="6859D1EB" w14:textId="77777777" w:rsidTr="00BC681F">
        <w:tc>
          <w:tcPr>
            <w:tcW w:w="5400" w:type="dxa"/>
          </w:tcPr>
          <w:p w14:paraId="11CEACBB" w14:textId="77777777" w:rsidR="00BC681F" w:rsidRPr="00EF7CF9" w:rsidRDefault="00BC681F" w:rsidP="00BA33EB">
            <w:pPr>
              <w:pStyle w:val="ProductList-OfferingBody"/>
              <w:jc w:val="center"/>
            </w:pPr>
            <w:r>
              <w:t>&lt; 99%</w:t>
            </w:r>
          </w:p>
        </w:tc>
        <w:tc>
          <w:tcPr>
            <w:tcW w:w="5400" w:type="dxa"/>
          </w:tcPr>
          <w:p w14:paraId="40C5339D" w14:textId="77777777" w:rsidR="00BC681F" w:rsidRPr="00EF7CF9" w:rsidRDefault="00BC681F" w:rsidP="003C0B57">
            <w:pPr>
              <w:pStyle w:val="ProductList-OfferingBody"/>
              <w:keepNext/>
              <w:jc w:val="center"/>
            </w:pPr>
            <w:r>
              <w:t>25%</w:t>
            </w:r>
          </w:p>
        </w:tc>
      </w:tr>
    </w:tbl>
    <w:p w14:paraId="4E24C9C9" w14:textId="0B9F0537" w:rsidR="00BC681F" w:rsidRPr="00EF7CF9" w:rsidRDefault="00BC681F" w:rsidP="00593B4E">
      <w:pPr>
        <w:pStyle w:val="ProductList-Body"/>
        <w:spacing w:before="120"/>
      </w:pPr>
      <w:r>
        <w:rPr>
          <w:b/>
          <w:color w:val="00188F"/>
        </w:rPr>
        <w:t>Wyjątki dotyczące Poziomu Usługi</w:t>
      </w:r>
      <w:r>
        <w:t>. Niniejsza umowa SLA nie ma zastosowania do Dzierżawców wersji próbnych/ewaluacyjnych.</w:t>
      </w:r>
    </w:p>
    <w:p w14:paraId="65808EA3" w14:textId="39A46DC2" w:rsidR="00EA5FB1" w:rsidRPr="00EF7CF9" w:rsidRDefault="00C71F89" w:rsidP="00EA5FB1">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38C55BF7" w14:textId="3CBD6EA7" w:rsidR="00696175" w:rsidRPr="00EF7CF9" w:rsidRDefault="00696175" w:rsidP="004D0C63">
      <w:pPr>
        <w:pStyle w:val="ProductList-Offering2Heading"/>
        <w:keepNext/>
        <w:keepLines/>
        <w:tabs>
          <w:tab w:val="clear" w:pos="360"/>
          <w:tab w:val="clear" w:pos="720"/>
          <w:tab w:val="clear" w:pos="1080"/>
        </w:tabs>
        <w:outlineLvl w:val="2"/>
      </w:pPr>
      <w:bookmarkStart w:id="490" w:name="_Toc239175109"/>
      <w:r>
        <w:t>Drukowanie uniwersalne</w:t>
      </w:r>
      <w:bookmarkEnd w:id="490"/>
    </w:p>
    <w:p w14:paraId="34AD3F7C" w14:textId="4056B918" w:rsidR="00696175" w:rsidRPr="00EF7CF9" w:rsidRDefault="00696175" w:rsidP="004D0C63">
      <w:pPr>
        <w:pStyle w:val="ProductList-Body"/>
        <w:keepNext/>
        <w:keepLines/>
      </w:pPr>
      <w:r>
        <w:rPr>
          <w:b/>
          <w:color w:val="00188F"/>
        </w:rPr>
        <w:t>Przestój</w:t>
      </w:r>
      <w:r w:rsidRPr="0034704E">
        <w:rPr>
          <w:b/>
          <w:color w:val="00188F"/>
        </w:rPr>
        <w:t>:</w:t>
      </w:r>
      <w:r>
        <w:t xml:space="preserve"> dowolny okres, w którym z powodu niedostępności usługi Drukowanie uniwersalne użytkownicy nie mogą wykryć drukarek lub przesłać zadań drukowania lub administratorzy nie mogą zarejestrować lub skonfigurować drukarek, zarządzać kontrolą dostępu lub monitorować statusu i</w:t>
      </w:r>
      <w:r w:rsidR="00E5525D">
        <w:t> </w:t>
      </w:r>
      <w:r>
        <w:t>używania usługi Drukowanie uniwersalne.</w:t>
      </w:r>
    </w:p>
    <w:p w14:paraId="6A0FEE09" w14:textId="6AE0C5EB" w:rsidR="00696175" w:rsidRPr="00EF7CF9" w:rsidRDefault="00AC48A7" w:rsidP="00696175">
      <w:pPr>
        <w:pStyle w:val="ProductList-Body"/>
      </w:pPr>
      <w:r>
        <w:rPr>
          <w:b/>
          <w:color w:val="00188F"/>
        </w:rPr>
        <w:t>Procent Czasu Sprawnego Działania</w:t>
      </w:r>
      <w:r w:rsidRPr="0034704E">
        <w:rPr>
          <w:b/>
          <w:color w:val="00188F"/>
        </w:rPr>
        <w:t>:</w:t>
      </w:r>
      <w:r>
        <w:t xml:space="preserve"> Procent Czasu Sprawnego Działania jest obliczany przy użyciu następującego wzoru:</w:t>
      </w:r>
    </w:p>
    <w:p w14:paraId="2684C307" w14:textId="6733FAD0" w:rsidR="00696175" w:rsidRPr="00EF7CF9" w:rsidRDefault="00000000" w:rsidP="001F33A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Minuty Użytkownika - Przestój</m:t>
              </m:r>
            </m:num>
            <m:den>
              <m:r>
                <m:rPr>
                  <m:nor/>
                </m:rPr>
                <w:rPr>
                  <w:rFonts w:ascii="Cambria Math" w:hAnsi="Cambria Math" w:cs="Calibri"/>
                  <w:i/>
                  <w:sz w:val="18"/>
                  <w:szCs w:val="18"/>
                </w:rPr>
                <m:t>Minuty Użytkownika</m:t>
              </m:r>
            </m:den>
          </m:f>
          <m:r>
            <w:rPr>
              <w:rFonts w:ascii="Cambria Math" w:hAnsi="Cambria Math" w:cs="Calibri"/>
              <w:sz w:val="18"/>
              <w:szCs w:val="18"/>
            </w:rPr>
            <m:t xml:space="preserve"> x 100</m:t>
          </m:r>
        </m:oMath>
      </m:oMathPara>
    </w:p>
    <w:p w14:paraId="4E3A9CF0" w14:textId="75E878C2" w:rsidR="00696175" w:rsidRDefault="00AC48A7" w:rsidP="00696175">
      <w:pPr>
        <w:pStyle w:val="ProductList-Body"/>
        <w:rPr>
          <w:szCs w:val="18"/>
        </w:rPr>
      </w:pPr>
      <w:r>
        <w:rPr>
          <w:szCs w:val="18"/>
        </w:rPr>
        <w:t>gdzie Przestój jest mierzony w minutach użytkownika; to znaczy, dla każdego Właściwego Okresu Przestój jest sumą czasu trwania (w minutach) każdego Incydentu, który występuje w tym Właściwym Okresie, pomnożoną przez liczbę użytkowników, których dotyczy ten Incydent.</w:t>
      </w:r>
    </w:p>
    <w:p w14:paraId="121F7CC7" w14:textId="77777777" w:rsidR="002149D5" w:rsidRDefault="002149D5" w:rsidP="00696175">
      <w:pPr>
        <w:pStyle w:val="ProductList-Body"/>
        <w:rPr>
          <w:szCs w:val="18"/>
        </w:rPr>
      </w:pPr>
    </w:p>
    <w:p w14:paraId="52F16555" w14:textId="77777777" w:rsidR="00696175" w:rsidRDefault="00696175" w:rsidP="00696175">
      <w:pPr>
        <w:pStyle w:val="ProductList-Body"/>
        <w:rPr>
          <w:b/>
          <w:color w:val="00188F"/>
        </w:rPr>
      </w:pPr>
      <w:r>
        <w:rPr>
          <w:b/>
          <w:color w:val="00188F"/>
        </w:rPr>
        <w:t>Środki Serwisowe na Używanie Usług</w:t>
      </w:r>
      <w:r w:rsidRPr="0034704E">
        <w:rPr>
          <w:b/>
          <w:color w:val="00188F"/>
        </w:rPr>
        <w:t>:</w:t>
      </w: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96175" w:rsidRPr="00B44CF9" w14:paraId="0B179D18" w14:textId="77777777" w:rsidTr="00696175">
        <w:trPr>
          <w:tblHeader/>
        </w:trPr>
        <w:tc>
          <w:tcPr>
            <w:tcW w:w="5400" w:type="dxa"/>
            <w:shd w:val="clear" w:color="auto" w:fill="0072C6"/>
          </w:tcPr>
          <w:p w14:paraId="11C941BA" w14:textId="726D922D" w:rsidR="00696175" w:rsidRPr="00EF7CF9" w:rsidRDefault="00AC48A7" w:rsidP="00696175">
            <w:pPr>
              <w:pStyle w:val="ProductList-OfferingBody"/>
              <w:jc w:val="center"/>
              <w:rPr>
                <w:color w:val="FFFFFF" w:themeColor="background1"/>
              </w:rPr>
            </w:pPr>
            <w:r>
              <w:rPr>
                <w:color w:val="FFFFFF" w:themeColor="background1"/>
              </w:rPr>
              <w:t>Procent Czasu Sprawnego Działania</w:t>
            </w:r>
          </w:p>
        </w:tc>
        <w:tc>
          <w:tcPr>
            <w:tcW w:w="5400" w:type="dxa"/>
            <w:shd w:val="clear" w:color="auto" w:fill="0072C6"/>
          </w:tcPr>
          <w:p w14:paraId="70EB39DC" w14:textId="77777777" w:rsidR="00696175" w:rsidRPr="00EF7CF9" w:rsidRDefault="00696175" w:rsidP="00696175">
            <w:pPr>
              <w:pStyle w:val="ProductList-OfferingBody"/>
              <w:jc w:val="center"/>
              <w:rPr>
                <w:color w:val="FFFFFF" w:themeColor="background1"/>
              </w:rPr>
            </w:pPr>
            <w:r>
              <w:rPr>
                <w:color w:val="FFFFFF" w:themeColor="background1"/>
              </w:rPr>
              <w:t>Środki Serwisowe na Używanie Usług</w:t>
            </w:r>
          </w:p>
        </w:tc>
      </w:tr>
      <w:tr w:rsidR="00696175" w:rsidRPr="00B44CF9" w14:paraId="6ABFFBB9" w14:textId="77777777" w:rsidTr="00696175">
        <w:tc>
          <w:tcPr>
            <w:tcW w:w="5400" w:type="dxa"/>
          </w:tcPr>
          <w:p w14:paraId="23F2520D" w14:textId="77777777" w:rsidR="00696175" w:rsidRPr="00EF7CF9" w:rsidRDefault="00696175" w:rsidP="00696175">
            <w:pPr>
              <w:pStyle w:val="ProductList-OfferingBody"/>
              <w:jc w:val="center"/>
            </w:pPr>
            <w:r>
              <w:t>&lt; 99,9%</w:t>
            </w:r>
          </w:p>
        </w:tc>
        <w:tc>
          <w:tcPr>
            <w:tcW w:w="5400" w:type="dxa"/>
          </w:tcPr>
          <w:p w14:paraId="22427645" w14:textId="23BDD206" w:rsidR="00696175" w:rsidRPr="00EF7CF9" w:rsidRDefault="00696175" w:rsidP="00696175">
            <w:pPr>
              <w:pStyle w:val="ProductList-OfferingBody"/>
              <w:jc w:val="center"/>
            </w:pPr>
            <w:r>
              <w:t>25%</w:t>
            </w:r>
          </w:p>
        </w:tc>
      </w:tr>
      <w:tr w:rsidR="00696175" w:rsidRPr="00B44CF9" w14:paraId="547A9239" w14:textId="77777777" w:rsidTr="00696175">
        <w:tc>
          <w:tcPr>
            <w:tcW w:w="5400" w:type="dxa"/>
          </w:tcPr>
          <w:p w14:paraId="6228CD0F" w14:textId="77777777" w:rsidR="00696175" w:rsidRPr="00EF7CF9" w:rsidRDefault="00696175" w:rsidP="00696175">
            <w:pPr>
              <w:pStyle w:val="ProductList-OfferingBody"/>
              <w:jc w:val="center"/>
            </w:pPr>
            <w:r>
              <w:t>&lt; 99%</w:t>
            </w:r>
          </w:p>
        </w:tc>
        <w:tc>
          <w:tcPr>
            <w:tcW w:w="5400" w:type="dxa"/>
          </w:tcPr>
          <w:p w14:paraId="524FA505" w14:textId="32153C6C" w:rsidR="00696175" w:rsidRPr="00EF7CF9" w:rsidRDefault="00696175" w:rsidP="00696175">
            <w:pPr>
              <w:pStyle w:val="ProductList-OfferingBody"/>
              <w:keepNext/>
              <w:jc w:val="center"/>
            </w:pPr>
            <w:r>
              <w:t>50%</w:t>
            </w:r>
          </w:p>
        </w:tc>
      </w:tr>
      <w:tr w:rsidR="00696175" w:rsidRPr="00B44CF9" w14:paraId="225B4866" w14:textId="77777777" w:rsidTr="00696175">
        <w:tc>
          <w:tcPr>
            <w:tcW w:w="5400" w:type="dxa"/>
          </w:tcPr>
          <w:p w14:paraId="1FF22DEF" w14:textId="4076704A" w:rsidR="00696175" w:rsidRPr="00EF7CF9" w:rsidRDefault="00696175" w:rsidP="00696175">
            <w:pPr>
              <w:pStyle w:val="ProductList-OfferingBody"/>
              <w:jc w:val="center"/>
            </w:pPr>
            <w:r>
              <w:t>&lt; 95%</w:t>
            </w:r>
          </w:p>
        </w:tc>
        <w:tc>
          <w:tcPr>
            <w:tcW w:w="5400" w:type="dxa"/>
          </w:tcPr>
          <w:p w14:paraId="28D8DB21" w14:textId="6C113F7D" w:rsidR="00696175" w:rsidRDefault="00696175" w:rsidP="00696175">
            <w:pPr>
              <w:pStyle w:val="ProductList-OfferingBody"/>
              <w:keepNext/>
              <w:jc w:val="center"/>
            </w:pPr>
            <w:r>
              <w:t>100%</w:t>
            </w:r>
          </w:p>
        </w:tc>
      </w:tr>
    </w:tbl>
    <w:p w14:paraId="5F8939BC" w14:textId="77777777" w:rsidR="00696175" w:rsidRPr="00EF7CF9" w:rsidRDefault="00696175" w:rsidP="00593B4E">
      <w:pPr>
        <w:pStyle w:val="ProductList-Body"/>
        <w:spacing w:before="120"/>
      </w:pPr>
      <w:r>
        <w:rPr>
          <w:b/>
          <w:color w:val="00188F"/>
        </w:rPr>
        <w:t>Wyjątki dotyczące Poziomu Usługi</w:t>
      </w:r>
      <w:r>
        <w:t>. Niniejsza umowa SLA nie ma zastosowania do Dzierżawców wersji próbnych/ewaluacyjnych.</w:t>
      </w:r>
    </w:p>
    <w:p w14:paraId="2E78D583" w14:textId="06B4652F" w:rsidR="00696175" w:rsidRPr="00EF7CF9" w:rsidRDefault="00C71F89" w:rsidP="00696175">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596CC1C1" w14:textId="645BF140" w:rsidR="00347E88" w:rsidRPr="00EF7CF9" w:rsidRDefault="00347E88" w:rsidP="00E161C7">
      <w:pPr>
        <w:pStyle w:val="ProductList-Offering2Heading"/>
        <w:tabs>
          <w:tab w:val="clear" w:pos="360"/>
          <w:tab w:val="clear" w:pos="720"/>
          <w:tab w:val="clear" w:pos="1080"/>
        </w:tabs>
        <w:outlineLvl w:val="2"/>
      </w:pPr>
      <w:bookmarkStart w:id="491" w:name="_Toc239175110"/>
      <w:r>
        <w:t>Windows 365</w:t>
      </w:r>
      <w:bookmarkEnd w:id="491"/>
    </w:p>
    <w:p w14:paraId="37DB27AD" w14:textId="77911C6A" w:rsidR="00200E38" w:rsidRDefault="00200E38" w:rsidP="00200E38">
      <w:pPr>
        <w:pStyle w:val="ProductList-Body"/>
      </w:pPr>
      <w:r>
        <w:rPr>
          <w:b/>
          <w:color w:val="00188F"/>
        </w:rPr>
        <w:t>Cloud PC:</w:t>
      </w:r>
      <w:r>
        <w:t xml:space="preserve"> określone wystąpienie usługi Windows 365, na które użytkownik uzyskuje licencję.</w:t>
      </w:r>
    </w:p>
    <w:p w14:paraId="6D8DDD3B" w14:textId="77777777" w:rsidR="00200E38" w:rsidRDefault="00200E38" w:rsidP="00200E38">
      <w:pPr>
        <w:pStyle w:val="ProductList-Body"/>
      </w:pPr>
      <w:r>
        <w:rPr>
          <w:b/>
          <w:color w:val="00188F"/>
        </w:rPr>
        <w:t>Przestój:</w:t>
      </w:r>
      <w:r>
        <w:t xml:space="preserve"> mierzony w minutach okres czasu, w którym wszystkie próby nawiązania połączenia z określonym wystąpieniem usługi Cloud PC podejmowane przez użytkownika skończyły się niepowodzeniem, z wyłączeniem niepowodzeń spowodowanych następującymi typami awarii:</w:t>
      </w:r>
    </w:p>
    <w:p w14:paraId="766D01EA" w14:textId="509FF724" w:rsidR="00200E38" w:rsidRDefault="00200E38" w:rsidP="00DB4449">
      <w:pPr>
        <w:pStyle w:val="ProductList-Body"/>
        <w:numPr>
          <w:ilvl w:val="0"/>
          <w:numId w:val="25"/>
        </w:numPr>
      </w:pPr>
      <w:r>
        <w:t>awarie spowodowane stanem usługi Cloud PC, który uniemożliwia jej używanie i nie dotyczy związanej z usługą Cloud PC infrastruktury Azure (np. zniszczony lub uszkodzony system operacyjny, konfiguracja systemu operacyjnego lub niewłaściwa konfiguracja);</w:t>
      </w:r>
    </w:p>
    <w:p w14:paraId="4EEF53FC" w14:textId="23D90CA7" w:rsidR="00200E38" w:rsidRDefault="00200E38" w:rsidP="00DB4449">
      <w:pPr>
        <w:pStyle w:val="ProductList-Body"/>
        <w:numPr>
          <w:ilvl w:val="0"/>
          <w:numId w:val="25"/>
        </w:numPr>
      </w:pPr>
      <w:r>
        <w:t>awarie spowodowane zainstalowaniem w usłudze Cloud PC aplikacji lub oprogramowania.</w:t>
      </w:r>
    </w:p>
    <w:p w14:paraId="4E75CCA1" w14:textId="708DB12B" w:rsidR="00200E38" w:rsidRDefault="00200E38" w:rsidP="006162EB">
      <w:pPr>
        <w:pStyle w:val="ProductList-Body"/>
        <w:spacing w:before="40"/>
      </w:pPr>
      <w:r>
        <w:rPr>
          <w:b/>
          <w:color w:val="00188F"/>
        </w:rPr>
        <w:t>Indywidualny Przestój</w:t>
      </w:r>
      <w:r w:rsidRPr="0034704E">
        <w:rPr>
          <w:b/>
          <w:color w:val="00188F"/>
        </w:rPr>
        <w:t>:</w:t>
      </w:r>
      <w:r>
        <w:t xml:space="preserve"> to Przestój dla danego użytkownika dla każdego Właściwego Okresu.</w:t>
      </w:r>
    </w:p>
    <w:p w14:paraId="18380D6A" w14:textId="06D2C353" w:rsidR="00200E38" w:rsidRDefault="00200E38" w:rsidP="006162EB">
      <w:pPr>
        <w:pStyle w:val="ProductList-Body"/>
      </w:pPr>
      <w:r>
        <w:rPr>
          <w:b/>
          <w:color w:val="00188F"/>
        </w:rPr>
        <w:t>Indywidualne Minuty</w:t>
      </w:r>
      <w:r w:rsidRPr="0034704E">
        <w:rPr>
          <w:b/>
          <w:color w:val="00188F"/>
        </w:rPr>
        <w:t>:</w:t>
      </w:r>
      <w:r>
        <w:t xml:space="preserve"> to Minuty Użytkownika dla danego użytkownika dla każdego Właściwego Okresu.</w:t>
      </w:r>
    </w:p>
    <w:p w14:paraId="4238E22F" w14:textId="786ABE29" w:rsidR="00EA5FB1" w:rsidRDefault="00200E38" w:rsidP="00200E38">
      <w:pPr>
        <w:pStyle w:val="ProductList-Body"/>
        <w:tabs>
          <w:tab w:val="clear" w:pos="360"/>
          <w:tab w:val="clear" w:pos="720"/>
          <w:tab w:val="clear" w:pos="1080"/>
        </w:tabs>
      </w:pPr>
      <w:r>
        <w:rPr>
          <w:b/>
          <w:color w:val="00188F"/>
        </w:rPr>
        <w:t>Indywidulany Procent Czasu Sprawnego Działania</w:t>
      </w:r>
      <w:r w:rsidRPr="0034704E">
        <w:rPr>
          <w:b/>
          <w:color w:val="00188F"/>
        </w:rPr>
        <w:t>:</w:t>
      </w:r>
      <w:r>
        <w:t xml:space="preserve"> oblicza się w następujący sposób:</w:t>
      </w:r>
    </w:p>
    <w:p w14:paraId="69ABA1CA" w14:textId="5C493927" w:rsidR="00D77FA0" w:rsidRPr="00EF7CF9" w:rsidRDefault="00000000" w:rsidP="001F33A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Indywidualne Minuty - Indywidualny Przestój</m:t>
              </m:r>
            </m:num>
            <m:den>
              <m:r>
                <m:rPr>
                  <m:nor/>
                </m:rPr>
                <w:rPr>
                  <w:rFonts w:ascii="Cambria Math" w:hAnsi="Cambria Math" w:cs="Calibri"/>
                  <w:i/>
                  <w:sz w:val="18"/>
                  <w:szCs w:val="18"/>
                </w:rPr>
                <m:t>Indywidualne Minuty</m:t>
              </m:r>
            </m:den>
          </m:f>
          <m:r>
            <w:rPr>
              <w:rFonts w:ascii="Cambria Math" w:hAnsi="Cambria Math" w:cs="Calibri"/>
              <w:sz w:val="18"/>
              <w:szCs w:val="18"/>
            </w:rPr>
            <m:t xml:space="preserve"> x 100</m:t>
          </m:r>
        </m:oMath>
      </m:oMathPara>
    </w:p>
    <w:p w14:paraId="4D9462D2" w14:textId="1F1ED8DB" w:rsidR="00D77FA0" w:rsidRDefault="0095373D" w:rsidP="00200E38">
      <w:pPr>
        <w:pStyle w:val="ProductList-Body"/>
        <w:tabs>
          <w:tab w:val="clear" w:pos="360"/>
          <w:tab w:val="clear" w:pos="720"/>
          <w:tab w:val="clear" w:pos="1080"/>
        </w:tabs>
      </w:pPr>
      <w:r>
        <w:rPr>
          <w:b/>
          <w:color w:val="00188F"/>
        </w:rPr>
        <w:t>Zniżka na Użytkownika</w:t>
      </w:r>
      <w:r w:rsidRPr="0034704E">
        <w:rPr>
          <w:b/>
          <w:color w:val="00188F"/>
        </w:rPr>
        <w:t>:</w:t>
      </w:r>
      <w:r>
        <w:t xml:space="preserve"> W odniesieniu do Właściwego Okresu, w którym Regionalny Procent Czasu Sprawnego Działania wynosi mniej niż 99,9%, Zniżka na Użytkownika jest obliczana jako procent przypadającej na użytkownika części Właściwych Opłat za Usługi dla każdego użytkownika, dla którego Indywidualny Procent Czasu Sprawnego Działania wynosił mniej niż 99,9% zgodnie z poniższą tabelą (przy czym Indywidualny Procent Czasu Sprawnego Działania niższy niż Regionalny Procent Czasu Sprawnego Działania jest uważany za równy Regionalnemu Procentowi Czasu Sprawnego Działania):</w:t>
      </w:r>
    </w:p>
    <w:p w14:paraId="42E038CF" w14:textId="77777777" w:rsidR="00A93882" w:rsidRDefault="00A93882" w:rsidP="00200E38">
      <w:pPr>
        <w:pStyle w:val="ProductList-Body"/>
        <w:tabs>
          <w:tab w:val="clear" w:pos="360"/>
          <w:tab w:val="clear" w:pos="720"/>
          <w:tab w:val="clear" w:pos="1080"/>
        </w:tabs>
      </w:pPr>
    </w:p>
    <w:tbl>
      <w:tblPr>
        <w:tblW w:w="10800" w:type="dxa"/>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400"/>
        <w:gridCol w:w="5400"/>
      </w:tblGrid>
      <w:tr w:rsidR="006E50E4" w:rsidRPr="00B44CF9" w14:paraId="3E2A11B8" w14:textId="77777777" w:rsidTr="00277097">
        <w:trPr>
          <w:tblHeader/>
        </w:trPr>
        <w:tc>
          <w:tcPr>
            <w:tcW w:w="5400" w:type="dxa"/>
            <w:shd w:val="clear" w:color="auto" w:fill="0072C6"/>
          </w:tcPr>
          <w:p w14:paraId="64194C3F" w14:textId="5578CB3D" w:rsidR="006E50E4" w:rsidRPr="00EF7CF9" w:rsidRDefault="006E50E4" w:rsidP="000F31B4">
            <w:pPr>
              <w:pStyle w:val="ProductList-OfferingBody"/>
              <w:jc w:val="center"/>
              <w:rPr>
                <w:color w:val="FFFFFF" w:themeColor="background1"/>
              </w:rPr>
            </w:pPr>
            <w:r>
              <w:rPr>
                <w:color w:val="FFFFFF" w:themeColor="background1"/>
              </w:rPr>
              <w:t>Indywidulany Procent Czasu Sprawnego Działania</w:t>
            </w:r>
          </w:p>
        </w:tc>
        <w:tc>
          <w:tcPr>
            <w:tcW w:w="5400" w:type="dxa"/>
            <w:shd w:val="clear" w:color="auto" w:fill="0072C6"/>
          </w:tcPr>
          <w:p w14:paraId="398F011A" w14:textId="1A824ABD" w:rsidR="006E50E4" w:rsidRPr="00EF7CF9" w:rsidRDefault="006E50E4" w:rsidP="000F31B4">
            <w:pPr>
              <w:pStyle w:val="ProductList-OfferingBody"/>
              <w:jc w:val="center"/>
              <w:rPr>
                <w:color w:val="FFFFFF" w:themeColor="background1"/>
              </w:rPr>
            </w:pPr>
            <w:r>
              <w:rPr>
                <w:color w:val="FFFFFF" w:themeColor="background1"/>
              </w:rPr>
              <w:t>Zniżka na Użytkownika</w:t>
            </w:r>
          </w:p>
        </w:tc>
      </w:tr>
      <w:tr w:rsidR="006E50E4" w:rsidRPr="00B44CF9" w14:paraId="5E3BA46F" w14:textId="77777777" w:rsidTr="00277097">
        <w:tc>
          <w:tcPr>
            <w:tcW w:w="5400" w:type="dxa"/>
          </w:tcPr>
          <w:p w14:paraId="6EF6A06C" w14:textId="77777777" w:rsidR="006E50E4" w:rsidRPr="00EF7CF9" w:rsidRDefault="006E50E4" w:rsidP="000F31B4">
            <w:pPr>
              <w:pStyle w:val="ProductList-OfferingBody"/>
              <w:jc w:val="center"/>
            </w:pPr>
            <w:r>
              <w:t>&lt; 99,9%</w:t>
            </w:r>
          </w:p>
        </w:tc>
        <w:tc>
          <w:tcPr>
            <w:tcW w:w="5400" w:type="dxa"/>
          </w:tcPr>
          <w:p w14:paraId="0675549C" w14:textId="61EAD653" w:rsidR="006E50E4" w:rsidRPr="00EF7CF9" w:rsidRDefault="006E50E4" w:rsidP="000F31B4">
            <w:pPr>
              <w:pStyle w:val="ProductList-OfferingBody"/>
              <w:jc w:val="center"/>
            </w:pPr>
            <w:r>
              <w:t>10%</w:t>
            </w:r>
          </w:p>
        </w:tc>
      </w:tr>
      <w:tr w:rsidR="006E50E4" w:rsidRPr="00B44CF9" w14:paraId="086A459A" w14:textId="77777777" w:rsidTr="00277097">
        <w:tc>
          <w:tcPr>
            <w:tcW w:w="5400" w:type="dxa"/>
          </w:tcPr>
          <w:p w14:paraId="31202645" w14:textId="77777777" w:rsidR="006E50E4" w:rsidRPr="00EF7CF9" w:rsidRDefault="006E50E4" w:rsidP="000F31B4">
            <w:pPr>
              <w:pStyle w:val="ProductList-OfferingBody"/>
              <w:jc w:val="center"/>
            </w:pPr>
            <w:r>
              <w:t>&lt; 99%</w:t>
            </w:r>
          </w:p>
        </w:tc>
        <w:tc>
          <w:tcPr>
            <w:tcW w:w="5400" w:type="dxa"/>
          </w:tcPr>
          <w:p w14:paraId="3968E6C7" w14:textId="7C215A6B" w:rsidR="006E50E4" w:rsidRPr="00EF7CF9" w:rsidRDefault="006E50E4" w:rsidP="000F31B4">
            <w:pPr>
              <w:pStyle w:val="ProductList-OfferingBody"/>
              <w:keepNext/>
              <w:jc w:val="center"/>
            </w:pPr>
            <w:r>
              <w:t>25%</w:t>
            </w:r>
          </w:p>
        </w:tc>
      </w:tr>
      <w:tr w:rsidR="006E50E4" w:rsidRPr="00B44CF9" w14:paraId="784CDD6F" w14:textId="77777777" w:rsidTr="00277097">
        <w:tc>
          <w:tcPr>
            <w:tcW w:w="5400" w:type="dxa"/>
          </w:tcPr>
          <w:p w14:paraId="6FFCC83C" w14:textId="77777777" w:rsidR="006E50E4" w:rsidRPr="00EF7CF9" w:rsidRDefault="006E50E4" w:rsidP="000F31B4">
            <w:pPr>
              <w:pStyle w:val="ProductList-OfferingBody"/>
              <w:jc w:val="center"/>
            </w:pPr>
            <w:r>
              <w:t>&lt; 95%</w:t>
            </w:r>
          </w:p>
        </w:tc>
        <w:tc>
          <w:tcPr>
            <w:tcW w:w="5400" w:type="dxa"/>
          </w:tcPr>
          <w:p w14:paraId="4F9A94D7" w14:textId="77777777" w:rsidR="006E50E4" w:rsidRDefault="006E50E4" w:rsidP="000F31B4">
            <w:pPr>
              <w:pStyle w:val="ProductList-OfferingBody"/>
              <w:keepNext/>
              <w:jc w:val="center"/>
            </w:pPr>
            <w:r>
              <w:t>100%</w:t>
            </w:r>
          </w:p>
        </w:tc>
      </w:tr>
    </w:tbl>
    <w:p w14:paraId="49E5A2C2" w14:textId="253D4243" w:rsidR="00417DC1" w:rsidRDefault="00417DC1" w:rsidP="00A93882">
      <w:pPr>
        <w:pStyle w:val="ProductList-Body"/>
        <w:spacing w:before="120"/>
      </w:pPr>
      <w:r>
        <w:rPr>
          <w:b/>
          <w:color w:val="00188F"/>
        </w:rPr>
        <w:t>Region</w:t>
      </w:r>
      <w:r w:rsidRPr="0034704E">
        <w:rPr>
          <w:b/>
          <w:color w:val="00188F"/>
        </w:rPr>
        <w:t>:</w:t>
      </w:r>
      <w:r>
        <w:t xml:space="preserve"> to każdy z regionów wskazanych pod adresem: </w:t>
      </w:r>
      <w:hyperlink r:id="rId29" w:history="1">
        <w:r>
          <w:rPr>
            <w:rStyle w:val="Hyperlink"/>
          </w:rPr>
          <w:t>https://aka.ms/DSLARegionLink</w:t>
        </w:r>
      </w:hyperlink>
      <w:r>
        <w:t>.</w:t>
      </w:r>
    </w:p>
    <w:p w14:paraId="09A1D24F" w14:textId="7D7203C6" w:rsidR="00417DC1" w:rsidRDefault="00417DC1" w:rsidP="006162EB">
      <w:pPr>
        <w:pStyle w:val="ProductList-Body"/>
      </w:pPr>
      <w:r>
        <w:rPr>
          <w:b/>
          <w:color w:val="00188F"/>
        </w:rPr>
        <w:t>Regionalny Przestój</w:t>
      </w:r>
      <w:r w:rsidRPr="0034704E">
        <w:rPr>
          <w:b/>
          <w:color w:val="00188F"/>
        </w:rPr>
        <w:t>:</w:t>
      </w:r>
      <w:r>
        <w:t xml:space="preserve"> to suma wszystkich Przestojów w Regionie dla każdego Właściwego Okresu.</w:t>
      </w:r>
    </w:p>
    <w:p w14:paraId="200DCE68" w14:textId="1A07C84E" w:rsidR="00417DC1" w:rsidRDefault="00417DC1" w:rsidP="006162EB">
      <w:pPr>
        <w:pStyle w:val="ProductList-Body"/>
      </w:pPr>
      <w:r>
        <w:rPr>
          <w:b/>
          <w:color w:val="00188F"/>
        </w:rPr>
        <w:t>Regionalne Minuty</w:t>
      </w:r>
      <w:r w:rsidRPr="009B5B57">
        <w:rPr>
          <w:b/>
          <w:color w:val="00188F"/>
        </w:rPr>
        <w:t>:</w:t>
      </w:r>
      <w:r>
        <w:t xml:space="preserve"> to Minuty Użytkownika w Regionie dla każdego Właściwego Okresu.</w:t>
      </w:r>
    </w:p>
    <w:p w14:paraId="085EE300" w14:textId="0311D765" w:rsidR="00417DC1" w:rsidRDefault="00417DC1" w:rsidP="006162EB">
      <w:pPr>
        <w:pStyle w:val="ProductList-Body"/>
        <w:tabs>
          <w:tab w:val="clear" w:pos="360"/>
          <w:tab w:val="clear" w:pos="720"/>
          <w:tab w:val="clear" w:pos="1080"/>
        </w:tabs>
      </w:pPr>
      <w:r>
        <w:rPr>
          <w:b/>
          <w:color w:val="00188F"/>
        </w:rPr>
        <w:t>Regionalny Procent Czasu Sprawnego Działania</w:t>
      </w:r>
      <w:r w:rsidRPr="009B5B57">
        <w:rPr>
          <w:b/>
          <w:color w:val="00188F"/>
        </w:rPr>
        <w:t>:</w:t>
      </w:r>
      <w:r>
        <w:t xml:space="preserve"> oblicza się według poniższego wzoru:</w:t>
      </w:r>
    </w:p>
    <w:p w14:paraId="300B5237" w14:textId="43E3A665" w:rsidR="00982191" w:rsidRPr="00EF7CF9" w:rsidRDefault="00000000" w:rsidP="001F33AD">
      <w:pPr>
        <w:spacing w:before="120" w:after="120" w:line="240" w:lineRule="auto"/>
        <w:jc w:val="both"/>
        <w:rPr>
          <w:sz w:val="18"/>
          <w:szCs w:val="18"/>
        </w:rPr>
      </w:pPr>
      <m:oMathPara>
        <m:oMathParaPr>
          <m:jc m:val="center"/>
        </m:oMathParaPr>
        <m:oMath>
          <m:f>
            <m:fPr>
              <m:ctrlPr>
                <w:rPr>
                  <w:rFonts w:ascii="Cambria Math" w:hAnsi="Cambria Math" w:cs="Calibri"/>
                  <w:i/>
                  <w:sz w:val="18"/>
                  <w:szCs w:val="18"/>
                </w:rPr>
              </m:ctrlPr>
            </m:fPr>
            <m:num>
              <m:r>
                <m:rPr>
                  <m:nor/>
                </m:rPr>
                <w:rPr>
                  <w:rFonts w:ascii="Cambria Math" w:hAnsi="Cambria Math" w:cs="Calibri"/>
                  <w:i/>
                  <w:sz w:val="18"/>
                  <w:szCs w:val="18"/>
                </w:rPr>
                <m:t>Regionalne Minuty - Regionalny Przestój</m:t>
              </m:r>
            </m:num>
            <m:den>
              <m:r>
                <m:rPr>
                  <m:nor/>
                </m:rPr>
                <w:rPr>
                  <w:rFonts w:ascii="Cambria Math" w:hAnsi="Cambria Math" w:cs="Calibri"/>
                  <w:i/>
                  <w:sz w:val="18"/>
                  <w:szCs w:val="18"/>
                </w:rPr>
                <m:t>Regionalne Minuty</m:t>
              </m:r>
            </m:den>
          </m:f>
          <m:r>
            <w:rPr>
              <w:rFonts w:ascii="Cambria Math" w:hAnsi="Cambria Math" w:cs="Calibri"/>
              <w:sz w:val="18"/>
              <w:szCs w:val="18"/>
            </w:rPr>
            <m:t xml:space="preserve"> x 100</m:t>
          </m:r>
        </m:oMath>
      </m:oMathPara>
    </w:p>
    <w:p w14:paraId="2F4CCAC2" w14:textId="379C181A" w:rsidR="00982191" w:rsidRDefault="00593CC9" w:rsidP="00417DC1">
      <w:pPr>
        <w:pStyle w:val="ProductList-Body"/>
        <w:tabs>
          <w:tab w:val="clear" w:pos="360"/>
          <w:tab w:val="clear" w:pos="720"/>
          <w:tab w:val="clear" w:pos="1080"/>
        </w:tabs>
      </w:pPr>
      <w:r>
        <w:rPr>
          <w:b/>
          <w:color w:val="00188F"/>
        </w:rPr>
        <w:t>Środki Serwisowe na Używanie Usług</w:t>
      </w:r>
      <w:r w:rsidRPr="009B5B57">
        <w:rPr>
          <w:b/>
          <w:color w:val="00188F"/>
        </w:rPr>
        <w:t>:</w:t>
      </w:r>
      <w:r>
        <w:t xml:space="preserve"> w przypadku usługi Windows 365 Środki Serwisowe na Używanie Usług nie oznaczają procentu Właściwych Opłat za Usługę, ale sumę wszystkich Zniżek na Użytkownika.</w:t>
      </w:r>
    </w:p>
    <w:p w14:paraId="6DF0739F" w14:textId="77777777" w:rsidR="00BD59B3" w:rsidRPr="00EF7CF9" w:rsidRDefault="00BD59B3" w:rsidP="00BD59B3">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p w14:paraId="20EFEAC1" w14:textId="1790DF43" w:rsidR="00EC2549" w:rsidRPr="00EF7CF9" w:rsidRDefault="00EC2549" w:rsidP="002149D5">
      <w:pPr>
        <w:pStyle w:val="ProductList-SectionHeading"/>
        <w:pageBreakBefore/>
        <w:tabs>
          <w:tab w:val="clear" w:pos="360"/>
          <w:tab w:val="clear" w:pos="720"/>
          <w:tab w:val="clear" w:pos="1080"/>
        </w:tabs>
        <w:outlineLvl w:val="0"/>
      </w:pPr>
      <w:bookmarkStart w:id="492" w:name="AppendixA"/>
      <w:bookmarkStart w:id="493" w:name="_Toc457821598"/>
      <w:bookmarkStart w:id="494" w:name="_Toc239175111"/>
      <w:r>
        <w:t>Załącznik A</w:t>
      </w:r>
      <w:bookmarkEnd w:id="492"/>
      <w:r>
        <w:t xml:space="preserve"> - Zadeklarowanie poziomu usług w zakresie wykrywania i blokowania wirusów, skuteczności wykrywania spamu lub trafień fałszywie dodatnich</w:t>
      </w:r>
      <w:bookmarkEnd w:id="493"/>
      <w:bookmarkEnd w:id="494"/>
    </w:p>
    <w:p w14:paraId="24580D76" w14:textId="62616EEB" w:rsidR="00D46DC5" w:rsidRPr="00EF7CF9" w:rsidRDefault="00D46DC5" w:rsidP="00A5025D">
      <w:pPr>
        <w:pStyle w:val="ProductList-Body"/>
        <w:tabs>
          <w:tab w:val="clear" w:pos="360"/>
          <w:tab w:val="clear" w:pos="720"/>
          <w:tab w:val="clear" w:pos="1080"/>
        </w:tabs>
      </w:pPr>
      <w:r>
        <w:t>W odniesieniu do Exchange Online i EOP licencjonowanych jako samodzielna Usługa lub za pośrednictwem pakietu ECAL lub Exchange Enterprise CAL z Usługami, Klient może kwalifikować się do Środków na Używanie Usług, jeśli firma Microsoft nie osiągnie Poziomu Usług opisanego poniżej w</w:t>
      </w:r>
      <w:r w:rsidR="00A5025D">
        <w:t> </w:t>
      </w:r>
      <w:r>
        <w:t>zakresie: (1) Wykrywania i blokowania wirusów, (2) Skuteczności wykrywania spamu lub (3) Trafień fałszywie dodatnich. Jeśli którykolwiek z tych indywidualnych Poziomów Usług nie zostanie spełniony, Klient może złożyć wniosek o Środki Serwisowe na Używanie Usług. Jeśli jeden Incydent spowoduje, że nie spełnimy więcej niż jednego warunku umowy SLA dla Exchange Online lub EOP, Klient może zgłosić tylko jedno roszczenie na Środki Serwisowe na Używanie Usług dla danego zdarzenia na każdą Usługę.</w:t>
      </w:r>
    </w:p>
    <w:p w14:paraId="0B087758" w14:textId="77777777" w:rsidR="00D46DC5" w:rsidRPr="00EF7CF9" w:rsidRDefault="00D46DC5" w:rsidP="00D46DC5">
      <w:pPr>
        <w:pStyle w:val="ProductList-Body"/>
        <w:tabs>
          <w:tab w:val="clear" w:pos="360"/>
          <w:tab w:val="clear" w:pos="720"/>
          <w:tab w:val="clear" w:pos="1080"/>
        </w:tabs>
      </w:pPr>
    </w:p>
    <w:p w14:paraId="61092289" w14:textId="4FE5C0A7" w:rsidR="00D46DC5" w:rsidRPr="00EF7CF9" w:rsidRDefault="00D46DC5" w:rsidP="00DB4449">
      <w:pPr>
        <w:pStyle w:val="ProductList-Body"/>
        <w:numPr>
          <w:ilvl w:val="0"/>
          <w:numId w:val="6"/>
        </w:numPr>
        <w:tabs>
          <w:tab w:val="clear" w:pos="360"/>
          <w:tab w:val="clear" w:pos="720"/>
          <w:tab w:val="clear" w:pos="1080"/>
        </w:tabs>
        <w:ind w:left="360" w:hanging="360"/>
        <w:rPr>
          <w:b/>
        </w:rPr>
      </w:pPr>
      <w:r>
        <w:rPr>
          <w:b/>
          <w:color w:val="00188F"/>
        </w:rPr>
        <w:t>Poziom Usług Wykrywania i Blokowania Wirusów</w:t>
      </w:r>
    </w:p>
    <w:p w14:paraId="367EC43A" w14:textId="6881D9D4" w:rsidR="00D46DC5" w:rsidRPr="00EF7CF9" w:rsidRDefault="00EF7CF9" w:rsidP="00DB4449">
      <w:pPr>
        <w:pStyle w:val="ProductList-Body"/>
        <w:numPr>
          <w:ilvl w:val="1"/>
          <w:numId w:val="5"/>
        </w:numPr>
        <w:tabs>
          <w:tab w:val="clear" w:pos="360"/>
          <w:tab w:val="clear" w:pos="720"/>
          <w:tab w:val="clear" w:pos="1080"/>
        </w:tabs>
        <w:ind w:left="720"/>
      </w:pPr>
      <w:r>
        <w:t>„Wykrywanie i Blokowanie Wirusów” oznacza wykrywanie i blokowanie Wirusów przez filtry w celu zapobiegania infekcji. „Wirusy” są</w:t>
      </w:r>
      <w:r w:rsidR="00641212">
        <w:t> </w:t>
      </w:r>
      <w:r>
        <w:t>szeroko definiowane jako znane złośliwe oprogramowanie, które obejmuje wirusy, robaki i konie trojańskie.</w:t>
      </w:r>
    </w:p>
    <w:p w14:paraId="383AB279" w14:textId="7C5941E4" w:rsidR="00D46DC5" w:rsidRPr="00EF7CF9" w:rsidRDefault="00D46DC5" w:rsidP="00DB4449">
      <w:pPr>
        <w:pStyle w:val="ProductList-Body"/>
        <w:numPr>
          <w:ilvl w:val="1"/>
          <w:numId w:val="5"/>
        </w:numPr>
        <w:tabs>
          <w:tab w:val="clear" w:pos="360"/>
          <w:tab w:val="clear" w:pos="720"/>
          <w:tab w:val="clear" w:pos="1080"/>
        </w:tabs>
        <w:ind w:left="720"/>
      </w:pPr>
      <w:r>
        <w:t>Wirus uważa się za znany, jeśli szeroko stosowane komercyjne silniki skanujące są w stanie go wykryć, a możliwość wykrywania jest dostępna w całej sieci EOP.</w:t>
      </w:r>
    </w:p>
    <w:p w14:paraId="3EDD97C9" w14:textId="0741C4BD" w:rsidR="00D46DC5" w:rsidRPr="00EF7CF9" w:rsidRDefault="00D46DC5" w:rsidP="00DB4449">
      <w:pPr>
        <w:pStyle w:val="ProductList-Body"/>
        <w:numPr>
          <w:ilvl w:val="1"/>
          <w:numId w:val="5"/>
        </w:numPr>
        <w:tabs>
          <w:tab w:val="clear" w:pos="360"/>
          <w:tab w:val="clear" w:pos="720"/>
          <w:tab w:val="clear" w:pos="1080"/>
        </w:tabs>
        <w:ind w:left="720"/>
      </w:pPr>
      <w:r>
        <w:t>Jego obecność musi wynikać z niezamierzonej infekcji.</w:t>
      </w:r>
    </w:p>
    <w:p w14:paraId="5614CCF7" w14:textId="01253259" w:rsidR="00D46DC5" w:rsidRPr="00EF7CF9" w:rsidRDefault="00D46DC5" w:rsidP="00DB4449">
      <w:pPr>
        <w:pStyle w:val="ProductList-Body"/>
        <w:numPr>
          <w:ilvl w:val="1"/>
          <w:numId w:val="5"/>
        </w:numPr>
        <w:tabs>
          <w:tab w:val="clear" w:pos="360"/>
          <w:tab w:val="clear" w:pos="720"/>
          <w:tab w:val="clear" w:pos="1080"/>
        </w:tabs>
        <w:ind w:left="720"/>
      </w:pPr>
      <w:r>
        <w:t>Wirus musiał zostać przeskanowany przez filtr wirusów EOP.</w:t>
      </w:r>
    </w:p>
    <w:p w14:paraId="7707FC7D" w14:textId="21F74FB9" w:rsidR="00D46DC5" w:rsidRPr="00EF7CF9" w:rsidRDefault="00D46DC5" w:rsidP="00DB4449">
      <w:pPr>
        <w:pStyle w:val="ProductList-Body"/>
        <w:numPr>
          <w:ilvl w:val="1"/>
          <w:numId w:val="5"/>
        </w:numPr>
        <w:tabs>
          <w:tab w:val="clear" w:pos="360"/>
          <w:tab w:val="clear" w:pos="720"/>
          <w:tab w:val="clear" w:pos="1080"/>
        </w:tabs>
        <w:ind w:left="720"/>
      </w:pPr>
      <w:r>
        <w:t>Jeśli EOP dostarczy Klientowi wiadomość e-mail zainfekowaną znanym wirusem, EOP powiadomi o tym Użytkownika i będzie z nim współpracować, aby taki wirus zidentyfikować i usunąć. Jeśli zapobiegnie to infekcji, Klient nie będzie uprawniony do Środków na Używanie Usług w ramach Poziomu Usługi Wykrywania i Blokowania Wirusów.</w:t>
      </w:r>
    </w:p>
    <w:p w14:paraId="086E42AC" w14:textId="7A7D04B9" w:rsidR="00D46DC5" w:rsidRPr="00EF7CF9" w:rsidRDefault="00D46DC5" w:rsidP="00DB4449">
      <w:pPr>
        <w:pStyle w:val="ProductList-Body"/>
        <w:numPr>
          <w:ilvl w:val="1"/>
          <w:numId w:val="5"/>
        </w:numPr>
        <w:tabs>
          <w:tab w:val="clear" w:pos="360"/>
          <w:tab w:val="clear" w:pos="720"/>
          <w:tab w:val="clear" w:pos="1080"/>
        </w:tabs>
        <w:ind w:left="720"/>
      </w:pPr>
      <w:r>
        <w:t>Poziom Usług Wykrywania i Blokowania Wirusów nie ma zastosowania do:</w:t>
      </w:r>
    </w:p>
    <w:p w14:paraId="09006C52" w14:textId="524237E8" w:rsidR="00D46DC5" w:rsidRPr="00EF7CF9" w:rsidRDefault="00D46DC5" w:rsidP="00DB4449">
      <w:pPr>
        <w:pStyle w:val="ProductList-Body"/>
        <w:numPr>
          <w:ilvl w:val="2"/>
          <w:numId w:val="5"/>
        </w:numPr>
        <w:tabs>
          <w:tab w:val="clear" w:pos="360"/>
          <w:tab w:val="clear" w:pos="720"/>
          <w:tab w:val="clear" w:pos="1080"/>
        </w:tabs>
        <w:ind w:left="1080" w:hanging="360"/>
      </w:pPr>
      <w:r>
        <w:t>Form nadużyć w poczcie elektronicznej niesklasyfikowanych jako złośliwe oprogramowanie, takich jak spam, phishing i inne formy oszustwa, oprogramowania reklamowego i form oprogramowania szpiegującego, które ze względu na swój ukierunkowany charakter lub ograniczone zastosowanie nie są znane społeczności antywirusowej i dlatego nie są śledzone przez programy produkty wirusowe jako wirus.</w:t>
      </w:r>
    </w:p>
    <w:p w14:paraId="7048433A" w14:textId="7661DAAF" w:rsidR="00D46DC5" w:rsidRPr="00EF7CF9" w:rsidRDefault="00D46DC5" w:rsidP="00DB4449">
      <w:pPr>
        <w:pStyle w:val="ProductList-Body"/>
        <w:numPr>
          <w:ilvl w:val="2"/>
          <w:numId w:val="5"/>
        </w:numPr>
        <w:tabs>
          <w:tab w:val="clear" w:pos="360"/>
          <w:tab w:val="clear" w:pos="720"/>
          <w:tab w:val="clear" w:pos="1080"/>
        </w:tabs>
        <w:ind w:left="1080" w:hanging="360"/>
      </w:pPr>
      <w:r>
        <w:t>Uszkodzonych, wadliwych, skróconych lub nieaktywnych wirusów zawartych w raportach NDR, powiadomieniach lub odsyłanych wiadomościach e-mail z adresów, do których nie dotarła wysłana wiadomość e-mail.</w:t>
      </w:r>
    </w:p>
    <w:p w14:paraId="1F48062D" w14:textId="6EC757FD" w:rsidR="00D46DC5" w:rsidRPr="00EF7CF9" w:rsidRDefault="00D46DC5" w:rsidP="00DB4449">
      <w:pPr>
        <w:pStyle w:val="ProductList-Body"/>
        <w:numPr>
          <w:ilvl w:val="1"/>
          <w:numId w:val="5"/>
        </w:numPr>
        <w:tabs>
          <w:tab w:val="clear" w:pos="360"/>
          <w:tab w:val="clear" w:pos="720"/>
          <w:tab w:val="clear" w:pos="1080"/>
        </w:tabs>
        <w:ind w:left="720"/>
      </w:pPr>
      <w:r>
        <w:t>Środki Serwisowe na Używanie Usług dostępne w ramach Usługi Wykrywania i Blokowania Wirusów to: 25% Środków na Używanie Usług wysokości Właściwych Opłat za Usługę, jeśli infekcja wystąpi we Właściwym Okresie, przy czym dopuszczalna jest maksymalnie jedno roszczenie w danym Właściwym Okresie.</w:t>
      </w:r>
    </w:p>
    <w:p w14:paraId="5A7D88E7" w14:textId="77777777" w:rsidR="00D46DC5" w:rsidRPr="00EF7CF9" w:rsidRDefault="00D46DC5" w:rsidP="00D46DC5">
      <w:pPr>
        <w:pStyle w:val="ProductList-Body"/>
        <w:tabs>
          <w:tab w:val="clear" w:pos="360"/>
          <w:tab w:val="clear" w:pos="720"/>
          <w:tab w:val="clear" w:pos="1080"/>
        </w:tabs>
        <w:ind w:left="720"/>
      </w:pPr>
    </w:p>
    <w:p w14:paraId="2921BACD" w14:textId="22CBB5DA" w:rsidR="00D46DC5" w:rsidRPr="00EF7CF9" w:rsidRDefault="00D46DC5" w:rsidP="00DB4449">
      <w:pPr>
        <w:pStyle w:val="ProductList-Body"/>
        <w:numPr>
          <w:ilvl w:val="0"/>
          <w:numId w:val="5"/>
        </w:numPr>
        <w:tabs>
          <w:tab w:val="clear" w:pos="360"/>
          <w:tab w:val="clear" w:pos="720"/>
          <w:tab w:val="clear" w:pos="1080"/>
        </w:tabs>
        <w:ind w:left="360" w:hanging="360"/>
        <w:rPr>
          <w:b/>
        </w:rPr>
      </w:pPr>
      <w:r>
        <w:rPr>
          <w:b/>
          <w:color w:val="00188F"/>
        </w:rPr>
        <w:t>Poziom Usług dotyczący Skuteczności Wykrywania Spamu</w:t>
      </w:r>
    </w:p>
    <w:p w14:paraId="0E0804C5" w14:textId="04712794" w:rsidR="00D46DC5" w:rsidRPr="00EF7CF9" w:rsidRDefault="00EF7CF9" w:rsidP="00DB4449">
      <w:pPr>
        <w:pStyle w:val="ProductList-Body"/>
        <w:numPr>
          <w:ilvl w:val="1"/>
          <w:numId w:val="5"/>
        </w:numPr>
        <w:tabs>
          <w:tab w:val="clear" w:pos="360"/>
          <w:tab w:val="clear" w:pos="720"/>
          <w:tab w:val="clear" w:pos="1080"/>
        </w:tabs>
        <w:ind w:left="720"/>
      </w:pPr>
      <w:r>
        <w:t>„Skuteczność Wykrywania Spamu” to procent przychodzącego spamu wykrytego przez system filtrowania, mierzony codziennie.</w:t>
      </w:r>
    </w:p>
    <w:p w14:paraId="64ABB92E" w14:textId="79612D0E" w:rsidR="00D46DC5" w:rsidRPr="00EF7CF9" w:rsidRDefault="00D46DC5" w:rsidP="00DB4449">
      <w:pPr>
        <w:pStyle w:val="ProductList-Body"/>
        <w:numPr>
          <w:ilvl w:val="1"/>
          <w:numId w:val="5"/>
        </w:numPr>
        <w:tabs>
          <w:tab w:val="clear" w:pos="360"/>
          <w:tab w:val="clear" w:pos="720"/>
          <w:tab w:val="clear" w:pos="1080"/>
        </w:tabs>
        <w:ind w:left="720"/>
        <w:jc w:val="both"/>
      </w:pPr>
      <w:r>
        <w:t>Szacunki skuteczności wykrywania spamu nie uwzględniają trafień fałszywie ujemnych dotyczących nieprawidłowych skrzynek pocztowych.</w:t>
      </w:r>
    </w:p>
    <w:p w14:paraId="2AEBFBB8" w14:textId="200A7D15" w:rsidR="00D46DC5" w:rsidRPr="00EF7CF9" w:rsidRDefault="00D46DC5" w:rsidP="00DB4449">
      <w:pPr>
        <w:pStyle w:val="ProductList-Body"/>
        <w:numPr>
          <w:ilvl w:val="1"/>
          <w:numId w:val="5"/>
        </w:numPr>
        <w:tabs>
          <w:tab w:val="clear" w:pos="360"/>
          <w:tab w:val="clear" w:pos="720"/>
          <w:tab w:val="clear" w:pos="1080"/>
        </w:tabs>
        <w:ind w:left="720"/>
      </w:pPr>
      <w:r>
        <w:t>Wiadomość spamowa musi zostać przetworzona przez nasz serwis i nie może być uszkodzona, zniekształcona ani obcięta.</w:t>
      </w:r>
    </w:p>
    <w:p w14:paraId="3A248BCC" w14:textId="5F363839" w:rsidR="00D46DC5" w:rsidRPr="00EF7CF9" w:rsidRDefault="00D46DC5" w:rsidP="00DB4449">
      <w:pPr>
        <w:pStyle w:val="ProductList-Body"/>
        <w:numPr>
          <w:ilvl w:val="1"/>
          <w:numId w:val="5"/>
        </w:numPr>
        <w:tabs>
          <w:tab w:val="clear" w:pos="360"/>
          <w:tab w:val="clear" w:pos="720"/>
          <w:tab w:val="clear" w:pos="1080"/>
        </w:tabs>
        <w:ind w:left="720"/>
      </w:pPr>
      <w:r>
        <w:t>Poziom Usług dotyczący Skuteczności Wykrywania Spamu nie ma zastosowania do wiadomości e-mail zawierających większość treści w</w:t>
      </w:r>
      <w:r w:rsidR="00A5025D">
        <w:t> </w:t>
      </w:r>
      <w:r>
        <w:t xml:space="preserve">języku innym niż język angielski. </w:t>
      </w:r>
    </w:p>
    <w:p w14:paraId="2713F5AA" w14:textId="733D5B19" w:rsidR="00D46DC5" w:rsidRPr="00EF7CF9" w:rsidRDefault="00D46DC5" w:rsidP="00DB4449">
      <w:pPr>
        <w:pStyle w:val="ProductList-Body"/>
        <w:numPr>
          <w:ilvl w:val="1"/>
          <w:numId w:val="5"/>
        </w:numPr>
        <w:tabs>
          <w:tab w:val="clear" w:pos="360"/>
          <w:tab w:val="clear" w:pos="720"/>
          <w:tab w:val="clear" w:pos="1080"/>
        </w:tabs>
        <w:ind w:left="720"/>
      </w:pPr>
      <w:r>
        <w:t>Użytkownik przyjmuje do wiadomości, że klasyfikacja spamu jest subiektywna i akceptuje fakt, że dokonamy w dobrej wierze oszacowania współczynnika przechwytywania spamu w oparciu o dostarczone przez Użytkownika w odpowiednim czasie dowody.</w:t>
      </w:r>
    </w:p>
    <w:p w14:paraId="3D467451" w14:textId="13DCCE23" w:rsidR="00B10E8D" w:rsidRPr="00EF7CF9" w:rsidRDefault="00D46DC5" w:rsidP="00D952C5">
      <w:pPr>
        <w:pStyle w:val="ProductList-Body"/>
        <w:numPr>
          <w:ilvl w:val="1"/>
          <w:numId w:val="5"/>
        </w:numPr>
        <w:tabs>
          <w:tab w:val="clear" w:pos="360"/>
          <w:tab w:val="clear" w:pos="720"/>
          <w:tab w:val="clear" w:pos="1080"/>
        </w:tabs>
        <w:spacing w:after="120"/>
        <w:ind w:left="720"/>
      </w:pPr>
      <w:r>
        <w:t>Środki Serwisowe na Używanie Usług dostępne w ramach Skuteczności Wykrywania Spamu:</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2676193" w14:textId="77777777" w:rsidTr="00D46DC5">
        <w:trPr>
          <w:tblHeader/>
        </w:trPr>
        <w:tc>
          <w:tcPr>
            <w:tcW w:w="5040" w:type="dxa"/>
            <w:shd w:val="clear" w:color="auto" w:fill="0072C6"/>
          </w:tcPr>
          <w:p w14:paraId="6236433A" w14:textId="70877BE5" w:rsidR="00D46DC5" w:rsidRPr="00EF7CF9" w:rsidRDefault="00D46DC5" w:rsidP="00002CD6">
            <w:pPr>
              <w:pStyle w:val="ProductList-OfferingBody"/>
              <w:jc w:val="center"/>
              <w:rPr>
                <w:color w:val="FFFFFF" w:themeColor="background1"/>
              </w:rPr>
            </w:pPr>
            <w:r>
              <w:rPr>
                <w:color w:val="FFFFFF" w:themeColor="background1"/>
              </w:rPr>
              <w:t>% obowiązującego okresu, w którym skuteczność spamu jest niższa niż 99%</w:t>
            </w:r>
          </w:p>
        </w:tc>
        <w:tc>
          <w:tcPr>
            <w:tcW w:w="5040" w:type="dxa"/>
            <w:shd w:val="clear" w:color="auto" w:fill="0072C6"/>
          </w:tcPr>
          <w:p w14:paraId="56BE0234" w14:textId="77777777" w:rsidR="00D46DC5" w:rsidRPr="00EF7CF9" w:rsidRDefault="00D46DC5" w:rsidP="00002CD6">
            <w:pPr>
              <w:pStyle w:val="ProductList-OfferingBody"/>
              <w:jc w:val="center"/>
              <w:rPr>
                <w:color w:val="FFFFFF" w:themeColor="background1"/>
              </w:rPr>
            </w:pPr>
            <w:r>
              <w:rPr>
                <w:color w:val="FFFFFF" w:themeColor="background1"/>
              </w:rPr>
              <w:t>Środki Serwisowe na Używanie Usług</w:t>
            </w:r>
          </w:p>
        </w:tc>
      </w:tr>
      <w:tr w:rsidR="00D46DC5" w:rsidRPr="00B44CF9" w14:paraId="09A914F6" w14:textId="77777777" w:rsidTr="00D46DC5">
        <w:tc>
          <w:tcPr>
            <w:tcW w:w="5040" w:type="dxa"/>
          </w:tcPr>
          <w:p w14:paraId="631738B0" w14:textId="3E17D68C" w:rsidR="00D46DC5" w:rsidRPr="00EF7CF9" w:rsidRDefault="00D46DC5" w:rsidP="00002CD6">
            <w:pPr>
              <w:pStyle w:val="ProductList-OfferingBody"/>
              <w:jc w:val="center"/>
            </w:pPr>
            <w:r>
              <w:t>&gt;</w:t>
            </w:r>
            <w:r w:rsidR="00A5025D">
              <w:t xml:space="preserve"> </w:t>
            </w:r>
            <w:r>
              <w:t>25%</w:t>
            </w:r>
          </w:p>
        </w:tc>
        <w:tc>
          <w:tcPr>
            <w:tcW w:w="5040" w:type="dxa"/>
          </w:tcPr>
          <w:p w14:paraId="0CE6B48C" w14:textId="77777777" w:rsidR="00D46DC5" w:rsidRPr="00EF7CF9" w:rsidRDefault="00D46DC5" w:rsidP="00002CD6">
            <w:pPr>
              <w:pStyle w:val="ProductList-OfferingBody"/>
              <w:jc w:val="center"/>
            </w:pPr>
            <w:r>
              <w:t>25%</w:t>
            </w:r>
          </w:p>
        </w:tc>
      </w:tr>
      <w:tr w:rsidR="00D46DC5" w:rsidRPr="00B44CF9" w14:paraId="351EBE61" w14:textId="77777777" w:rsidTr="00D46DC5">
        <w:tc>
          <w:tcPr>
            <w:tcW w:w="5040" w:type="dxa"/>
          </w:tcPr>
          <w:p w14:paraId="3695DA63" w14:textId="360D03C8" w:rsidR="00D46DC5" w:rsidRPr="00EF7CF9" w:rsidRDefault="00D46DC5" w:rsidP="00002CD6">
            <w:pPr>
              <w:pStyle w:val="ProductList-OfferingBody"/>
              <w:jc w:val="center"/>
            </w:pPr>
            <w:r>
              <w:t>&gt; 50%</w:t>
            </w:r>
          </w:p>
        </w:tc>
        <w:tc>
          <w:tcPr>
            <w:tcW w:w="5040" w:type="dxa"/>
          </w:tcPr>
          <w:p w14:paraId="2DE7EA92" w14:textId="77777777" w:rsidR="00D46DC5" w:rsidRPr="00EF7CF9" w:rsidRDefault="00D46DC5" w:rsidP="00002CD6">
            <w:pPr>
              <w:pStyle w:val="ProductList-OfferingBody"/>
              <w:jc w:val="center"/>
            </w:pPr>
            <w:r>
              <w:t>50%</w:t>
            </w:r>
          </w:p>
        </w:tc>
      </w:tr>
      <w:tr w:rsidR="00D46DC5" w:rsidRPr="00B44CF9" w14:paraId="5EBFF820" w14:textId="77777777" w:rsidTr="00D46DC5">
        <w:tc>
          <w:tcPr>
            <w:tcW w:w="5040" w:type="dxa"/>
          </w:tcPr>
          <w:p w14:paraId="777A52D2" w14:textId="2C56D2B6" w:rsidR="00D46DC5" w:rsidRPr="00EF7CF9" w:rsidRDefault="00D46DC5" w:rsidP="00002CD6">
            <w:pPr>
              <w:pStyle w:val="ProductList-OfferingBody"/>
              <w:jc w:val="center"/>
            </w:pPr>
            <w:r>
              <w:t>100%</w:t>
            </w:r>
          </w:p>
        </w:tc>
        <w:tc>
          <w:tcPr>
            <w:tcW w:w="5040" w:type="dxa"/>
          </w:tcPr>
          <w:p w14:paraId="2AC83C59" w14:textId="77777777" w:rsidR="00D46DC5" w:rsidRPr="00EF7CF9" w:rsidRDefault="00D46DC5" w:rsidP="00002CD6">
            <w:pPr>
              <w:pStyle w:val="ProductList-OfferingBody"/>
              <w:jc w:val="center"/>
            </w:pPr>
            <w:r>
              <w:t>100%</w:t>
            </w:r>
          </w:p>
        </w:tc>
      </w:tr>
    </w:tbl>
    <w:p w14:paraId="5FF28ED0" w14:textId="77777777" w:rsidR="00D46DC5" w:rsidRPr="00EF7CF9" w:rsidRDefault="00D46DC5" w:rsidP="00D46DC5">
      <w:pPr>
        <w:pStyle w:val="ProductList-Body"/>
        <w:tabs>
          <w:tab w:val="clear" w:pos="360"/>
          <w:tab w:val="clear" w:pos="720"/>
          <w:tab w:val="clear" w:pos="1080"/>
        </w:tabs>
      </w:pPr>
    </w:p>
    <w:p w14:paraId="790AF5B7" w14:textId="450B8A56" w:rsidR="00D46DC5" w:rsidRPr="00EF7CF9" w:rsidRDefault="00D46DC5" w:rsidP="00DB4449">
      <w:pPr>
        <w:pStyle w:val="ProductList-Body"/>
        <w:numPr>
          <w:ilvl w:val="0"/>
          <w:numId w:val="5"/>
        </w:numPr>
        <w:tabs>
          <w:tab w:val="clear" w:pos="360"/>
          <w:tab w:val="clear" w:pos="720"/>
          <w:tab w:val="clear" w:pos="1080"/>
        </w:tabs>
        <w:ind w:left="360" w:hanging="360"/>
        <w:rPr>
          <w:b/>
        </w:rPr>
      </w:pPr>
      <w:r>
        <w:rPr>
          <w:b/>
          <w:color w:val="00188F"/>
        </w:rPr>
        <w:t>Poziom Usług Trafień Fałszywie Dodatnich</w:t>
      </w:r>
    </w:p>
    <w:p w14:paraId="34815E06" w14:textId="18A8EB1E" w:rsidR="00D46DC5" w:rsidRPr="00EF7CF9" w:rsidRDefault="00EF7CF9" w:rsidP="00DB4449">
      <w:pPr>
        <w:pStyle w:val="ProductList-Body"/>
        <w:numPr>
          <w:ilvl w:val="1"/>
          <w:numId w:val="5"/>
        </w:numPr>
        <w:tabs>
          <w:tab w:val="clear" w:pos="360"/>
          <w:tab w:val="clear" w:pos="720"/>
          <w:tab w:val="clear" w:pos="1080"/>
        </w:tabs>
        <w:ind w:left="720"/>
      </w:pPr>
      <w:r>
        <w:t>„Trafienia Fałszywie Dodatnie” to stosunek prawidłowych wiadomości służbowych błędnie zidentyfikowanych przez system filtrowania jako spam do wszystkich wiadomości e-mail przetworzonych przez usługę we Właściwym Okresie.</w:t>
      </w:r>
    </w:p>
    <w:p w14:paraId="6200DF6C" w14:textId="75E7A01E" w:rsidR="00D46DC5" w:rsidRPr="00EF7CF9" w:rsidRDefault="00D46DC5" w:rsidP="00DB4449">
      <w:pPr>
        <w:pStyle w:val="ProductList-Body"/>
        <w:numPr>
          <w:ilvl w:val="1"/>
          <w:numId w:val="5"/>
        </w:numPr>
        <w:tabs>
          <w:tab w:val="clear" w:pos="360"/>
          <w:tab w:val="clear" w:pos="720"/>
          <w:tab w:val="clear" w:pos="1080"/>
        </w:tabs>
        <w:ind w:left="720"/>
      </w:pPr>
      <w:r>
        <w:t>Kompletne, oryginalne wiadomości, łącznie z nagłówkami, należy zgłosić zespołowi ds. nadużyć.</w:t>
      </w:r>
    </w:p>
    <w:p w14:paraId="56882ADE" w14:textId="51F69848" w:rsidR="00D46DC5" w:rsidRPr="00EF7CF9" w:rsidRDefault="00D46DC5" w:rsidP="00DB4449">
      <w:pPr>
        <w:pStyle w:val="ProductList-Body"/>
        <w:numPr>
          <w:ilvl w:val="1"/>
          <w:numId w:val="5"/>
        </w:numPr>
        <w:tabs>
          <w:tab w:val="clear" w:pos="360"/>
          <w:tab w:val="clear" w:pos="720"/>
          <w:tab w:val="clear" w:pos="1080"/>
        </w:tabs>
        <w:ind w:left="720"/>
      </w:pPr>
      <w:r>
        <w:t>Dotyczy wiadomości e-mail wysyłanych wyłącznie do prawidłowych skrzynek pocztowych.</w:t>
      </w:r>
    </w:p>
    <w:p w14:paraId="40E1716C" w14:textId="7C3CE5E2" w:rsidR="00D46DC5" w:rsidRPr="00EF7CF9" w:rsidRDefault="00D46DC5" w:rsidP="00DB4449">
      <w:pPr>
        <w:pStyle w:val="ProductList-Body"/>
        <w:numPr>
          <w:ilvl w:val="1"/>
          <w:numId w:val="5"/>
        </w:numPr>
        <w:tabs>
          <w:tab w:val="clear" w:pos="360"/>
          <w:tab w:val="clear" w:pos="720"/>
          <w:tab w:val="clear" w:pos="1080"/>
        </w:tabs>
        <w:ind w:left="720"/>
      </w:pPr>
      <w:r>
        <w:t>Użytkownik przyjmuje do wiadomości, że klasyfikacja trafień fałszywie dodatnich jest subiektywna i rozumie, że dokonamy w dobrej wierze oszacowania współczynnika trafień fałszywie dodatnich w oparciu o dostarczone przez Użytkownika w odpowiednim czasie dowody.</w:t>
      </w:r>
    </w:p>
    <w:p w14:paraId="23C90FDB" w14:textId="474C063D" w:rsidR="00D46DC5" w:rsidRPr="00EF7CF9" w:rsidRDefault="00D46DC5" w:rsidP="00DB4449">
      <w:pPr>
        <w:pStyle w:val="ProductList-Body"/>
        <w:numPr>
          <w:ilvl w:val="1"/>
          <w:numId w:val="5"/>
        </w:numPr>
        <w:tabs>
          <w:tab w:val="clear" w:pos="360"/>
          <w:tab w:val="clear" w:pos="720"/>
          <w:tab w:val="clear" w:pos="1080"/>
        </w:tabs>
        <w:ind w:left="720"/>
      </w:pPr>
      <w:r>
        <w:t>Poziom Usług Trafień Fałszywie Dodatnich nie ma zastosowania w następujących przypadkach:</w:t>
      </w:r>
    </w:p>
    <w:p w14:paraId="7372134E" w14:textId="4A9824CE" w:rsidR="00D46DC5" w:rsidRPr="00EF7CF9" w:rsidRDefault="00D46DC5" w:rsidP="00DB4449">
      <w:pPr>
        <w:pStyle w:val="ProductList-Body"/>
        <w:numPr>
          <w:ilvl w:val="2"/>
          <w:numId w:val="5"/>
        </w:numPr>
        <w:tabs>
          <w:tab w:val="clear" w:pos="360"/>
          <w:tab w:val="clear" w:pos="720"/>
          <w:tab w:val="clear" w:pos="1080"/>
        </w:tabs>
        <w:ind w:left="1080" w:hanging="360"/>
      </w:pPr>
      <w:r>
        <w:t>masowych, osobistych lub pornograficznych wiadomości e-mail</w:t>
      </w:r>
    </w:p>
    <w:p w14:paraId="7A5B93DD" w14:textId="481EF0DD" w:rsidR="00D46DC5" w:rsidRPr="00EF7CF9" w:rsidRDefault="00D46DC5" w:rsidP="00DB4449">
      <w:pPr>
        <w:pStyle w:val="ProductList-Body"/>
        <w:numPr>
          <w:ilvl w:val="2"/>
          <w:numId w:val="5"/>
        </w:numPr>
        <w:tabs>
          <w:tab w:val="clear" w:pos="360"/>
          <w:tab w:val="clear" w:pos="720"/>
          <w:tab w:val="clear" w:pos="1080"/>
        </w:tabs>
        <w:ind w:left="1080" w:hanging="360"/>
      </w:pPr>
      <w:r>
        <w:t>wiadomości e-mail zawierających większość treści w języku innym niż język angielski</w:t>
      </w:r>
    </w:p>
    <w:p w14:paraId="2644814B" w14:textId="660B23B4" w:rsidR="00D46DC5" w:rsidRPr="00EF7CF9" w:rsidRDefault="00D46DC5" w:rsidP="00DB4449">
      <w:pPr>
        <w:pStyle w:val="ProductList-Body"/>
        <w:numPr>
          <w:ilvl w:val="2"/>
          <w:numId w:val="5"/>
        </w:numPr>
        <w:tabs>
          <w:tab w:val="clear" w:pos="360"/>
          <w:tab w:val="clear" w:pos="720"/>
          <w:tab w:val="clear" w:pos="1080"/>
        </w:tabs>
        <w:ind w:left="1080" w:hanging="360"/>
      </w:pPr>
      <w:r>
        <w:t>wiadomości e-mail blokowanych przez zastosowanie reguły polityki, wdrożenie usługi reputation filtering lub filtrowanie połączeń SMTP</w:t>
      </w:r>
    </w:p>
    <w:p w14:paraId="2D20E567" w14:textId="54658CED" w:rsidR="00D46DC5" w:rsidRPr="00EF7CF9" w:rsidRDefault="00D46DC5" w:rsidP="00DB4449">
      <w:pPr>
        <w:pStyle w:val="ProductList-Body"/>
        <w:numPr>
          <w:ilvl w:val="2"/>
          <w:numId w:val="5"/>
        </w:numPr>
        <w:tabs>
          <w:tab w:val="clear" w:pos="360"/>
          <w:tab w:val="clear" w:pos="720"/>
          <w:tab w:val="clear" w:pos="1080"/>
        </w:tabs>
        <w:ind w:left="1080" w:hanging="360"/>
      </w:pPr>
      <w:r>
        <w:t>wiadomości e-mail dostarczonych do folderu Kosz</w:t>
      </w:r>
    </w:p>
    <w:p w14:paraId="775DAECE" w14:textId="56DC4673" w:rsidR="00D46DC5" w:rsidRPr="00EF7CF9" w:rsidRDefault="00D46DC5" w:rsidP="00D952C5">
      <w:pPr>
        <w:pStyle w:val="ProductList-Body"/>
        <w:numPr>
          <w:ilvl w:val="1"/>
          <w:numId w:val="5"/>
        </w:numPr>
        <w:tabs>
          <w:tab w:val="clear" w:pos="360"/>
          <w:tab w:val="clear" w:pos="720"/>
          <w:tab w:val="clear" w:pos="1080"/>
        </w:tabs>
        <w:spacing w:after="120"/>
        <w:ind w:left="720"/>
      </w:pPr>
      <w:r>
        <w:t>Środki Serwisowe na Używanie Usług dostępne w ramach Usługi Trafień Fałszywie Dodatnich:</w:t>
      </w:r>
    </w:p>
    <w:tbl>
      <w:tblPr>
        <w:tblW w:w="10080" w:type="dxa"/>
        <w:tblInd w:w="71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040"/>
        <w:gridCol w:w="5040"/>
      </w:tblGrid>
      <w:tr w:rsidR="00D46DC5" w:rsidRPr="00B44CF9" w14:paraId="55319DD5" w14:textId="77777777" w:rsidTr="00F575B8">
        <w:trPr>
          <w:tblHeader/>
        </w:trPr>
        <w:tc>
          <w:tcPr>
            <w:tcW w:w="5040" w:type="dxa"/>
            <w:shd w:val="clear" w:color="auto" w:fill="0072C6"/>
          </w:tcPr>
          <w:p w14:paraId="6B8ECFE6" w14:textId="0109EB81" w:rsidR="00D46DC5" w:rsidRPr="00EF7CF9" w:rsidRDefault="00D46DC5" w:rsidP="00002CD6">
            <w:pPr>
              <w:pStyle w:val="ProductList-OfferingBody"/>
              <w:jc w:val="center"/>
              <w:rPr>
                <w:color w:val="FFFFFF" w:themeColor="background1"/>
              </w:rPr>
            </w:pPr>
            <w:r>
              <w:rPr>
                <w:color w:val="FFFFFF" w:themeColor="background1"/>
              </w:rPr>
              <w:t>Współczynniki Trafień Fałszywie Dodatnich we Właściwym Okresie</w:t>
            </w:r>
          </w:p>
        </w:tc>
        <w:tc>
          <w:tcPr>
            <w:tcW w:w="5040" w:type="dxa"/>
            <w:shd w:val="clear" w:color="auto" w:fill="0072C6"/>
          </w:tcPr>
          <w:p w14:paraId="60CA8A89" w14:textId="77777777" w:rsidR="00D46DC5" w:rsidRPr="00EF7CF9" w:rsidRDefault="00D46DC5" w:rsidP="00002CD6">
            <w:pPr>
              <w:pStyle w:val="ProductList-OfferingBody"/>
              <w:jc w:val="center"/>
              <w:rPr>
                <w:color w:val="FFFFFF" w:themeColor="background1"/>
              </w:rPr>
            </w:pPr>
            <w:r>
              <w:rPr>
                <w:color w:val="FFFFFF" w:themeColor="background1"/>
              </w:rPr>
              <w:t>Środki Serwisowe na Używanie Usług</w:t>
            </w:r>
          </w:p>
        </w:tc>
      </w:tr>
      <w:tr w:rsidR="00D46DC5" w:rsidRPr="00B44CF9" w14:paraId="7AE054B0" w14:textId="77777777" w:rsidTr="00F575B8">
        <w:tc>
          <w:tcPr>
            <w:tcW w:w="5040" w:type="dxa"/>
          </w:tcPr>
          <w:p w14:paraId="6B80DC14" w14:textId="145C484D" w:rsidR="00D46DC5" w:rsidRPr="00EF7CF9" w:rsidRDefault="00D46DC5" w:rsidP="00ED3399">
            <w:pPr>
              <w:pStyle w:val="ProductList-OfferingBody"/>
              <w:jc w:val="center"/>
            </w:pPr>
            <w:r>
              <w:t>&gt; 1:250 000</w:t>
            </w:r>
          </w:p>
        </w:tc>
        <w:tc>
          <w:tcPr>
            <w:tcW w:w="5040" w:type="dxa"/>
          </w:tcPr>
          <w:p w14:paraId="4987D417" w14:textId="77777777" w:rsidR="00D46DC5" w:rsidRPr="00EF7CF9" w:rsidRDefault="00D46DC5" w:rsidP="00002CD6">
            <w:pPr>
              <w:pStyle w:val="ProductList-OfferingBody"/>
              <w:jc w:val="center"/>
            </w:pPr>
            <w:r>
              <w:t>25%</w:t>
            </w:r>
          </w:p>
        </w:tc>
      </w:tr>
      <w:tr w:rsidR="00D46DC5" w:rsidRPr="00B44CF9" w14:paraId="3254687C" w14:textId="77777777" w:rsidTr="00F575B8">
        <w:tc>
          <w:tcPr>
            <w:tcW w:w="5040" w:type="dxa"/>
          </w:tcPr>
          <w:p w14:paraId="0B1DD814" w14:textId="334E68D2" w:rsidR="00D46DC5" w:rsidRPr="00EF7CF9" w:rsidRDefault="00D46DC5" w:rsidP="00002CD6">
            <w:pPr>
              <w:pStyle w:val="ProductList-OfferingBody"/>
              <w:jc w:val="center"/>
            </w:pPr>
            <w:r>
              <w:t>&gt; 1:10,000</w:t>
            </w:r>
          </w:p>
        </w:tc>
        <w:tc>
          <w:tcPr>
            <w:tcW w:w="5040" w:type="dxa"/>
          </w:tcPr>
          <w:p w14:paraId="12F73FB9" w14:textId="77777777" w:rsidR="00D46DC5" w:rsidRPr="00EF7CF9" w:rsidRDefault="00D46DC5" w:rsidP="00002CD6">
            <w:pPr>
              <w:pStyle w:val="ProductList-OfferingBody"/>
              <w:jc w:val="center"/>
            </w:pPr>
            <w:r>
              <w:t>50%</w:t>
            </w:r>
          </w:p>
        </w:tc>
      </w:tr>
      <w:tr w:rsidR="00D46DC5" w:rsidRPr="00B44CF9" w14:paraId="54FC3522" w14:textId="77777777" w:rsidTr="00F575B8">
        <w:tc>
          <w:tcPr>
            <w:tcW w:w="5040" w:type="dxa"/>
          </w:tcPr>
          <w:p w14:paraId="6B393370" w14:textId="621818A1" w:rsidR="00D46DC5" w:rsidRPr="00EF7CF9" w:rsidRDefault="00F575B8" w:rsidP="00002CD6">
            <w:pPr>
              <w:pStyle w:val="ProductList-OfferingBody"/>
              <w:jc w:val="center"/>
            </w:pPr>
            <w:r>
              <w:t>&gt; 1:100</w:t>
            </w:r>
          </w:p>
        </w:tc>
        <w:tc>
          <w:tcPr>
            <w:tcW w:w="5040" w:type="dxa"/>
          </w:tcPr>
          <w:p w14:paraId="0C773A17" w14:textId="77777777" w:rsidR="00D46DC5" w:rsidRPr="00EF7CF9" w:rsidRDefault="00D46DC5" w:rsidP="00002CD6">
            <w:pPr>
              <w:pStyle w:val="ProductList-OfferingBody"/>
              <w:jc w:val="center"/>
            </w:pPr>
            <w:r>
              <w:t>100%</w:t>
            </w:r>
          </w:p>
        </w:tc>
      </w:tr>
    </w:tbl>
    <w:p w14:paraId="0A84567C" w14:textId="77777777" w:rsidR="00AE5058" w:rsidRPr="00EF7CF9" w:rsidRDefault="00AE5058" w:rsidP="00AE5058">
      <w:pPr>
        <w:pStyle w:val="ProductList-Body"/>
        <w:shd w:val="clear" w:color="auto" w:fill="808080" w:themeFill="background1" w:themeFillShade="80"/>
        <w:tabs>
          <w:tab w:val="clear" w:pos="360"/>
          <w:tab w:val="clear" w:pos="720"/>
          <w:tab w:val="clear" w:pos="1080"/>
        </w:tabs>
        <w:spacing w:before="120" w:after="240"/>
        <w:jc w:val="right"/>
        <w:rPr>
          <w:sz w:val="16"/>
          <w:szCs w:val="16"/>
        </w:rPr>
      </w:pPr>
      <w:hyperlink w:anchor="TOC" w:history="1">
        <w:r w:rsidRPr="00BA73F1">
          <w:rPr>
            <w:rStyle w:val="Hyperlink"/>
            <w:sz w:val="16"/>
            <w:szCs w:val="16"/>
          </w:rPr>
          <w:t>Spis treści</w:t>
        </w:r>
      </w:hyperlink>
      <w:r>
        <w:rPr>
          <w:sz w:val="16"/>
          <w:szCs w:val="16"/>
        </w:rPr>
        <w:t xml:space="preserve"> / </w:t>
      </w:r>
      <w:hyperlink w:anchor="Definitions" w:history="1">
        <w:r w:rsidRPr="00BA73F1">
          <w:rPr>
            <w:rStyle w:val="Hyperlink"/>
            <w:sz w:val="16"/>
            <w:szCs w:val="16"/>
          </w:rPr>
          <w:t>Definicje</w:t>
        </w:r>
      </w:hyperlink>
    </w:p>
    <w:sectPr w:rsidR="00AE5058" w:rsidRPr="00EF7CF9" w:rsidSect="00553DA3">
      <w:footerReference w:type="first" r:id="rId30"/>
      <w:pgSz w:w="12240" w:h="15840"/>
      <w:pgMar w:top="1440" w:right="720" w:bottom="144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BC09" w14:textId="77777777" w:rsidR="004068D7" w:rsidRDefault="004068D7" w:rsidP="009A573F">
      <w:pPr>
        <w:spacing w:after="0" w:line="240" w:lineRule="auto"/>
      </w:pPr>
      <w:r>
        <w:separator/>
      </w:r>
    </w:p>
    <w:p w14:paraId="61DD54D9" w14:textId="77777777" w:rsidR="004068D7" w:rsidRDefault="004068D7"/>
    <w:p w14:paraId="030CEFCA" w14:textId="77777777" w:rsidR="004068D7" w:rsidRDefault="004068D7"/>
    <w:p w14:paraId="2257BB87" w14:textId="77777777" w:rsidR="004068D7" w:rsidRDefault="004068D7"/>
    <w:p w14:paraId="1AC1E4CB" w14:textId="77777777" w:rsidR="004068D7" w:rsidRDefault="004068D7"/>
  </w:endnote>
  <w:endnote w:type="continuationSeparator" w:id="0">
    <w:p w14:paraId="23F242FE" w14:textId="77777777" w:rsidR="004068D7" w:rsidRDefault="004068D7" w:rsidP="009A573F">
      <w:pPr>
        <w:spacing w:after="0" w:line="240" w:lineRule="auto"/>
      </w:pPr>
      <w:r>
        <w:continuationSeparator/>
      </w:r>
    </w:p>
    <w:p w14:paraId="2000D74D" w14:textId="77777777" w:rsidR="004068D7" w:rsidRDefault="004068D7"/>
    <w:p w14:paraId="5B507452" w14:textId="77777777" w:rsidR="004068D7" w:rsidRDefault="004068D7"/>
    <w:p w14:paraId="388B5557" w14:textId="77777777" w:rsidR="004068D7" w:rsidRDefault="004068D7"/>
    <w:p w14:paraId="5455C57E" w14:textId="77777777" w:rsidR="004068D7" w:rsidRDefault="004068D7"/>
  </w:endnote>
  <w:endnote w:type="continuationNotice" w:id="1">
    <w:p w14:paraId="321BBEDA" w14:textId="77777777" w:rsidR="004068D7" w:rsidRDefault="004068D7">
      <w:pPr>
        <w:spacing w:after="0" w:line="240" w:lineRule="auto"/>
      </w:pPr>
    </w:p>
    <w:p w14:paraId="6D7584BD" w14:textId="77777777" w:rsidR="004068D7" w:rsidRDefault="004068D7"/>
    <w:p w14:paraId="507234CE" w14:textId="77777777" w:rsidR="004068D7" w:rsidRDefault="004068D7"/>
    <w:p w14:paraId="48609D46" w14:textId="77777777" w:rsidR="004068D7" w:rsidRDefault="004068D7"/>
    <w:p w14:paraId="3D7E697C" w14:textId="77777777" w:rsidR="004068D7" w:rsidRDefault="00406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9561C" w14:textId="24A13704" w:rsidR="00C84B0F" w:rsidRDefault="00C84B0F" w:rsidP="00914BDB">
    <w:pPr>
      <w:pStyle w:val="ProductList-Body"/>
    </w:pPr>
    <w:r>
      <w:rPr>
        <w:noProof/>
        <w:lang w:val="en-US" w:eastAsia="zh-CN" w:bidi="ar-SA"/>
      </w:rPr>
      <w:drawing>
        <wp:inline distT="0" distB="0" distL="0" distR="0" wp14:anchorId="57C84DC6" wp14:editId="3A5C7D0C">
          <wp:extent cx="1993692" cy="457200"/>
          <wp:effectExtent l="0" t="0" r="6985" b="0"/>
          <wp:docPr id="756718101" name="Picture 756718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icrosoft logo.png"/>
                  <pic:cNvPicPr/>
                </pic:nvPicPr>
                <pic:blipFill>
                  <a:blip r:embed="rId1">
                    <a:extLst>
                      <a:ext uri="{28A0092B-C50C-407E-A947-70E740481C1C}">
                        <a14:useLocalDpi xmlns:a14="http://schemas.microsoft.com/office/drawing/2010/main" val="0"/>
                      </a:ext>
                    </a:extLst>
                  </a:blip>
                  <a:stretch>
                    <a:fillRect/>
                  </a:stretch>
                </pic:blipFill>
                <pic:spPr>
                  <a:xfrm>
                    <a:off x="0" y="0"/>
                    <a:ext cx="2155375" cy="494278"/>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84B0F" w:rsidRPr="00C76DF3" w14:paraId="25A3A111" w14:textId="77777777" w:rsidTr="00A45E01">
      <w:tc>
        <w:tcPr>
          <w:tcW w:w="1975" w:type="dxa"/>
          <w:shd w:val="clear" w:color="auto" w:fill="BFBFBF" w:themeFill="background1" w:themeFillShade="BF"/>
          <w:vAlign w:val="center"/>
        </w:tcPr>
        <w:p w14:paraId="5F986FDD" w14:textId="67D741F8" w:rsidR="00C84B0F" w:rsidRPr="00C76DF3" w:rsidRDefault="00C84B0F" w:rsidP="00A45E0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A73F1">
              <w:rPr>
                <w:rStyle w:val="Hyperlink"/>
                <w:sz w:val="14"/>
                <w:szCs w:val="14"/>
              </w:rPr>
              <w:t>Spis treści</w:t>
            </w:r>
          </w:hyperlink>
        </w:p>
      </w:tc>
      <w:tc>
        <w:tcPr>
          <w:tcW w:w="270" w:type="dxa"/>
          <w:tcBorders>
            <w:top w:val="nil"/>
            <w:bottom w:val="nil"/>
          </w:tcBorders>
          <w:vAlign w:val="center"/>
        </w:tcPr>
        <w:p w14:paraId="76085F21" w14:textId="77777777" w:rsidR="00C84B0F" w:rsidRPr="00C76DF3" w:rsidRDefault="00C84B0F" w:rsidP="00BA73F1">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3A3659C4" w14:textId="097BE0CA" w:rsidR="00C84B0F" w:rsidRPr="00C76DF3" w:rsidRDefault="00C84B0F" w:rsidP="00A45E0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A73F1">
              <w:rPr>
                <w:rStyle w:val="Hyperlink"/>
                <w:sz w:val="14"/>
                <w:szCs w:val="14"/>
              </w:rPr>
              <w:t>Wprowadzenie</w:t>
            </w:r>
          </w:hyperlink>
        </w:p>
      </w:tc>
      <w:tc>
        <w:tcPr>
          <w:tcW w:w="271" w:type="dxa"/>
          <w:tcBorders>
            <w:top w:val="nil"/>
            <w:bottom w:val="nil"/>
          </w:tcBorders>
          <w:vAlign w:val="center"/>
        </w:tcPr>
        <w:p w14:paraId="521E99E1" w14:textId="77777777" w:rsidR="00C84B0F" w:rsidRPr="00C76DF3" w:rsidRDefault="00C84B0F" w:rsidP="00BA73F1">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7B02393B" w14:textId="2A91616F" w:rsidR="00C84B0F" w:rsidRPr="00C76DF3" w:rsidRDefault="00C84B0F" w:rsidP="00A45E0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BA73F1">
              <w:rPr>
                <w:rStyle w:val="Hyperlink"/>
                <w:sz w:val="14"/>
                <w:szCs w:val="14"/>
              </w:rPr>
              <w:t>Postanowienia ogólne</w:t>
            </w:r>
          </w:hyperlink>
        </w:p>
      </w:tc>
      <w:tc>
        <w:tcPr>
          <w:tcW w:w="272" w:type="dxa"/>
          <w:tcBorders>
            <w:top w:val="nil"/>
            <w:bottom w:val="nil"/>
          </w:tcBorders>
          <w:vAlign w:val="center"/>
        </w:tcPr>
        <w:p w14:paraId="1F5A8D3D" w14:textId="77777777" w:rsidR="00C84B0F" w:rsidRPr="00C76DF3" w:rsidRDefault="00C84B0F" w:rsidP="00A45E0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6FE919ED" w14:textId="61103146" w:rsidR="00C84B0F" w:rsidRPr="00E9029A" w:rsidRDefault="00E9029A" w:rsidP="00A45E0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9029A">
              <w:rPr>
                <w:rStyle w:val="Hyperlink"/>
                <w:sz w:val="14"/>
                <w:szCs w:val="14"/>
              </w:rPr>
              <w:t>Szczególne Warunki Usługi</w:t>
            </w:r>
          </w:hyperlink>
        </w:p>
      </w:tc>
      <w:tc>
        <w:tcPr>
          <w:tcW w:w="273" w:type="dxa"/>
          <w:tcBorders>
            <w:top w:val="nil"/>
            <w:bottom w:val="nil"/>
          </w:tcBorders>
          <w:vAlign w:val="center"/>
        </w:tcPr>
        <w:p w14:paraId="6A4318B5" w14:textId="77777777" w:rsidR="00C84B0F" w:rsidRPr="00C76DF3" w:rsidRDefault="00C84B0F" w:rsidP="00A45E0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2B17DA0E" w14:textId="01732320" w:rsidR="00C84B0F" w:rsidRPr="00C76DF3" w:rsidRDefault="00C84B0F" w:rsidP="00A45E0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A73F1">
              <w:rPr>
                <w:rStyle w:val="Hyperlink"/>
                <w:sz w:val="14"/>
                <w:szCs w:val="14"/>
              </w:rPr>
              <w:t>Załączniki</w:t>
            </w:r>
          </w:hyperlink>
        </w:p>
      </w:tc>
    </w:tr>
  </w:tbl>
  <w:p w14:paraId="1166BF0D" w14:textId="77777777" w:rsidR="00C84B0F" w:rsidRDefault="00C84B0F" w:rsidP="00A45E01">
    <w:pPr>
      <w:pStyle w:val="ProductList-Body"/>
      <w:tabs>
        <w:tab w:val="clear" w:pos="360"/>
        <w:tab w:val="clear" w:pos="720"/>
        <w:tab w:val="clear" w:pos="1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84B0F" w:rsidRPr="00C76DF3" w14:paraId="32E85765" w14:textId="77777777" w:rsidTr="00B0776A">
      <w:tc>
        <w:tcPr>
          <w:tcW w:w="1975" w:type="dxa"/>
          <w:shd w:val="clear" w:color="auto" w:fill="BFBFBF" w:themeFill="background1" w:themeFillShade="BF"/>
          <w:vAlign w:val="center"/>
        </w:tcPr>
        <w:p w14:paraId="7081A355" w14:textId="02E95C72" w:rsidR="00C84B0F" w:rsidRPr="00C76DF3" w:rsidRDefault="00C84B0F" w:rsidP="00BA73F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A73F1">
              <w:rPr>
                <w:rStyle w:val="Hyperlink"/>
                <w:sz w:val="14"/>
                <w:szCs w:val="14"/>
              </w:rPr>
              <w:t>Spis treści</w:t>
            </w:r>
          </w:hyperlink>
        </w:p>
      </w:tc>
      <w:tc>
        <w:tcPr>
          <w:tcW w:w="270" w:type="dxa"/>
          <w:tcBorders>
            <w:top w:val="nil"/>
            <w:bottom w:val="nil"/>
          </w:tcBorders>
          <w:vAlign w:val="center"/>
        </w:tcPr>
        <w:p w14:paraId="3863E4F2" w14:textId="1806A9CB" w:rsidR="00C84B0F" w:rsidRPr="00C76DF3" w:rsidRDefault="00C84B0F" w:rsidP="00E9029A">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6B52F57F" w14:textId="404DA563" w:rsidR="00C84B0F" w:rsidRPr="00C76DF3" w:rsidRDefault="00C84B0F" w:rsidP="00BA73F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A73F1">
              <w:rPr>
                <w:rStyle w:val="Hyperlink"/>
                <w:sz w:val="14"/>
                <w:szCs w:val="14"/>
              </w:rPr>
              <w:t>Wprowadzenie</w:t>
            </w:r>
          </w:hyperlink>
        </w:p>
      </w:tc>
      <w:tc>
        <w:tcPr>
          <w:tcW w:w="271" w:type="dxa"/>
          <w:tcBorders>
            <w:top w:val="nil"/>
            <w:bottom w:val="nil"/>
          </w:tcBorders>
          <w:vAlign w:val="center"/>
        </w:tcPr>
        <w:p w14:paraId="68A10451" w14:textId="7A29F9F2" w:rsidR="00C84B0F" w:rsidRPr="00C76DF3" w:rsidRDefault="00C84B0F" w:rsidP="00E9029A">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042F88F2" w14:textId="79E150C4" w:rsidR="00C84B0F" w:rsidRPr="00C76DF3" w:rsidRDefault="00C84B0F" w:rsidP="00BA73F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BA73F1">
              <w:rPr>
                <w:rStyle w:val="Hyperlink"/>
                <w:sz w:val="14"/>
                <w:szCs w:val="14"/>
              </w:rPr>
              <w:t>Postanowienia ogólne</w:t>
            </w:r>
          </w:hyperlink>
        </w:p>
      </w:tc>
      <w:tc>
        <w:tcPr>
          <w:tcW w:w="272" w:type="dxa"/>
          <w:tcBorders>
            <w:top w:val="nil"/>
            <w:bottom w:val="nil"/>
          </w:tcBorders>
          <w:vAlign w:val="center"/>
        </w:tcPr>
        <w:p w14:paraId="2EA56682" w14:textId="7A2BC1A3" w:rsidR="00C84B0F" w:rsidRPr="00C76DF3" w:rsidRDefault="00C84B0F" w:rsidP="00BA73F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1A5A64B7" w14:textId="4BC5F2E7" w:rsidR="00C84B0F" w:rsidRPr="00E9029A" w:rsidRDefault="00E9029A" w:rsidP="00BA73F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9029A">
              <w:rPr>
                <w:rStyle w:val="Hyperlink"/>
                <w:sz w:val="14"/>
                <w:szCs w:val="14"/>
              </w:rPr>
              <w:t>Szczególne Warunki Usługi</w:t>
            </w:r>
          </w:hyperlink>
        </w:p>
      </w:tc>
      <w:tc>
        <w:tcPr>
          <w:tcW w:w="273" w:type="dxa"/>
          <w:tcBorders>
            <w:top w:val="nil"/>
            <w:bottom w:val="nil"/>
          </w:tcBorders>
          <w:vAlign w:val="center"/>
        </w:tcPr>
        <w:p w14:paraId="18D69201" w14:textId="15DDFB4A" w:rsidR="00C84B0F" w:rsidRPr="00C76DF3" w:rsidRDefault="00C84B0F" w:rsidP="00BA73F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7AABFBD0" w14:textId="4F0EBC2D" w:rsidR="00C84B0F" w:rsidRPr="00C76DF3" w:rsidRDefault="00C84B0F" w:rsidP="00BA73F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A73F1">
              <w:rPr>
                <w:rStyle w:val="Hyperlink"/>
                <w:sz w:val="14"/>
                <w:szCs w:val="14"/>
              </w:rPr>
              <w:t>Załączniki</w:t>
            </w:r>
          </w:hyperlink>
        </w:p>
      </w:tc>
    </w:tr>
  </w:tbl>
  <w:p w14:paraId="2F49D278" w14:textId="77777777" w:rsidR="00C84B0F" w:rsidRDefault="00C84B0F" w:rsidP="00370875">
    <w:pPr>
      <w:pStyle w:val="ProductList-Body"/>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255"/>
      <w:gridCol w:w="181"/>
      <w:gridCol w:w="1169"/>
      <w:gridCol w:w="182"/>
      <w:gridCol w:w="1168"/>
      <w:gridCol w:w="183"/>
      <w:gridCol w:w="1167"/>
      <w:gridCol w:w="185"/>
      <w:gridCol w:w="1165"/>
      <w:gridCol w:w="180"/>
      <w:gridCol w:w="1260"/>
      <w:gridCol w:w="270"/>
      <w:gridCol w:w="1170"/>
      <w:gridCol w:w="184"/>
      <w:gridCol w:w="1166"/>
    </w:tblGrid>
    <w:tr w:rsidR="00C84B0F" w:rsidRPr="00C76DF3" w14:paraId="49EBE58A" w14:textId="77777777" w:rsidTr="00B5200C">
      <w:tc>
        <w:tcPr>
          <w:tcW w:w="1255" w:type="dxa"/>
          <w:shd w:val="clear" w:color="auto" w:fill="F2F2F2" w:themeFill="background1" w:themeFillShade="F2"/>
          <w:vAlign w:val="center"/>
        </w:tcPr>
        <w:p w14:paraId="102377D2" w14:textId="77777777" w:rsidR="00C84B0F" w:rsidRPr="00C76DF3" w:rsidRDefault="00C84B0F" w:rsidP="00370875">
          <w:pPr>
            <w:pStyle w:val="ProductList-OfferingBody"/>
            <w:ind w:left="-77" w:right="-73"/>
            <w:jc w:val="center"/>
            <w:rPr>
              <w:color w:val="808080" w:themeColor="background1" w:themeShade="80"/>
              <w:sz w:val="14"/>
              <w:szCs w:val="14"/>
            </w:rPr>
          </w:pPr>
          <w:hyperlink w:anchor="TableofContents" w:history="1">
            <w:r>
              <w:rPr>
                <w:rStyle w:val="Hyperlink"/>
                <w:sz w:val="14"/>
                <w:szCs w:val="14"/>
              </w:rPr>
              <w:t>Spis treści</w:t>
            </w:r>
          </w:hyperlink>
        </w:p>
      </w:tc>
      <w:tc>
        <w:tcPr>
          <w:tcW w:w="181" w:type="dxa"/>
          <w:tcBorders>
            <w:top w:val="nil"/>
            <w:bottom w:val="nil"/>
          </w:tcBorders>
          <w:vAlign w:val="center"/>
        </w:tcPr>
        <w:p w14:paraId="3BB867E4" w14:textId="77777777" w:rsidR="00C84B0F" w:rsidRPr="00C76DF3" w:rsidRDefault="00C84B0F" w:rsidP="00370875">
          <w:pPr>
            <w:pStyle w:val="ProductList-OfferingBody"/>
            <w:ind w:left="-71"/>
            <w:rPr>
              <w:color w:val="808080" w:themeColor="background1" w:themeShade="80"/>
              <w:sz w:val="14"/>
              <w:szCs w:val="14"/>
            </w:rPr>
          </w:pPr>
          <w:r>
            <w:rPr>
              <w:rFonts w:ascii="Wingdings" w:hAnsi="Wingdings" w:cs="Wingdings"/>
              <w:color w:val="808080" w:themeColor="background1" w:themeShade="80"/>
              <w:sz w:val="14"/>
              <w:szCs w:val="14"/>
            </w:rPr>
            <w:t></w:t>
          </w:r>
        </w:p>
      </w:tc>
      <w:tc>
        <w:tcPr>
          <w:tcW w:w="1169" w:type="dxa"/>
          <w:shd w:val="clear" w:color="auto" w:fill="BFBFBF" w:themeFill="background1" w:themeFillShade="BF"/>
          <w:vAlign w:val="center"/>
        </w:tcPr>
        <w:p w14:paraId="2C765CF0" w14:textId="77777777" w:rsidR="00C84B0F" w:rsidRPr="00C76DF3" w:rsidRDefault="00C84B0F" w:rsidP="00370875">
          <w:pPr>
            <w:pStyle w:val="ProductList-OfferingBody"/>
            <w:ind w:left="-72" w:right="-74"/>
            <w:jc w:val="center"/>
            <w:rPr>
              <w:color w:val="808080" w:themeColor="background1" w:themeShade="80"/>
              <w:sz w:val="14"/>
              <w:szCs w:val="14"/>
            </w:rPr>
          </w:pPr>
          <w:hyperlink w:anchor="Wprowadzenie" w:history="1">
            <w:r>
              <w:rPr>
                <w:rStyle w:val="Hyperlink"/>
                <w:sz w:val="14"/>
                <w:szCs w:val="14"/>
              </w:rPr>
              <w:t>Wprowadzenie</w:t>
            </w:r>
          </w:hyperlink>
        </w:p>
      </w:tc>
      <w:tc>
        <w:tcPr>
          <w:tcW w:w="182" w:type="dxa"/>
          <w:tcBorders>
            <w:top w:val="nil"/>
            <w:bottom w:val="nil"/>
          </w:tcBorders>
          <w:vAlign w:val="center"/>
        </w:tcPr>
        <w:p w14:paraId="53D82520" w14:textId="77777777" w:rsidR="00C84B0F" w:rsidRPr="00C76DF3" w:rsidRDefault="00C84B0F" w:rsidP="00370875">
          <w:pPr>
            <w:pStyle w:val="ProductList-OfferingBody"/>
            <w:ind w:left="-70"/>
            <w:rPr>
              <w:color w:val="808080" w:themeColor="background1" w:themeShade="80"/>
              <w:sz w:val="14"/>
              <w:szCs w:val="14"/>
            </w:rPr>
          </w:pPr>
          <w:r>
            <w:rPr>
              <w:rFonts w:ascii="Wingdings" w:hAnsi="Wingdings" w:cs="Wingdings"/>
              <w:color w:val="808080" w:themeColor="background1" w:themeShade="80"/>
              <w:sz w:val="14"/>
              <w:szCs w:val="14"/>
            </w:rPr>
            <w:t></w:t>
          </w:r>
        </w:p>
      </w:tc>
      <w:tc>
        <w:tcPr>
          <w:tcW w:w="1168" w:type="dxa"/>
          <w:shd w:val="clear" w:color="auto" w:fill="F2F2F2" w:themeFill="background1" w:themeFillShade="F2"/>
          <w:vAlign w:val="center"/>
        </w:tcPr>
        <w:p w14:paraId="26151079" w14:textId="46CFAB93" w:rsidR="00C84B0F" w:rsidRPr="00C76DF3" w:rsidRDefault="00C84B0F" w:rsidP="00370875">
          <w:pPr>
            <w:pStyle w:val="ProductList-OfferingBody"/>
            <w:ind w:left="-72" w:right="-75"/>
            <w:jc w:val="center"/>
            <w:rPr>
              <w:color w:val="808080" w:themeColor="background1" w:themeShade="80"/>
              <w:sz w:val="14"/>
              <w:szCs w:val="14"/>
            </w:rPr>
          </w:pPr>
          <w:hyperlink w:anchor="LicenseTerms" w:history="1">
            <w:r>
              <w:rPr>
                <w:rStyle w:val="Hyperlink"/>
                <w:sz w:val="14"/>
                <w:szCs w:val="14"/>
              </w:rPr>
              <w:t>Postanowienia licencyjne</w:t>
            </w:r>
          </w:hyperlink>
        </w:p>
      </w:tc>
      <w:tc>
        <w:tcPr>
          <w:tcW w:w="183" w:type="dxa"/>
          <w:tcBorders>
            <w:top w:val="nil"/>
            <w:bottom w:val="nil"/>
          </w:tcBorders>
          <w:vAlign w:val="center"/>
        </w:tcPr>
        <w:p w14:paraId="1125AF40" w14:textId="77777777" w:rsidR="00C84B0F" w:rsidRPr="00C76DF3" w:rsidRDefault="00C84B0F" w:rsidP="00370875">
          <w:pPr>
            <w:pStyle w:val="ProductList-OfferingBody"/>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7" w:type="dxa"/>
          <w:shd w:val="clear" w:color="auto" w:fill="F2F2F2" w:themeFill="background1" w:themeFillShade="F2"/>
          <w:vAlign w:val="center"/>
        </w:tcPr>
        <w:p w14:paraId="6DC0F40D" w14:textId="00FC1624" w:rsidR="00C84B0F" w:rsidRPr="00C76DF3" w:rsidRDefault="00C84B0F" w:rsidP="00370875">
          <w:pPr>
            <w:pStyle w:val="ProductList-OfferingBody"/>
            <w:ind w:left="-72" w:right="-77"/>
            <w:jc w:val="center"/>
            <w:rPr>
              <w:color w:val="808080" w:themeColor="background1" w:themeShade="80"/>
              <w:sz w:val="14"/>
              <w:szCs w:val="14"/>
            </w:rPr>
          </w:pPr>
          <w:hyperlink w:anchor="Oprogramowanie" w:history="1">
            <w:r>
              <w:rPr>
                <w:rStyle w:val="Hyperlink"/>
                <w:sz w:val="14"/>
                <w:szCs w:val="14"/>
              </w:rPr>
              <w:t>Oprogramowanie</w:t>
            </w:r>
          </w:hyperlink>
        </w:p>
      </w:tc>
      <w:tc>
        <w:tcPr>
          <w:tcW w:w="185" w:type="dxa"/>
          <w:tcBorders>
            <w:top w:val="nil"/>
            <w:bottom w:val="nil"/>
          </w:tcBorders>
          <w:vAlign w:val="center"/>
        </w:tcPr>
        <w:p w14:paraId="1E5F93B5" w14:textId="77777777" w:rsidR="00C84B0F" w:rsidRPr="00C76DF3" w:rsidRDefault="00C84B0F"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5" w:type="dxa"/>
          <w:shd w:val="clear" w:color="auto" w:fill="F2F2F2" w:themeFill="background1" w:themeFillShade="F2"/>
          <w:vAlign w:val="center"/>
        </w:tcPr>
        <w:p w14:paraId="53B23954" w14:textId="3B3F98B0" w:rsidR="00C84B0F" w:rsidRPr="00C76DF3" w:rsidRDefault="00C84B0F" w:rsidP="000506C5">
          <w:pPr>
            <w:pStyle w:val="ProductList-OfferingBody"/>
            <w:ind w:left="-72" w:right="-77"/>
            <w:jc w:val="center"/>
            <w:rPr>
              <w:color w:val="808080" w:themeColor="background1" w:themeShade="80"/>
              <w:sz w:val="14"/>
              <w:szCs w:val="14"/>
            </w:rPr>
          </w:pPr>
          <w:hyperlink w:anchor="OnlineServices" w:history="1">
            <w:r>
              <w:rPr>
                <w:rStyle w:val="Hyperlink"/>
                <w:sz w:val="14"/>
                <w:szCs w:val="14"/>
              </w:rPr>
              <w:t>Usługi Online</w:t>
            </w:r>
          </w:hyperlink>
        </w:p>
      </w:tc>
      <w:tc>
        <w:tcPr>
          <w:tcW w:w="180" w:type="dxa"/>
          <w:tcBorders>
            <w:top w:val="nil"/>
            <w:bottom w:val="nil"/>
          </w:tcBorders>
        </w:tcPr>
        <w:p w14:paraId="774E3CA7" w14:textId="77777777" w:rsidR="00C84B0F" w:rsidRPr="00C76DF3" w:rsidRDefault="00C84B0F" w:rsidP="00370875">
          <w:pPr>
            <w:pStyle w:val="ProductList-OfferingBody"/>
            <w:ind w:left="-67"/>
            <w:jc w:val="center"/>
            <w:rPr>
              <w:rFonts w:ascii="Wingdings" w:hAnsi="Wingdings" w:cs="Wingdings"/>
              <w:color w:val="808080" w:themeColor="background1" w:themeShade="80"/>
              <w:sz w:val="14"/>
              <w:szCs w:val="14"/>
            </w:rPr>
          </w:pPr>
          <w:r>
            <w:rPr>
              <w:rFonts w:ascii="Wingdings" w:hAnsi="Wingdings" w:cs="Wingdings"/>
              <w:color w:val="808080" w:themeColor="background1" w:themeShade="80"/>
              <w:sz w:val="14"/>
              <w:szCs w:val="14"/>
            </w:rPr>
            <w:t></w:t>
          </w:r>
        </w:p>
      </w:tc>
      <w:tc>
        <w:tcPr>
          <w:tcW w:w="1260" w:type="dxa"/>
          <w:shd w:val="clear" w:color="auto" w:fill="F2F2F2" w:themeFill="background1" w:themeFillShade="F2"/>
          <w:vAlign w:val="center"/>
        </w:tcPr>
        <w:p w14:paraId="0F79DD83" w14:textId="0C1297EF" w:rsidR="00C84B0F" w:rsidRPr="00C76DF3" w:rsidRDefault="00C84B0F" w:rsidP="000506C5">
          <w:pPr>
            <w:pStyle w:val="ProductList-OfferingBody"/>
            <w:ind w:left="-67" w:right="-72"/>
            <w:jc w:val="center"/>
            <w:rPr>
              <w:rFonts w:ascii="Wingdings" w:hAnsi="Wingdings" w:cs="Wingdings"/>
              <w:color w:val="808080" w:themeColor="background1" w:themeShade="80"/>
              <w:sz w:val="14"/>
              <w:szCs w:val="14"/>
            </w:rPr>
          </w:pPr>
          <w:hyperlink w:anchor="OnlineServices" w:history="1">
            <w:hyperlink w:anchor="Słowniczek" w:history="1">
              <w:r>
                <w:rPr>
                  <w:rStyle w:val="Hyperlink"/>
                  <w:sz w:val="14"/>
                  <w:szCs w:val="14"/>
                </w:rPr>
                <w:t>Słowniczek</w:t>
              </w:r>
            </w:hyperlink>
          </w:hyperlink>
          <w:hyperlink w:anchor="Usługi" w:history="1">
            <w:r>
              <w:rPr>
                <w:rStyle w:val="Hyperlink"/>
                <w:sz w:val="22"/>
              </w:rPr>
              <w:t>Usługi</w:t>
            </w:r>
          </w:hyperlink>
        </w:p>
      </w:tc>
      <w:tc>
        <w:tcPr>
          <w:tcW w:w="270" w:type="dxa"/>
          <w:tcBorders>
            <w:top w:val="nil"/>
            <w:bottom w:val="nil"/>
          </w:tcBorders>
          <w:vAlign w:val="center"/>
        </w:tcPr>
        <w:p w14:paraId="5133B465" w14:textId="77777777" w:rsidR="00C84B0F" w:rsidRPr="00C76DF3" w:rsidRDefault="00C84B0F" w:rsidP="00370875">
          <w:pPr>
            <w:pStyle w:val="ProductList-OfferingBody"/>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70" w:type="dxa"/>
          <w:shd w:val="clear" w:color="auto" w:fill="F2F2F2" w:themeFill="background1" w:themeFillShade="F2"/>
          <w:vAlign w:val="center"/>
        </w:tcPr>
        <w:p w14:paraId="479C5D4F" w14:textId="77777777" w:rsidR="00C84B0F" w:rsidRPr="00C76DF3" w:rsidRDefault="00C84B0F" w:rsidP="00370875">
          <w:pPr>
            <w:pStyle w:val="ProductList-OfferingBody"/>
            <w:ind w:left="-72" w:right="-76"/>
            <w:jc w:val="center"/>
            <w:rPr>
              <w:color w:val="808080" w:themeColor="background1" w:themeShade="80"/>
              <w:sz w:val="14"/>
              <w:szCs w:val="14"/>
            </w:rPr>
          </w:pPr>
          <w:hyperlink w:anchor="AppendixA" w:history="1">
            <w:r>
              <w:rPr>
                <w:rStyle w:val="Hyperlink"/>
                <w:sz w:val="14"/>
                <w:szCs w:val="14"/>
              </w:rPr>
              <w:t>Załączniki</w:t>
            </w:r>
          </w:hyperlink>
        </w:p>
      </w:tc>
      <w:tc>
        <w:tcPr>
          <w:tcW w:w="184" w:type="dxa"/>
          <w:tcBorders>
            <w:top w:val="nil"/>
            <w:bottom w:val="nil"/>
          </w:tcBorders>
          <w:vAlign w:val="center"/>
        </w:tcPr>
        <w:p w14:paraId="54B478A3" w14:textId="77777777" w:rsidR="00C84B0F" w:rsidRPr="00C76DF3" w:rsidRDefault="00C84B0F" w:rsidP="00370875">
          <w:pPr>
            <w:pStyle w:val="ProductList-OfferingBody"/>
            <w:ind w:left="-68"/>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166" w:type="dxa"/>
          <w:shd w:val="clear" w:color="auto" w:fill="F2F2F2" w:themeFill="background1" w:themeFillShade="F2"/>
          <w:vAlign w:val="center"/>
        </w:tcPr>
        <w:p w14:paraId="2A84F65C" w14:textId="77777777" w:rsidR="00C84B0F" w:rsidRPr="00C76DF3" w:rsidRDefault="00C84B0F" w:rsidP="00370875">
          <w:pPr>
            <w:pStyle w:val="ProductList-OfferingBody"/>
            <w:ind w:left="-72" w:right="-74"/>
            <w:jc w:val="center"/>
            <w:rPr>
              <w:color w:val="808080" w:themeColor="background1" w:themeShade="80"/>
              <w:sz w:val="14"/>
              <w:szCs w:val="14"/>
            </w:rPr>
          </w:pPr>
          <w:hyperlink w:anchor="Indeks" w:history="1">
            <w:r>
              <w:rPr>
                <w:rStyle w:val="Hyperlink"/>
                <w:sz w:val="14"/>
                <w:szCs w:val="14"/>
              </w:rPr>
              <w:t>Indeks</w:t>
            </w:r>
          </w:hyperlink>
        </w:p>
      </w:tc>
    </w:tr>
  </w:tbl>
  <w:p w14:paraId="79D1A8DC" w14:textId="77777777" w:rsidR="00C84B0F" w:rsidRDefault="00C84B0F" w:rsidP="00370875">
    <w:pPr>
      <w:pStyle w:val="ProductList-Body"/>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84B0F" w:rsidRPr="00C76DF3" w14:paraId="377D996F" w14:textId="77777777" w:rsidTr="00A45E01">
      <w:tc>
        <w:tcPr>
          <w:tcW w:w="1975" w:type="dxa"/>
          <w:shd w:val="clear" w:color="auto" w:fill="F2F2F2" w:themeFill="background1" w:themeFillShade="F2"/>
          <w:vAlign w:val="center"/>
        </w:tcPr>
        <w:p w14:paraId="2CAAE4F8" w14:textId="4B270C1C" w:rsidR="00C84B0F" w:rsidRPr="00C76DF3" w:rsidRDefault="00C84B0F" w:rsidP="00BA73F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A73F1">
              <w:rPr>
                <w:rStyle w:val="Hyperlink"/>
                <w:sz w:val="14"/>
                <w:szCs w:val="14"/>
              </w:rPr>
              <w:t>Spis treści</w:t>
            </w:r>
          </w:hyperlink>
        </w:p>
      </w:tc>
      <w:tc>
        <w:tcPr>
          <w:tcW w:w="270" w:type="dxa"/>
          <w:tcBorders>
            <w:top w:val="nil"/>
            <w:bottom w:val="nil"/>
          </w:tcBorders>
          <w:vAlign w:val="center"/>
        </w:tcPr>
        <w:p w14:paraId="331EB8EA" w14:textId="4362778D" w:rsidR="00C84B0F" w:rsidRPr="00C76DF3" w:rsidRDefault="00C84B0F" w:rsidP="00E9029A">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BFBFBF" w:themeFill="background1" w:themeFillShade="BF"/>
          <w:vAlign w:val="center"/>
        </w:tcPr>
        <w:p w14:paraId="3CA8B30A" w14:textId="66F5FCE9" w:rsidR="00C84B0F" w:rsidRPr="00C76DF3" w:rsidRDefault="00C84B0F" w:rsidP="00BA73F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A73F1">
              <w:rPr>
                <w:rStyle w:val="Hyperlink"/>
                <w:sz w:val="14"/>
                <w:szCs w:val="14"/>
              </w:rPr>
              <w:t>Wprowadzenie</w:t>
            </w:r>
          </w:hyperlink>
        </w:p>
      </w:tc>
      <w:tc>
        <w:tcPr>
          <w:tcW w:w="271" w:type="dxa"/>
          <w:tcBorders>
            <w:top w:val="nil"/>
            <w:bottom w:val="nil"/>
          </w:tcBorders>
          <w:vAlign w:val="center"/>
        </w:tcPr>
        <w:p w14:paraId="2EE94BCB" w14:textId="0C135071" w:rsidR="00C84B0F" w:rsidRPr="00C76DF3" w:rsidRDefault="00C84B0F" w:rsidP="00E9029A">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70D7753" w14:textId="49446A0A" w:rsidR="00C84B0F" w:rsidRPr="00C76DF3" w:rsidRDefault="00C84B0F" w:rsidP="00BA73F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BA73F1">
              <w:rPr>
                <w:rStyle w:val="Hyperlink"/>
                <w:sz w:val="14"/>
                <w:szCs w:val="14"/>
              </w:rPr>
              <w:t>Postanowienia ogólne</w:t>
            </w:r>
          </w:hyperlink>
        </w:p>
      </w:tc>
      <w:tc>
        <w:tcPr>
          <w:tcW w:w="272" w:type="dxa"/>
          <w:tcBorders>
            <w:top w:val="nil"/>
            <w:bottom w:val="nil"/>
          </w:tcBorders>
          <w:vAlign w:val="center"/>
        </w:tcPr>
        <w:p w14:paraId="6AA7770D" w14:textId="322AE41C" w:rsidR="00C84B0F" w:rsidRPr="00C76DF3" w:rsidRDefault="00C84B0F" w:rsidP="00BA73F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358F2E00" w14:textId="3BA5E839" w:rsidR="00C84B0F" w:rsidRPr="00C76DF3" w:rsidRDefault="00E9029A" w:rsidP="00BA73F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9029A">
              <w:rPr>
                <w:rStyle w:val="Hyperlink"/>
                <w:sz w:val="14"/>
                <w:szCs w:val="14"/>
              </w:rPr>
              <w:t>Szczególne Warunki Usługi</w:t>
            </w:r>
          </w:hyperlink>
        </w:p>
      </w:tc>
      <w:tc>
        <w:tcPr>
          <w:tcW w:w="273" w:type="dxa"/>
          <w:tcBorders>
            <w:top w:val="nil"/>
            <w:bottom w:val="nil"/>
          </w:tcBorders>
          <w:vAlign w:val="center"/>
        </w:tcPr>
        <w:p w14:paraId="50E48EA4" w14:textId="0AABADF3" w:rsidR="00C84B0F" w:rsidRPr="00C76DF3" w:rsidRDefault="00C84B0F" w:rsidP="00BA73F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F2F2F2" w:themeFill="background1" w:themeFillShade="F2"/>
          <w:vAlign w:val="center"/>
        </w:tcPr>
        <w:p w14:paraId="6B40FED8" w14:textId="7729AEEC" w:rsidR="00C84B0F" w:rsidRPr="00C76DF3" w:rsidRDefault="00C84B0F" w:rsidP="00BA73F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A73F1">
              <w:rPr>
                <w:rStyle w:val="Hyperlink"/>
                <w:sz w:val="14"/>
                <w:szCs w:val="14"/>
              </w:rPr>
              <w:t>Załączniki</w:t>
            </w:r>
          </w:hyperlink>
        </w:p>
      </w:tc>
    </w:tr>
  </w:tbl>
  <w:p w14:paraId="651096C7" w14:textId="77777777" w:rsidR="00C84B0F" w:rsidRPr="009274C8" w:rsidRDefault="00C84B0F" w:rsidP="00A45E01">
    <w:pPr>
      <w:pStyle w:val="Footer"/>
      <w:rPr>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72" w:type="dxa"/>
        <w:right w:w="72" w:type="dxa"/>
      </w:tblCellMar>
      <w:tblLook w:val="04A0" w:firstRow="1" w:lastRow="0" w:firstColumn="1" w:lastColumn="0" w:noHBand="0" w:noVBand="1"/>
    </w:tblPr>
    <w:tblGrid>
      <w:gridCol w:w="1975"/>
      <w:gridCol w:w="270"/>
      <w:gridCol w:w="1890"/>
      <w:gridCol w:w="271"/>
      <w:gridCol w:w="1889"/>
      <w:gridCol w:w="272"/>
      <w:gridCol w:w="1888"/>
      <w:gridCol w:w="273"/>
      <w:gridCol w:w="1887"/>
    </w:tblGrid>
    <w:tr w:rsidR="00C84B0F" w:rsidRPr="00C76DF3" w14:paraId="42D8A5AC" w14:textId="77777777" w:rsidTr="0068789E">
      <w:tc>
        <w:tcPr>
          <w:tcW w:w="1975" w:type="dxa"/>
          <w:shd w:val="clear" w:color="auto" w:fill="F2F2F2" w:themeFill="background1" w:themeFillShade="F2"/>
          <w:vAlign w:val="center"/>
        </w:tcPr>
        <w:p w14:paraId="15FCC0A4" w14:textId="121A790B" w:rsidR="00C84B0F" w:rsidRPr="00C76DF3" w:rsidRDefault="00C84B0F" w:rsidP="00BA73F1">
          <w:pPr>
            <w:pStyle w:val="ProductList-OfferingBody"/>
            <w:tabs>
              <w:tab w:val="clear" w:pos="360"/>
              <w:tab w:val="clear" w:pos="720"/>
              <w:tab w:val="clear" w:pos="1080"/>
            </w:tabs>
            <w:ind w:left="-77" w:right="-73"/>
            <w:jc w:val="center"/>
            <w:rPr>
              <w:color w:val="808080" w:themeColor="background1" w:themeShade="80"/>
              <w:sz w:val="14"/>
              <w:szCs w:val="14"/>
            </w:rPr>
          </w:pPr>
          <w:hyperlink w:anchor="TOC" w:history="1">
            <w:r w:rsidRPr="00BA73F1">
              <w:rPr>
                <w:rStyle w:val="Hyperlink"/>
                <w:sz w:val="14"/>
                <w:szCs w:val="14"/>
              </w:rPr>
              <w:t>Spis treści</w:t>
            </w:r>
          </w:hyperlink>
        </w:p>
      </w:tc>
      <w:tc>
        <w:tcPr>
          <w:tcW w:w="270" w:type="dxa"/>
          <w:tcBorders>
            <w:top w:val="nil"/>
            <w:bottom w:val="nil"/>
          </w:tcBorders>
          <w:vAlign w:val="center"/>
        </w:tcPr>
        <w:p w14:paraId="1C770C74" w14:textId="1C75096E" w:rsidR="00C84B0F" w:rsidRPr="00C76DF3" w:rsidRDefault="00C84B0F" w:rsidP="00E9029A">
          <w:pPr>
            <w:pStyle w:val="ProductList-OfferingBody"/>
            <w:tabs>
              <w:tab w:val="clear" w:pos="360"/>
              <w:tab w:val="clear" w:pos="720"/>
              <w:tab w:val="clear" w:pos="1080"/>
            </w:tabs>
            <w:ind w:left="-110" w:right="-99" w:firstLine="3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90" w:type="dxa"/>
          <w:shd w:val="clear" w:color="auto" w:fill="F2F2F2" w:themeFill="background1" w:themeFillShade="F2"/>
          <w:vAlign w:val="center"/>
        </w:tcPr>
        <w:p w14:paraId="1E256C73" w14:textId="419C4E74" w:rsidR="00C84B0F" w:rsidRPr="00C76DF3" w:rsidRDefault="00C84B0F" w:rsidP="00BA73F1">
          <w:pPr>
            <w:pStyle w:val="ProductList-OfferingBody"/>
            <w:tabs>
              <w:tab w:val="clear" w:pos="360"/>
              <w:tab w:val="clear" w:pos="720"/>
              <w:tab w:val="clear" w:pos="1080"/>
            </w:tabs>
            <w:ind w:left="-72" w:right="-74"/>
            <w:jc w:val="center"/>
            <w:rPr>
              <w:color w:val="808080" w:themeColor="background1" w:themeShade="80"/>
              <w:sz w:val="14"/>
              <w:szCs w:val="14"/>
            </w:rPr>
          </w:pPr>
          <w:hyperlink w:anchor="Introduction" w:history="1">
            <w:r w:rsidRPr="00BA73F1">
              <w:rPr>
                <w:rStyle w:val="Hyperlink"/>
                <w:sz w:val="14"/>
                <w:szCs w:val="14"/>
              </w:rPr>
              <w:t>Wprowadzenie</w:t>
            </w:r>
          </w:hyperlink>
        </w:p>
      </w:tc>
      <w:tc>
        <w:tcPr>
          <w:tcW w:w="271" w:type="dxa"/>
          <w:tcBorders>
            <w:top w:val="nil"/>
            <w:bottom w:val="nil"/>
          </w:tcBorders>
          <w:vAlign w:val="center"/>
        </w:tcPr>
        <w:p w14:paraId="1CBE34FF" w14:textId="0BF48ABB" w:rsidR="00C84B0F" w:rsidRPr="00C76DF3" w:rsidRDefault="00C84B0F" w:rsidP="00E9029A">
          <w:pPr>
            <w:pStyle w:val="ProductList-OfferingBody"/>
            <w:tabs>
              <w:tab w:val="clear" w:pos="360"/>
              <w:tab w:val="clear" w:pos="720"/>
              <w:tab w:val="clear" w:pos="1080"/>
            </w:tabs>
            <w:ind w:left="-70"/>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9" w:type="dxa"/>
          <w:shd w:val="clear" w:color="auto" w:fill="F2F2F2" w:themeFill="background1" w:themeFillShade="F2"/>
          <w:vAlign w:val="center"/>
        </w:tcPr>
        <w:p w14:paraId="4803DD79" w14:textId="6937262F" w:rsidR="00C84B0F" w:rsidRPr="00C76DF3" w:rsidRDefault="00C84B0F" w:rsidP="00BA73F1">
          <w:pPr>
            <w:pStyle w:val="ProductList-OfferingBody"/>
            <w:tabs>
              <w:tab w:val="clear" w:pos="360"/>
              <w:tab w:val="clear" w:pos="720"/>
              <w:tab w:val="clear" w:pos="1080"/>
            </w:tabs>
            <w:ind w:left="-72" w:right="-75"/>
            <w:jc w:val="center"/>
            <w:rPr>
              <w:color w:val="808080" w:themeColor="background1" w:themeShade="80"/>
              <w:sz w:val="14"/>
              <w:szCs w:val="14"/>
            </w:rPr>
          </w:pPr>
          <w:hyperlink w:anchor="GeneralTerms" w:history="1">
            <w:r w:rsidRPr="00BA73F1">
              <w:rPr>
                <w:rStyle w:val="Hyperlink"/>
                <w:sz w:val="14"/>
                <w:szCs w:val="14"/>
              </w:rPr>
              <w:t>Postanowienia ogólne</w:t>
            </w:r>
          </w:hyperlink>
        </w:p>
      </w:tc>
      <w:tc>
        <w:tcPr>
          <w:tcW w:w="272" w:type="dxa"/>
          <w:tcBorders>
            <w:top w:val="nil"/>
            <w:bottom w:val="nil"/>
          </w:tcBorders>
          <w:vAlign w:val="center"/>
        </w:tcPr>
        <w:p w14:paraId="575445B2" w14:textId="13B36023" w:rsidR="00C84B0F" w:rsidRPr="00C76DF3" w:rsidRDefault="00C84B0F" w:rsidP="00BA73F1">
          <w:pPr>
            <w:pStyle w:val="ProductList-OfferingBody"/>
            <w:tabs>
              <w:tab w:val="clear" w:pos="360"/>
              <w:tab w:val="clear" w:pos="720"/>
              <w:tab w:val="clear" w:pos="1080"/>
            </w:tabs>
            <w:ind w:left="-69"/>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8" w:type="dxa"/>
          <w:shd w:val="clear" w:color="auto" w:fill="F2F2F2" w:themeFill="background1" w:themeFillShade="F2"/>
          <w:vAlign w:val="center"/>
        </w:tcPr>
        <w:p w14:paraId="5702963A" w14:textId="2B40CC3E" w:rsidR="00C84B0F" w:rsidRPr="00C76DF3" w:rsidRDefault="00E9029A" w:rsidP="00BA73F1">
          <w:pPr>
            <w:pStyle w:val="ProductList-OfferingBody"/>
            <w:tabs>
              <w:tab w:val="clear" w:pos="360"/>
              <w:tab w:val="clear" w:pos="720"/>
              <w:tab w:val="clear" w:pos="1080"/>
            </w:tabs>
            <w:ind w:left="-72" w:right="-77"/>
            <w:jc w:val="center"/>
            <w:rPr>
              <w:color w:val="808080" w:themeColor="background1" w:themeShade="80"/>
              <w:sz w:val="14"/>
              <w:szCs w:val="14"/>
            </w:rPr>
          </w:pPr>
          <w:hyperlink w:anchor="ServiceSpecificTerms" w:history="1">
            <w:r w:rsidRPr="00E9029A">
              <w:rPr>
                <w:rStyle w:val="Hyperlink"/>
                <w:sz w:val="14"/>
                <w:szCs w:val="14"/>
              </w:rPr>
              <w:t>Szczególne Warunki Usługi</w:t>
            </w:r>
          </w:hyperlink>
        </w:p>
      </w:tc>
      <w:tc>
        <w:tcPr>
          <w:tcW w:w="273" w:type="dxa"/>
          <w:tcBorders>
            <w:top w:val="nil"/>
            <w:bottom w:val="nil"/>
          </w:tcBorders>
          <w:vAlign w:val="center"/>
        </w:tcPr>
        <w:p w14:paraId="194A23BD" w14:textId="4DF0C990" w:rsidR="00C84B0F" w:rsidRPr="00C76DF3" w:rsidRDefault="00C84B0F" w:rsidP="00BA73F1">
          <w:pPr>
            <w:pStyle w:val="ProductList-OfferingBody"/>
            <w:tabs>
              <w:tab w:val="clear" w:pos="360"/>
              <w:tab w:val="clear" w:pos="720"/>
              <w:tab w:val="clear" w:pos="1080"/>
            </w:tabs>
            <w:ind w:left="-67"/>
            <w:jc w:val="center"/>
            <w:rPr>
              <w:color w:val="808080" w:themeColor="background1" w:themeShade="80"/>
              <w:sz w:val="14"/>
              <w:szCs w:val="14"/>
            </w:rPr>
          </w:pPr>
          <w:r>
            <w:rPr>
              <w:rFonts w:ascii="Wingdings" w:hAnsi="Wingdings" w:cs="Wingdings"/>
              <w:color w:val="808080" w:themeColor="background1" w:themeShade="80"/>
              <w:sz w:val="14"/>
              <w:szCs w:val="14"/>
            </w:rPr>
            <w:t></w:t>
          </w:r>
        </w:p>
      </w:tc>
      <w:tc>
        <w:tcPr>
          <w:tcW w:w="1887" w:type="dxa"/>
          <w:shd w:val="clear" w:color="auto" w:fill="BFBFBF" w:themeFill="background1" w:themeFillShade="BF"/>
          <w:vAlign w:val="center"/>
        </w:tcPr>
        <w:p w14:paraId="4C49B604" w14:textId="7FE87602" w:rsidR="00C84B0F" w:rsidRPr="00C76DF3" w:rsidRDefault="00C84B0F" w:rsidP="00BA73F1">
          <w:pPr>
            <w:pStyle w:val="ProductList-OfferingBody"/>
            <w:tabs>
              <w:tab w:val="clear" w:pos="360"/>
              <w:tab w:val="clear" w:pos="720"/>
              <w:tab w:val="clear" w:pos="1080"/>
            </w:tabs>
            <w:ind w:left="-72" w:right="-76"/>
            <w:jc w:val="center"/>
            <w:rPr>
              <w:color w:val="808080" w:themeColor="background1" w:themeShade="80"/>
              <w:sz w:val="14"/>
              <w:szCs w:val="14"/>
            </w:rPr>
          </w:pPr>
          <w:hyperlink w:anchor="AppendixA" w:history="1">
            <w:r w:rsidRPr="00BA73F1">
              <w:rPr>
                <w:rStyle w:val="Hyperlink"/>
                <w:sz w:val="14"/>
                <w:szCs w:val="14"/>
              </w:rPr>
              <w:t>Załączniki</w:t>
            </w:r>
          </w:hyperlink>
        </w:p>
      </w:tc>
    </w:tr>
  </w:tbl>
  <w:p w14:paraId="3BD02F06" w14:textId="77777777" w:rsidR="00C84B0F" w:rsidRPr="009274C8" w:rsidRDefault="00C84B0F" w:rsidP="0068789E">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C9ADC" w14:textId="77777777" w:rsidR="004068D7" w:rsidRDefault="004068D7" w:rsidP="009A573F">
      <w:pPr>
        <w:spacing w:after="0" w:line="240" w:lineRule="auto"/>
      </w:pPr>
      <w:r>
        <w:separator/>
      </w:r>
    </w:p>
    <w:p w14:paraId="574DC7E1" w14:textId="77777777" w:rsidR="004068D7" w:rsidRDefault="004068D7"/>
    <w:p w14:paraId="5DF9FA66" w14:textId="77777777" w:rsidR="004068D7" w:rsidRDefault="004068D7"/>
    <w:p w14:paraId="5A07F7F7" w14:textId="77777777" w:rsidR="004068D7" w:rsidRDefault="004068D7"/>
    <w:p w14:paraId="7EC0A18F" w14:textId="77777777" w:rsidR="004068D7" w:rsidRDefault="004068D7"/>
  </w:footnote>
  <w:footnote w:type="continuationSeparator" w:id="0">
    <w:p w14:paraId="6B9FC489" w14:textId="77777777" w:rsidR="004068D7" w:rsidRDefault="004068D7" w:rsidP="009A573F">
      <w:pPr>
        <w:spacing w:after="0" w:line="240" w:lineRule="auto"/>
      </w:pPr>
      <w:r>
        <w:continuationSeparator/>
      </w:r>
    </w:p>
    <w:p w14:paraId="6B439E86" w14:textId="77777777" w:rsidR="004068D7" w:rsidRDefault="004068D7"/>
    <w:p w14:paraId="1C25641B" w14:textId="77777777" w:rsidR="004068D7" w:rsidRDefault="004068D7"/>
    <w:p w14:paraId="617E2929" w14:textId="77777777" w:rsidR="004068D7" w:rsidRDefault="004068D7"/>
    <w:p w14:paraId="3FFE036E" w14:textId="77777777" w:rsidR="004068D7" w:rsidRDefault="004068D7"/>
  </w:footnote>
  <w:footnote w:type="continuationNotice" w:id="1">
    <w:p w14:paraId="50EB1F3C" w14:textId="77777777" w:rsidR="004068D7" w:rsidRDefault="004068D7">
      <w:pPr>
        <w:spacing w:after="0" w:line="240" w:lineRule="auto"/>
      </w:pPr>
    </w:p>
    <w:p w14:paraId="671A140A" w14:textId="77777777" w:rsidR="004068D7" w:rsidRDefault="004068D7"/>
    <w:p w14:paraId="6E7FBC44" w14:textId="77777777" w:rsidR="004068D7" w:rsidRDefault="004068D7"/>
    <w:p w14:paraId="3566677A" w14:textId="77777777" w:rsidR="004068D7" w:rsidRDefault="004068D7"/>
    <w:p w14:paraId="349C8704" w14:textId="77777777" w:rsidR="004068D7" w:rsidRDefault="004068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C4863" w14:textId="3AD0E077" w:rsidR="00C84B0F" w:rsidRPr="00790594" w:rsidRDefault="00000000" w:rsidP="00EA5FB1">
    <w:pPr>
      <w:pStyle w:val="ProductList-Body"/>
      <w:tabs>
        <w:tab w:val="clear" w:pos="360"/>
        <w:tab w:val="clear" w:pos="720"/>
        <w:tab w:val="clear" w:pos="1080"/>
        <w:tab w:val="center" w:pos="5040"/>
        <w:tab w:val="right" w:pos="10800"/>
      </w:tabs>
      <w:rPr>
        <w:sz w:val="22"/>
      </w:rPr>
    </w:pPr>
    <w:sdt>
      <w:sdtPr>
        <w:rPr>
          <w:sz w:val="16"/>
          <w:szCs w:val="16"/>
        </w:rPr>
        <w:id w:val="-829987046"/>
        <w:docPartObj>
          <w:docPartGallery w:val="Page Numbers (Top of Page)"/>
          <w:docPartUnique/>
        </w:docPartObj>
      </w:sdtPr>
      <w:sdtContent>
        <w:r w:rsidR="00C84B0F">
          <w:rPr>
            <w:sz w:val="16"/>
            <w:szCs w:val="16"/>
          </w:rPr>
          <w:t xml:space="preserve">Umowa dotycząca Poziomu Usług Online Microsoft w ramach programu Licencjonowania Zbiorowego Microsoft (wersja polska, </w:t>
        </w:r>
        <w:r w:rsidR="005A6688">
          <w:rPr>
            <w:rFonts w:ascii="Calibri" w:hAnsi="Calibri" w:cs="Calibri"/>
            <w:sz w:val="16"/>
            <w:szCs w:val="16"/>
          </w:rPr>
          <w:t xml:space="preserve">1 września </w:t>
        </w:r>
        <w:r w:rsidR="005C27A3">
          <w:rPr>
            <w:rFonts w:ascii="Calibri" w:hAnsi="Calibri" w:cs="Calibri"/>
            <w:sz w:val="16"/>
            <w:szCs w:val="16"/>
          </w:rPr>
          <w:t>202</w:t>
        </w:r>
        <w:r w:rsidR="00773F8E">
          <w:rPr>
            <w:rFonts w:ascii="Calibri" w:hAnsi="Calibri" w:cs="Calibri"/>
            <w:sz w:val="16"/>
            <w:szCs w:val="16"/>
          </w:rPr>
          <w:t>6</w:t>
        </w:r>
        <w:r w:rsidR="005C27A3">
          <w:rPr>
            <w:rFonts w:ascii="Calibri" w:hAnsi="Calibri" w:cs="Calibri"/>
            <w:sz w:val="16"/>
            <w:szCs w:val="16"/>
          </w:rPr>
          <w:t xml:space="preserve"> </w:t>
        </w:r>
        <w:r w:rsidR="00C84B0F">
          <w:rPr>
            <w:sz w:val="16"/>
            <w:szCs w:val="16"/>
          </w:rPr>
          <w:t>r.)</w:t>
        </w:r>
        <w:r w:rsidR="00C84B0F">
          <w:rPr>
            <w:sz w:val="16"/>
            <w:szCs w:val="16"/>
          </w:rPr>
          <w:tab/>
        </w:r>
        <w:r w:rsidR="00C84B0F">
          <w:rPr>
            <w:sz w:val="16"/>
            <w:szCs w:val="16"/>
          </w:rPr>
          <w:fldChar w:fldCharType="begin"/>
        </w:r>
        <w:r w:rsidR="00C84B0F" w:rsidRPr="00A247F3">
          <w:rPr>
            <w:sz w:val="16"/>
            <w:szCs w:val="16"/>
          </w:rPr>
          <w:instrText xml:space="preserve"> PAGE </w:instrText>
        </w:r>
        <w:r w:rsidR="00C84B0F">
          <w:rPr>
            <w:sz w:val="16"/>
            <w:szCs w:val="16"/>
          </w:rPr>
          <w:fldChar w:fldCharType="separate"/>
        </w:r>
        <w:r w:rsidR="00F90CBB">
          <w:rPr>
            <w:noProof/>
            <w:sz w:val="16"/>
            <w:szCs w:val="16"/>
          </w:rPr>
          <w:t>20</w:t>
        </w:r>
        <w:r w:rsidR="00C84B0F">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6892" w14:textId="523B9F8D" w:rsidR="00C84B0F" w:rsidRPr="00790594" w:rsidRDefault="00000000" w:rsidP="00DC2685">
    <w:pPr>
      <w:pStyle w:val="ProductList-Body"/>
      <w:tabs>
        <w:tab w:val="clear" w:pos="360"/>
        <w:tab w:val="clear" w:pos="720"/>
        <w:tab w:val="clear" w:pos="1080"/>
        <w:tab w:val="center" w:pos="5040"/>
        <w:tab w:val="right" w:pos="10800"/>
      </w:tabs>
      <w:rPr>
        <w:sz w:val="22"/>
      </w:rPr>
    </w:pPr>
    <w:sdt>
      <w:sdtPr>
        <w:rPr>
          <w:sz w:val="16"/>
          <w:szCs w:val="16"/>
        </w:rPr>
        <w:id w:val="127364854"/>
        <w:docPartObj>
          <w:docPartGallery w:val="Page Numbers (Top of Page)"/>
          <w:docPartUnique/>
        </w:docPartObj>
      </w:sdtPr>
      <w:sdtContent>
        <w:r w:rsidR="00C84B0F">
          <w:rPr>
            <w:sz w:val="16"/>
            <w:szCs w:val="16"/>
          </w:rPr>
          <w:t xml:space="preserve">Umowa dotycząca Poziomu Usług Online Microsoft w ramach programu Licencjonowania Zbiorowego Microsoft (wersja polska, </w:t>
        </w:r>
        <w:r w:rsidR="005A6688">
          <w:rPr>
            <w:rFonts w:ascii="Calibri" w:hAnsi="Calibri" w:cs="Calibri"/>
            <w:sz w:val="16"/>
            <w:szCs w:val="16"/>
          </w:rPr>
          <w:t xml:space="preserve">1 września </w:t>
        </w:r>
        <w:r w:rsidR="005C27A3">
          <w:rPr>
            <w:rFonts w:ascii="Calibri" w:hAnsi="Calibri" w:cs="Calibri"/>
            <w:sz w:val="16"/>
            <w:szCs w:val="16"/>
          </w:rPr>
          <w:t>202</w:t>
        </w:r>
        <w:r w:rsidR="00773F8E">
          <w:rPr>
            <w:rFonts w:ascii="Calibri" w:hAnsi="Calibri" w:cs="Calibri"/>
            <w:sz w:val="16"/>
            <w:szCs w:val="16"/>
          </w:rPr>
          <w:t>6</w:t>
        </w:r>
        <w:r w:rsidR="005C27A3">
          <w:rPr>
            <w:rFonts w:ascii="Calibri" w:hAnsi="Calibri" w:cs="Calibri"/>
            <w:sz w:val="16"/>
            <w:szCs w:val="16"/>
          </w:rPr>
          <w:t xml:space="preserve"> </w:t>
        </w:r>
        <w:r w:rsidR="00C84B0F">
          <w:rPr>
            <w:sz w:val="16"/>
            <w:szCs w:val="16"/>
          </w:rPr>
          <w:t>r.)</w:t>
        </w:r>
        <w:r w:rsidR="00C84B0F">
          <w:rPr>
            <w:sz w:val="16"/>
            <w:szCs w:val="16"/>
          </w:rPr>
          <w:tab/>
        </w:r>
        <w:r w:rsidR="00C84B0F">
          <w:rPr>
            <w:sz w:val="16"/>
            <w:szCs w:val="16"/>
          </w:rPr>
          <w:fldChar w:fldCharType="begin"/>
        </w:r>
        <w:r w:rsidR="00C84B0F" w:rsidRPr="00A247F3">
          <w:rPr>
            <w:sz w:val="16"/>
            <w:szCs w:val="16"/>
          </w:rPr>
          <w:instrText xml:space="preserve"> PAGE </w:instrText>
        </w:r>
        <w:r w:rsidR="00C84B0F">
          <w:rPr>
            <w:sz w:val="16"/>
            <w:szCs w:val="16"/>
          </w:rPr>
          <w:fldChar w:fldCharType="separate"/>
        </w:r>
        <w:r w:rsidR="00F90CBB">
          <w:rPr>
            <w:noProof/>
            <w:sz w:val="16"/>
            <w:szCs w:val="16"/>
          </w:rPr>
          <w:t>7</w:t>
        </w:r>
        <w:r w:rsidR="00C84B0F">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4019"/>
    <w:multiLevelType w:val="hybridMultilevel"/>
    <w:tmpl w:val="6FA48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194BE3"/>
    <w:multiLevelType w:val="hybridMultilevel"/>
    <w:tmpl w:val="F8522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F4691"/>
    <w:multiLevelType w:val="hybridMultilevel"/>
    <w:tmpl w:val="C8003EB2"/>
    <w:lvl w:ilvl="0" w:tplc="16A2CA22">
      <w:start w:val="1"/>
      <w:numFmt w:val="decimal"/>
      <w:lvlText w:val="%1."/>
      <w:lvlJc w:val="left"/>
      <w:pPr>
        <w:ind w:left="720" w:hanging="360"/>
      </w:pPr>
      <w:rPr>
        <w:rFonts w:hint="default"/>
      </w:rPr>
    </w:lvl>
    <w:lvl w:ilvl="1" w:tplc="1F80E338" w:tentative="1">
      <w:start w:val="1"/>
      <w:numFmt w:val="lowerLetter"/>
      <w:lvlText w:val="%2."/>
      <w:lvlJc w:val="left"/>
      <w:pPr>
        <w:ind w:left="1440" w:hanging="360"/>
      </w:pPr>
    </w:lvl>
    <w:lvl w:ilvl="2" w:tplc="95B83236" w:tentative="1">
      <w:start w:val="1"/>
      <w:numFmt w:val="lowerRoman"/>
      <w:lvlText w:val="%3."/>
      <w:lvlJc w:val="right"/>
      <w:pPr>
        <w:ind w:left="2160" w:hanging="180"/>
      </w:pPr>
    </w:lvl>
    <w:lvl w:ilvl="3" w:tplc="AA68DBD0" w:tentative="1">
      <w:start w:val="1"/>
      <w:numFmt w:val="decimal"/>
      <w:lvlText w:val="%4."/>
      <w:lvlJc w:val="left"/>
      <w:pPr>
        <w:ind w:left="2880" w:hanging="360"/>
      </w:pPr>
    </w:lvl>
    <w:lvl w:ilvl="4" w:tplc="4ECE8CD4" w:tentative="1">
      <w:start w:val="1"/>
      <w:numFmt w:val="lowerLetter"/>
      <w:lvlText w:val="%5."/>
      <w:lvlJc w:val="left"/>
      <w:pPr>
        <w:ind w:left="3600" w:hanging="360"/>
      </w:pPr>
    </w:lvl>
    <w:lvl w:ilvl="5" w:tplc="2270A964" w:tentative="1">
      <w:start w:val="1"/>
      <w:numFmt w:val="lowerRoman"/>
      <w:lvlText w:val="%6."/>
      <w:lvlJc w:val="right"/>
      <w:pPr>
        <w:ind w:left="4320" w:hanging="180"/>
      </w:pPr>
    </w:lvl>
    <w:lvl w:ilvl="6" w:tplc="1276BBCC" w:tentative="1">
      <w:start w:val="1"/>
      <w:numFmt w:val="decimal"/>
      <w:lvlText w:val="%7."/>
      <w:lvlJc w:val="left"/>
      <w:pPr>
        <w:ind w:left="5040" w:hanging="360"/>
      </w:pPr>
    </w:lvl>
    <w:lvl w:ilvl="7" w:tplc="F3721E20" w:tentative="1">
      <w:start w:val="1"/>
      <w:numFmt w:val="lowerLetter"/>
      <w:lvlText w:val="%8."/>
      <w:lvlJc w:val="left"/>
      <w:pPr>
        <w:ind w:left="5760" w:hanging="360"/>
      </w:pPr>
    </w:lvl>
    <w:lvl w:ilvl="8" w:tplc="1B62E7B2" w:tentative="1">
      <w:start w:val="1"/>
      <w:numFmt w:val="lowerRoman"/>
      <w:lvlText w:val="%9."/>
      <w:lvlJc w:val="right"/>
      <w:pPr>
        <w:ind w:left="6480" w:hanging="180"/>
      </w:pPr>
    </w:lvl>
  </w:abstractNum>
  <w:abstractNum w:abstractNumId="3" w15:restartNumberingAfterBreak="0">
    <w:nsid w:val="0DB20F5A"/>
    <w:multiLevelType w:val="hybridMultilevel"/>
    <w:tmpl w:val="4FDAF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1C0600"/>
    <w:multiLevelType w:val="hybridMultilevel"/>
    <w:tmpl w:val="A9E2CB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E77C94"/>
    <w:multiLevelType w:val="multilevel"/>
    <w:tmpl w:val="2D66F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7AF3A26"/>
    <w:multiLevelType w:val="hybridMultilevel"/>
    <w:tmpl w:val="F25665EE"/>
    <w:lvl w:ilvl="0" w:tplc="6AFCDCE6">
      <w:start w:val="1"/>
      <w:numFmt w:val="bullet"/>
      <w:lvlText w:val=""/>
      <w:lvlJc w:val="left"/>
      <w:pPr>
        <w:ind w:left="720" w:hanging="360"/>
      </w:pPr>
      <w:rPr>
        <w:rFonts w:ascii="Symbol" w:hAnsi="Symbol" w:hint="default"/>
      </w:rPr>
    </w:lvl>
    <w:lvl w:ilvl="1" w:tplc="E24899F0" w:tentative="1">
      <w:start w:val="1"/>
      <w:numFmt w:val="bullet"/>
      <w:lvlText w:val="o"/>
      <w:lvlJc w:val="left"/>
      <w:pPr>
        <w:ind w:left="1440" w:hanging="360"/>
      </w:pPr>
      <w:rPr>
        <w:rFonts w:ascii="Courier New" w:hAnsi="Courier New" w:cs="Courier New" w:hint="default"/>
      </w:rPr>
    </w:lvl>
    <w:lvl w:ilvl="2" w:tplc="0672AA7E" w:tentative="1">
      <w:start w:val="1"/>
      <w:numFmt w:val="bullet"/>
      <w:lvlText w:val=""/>
      <w:lvlJc w:val="left"/>
      <w:pPr>
        <w:ind w:left="2160" w:hanging="360"/>
      </w:pPr>
      <w:rPr>
        <w:rFonts w:ascii="Wingdings" w:hAnsi="Wingdings" w:hint="default"/>
      </w:rPr>
    </w:lvl>
    <w:lvl w:ilvl="3" w:tplc="2110B56E" w:tentative="1">
      <w:start w:val="1"/>
      <w:numFmt w:val="bullet"/>
      <w:lvlText w:val=""/>
      <w:lvlJc w:val="left"/>
      <w:pPr>
        <w:ind w:left="2880" w:hanging="360"/>
      </w:pPr>
      <w:rPr>
        <w:rFonts w:ascii="Symbol" w:hAnsi="Symbol" w:hint="default"/>
      </w:rPr>
    </w:lvl>
    <w:lvl w:ilvl="4" w:tplc="E9585D16" w:tentative="1">
      <w:start w:val="1"/>
      <w:numFmt w:val="bullet"/>
      <w:lvlText w:val="o"/>
      <w:lvlJc w:val="left"/>
      <w:pPr>
        <w:ind w:left="3600" w:hanging="360"/>
      </w:pPr>
      <w:rPr>
        <w:rFonts w:ascii="Courier New" w:hAnsi="Courier New" w:cs="Courier New" w:hint="default"/>
      </w:rPr>
    </w:lvl>
    <w:lvl w:ilvl="5" w:tplc="8A4890F0" w:tentative="1">
      <w:start w:val="1"/>
      <w:numFmt w:val="bullet"/>
      <w:lvlText w:val=""/>
      <w:lvlJc w:val="left"/>
      <w:pPr>
        <w:ind w:left="4320" w:hanging="360"/>
      </w:pPr>
      <w:rPr>
        <w:rFonts w:ascii="Wingdings" w:hAnsi="Wingdings" w:hint="default"/>
      </w:rPr>
    </w:lvl>
    <w:lvl w:ilvl="6" w:tplc="F21CD37A" w:tentative="1">
      <w:start w:val="1"/>
      <w:numFmt w:val="bullet"/>
      <w:lvlText w:val=""/>
      <w:lvlJc w:val="left"/>
      <w:pPr>
        <w:ind w:left="5040" w:hanging="360"/>
      </w:pPr>
      <w:rPr>
        <w:rFonts w:ascii="Symbol" w:hAnsi="Symbol" w:hint="default"/>
      </w:rPr>
    </w:lvl>
    <w:lvl w:ilvl="7" w:tplc="6A56F5AE" w:tentative="1">
      <w:start w:val="1"/>
      <w:numFmt w:val="bullet"/>
      <w:lvlText w:val="o"/>
      <w:lvlJc w:val="left"/>
      <w:pPr>
        <w:ind w:left="5760" w:hanging="360"/>
      </w:pPr>
      <w:rPr>
        <w:rFonts w:ascii="Courier New" w:hAnsi="Courier New" w:cs="Courier New" w:hint="default"/>
      </w:rPr>
    </w:lvl>
    <w:lvl w:ilvl="8" w:tplc="9CDAE922" w:tentative="1">
      <w:start w:val="1"/>
      <w:numFmt w:val="bullet"/>
      <w:lvlText w:val=""/>
      <w:lvlJc w:val="left"/>
      <w:pPr>
        <w:ind w:left="6480" w:hanging="360"/>
      </w:pPr>
      <w:rPr>
        <w:rFonts w:ascii="Wingdings" w:hAnsi="Wingdings" w:hint="default"/>
      </w:rPr>
    </w:lvl>
  </w:abstractNum>
  <w:abstractNum w:abstractNumId="7" w15:restartNumberingAfterBreak="0">
    <w:nsid w:val="1B485205"/>
    <w:multiLevelType w:val="hybridMultilevel"/>
    <w:tmpl w:val="94E81E52"/>
    <w:lvl w:ilvl="0" w:tplc="8F681BBE">
      <w:start w:val="1"/>
      <w:numFmt w:val="bullet"/>
      <w:lvlText w:val=""/>
      <w:lvlJc w:val="left"/>
      <w:pPr>
        <w:ind w:left="720" w:hanging="360"/>
      </w:pPr>
      <w:rPr>
        <w:rFonts w:ascii="Symbol" w:hAnsi="Symbol" w:hint="default"/>
      </w:rPr>
    </w:lvl>
    <w:lvl w:ilvl="1" w:tplc="C7D61AF6" w:tentative="1">
      <w:start w:val="1"/>
      <w:numFmt w:val="bullet"/>
      <w:lvlText w:val="o"/>
      <w:lvlJc w:val="left"/>
      <w:pPr>
        <w:ind w:left="1440" w:hanging="360"/>
      </w:pPr>
      <w:rPr>
        <w:rFonts w:ascii="Courier New" w:hAnsi="Courier New" w:cs="Courier New" w:hint="default"/>
      </w:rPr>
    </w:lvl>
    <w:lvl w:ilvl="2" w:tplc="A4EA58D8" w:tentative="1">
      <w:start w:val="1"/>
      <w:numFmt w:val="bullet"/>
      <w:lvlText w:val=""/>
      <w:lvlJc w:val="left"/>
      <w:pPr>
        <w:ind w:left="2160" w:hanging="360"/>
      </w:pPr>
      <w:rPr>
        <w:rFonts w:ascii="Wingdings" w:hAnsi="Wingdings" w:hint="default"/>
      </w:rPr>
    </w:lvl>
    <w:lvl w:ilvl="3" w:tplc="DB723442" w:tentative="1">
      <w:start w:val="1"/>
      <w:numFmt w:val="bullet"/>
      <w:lvlText w:val=""/>
      <w:lvlJc w:val="left"/>
      <w:pPr>
        <w:ind w:left="2880" w:hanging="360"/>
      </w:pPr>
      <w:rPr>
        <w:rFonts w:ascii="Symbol" w:hAnsi="Symbol" w:hint="default"/>
      </w:rPr>
    </w:lvl>
    <w:lvl w:ilvl="4" w:tplc="50309E7E" w:tentative="1">
      <w:start w:val="1"/>
      <w:numFmt w:val="bullet"/>
      <w:lvlText w:val="o"/>
      <w:lvlJc w:val="left"/>
      <w:pPr>
        <w:ind w:left="3600" w:hanging="360"/>
      </w:pPr>
      <w:rPr>
        <w:rFonts w:ascii="Courier New" w:hAnsi="Courier New" w:cs="Courier New" w:hint="default"/>
      </w:rPr>
    </w:lvl>
    <w:lvl w:ilvl="5" w:tplc="DFBEFCCE" w:tentative="1">
      <w:start w:val="1"/>
      <w:numFmt w:val="bullet"/>
      <w:lvlText w:val=""/>
      <w:lvlJc w:val="left"/>
      <w:pPr>
        <w:ind w:left="4320" w:hanging="360"/>
      </w:pPr>
      <w:rPr>
        <w:rFonts w:ascii="Wingdings" w:hAnsi="Wingdings" w:hint="default"/>
      </w:rPr>
    </w:lvl>
    <w:lvl w:ilvl="6" w:tplc="31E462BC" w:tentative="1">
      <w:start w:val="1"/>
      <w:numFmt w:val="bullet"/>
      <w:lvlText w:val=""/>
      <w:lvlJc w:val="left"/>
      <w:pPr>
        <w:ind w:left="5040" w:hanging="360"/>
      </w:pPr>
      <w:rPr>
        <w:rFonts w:ascii="Symbol" w:hAnsi="Symbol" w:hint="default"/>
      </w:rPr>
    </w:lvl>
    <w:lvl w:ilvl="7" w:tplc="60C01D4A" w:tentative="1">
      <w:start w:val="1"/>
      <w:numFmt w:val="bullet"/>
      <w:lvlText w:val="o"/>
      <w:lvlJc w:val="left"/>
      <w:pPr>
        <w:ind w:left="5760" w:hanging="360"/>
      </w:pPr>
      <w:rPr>
        <w:rFonts w:ascii="Courier New" w:hAnsi="Courier New" w:cs="Courier New" w:hint="default"/>
      </w:rPr>
    </w:lvl>
    <w:lvl w:ilvl="8" w:tplc="17A693D8" w:tentative="1">
      <w:start w:val="1"/>
      <w:numFmt w:val="bullet"/>
      <w:lvlText w:val=""/>
      <w:lvlJc w:val="left"/>
      <w:pPr>
        <w:ind w:left="6480" w:hanging="360"/>
      </w:pPr>
      <w:rPr>
        <w:rFonts w:ascii="Wingdings" w:hAnsi="Wingdings" w:hint="default"/>
      </w:rPr>
    </w:lvl>
  </w:abstractNum>
  <w:abstractNum w:abstractNumId="8" w15:restartNumberingAfterBreak="0">
    <w:nsid w:val="1BD32816"/>
    <w:multiLevelType w:val="hybridMultilevel"/>
    <w:tmpl w:val="3A24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D4E6211"/>
    <w:multiLevelType w:val="hybridMultilevel"/>
    <w:tmpl w:val="07606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53458"/>
    <w:multiLevelType w:val="hybridMultilevel"/>
    <w:tmpl w:val="907C49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F9559B9"/>
    <w:multiLevelType w:val="hybridMultilevel"/>
    <w:tmpl w:val="8E0C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73E75"/>
    <w:multiLevelType w:val="hybridMultilevel"/>
    <w:tmpl w:val="B9E2A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431E8C"/>
    <w:multiLevelType w:val="hybridMultilevel"/>
    <w:tmpl w:val="72C213EA"/>
    <w:lvl w:ilvl="0" w:tplc="553A16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6542EA"/>
    <w:multiLevelType w:val="multilevel"/>
    <w:tmpl w:val="AB0C5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A2EC9"/>
    <w:multiLevelType w:val="hybridMultilevel"/>
    <w:tmpl w:val="10E45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5C3791"/>
    <w:multiLevelType w:val="hybridMultilevel"/>
    <w:tmpl w:val="0994B4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8A85E78"/>
    <w:multiLevelType w:val="hybridMultilevel"/>
    <w:tmpl w:val="B9E65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006C0B"/>
    <w:multiLevelType w:val="multilevel"/>
    <w:tmpl w:val="9A6C8BCA"/>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3C7920"/>
    <w:multiLevelType w:val="multilevel"/>
    <w:tmpl w:val="35B6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163E62"/>
    <w:multiLevelType w:val="hybridMultilevel"/>
    <w:tmpl w:val="D6C4C65A"/>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C41974"/>
    <w:multiLevelType w:val="multilevel"/>
    <w:tmpl w:val="652496F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22" w15:restartNumberingAfterBreak="0">
    <w:nsid w:val="3C1C3470"/>
    <w:multiLevelType w:val="hybridMultilevel"/>
    <w:tmpl w:val="73F4CD5A"/>
    <w:lvl w:ilvl="0" w:tplc="0D68C9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A3F42"/>
    <w:multiLevelType w:val="hybridMultilevel"/>
    <w:tmpl w:val="31A6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3268EC"/>
    <w:multiLevelType w:val="hybridMultilevel"/>
    <w:tmpl w:val="0C045430"/>
    <w:lvl w:ilvl="0" w:tplc="8168D842">
      <w:start w:val="1"/>
      <w:numFmt w:val="decimal"/>
      <w:lvlText w:val="%1."/>
      <w:lvlJc w:val="left"/>
      <w:pPr>
        <w:ind w:left="765" w:hanging="405"/>
      </w:pPr>
      <w:rPr>
        <w:rFonts w:hint="default"/>
      </w:rPr>
    </w:lvl>
    <w:lvl w:ilvl="1" w:tplc="3028DCA4">
      <w:start w:val="1"/>
      <w:numFmt w:val="lowerLetter"/>
      <w:lvlText w:val="%2."/>
      <w:lvlJc w:val="left"/>
      <w:pPr>
        <w:ind w:left="1485" w:hanging="4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69202B"/>
    <w:multiLevelType w:val="multilevel"/>
    <w:tmpl w:val="B066BD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7E3985"/>
    <w:multiLevelType w:val="hybridMultilevel"/>
    <w:tmpl w:val="F33A9C76"/>
    <w:lvl w:ilvl="0" w:tplc="E1CE4188">
      <w:start w:val="1"/>
      <w:numFmt w:val="decimal"/>
      <w:lvlText w:val="%1."/>
      <w:lvlJc w:val="left"/>
      <w:pPr>
        <w:ind w:left="720" w:hanging="360"/>
      </w:pPr>
      <w:rPr>
        <w:rFonts w:hint="default"/>
      </w:rPr>
    </w:lvl>
    <w:lvl w:ilvl="1" w:tplc="6292D46A" w:tentative="1">
      <w:start w:val="1"/>
      <w:numFmt w:val="lowerLetter"/>
      <w:lvlText w:val="%2."/>
      <w:lvlJc w:val="left"/>
      <w:pPr>
        <w:ind w:left="1440" w:hanging="360"/>
      </w:pPr>
    </w:lvl>
    <w:lvl w:ilvl="2" w:tplc="5DE448A6" w:tentative="1">
      <w:start w:val="1"/>
      <w:numFmt w:val="lowerRoman"/>
      <w:lvlText w:val="%3."/>
      <w:lvlJc w:val="right"/>
      <w:pPr>
        <w:ind w:left="2160" w:hanging="180"/>
      </w:pPr>
    </w:lvl>
    <w:lvl w:ilvl="3" w:tplc="785243BA" w:tentative="1">
      <w:start w:val="1"/>
      <w:numFmt w:val="decimal"/>
      <w:lvlText w:val="%4."/>
      <w:lvlJc w:val="left"/>
      <w:pPr>
        <w:ind w:left="2880" w:hanging="360"/>
      </w:pPr>
    </w:lvl>
    <w:lvl w:ilvl="4" w:tplc="ABD6C748" w:tentative="1">
      <w:start w:val="1"/>
      <w:numFmt w:val="lowerLetter"/>
      <w:lvlText w:val="%5."/>
      <w:lvlJc w:val="left"/>
      <w:pPr>
        <w:ind w:left="3600" w:hanging="360"/>
      </w:pPr>
    </w:lvl>
    <w:lvl w:ilvl="5" w:tplc="BFF4AA5A" w:tentative="1">
      <w:start w:val="1"/>
      <w:numFmt w:val="lowerRoman"/>
      <w:lvlText w:val="%6."/>
      <w:lvlJc w:val="right"/>
      <w:pPr>
        <w:ind w:left="4320" w:hanging="180"/>
      </w:pPr>
    </w:lvl>
    <w:lvl w:ilvl="6" w:tplc="C3A0843E" w:tentative="1">
      <w:start w:val="1"/>
      <w:numFmt w:val="decimal"/>
      <w:lvlText w:val="%7."/>
      <w:lvlJc w:val="left"/>
      <w:pPr>
        <w:ind w:left="5040" w:hanging="360"/>
      </w:pPr>
    </w:lvl>
    <w:lvl w:ilvl="7" w:tplc="AEC2BC2E" w:tentative="1">
      <w:start w:val="1"/>
      <w:numFmt w:val="lowerLetter"/>
      <w:lvlText w:val="%8."/>
      <w:lvlJc w:val="left"/>
      <w:pPr>
        <w:ind w:left="5760" w:hanging="360"/>
      </w:pPr>
    </w:lvl>
    <w:lvl w:ilvl="8" w:tplc="BAE2E936" w:tentative="1">
      <w:start w:val="1"/>
      <w:numFmt w:val="lowerRoman"/>
      <w:lvlText w:val="%9."/>
      <w:lvlJc w:val="right"/>
      <w:pPr>
        <w:ind w:left="6480" w:hanging="180"/>
      </w:pPr>
    </w:lvl>
  </w:abstractNum>
  <w:abstractNum w:abstractNumId="27" w15:restartNumberingAfterBreak="0">
    <w:nsid w:val="4D241F5C"/>
    <w:multiLevelType w:val="hybridMultilevel"/>
    <w:tmpl w:val="A16661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FBB08C7"/>
    <w:multiLevelType w:val="multilevel"/>
    <w:tmpl w:val="E5B84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02699E"/>
    <w:multiLevelType w:val="multilevel"/>
    <w:tmpl w:val="422AC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82C661D"/>
    <w:multiLevelType w:val="hybridMultilevel"/>
    <w:tmpl w:val="7362E024"/>
    <w:lvl w:ilvl="0" w:tplc="8168D842">
      <w:start w:val="1"/>
      <w:numFmt w:val="decimal"/>
      <w:lvlText w:val="%1."/>
      <w:lvlJc w:val="left"/>
      <w:pPr>
        <w:ind w:left="765" w:hanging="405"/>
      </w:pPr>
      <w:rPr>
        <w:rFonts w:hint="default"/>
      </w:rPr>
    </w:lvl>
    <w:lvl w:ilvl="1" w:tplc="04090019">
      <w:start w:val="1"/>
      <w:numFmt w:val="lowerLetter"/>
      <w:lvlText w:val="%2."/>
      <w:lvlJc w:val="left"/>
      <w:pPr>
        <w:ind w:left="1440" w:hanging="360"/>
      </w:pPr>
    </w:lvl>
    <w:lvl w:ilvl="2" w:tplc="EA60E66C">
      <w:start w:val="1"/>
      <w:numFmt w:val="lowerRoman"/>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AB2D6B"/>
    <w:multiLevelType w:val="hybridMultilevel"/>
    <w:tmpl w:val="2E0CD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0C0936"/>
    <w:multiLevelType w:val="hybridMultilevel"/>
    <w:tmpl w:val="5BEABA8E"/>
    <w:lvl w:ilvl="0" w:tplc="40090001">
      <w:start w:val="1"/>
      <w:numFmt w:val="bullet"/>
      <w:lvlText w:val=""/>
      <w:lvlJc w:val="left"/>
      <w:pPr>
        <w:ind w:left="720" w:hanging="360"/>
      </w:pPr>
      <w:rPr>
        <w:rFonts w:ascii="Symbol" w:hAnsi="Symbol" w:hint="default"/>
      </w:rPr>
    </w:lvl>
    <w:lvl w:ilvl="1" w:tplc="7B1E9010">
      <w:start w:val="2"/>
      <w:numFmt w:val="bullet"/>
      <w:lvlText w:val="·"/>
      <w:lvlJc w:val="left"/>
      <w:pPr>
        <w:ind w:left="1440" w:hanging="360"/>
      </w:pPr>
      <w:rPr>
        <w:rFonts w:ascii="Aptos" w:eastAsiaTheme="minorHAnsi" w:hAnsi="Aptos" w:cs="Calibr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65ED737C"/>
    <w:multiLevelType w:val="hybridMultilevel"/>
    <w:tmpl w:val="CBB6A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165BBB"/>
    <w:multiLevelType w:val="hybridMultilevel"/>
    <w:tmpl w:val="C50E3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EC56A7"/>
    <w:multiLevelType w:val="multilevel"/>
    <w:tmpl w:val="0F92DB2C"/>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lowerRoman"/>
      <w:lvlText w:val="%3."/>
      <w:lvlJc w:val="right"/>
      <w:pPr>
        <w:ind w:left="2160" w:hanging="360"/>
      </w:pPr>
    </w:lvl>
    <w:lvl w:ilvl="3">
      <w:start w:val="1"/>
      <w:numFmt w:val="lowerRoman"/>
      <w:lvlText w:val="%4."/>
      <w:lvlJc w:val="right"/>
      <w:pPr>
        <w:ind w:left="2880" w:hanging="360"/>
      </w:pPr>
    </w:lvl>
    <w:lvl w:ilvl="4">
      <w:start w:val="1"/>
      <w:numFmt w:val="lowerRoman"/>
      <w:lvlText w:val="%5."/>
      <w:lvlJc w:val="right"/>
      <w:pPr>
        <w:ind w:left="3600" w:hanging="360"/>
      </w:pPr>
    </w:lvl>
    <w:lvl w:ilvl="5">
      <w:start w:val="1"/>
      <w:numFmt w:val="lowerRoman"/>
      <w:lvlText w:val="%6."/>
      <w:lvlJc w:val="right"/>
      <w:pPr>
        <w:ind w:left="4320" w:hanging="360"/>
      </w:pPr>
    </w:lvl>
    <w:lvl w:ilvl="6">
      <w:start w:val="1"/>
      <w:numFmt w:val="lowerRoman"/>
      <w:lvlText w:val="%7."/>
      <w:lvlJc w:val="right"/>
      <w:pPr>
        <w:ind w:left="5040" w:hanging="360"/>
      </w:pPr>
    </w:lvl>
    <w:lvl w:ilvl="7">
      <w:start w:val="1"/>
      <w:numFmt w:val="lowerRoman"/>
      <w:lvlText w:val="%8."/>
      <w:lvlJc w:val="right"/>
      <w:pPr>
        <w:ind w:left="5760" w:hanging="360"/>
      </w:pPr>
    </w:lvl>
    <w:lvl w:ilvl="8">
      <w:start w:val="1"/>
      <w:numFmt w:val="lowerRoman"/>
      <w:lvlText w:val="%9."/>
      <w:lvlJc w:val="right"/>
      <w:pPr>
        <w:ind w:left="6480" w:hanging="360"/>
      </w:pPr>
    </w:lvl>
  </w:abstractNum>
  <w:abstractNum w:abstractNumId="36" w15:restartNumberingAfterBreak="0">
    <w:nsid w:val="6DBB7628"/>
    <w:multiLevelType w:val="hybridMultilevel"/>
    <w:tmpl w:val="48BCE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F1456B"/>
    <w:multiLevelType w:val="hybridMultilevel"/>
    <w:tmpl w:val="D21C2F0C"/>
    <w:lvl w:ilvl="0" w:tplc="0409000F">
      <w:start w:val="1"/>
      <w:numFmt w:val="decimal"/>
      <w:lvlText w:val="%1."/>
      <w:lvlJc w:val="left"/>
      <w:pPr>
        <w:ind w:left="720" w:hanging="360"/>
      </w:pPr>
    </w:lvl>
    <w:lvl w:ilvl="1" w:tplc="644AEB44">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85458F"/>
    <w:multiLevelType w:val="multilevel"/>
    <w:tmpl w:val="A85C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DC7335"/>
    <w:multiLevelType w:val="hybridMultilevel"/>
    <w:tmpl w:val="10E45D1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4E55606"/>
    <w:multiLevelType w:val="hybridMultilevel"/>
    <w:tmpl w:val="F6C6C47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7A6725F"/>
    <w:multiLevelType w:val="hybridMultilevel"/>
    <w:tmpl w:val="6EE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F49353"/>
    <w:multiLevelType w:val="hybridMultilevel"/>
    <w:tmpl w:val="31DC12AE"/>
    <w:lvl w:ilvl="0" w:tplc="F1FA856C">
      <w:start w:val="1"/>
      <w:numFmt w:val="bullet"/>
      <w:lvlText w:val="·"/>
      <w:lvlJc w:val="left"/>
      <w:pPr>
        <w:ind w:left="720" w:hanging="360"/>
      </w:pPr>
      <w:rPr>
        <w:rFonts w:ascii="Symbol" w:hAnsi="Symbol" w:hint="default"/>
      </w:rPr>
    </w:lvl>
    <w:lvl w:ilvl="1" w:tplc="FA0E7CF6">
      <w:start w:val="1"/>
      <w:numFmt w:val="bullet"/>
      <w:lvlText w:val="o"/>
      <w:lvlJc w:val="left"/>
      <w:pPr>
        <w:ind w:left="1440" w:hanging="360"/>
      </w:pPr>
      <w:rPr>
        <w:rFonts w:ascii="Courier New" w:hAnsi="Courier New" w:hint="default"/>
      </w:rPr>
    </w:lvl>
    <w:lvl w:ilvl="2" w:tplc="4F1A1396">
      <w:start w:val="1"/>
      <w:numFmt w:val="bullet"/>
      <w:lvlText w:val=""/>
      <w:lvlJc w:val="left"/>
      <w:pPr>
        <w:ind w:left="2160" w:hanging="360"/>
      </w:pPr>
      <w:rPr>
        <w:rFonts w:ascii="Wingdings" w:hAnsi="Wingdings" w:hint="default"/>
      </w:rPr>
    </w:lvl>
    <w:lvl w:ilvl="3" w:tplc="A45A867C">
      <w:start w:val="1"/>
      <w:numFmt w:val="bullet"/>
      <w:lvlText w:val=""/>
      <w:lvlJc w:val="left"/>
      <w:pPr>
        <w:ind w:left="2880" w:hanging="360"/>
      </w:pPr>
      <w:rPr>
        <w:rFonts w:ascii="Symbol" w:hAnsi="Symbol" w:hint="default"/>
      </w:rPr>
    </w:lvl>
    <w:lvl w:ilvl="4" w:tplc="BCA247FC">
      <w:start w:val="1"/>
      <w:numFmt w:val="bullet"/>
      <w:lvlText w:val="o"/>
      <w:lvlJc w:val="left"/>
      <w:pPr>
        <w:ind w:left="3600" w:hanging="360"/>
      </w:pPr>
      <w:rPr>
        <w:rFonts w:ascii="Courier New" w:hAnsi="Courier New" w:hint="default"/>
      </w:rPr>
    </w:lvl>
    <w:lvl w:ilvl="5" w:tplc="F342D490">
      <w:start w:val="1"/>
      <w:numFmt w:val="bullet"/>
      <w:lvlText w:val=""/>
      <w:lvlJc w:val="left"/>
      <w:pPr>
        <w:ind w:left="4320" w:hanging="360"/>
      </w:pPr>
      <w:rPr>
        <w:rFonts w:ascii="Wingdings" w:hAnsi="Wingdings" w:hint="default"/>
      </w:rPr>
    </w:lvl>
    <w:lvl w:ilvl="6" w:tplc="3FB69AC6">
      <w:start w:val="1"/>
      <w:numFmt w:val="bullet"/>
      <w:lvlText w:val=""/>
      <w:lvlJc w:val="left"/>
      <w:pPr>
        <w:ind w:left="5040" w:hanging="360"/>
      </w:pPr>
      <w:rPr>
        <w:rFonts w:ascii="Symbol" w:hAnsi="Symbol" w:hint="default"/>
      </w:rPr>
    </w:lvl>
    <w:lvl w:ilvl="7" w:tplc="3E968954">
      <w:start w:val="1"/>
      <w:numFmt w:val="bullet"/>
      <w:lvlText w:val="o"/>
      <w:lvlJc w:val="left"/>
      <w:pPr>
        <w:ind w:left="5760" w:hanging="360"/>
      </w:pPr>
      <w:rPr>
        <w:rFonts w:ascii="Courier New" w:hAnsi="Courier New" w:hint="default"/>
      </w:rPr>
    </w:lvl>
    <w:lvl w:ilvl="8" w:tplc="E9F4C894">
      <w:start w:val="1"/>
      <w:numFmt w:val="bullet"/>
      <w:lvlText w:val=""/>
      <w:lvlJc w:val="left"/>
      <w:pPr>
        <w:ind w:left="6480" w:hanging="360"/>
      </w:pPr>
      <w:rPr>
        <w:rFonts w:ascii="Wingdings" w:hAnsi="Wingdings" w:hint="default"/>
      </w:rPr>
    </w:lvl>
  </w:abstractNum>
  <w:abstractNum w:abstractNumId="43" w15:restartNumberingAfterBreak="0">
    <w:nsid w:val="7A696226"/>
    <w:multiLevelType w:val="hybridMultilevel"/>
    <w:tmpl w:val="4C66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3913297">
    <w:abstractNumId w:val="41"/>
  </w:num>
  <w:num w:numId="2" w16cid:durableId="156196398">
    <w:abstractNumId w:val="24"/>
  </w:num>
  <w:num w:numId="3" w16cid:durableId="658773321">
    <w:abstractNumId w:val="13"/>
  </w:num>
  <w:num w:numId="4" w16cid:durableId="635791824">
    <w:abstractNumId w:val="33"/>
  </w:num>
  <w:num w:numId="5" w16cid:durableId="2099015532">
    <w:abstractNumId w:val="30"/>
  </w:num>
  <w:num w:numId="6" w16cid:durableId="202837329">
    <w:abstractNumId w:val="22"/>
  </w:num>
  <w:num w:numId="7" w16cid:durableId="1016154939">
    <w:abstractNumId w:val="36"/>
  </w:num>
  <w:num w:numId="8" w16cid:durableId="143746231">
    <w:abstractNumId w:val="23"/>
  </w:num>
  <w:num w:numId="9" w16cid:durableId="1450198770">
    <w:abstractNumId w:val="37"/>
  </w:num>
  <w:num w:numId="10" w16cid:durableId="116998583">
    <w:abstractNumId w:val="3"/>
  </w:num>
  <w:num w:numId="11" w16cid:durableId="80029499">
    <w:abstractNumId w:val="9"/>
  </w:num>
  <w:num w:numId="12" w16cid:durableId="332802973">
    <w:abstractNumId w:val="20"/>
  </w:num>
  <w:num w:numId="13" w16cid:durableId="1728264594">
    <w:abstractNumId w:val="34"/>
  </w:num>
  <w:num w:numId="14" w16cid:durableId="1472093646">
    <w:abstractNumId w:val="1"/>
  </w:num>
  <w:num w:numId="15" w16cid:durableId="1152873622">
    <w:abstractNumId w:val="17"/>
  </w:num>
  <w:num w:numId="16" w16cid:durableId="1243249982">
    <w:abstractNumId w:val="43"/>
  </w:num>
  <w:num w:numId="17" w16cid:durableId="609896515">
    <w:abstractNumId w:val="11"/>
  </w:num>
  <w:num w:numId="18" w16cid:durableId="939603129">
    <w:abstractNumId w:val="14"/>
  </w:num>
  <w:num w:numId="19" w16cid:durableId="329866513">
    <w:abstractNumId w:val="4"/>
  </w:num>
  <w:num w:numId="20" w16cid:durableId="321157553">
    <w:abstractNumId w:val="16"/>
  </w:num>
  <w:num w:numId="21" w16cid:durableId="789544802">
    <w:abstractNumId w:val="10"/>
  </w:num>
  <w:num w:numId="22" w16cid:durableId="2003047306">
    <w:abstractNumId w:val="27"/>
  </w:num>
  <w:num w:numId="23" w16cid:durableId="924149786">
    <w:abstractNumId w:val="8"/>
  </w:num>
  <w:num w:numId="24" w16cid:durableId="48667530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41192">
    <w:abstractNumId w:val="39"/>
  </w:num>
  <w:num w:numId="26" w16cid:durableId="1097016701">
    <w:abstractNumId w:val="32"/>
  </w:num>
  <w:num w:numId="27" w16cid:durableId="281883770">
    <w:abstractNumId w:val="31"/>
  </w:num>
  <w:num w:numId="28" w16cid:durableId="157842551">
    <w:abstractNumId w:val="28"/>
  </w:num>
  <w:num w:numId="29" w16cid:durableId="1704204850">
    <w:abstractNumId w:val="25"/>
  </w:num>
  <w:num w:numId="30" w16cid:durableId="1967008098">
    <w:abstractNumId w:val="18"/>
  </w:num>
  <w:num w:numId="31" w16cid:durableId="2050719396">
    <w:abstractNumId w:val="12"/>
  </w:num>
  <w:num w:numId="32" w16cid:durableId="1070612101">
    <w:abstractNumId w:val="6"/>
  </w:num>
  <w:num w:numId="33" w16cid:durableId="326252537">
    <w:abstractNumId w:val="7"/>
  </w:num>
  <w:num w:numId="34" w16cid:durableId="666129910">
    <w:abstractNumId w:val="0"/>
  </w:num>
  <w:num w:numId="35" w16cid:durableId="492338581">
    <w:abstractNumId w:val="2"/>
  </w:num>
  <w:num w:numId="36" w16cid:durableId="552622661">
    <w:abstractNumId w:val="38"/>
  </w:num>
  <w:num w:numId="37" w16cid:durableId="1468400097">
    <w:abstractNumId w:val="26"/>
  </w:num>
  <w:num w:numId="38" w16cid:durableId="574319472">
    <w:abstractNumId w:val="40"/>
  </w:num>
  <w:num w:numId="39" w16cid:durableId="1850171257">
    <w:abstractNumId w:val="42"/>
  </w:num>
  <w:num w:numId="40" w16cid:durableId="659576334">
    <w:abstractNumId w:val="19"/>
  </w:num>
  <w:num w:numId="41" w16cid:durableId="1403327781">
    <w:abstractNumId w:val="5"/>
  </w:num>
  <w:num w:numId="42" w16cid:durableId="1701471270">
    <w:abstractNumId w:val="29"/>
  </w:num>
  <w:num w:numId="43" w16cid:durableId="900554677">
    <w:abstractNumId w:val="35"/>
  </w:num>
  <w:num w:numId="44" w16cid:durableId="396588347">
    <w:abstractNumId w:val="2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cumentProtection w:edit="readOnly" w:formatting="1" w:enforcement="1" w:cryptProviderType="rsaAES" w:cryptAlgorithmClass="hash" w:cryptAlgorithmType="typeAny" w:cryptAlgorithmSid="14" w:cryptSpinCount="100000" w:hash="OKGsRrLOk2FgbRfITIcP8ln70G+zNb9NBA8MaIP9OyI27vfJGwtaj/b6EniFKYYxEjclMmzE9Jvw30fOiMiTfw==" w:salt="hTiR9rsqZdPWvUVsXMxR+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AFE"/>
    <w:rsid w:val="00000AE0"/>
    <w:rsid w:val="00001F23"/>
    <w:rsid w:val="00002663"/>
    <w:rsid w:val="0000282B"/>
    <w:rsid w:val="00002CD6"/>
    <w:rsid w:val="00003307"/>
    <w:rsid w:val="0000417A"/>
    <w:rsid w:val="00004697"/>
    <w:rsid w:val="00004BE2"/>
    <w:rsid w:val="000056F6"/>
    <w:rsid w:val="00006365"/>
    <w:rsid w:val="00006AD2"/>
    <w:rsid w:val="00006EDC"/>
    <w:rsid w:val="0000793E"/>
    <w:rsid w:val="00007E40"/>
    <w:rsid w:val="00007F1F"/>
    <w:rsid w:val="000106A8"/>
    <w:rsid w:val="00010930"/>
    <w:rsid w:val="00010E6D"/>
    <w:rsid w:val="00011885"/>
    <w:rsid w:val="000126EF"/>
    <w:rsid w:val="0001272B"/>
    <w:rsid w:val="00012831"/>
    <w:rsid w:val="00012F9F"/>
    <w:rsid w:val="00013786"/>
    <w:rsid w:val="000137E9"/>
    <w:rsid w:val="00013D56"/>
    <w:rsid w:val="00014493"/>
    <w:rsid w:val="000146AE"/>
    <w:rsid w:val="00014752"/>
    <w:rsid w:val="00014BF6"/>
    <w:rsid w:val="00014EB8"/>
    <w:rsid w:val="000158C1"/>
    <w:rsid w:val="000165EF"/>
    <w:rsid w:val="0001673C"/>
    <w:rsid w:val="00017C88"/>
    <w:rsid w:val="000201CE"/>
    <w:rsid w:val="0002120A"/>
    <w:rsid w:val="0002129B"/>
    <w:rsid w:val="0002175D"/>
    <w:rsid w:val="00021976"/>
    <w:rsid w:val="00021B59"/>
    <w:rsid w:val="00021F08"/>
    <w:rsid w:val="000225DD"/>
    <w:rsid w:val="000228B0"/>
    <w:rsid w:val="00023078"/>
    <w:rsid w:val="0002340E"/>
    <w:rsid w:val="00024B72"/>
    <w:rsid w:val="00025477"/>
    <w:rsid w:val="00025908"/>
    <w:rsid w:val="0002605D"/>
    <w:rsid w:val="00026DDE"/>
    <w:rsid w:val="00026EE8"/>
    <w:rsid w:val="000270A4"/>
    <w:rsid w:val="0002719C"/>
    <w:rsid w:val="000276D5"/>
    <w:rsid w:val="000307CD"/>
    <w:rsid w:val="00031223"/>
    <w:rsid w:val="00031662"/>
    <w:rsid w:val="0003269D"/>
    <w:rsid w:val="000346AC"/>
    <w:rsid w:val="00034D3B"/>
    <w:rsid w:val="000357C5"/>
    <w:rsid w:val="00035F22"/>
    <w:rsid w:val="00036242"/>
    <w:rsid w:val="0003651D"/>
    <w:rsid w:val="00040759"/>
    <w:rsid w:val="0004094B"/>
    <w:rsid w:val="00041620"/>
    <w:rsid w:val="00042CC1"/>
    <w:rsid w:val="00043712"/>
    <w:rsid w:val="000438F9"/>
    <w:rsid w:val="00043BAC"/>
    <w:rsid w:val="00045168"/>
    <w:rsid w:val="00045BEA"/>
    <w:rsid w:val="00045C64"/>
    <w:rsid w:val="0004685C"/>
    <w:rsid w:val="000469DE"/>
    <w:rsid w:val="00047018"/>
    <w:rsid w:val="000476AA"/>
    <w:rsid w:val="00047DC7"/>
    <w:rsid w:val="000506C5"/>
    <w:rsid w:val="00050BC6"/>
    <w:rsid w:val="0005158E"/>
    <w:rsid w:val="00051AAC"/>
    <w:rsid w:val="00051D3E"/>
    <w:rsid w:val="000521B5"/>
    <w:rsid w:val="00052E1C"/>
    <w:rsid w:val="00053047"/>
    <w:rsid w:val="00053629"/>
    <w:rsid w:val="00053691"/>
    <w:rsid w:val="00053FEF"/>
    <w:rsid w:val="00053FFE"/>
    <w:rsid w:val="000541DB"/>
    <w:rsid w:val="0005465C"/>
    <w:rsid w:val="00055772"/>
    <w:rsid w:val="00056265"/>
    <w:rsid w:val="000562B9"/>
    <w:rsid w:val="00056522"/>
    <w:rsid w:val="00056D89"/>
    <w:rsid w:val="00056FAF"/>
    <w:rsid w:val="00057339"/>
    <w:rsid w:val="00057D82"/>
    <w:rsid w:val="00057DF9"/>
    <w:rsid w:val="00060BB6"/>
    <w:rsid w:val="00060F59"/>
    <w:rsid w:val="00061075"/>
    <w:rsid w:val="0006114A"/>
    <w:rsid w:val="00061A8B"/>
    <w:rsid w:val="00061F6E"/>
    <w:rsid w:val="00063633"/>
    <w:rsid w:val="00065D4D"/>
    <w:rsid w:val="00065DDE"/>
    <w:rsid w:val="00067286"/>
    <w:rsid w:val="000676B3"/>
    <w:rsid w:val="00067A0F"/>
    <w:rsid w:val="00067B4B"/>
    <w:rsid w:val="0007032F"/>
    <w:rsid w:val="000710A6"/>
    <w:rsid w:val="00071A79"/>
    <w:rsid w:val="00071C2C"/>
    <w:rsid w:val="00072882"/>
    <w:rsid w:val="00072A73"/>
    <w:rsid w:val="0007363B"/>
    <w:rsid w:val="00073755"/>
    <w:rsid w:val="00073F3C"/>
    <w:rsid w:val="0007491F"/>
    <w:rsid w:val="000749B2"/>
    <w:rsid w:val="00074F08"/>
    <w:rsid w:val="00075137"/>
    <w:rsid w:val="000754C6"/>
    <w:rsid w:val="0007551D"/>
    <w:rsid w:val="00075561"/>
    <w:rsid w:val="000756A2"/>
    <w:rsid w:val="00075BBB"/>
    <w:rsid w:val="00076D26"/>
    <w:rsid w:val="00077286"/>
    <w:rsid w:val="000776AB"/>
    <w:rsid w:val="0007784F"/>
    <w:rsid w:val="00077A6B"/>
    <w:rsid w:val="000805F3"/>
    <w:rsid w:val="00081149"/>
    <w:rsid w:val="00081380"/>
    <w:rsid w:val="00081B1C"/>
    <w:rsid w:val="00081CA7"/>
    <w:rsid w:val="0008307A"/>
    <w:rsid w:val="00083564"/>
    <w:rsid w:val="00083FE8"/>
    <w:rsid w:val="0008413B"/>
    <w:rsid w:val="00084C5A"/>
    <w:rsid w:val="00085833"/>
    <w:rsid w:val="00085A0D"/>
    <w:rsid w:val="00085CEE"/>
    <w:rsid w:val="00085D21"/>
    <w:rsid w:val="000872EB"/>
    <w:rsid w:val="00087BC2"/>
    <w:rsid w:val="00087E64"/>
    <w:rsid w:val="000900F7"/>
    <w:rsid w:val="00090E7C"/>
    <w:rsid w:val="000911DC"/>
    <w:rsid w:val="0009164C"/>
    <w:rsid w:val="000918AB"/>
    <w:rsid w:val="00092062"/>
    <w:rsid w:val="00092257"/>
    <w:rsid w:val="00092746"/>
    <w:rsid w:val="000933AB"/>
    <w:rsid w:val="00094558"/>
    <w:rsid w:val="00094E0B"/>
    <w:rsid w:val="000953A4"/>
    <w:rsid w:val="00095673"/>
    <w:rsid w:val="0009588E"/>
    <w:rsid w:val="0009720F"/>
    <w:rsid w:val="000972B6"/>
    <w:rsid w:val="0009779E"/>
    <w:rsid w:val="000A03D2"/>
    <w:rsid w:val="000A05E2"/>
    <w:rsid w:val="000A0AC7"/>
    <w:rsid w:val="000A0C63"/>
    <w:rsid w:val="000A0CD9"/>
    <w:rsid w:val="000A216A"/>
    <w:rsid w:val="000A2E8E"/>
    <w:rsid w:val="000A31E6"/>
    <w:rsid w:val="000A57B7"/>
    <w:rsid w:val="000A5DC6"/>
    <w:rsid w:val="000A5FA1"/>
    <w:rsid w:val="000A68A8"/>
    <w:rsid w:val="000A7ADE"/>
    <w:rsid w:val="000A7E41"/>
    <w:rsid w:val="000B0114"/>
    <w:rsid w:val="000B02C9"/>
    <w:rsid w:val="000B0764"/>
    <w:rsid w:val="000B09BD"/>
    <w:rsid w:val="000B0EE9"/>
    <w:rsid w:val="000B143A"/>
    <w:rsid w:val="000B1561"/>
    <w:rsid w:val="000B2005"/>
    <w:rsid w:val="000B24EC"/>
    <w:rsid w:val="000B2C97"/>
    <w:rsid w:val="000B2E2F"/>
    <w:rsid w:val="000B38CA"/>
    <w:rsid w:val="000B4B52"/>
    <w:rsid w:val="000B4F74"/>
    <w:rsid w:val="000B734D"/>
    <w:rsid w:val="000B7429"/>
    <w:rsid w:val="000B7F4B"/>
    <w:rsid w:val="000C0156"/>
    <w:rsid w:val="000C0331"/>
    <w:rsid w:val="000C05C9"/>
    <w:rsid w:val="000C0ACA"/>
    <w:rsid w:val="000C13D4"/>
    <w:rsid w:val="000C1656"/>
    <w:rsid w:val="000C1AEC"/>
    <w:rsid w:val="000C2079"/>
    <w:rsid w:val="000C208B"/>
    <w:rsid w:val="000C2CAE"/>
    <w:rsid w:val="000C34FA"/>
    <w:rsid w:val="000C457F"/>
    <w:rsid w:val="000C46CD"/>
    <w:rsid w:val="000C4BD0"/>
    <w:rsid w:val="000C6732"/>
    <w:rsid w:val="000C67DE"/>
    <w:rsid w:val="000C688A"/>
    <w:rsid w:val="000C79C9"/>
    <w:rsid w:val="000C7A82"/>
    <w:rsid w:val="000C7D2A"/>
    <w:rsid w:val="000D032C"/>
    <w:rsid w:val="000D1B93"/>
    <w:rsid w:val="000D29F0"/>
    <w:rsid w:val="000D2BDB"/>
    <w:rsid w:val="000D3387"/>
    <w:rsid w:val="000D38EE"/>
    <w:rsid w:val="000D41C7"/>
    <w:rsid w:val="000D4219"/>
    <w:rsid w:val="000D47D0"/>
    <w:rsid w:val="000D51B2"/>
    <w:rsid w:val="000D5752"/>
    <w:rsid w:val="000D5E17"/>
    <w:rsid w:val="000D6060"/>
    <w:rsid w:val="000D635C"/>
    <w:rsid w:val="000D64BE"/>
    <w:rsid w:val="000D693B"/>
    <w:rsid w:val="000D7418"/>
    <w:rsid w:val="000D7CD0"/>
    <w:rsid w:val="000E08C0"/>
    <w:rsid w:val="000E0CD6"/>
    <w:rsid w:val="000E1DEC"/>
    <w:rsid w:val="000E2DFF"/>
    <w:rsid w:val="000E2E0F"/>
    <w:rsid w:val="000E35C3"/>
    <w:rsid w:val="000E3794"/>
    <w:rsid w:val="000E3C0B"/>
    <w:rsid w:val="000E4D5B"/>
    <w:rsid w:val="000E5E46"/>
    <w:rsid w:val="000E6165"/>
    <w:rsid w:val="000E6583"/>
    <w:rsid w:val="000E65C7"/>
    <w:rsid w:val="000E7FDE"/>
    <w:rsid w:val="000F0057"/>
    <w:rsid w:val="000F00E4"/>
    <w:rsid w:val="000F032B"/>
    <w:rsid w:val="000F047B"/>
    <w:rsid w:val="000F08B9"/>
    <w:rsid w:val="000F0AAC"/>
    <w:rsid w:val="000F0C5D"/>
    <w:rsid w:val="000F0F28"/>
    <w:rsid w:val="000F0FB8"/>
    <w:rsid w:val="000F1869"/>
    <w:rsid w:val="000F1CEA"/>
    <w:rsid w:val="000F21C1"/>
    <w:rsid w:val="000F2B16"/>
    <w:rsid w:val="000F31B4"/>
    <w:rsid w:val="000F39DA"/>
    <w:rsid w:val="000F3D98"/>
    <w:rsid w:val="000F41E8"/>
    <w:rsid w:val="000F44DC"/>
    <w:rsid w:val="000F4BDC"/>
    <w:rsid w:val="000F56C8"/>
    <w:rsid w:val="000F6F19"/>
    <w:rsid w:val="001000C6"/>
    <w:rsid w:val="00100E67"/>
    <w:rsid w:val="001012EB"/>
    <w:rsid w:val="00101342"/>
    <w:rsid w:val="001040A6"/>
    <w:rsid w:val="00104DBC"/>
    <w:rsid w:val="001055B5"/>
    <w:rsid w:val="0010585C"/>
    <w:rsid w:val="0010587C"/>
    <w:rsid w:val="00105B4C"/>
    <w:rsid w:val="00105D51"/>
    <w:rsid w:val="00106C29"/>
    <w:rsid w:val="00107441"/>
    <w:rsid w:val="001074B3"/>
    <w:rsid w:val="00107EFC"/>
    <w:rsid w:val="00107F26"/>
    <w:rsid w:val="00107F31"/>
    <w:rsid w:val="00110BAD"/>
    <w:rsid w:val="00111A7A"/>
    <w:rsid w:val="00111C8E"/>
    <w:rsid w:val="00111EE9"/>
    <w:rsid w:val="00111F23"/>
    <w:rsid w:val="00111FE0"/>
    <w:rsid w:val="0011309F"/>
    <w:rsid w:val="00113A89"/>
    <w:rsid w:val="00113B71"/>
    <w:rsid w:val="00114959"/>
    <w:rsid w:val="00115140"/>
    <w:rsid w:val="001151EF"/>
    <w:rsid w:val="00115BED"/>
    <w:rsid w:val="001205C6"/>
    <w:rsid w:val="00122CF3"/>
    <w:rsid w:val="00122D3E"/>
    <w:rsid w:val="00122F40"/>
    <w:rsid w:val="00122FC8"/>
    <w:rsid w:val="001235AF"/>
    <w:rsid w:val="0012403F"/>
    <w:rsid w:val="001242BA"/>
    <w:rsid w:val="00124F73"/>
    <w:rsid w:val="001250CC"/>
    <w:rsid w:val="00125581"/>
    <w:rsid w:val="00125CBE"/>
    <w:rsid w:val="00125F0C"/>
    <w:rsid w:val="00126263"/>
    <w:rsid w:val="001269CA"/>
    <w:rsid w:val="00126AEF"/>
    <w:rsid w:val="00126DC2"/>
    <w:rsid w:val="00127510"/>
    <w:rsid w:val="00127C5F"/>
    <w:rsid w:val="001320C2"/>
    <w:rsid w:val="00132A99"/>
    <w:rsid w:val="00133FBD"/>
    <w:rsid w:val="001344BF"/>
    <w:rsid w:val="0013474F"/>
    <w:rsid w:val="00134A02"/>
    <w:rsid w:val="00134DA1"/>
    <w:rsid w:val="00134EF8"/>
    <w:rsid w:val="00135786"/>
    <w:rsid w:val="00136452"/>
    <w:rsid w:val="001364FA"/>
    <w:rsid w:val="00136599"/>
    <w:rsid w:val="0013670A"/>
    <w:rsid w:val="00136A62"/>
    <w:rsid w:val="001372AB"/>
    <w:rsid w:val="00137741"/>
    <w:rsid w:val="00137E59"/>
    <w:rsid w:val="00140900"/>
    <w:rsid w:val="00140A95"/>
    <w:rsid w:val="0014192B"/>
    <w:rsid w:val="00141936"/>
    <w:rsid w:val="00141CAD"/>
    <w:rsid w:val="00141F07"/>
    <w:rsid w:val="001428C6"/>
    <w:rsid w:val="00142BC8"/>
    <w:rsid w:val="001439A9"/>
    <w:rsid w:val="001472FC"/>
    <w:rsid w:val="001479F5"/>
    <w:rsid w:val="00150F54"/>
    <w:rsid w:val="00151002"/>
    <w:rsid w:val="001517E0"/>
    <w:rsid w:val="00153021"/>
    <w:rsid w:val="00153A22"/>
    <w:rsid w:val="0015445A"/>
    <w:rsid w:val="00155357"/>
    <w:rsid w:val="00156C1C"/>
    <w:rsid w:val="0015746B"/>
    <w:rsid w:val="00157DBD"/>
    <w:rsid w:val="001602AC"/>
    <w:rsid w:val="001602F8"/>
    <w:rsid w:val="001606C9"/>
    <w:rsid w:val="00160F75"/>
    <w:rsid w:val="001613A3"/>
    <w:rsid w:val="0016167C"/>
    <w:rsid w:val="0016181D"/>
    <w:rsid w:val="00161EBB"/>
    <w:rsid w:val="00161F35"/>
    <w:rsid w:val="00163053"/>
    <w:rsid w:val="00164026"/>
    <w:rsid w:val="00164A27"/>
    <w:rsid w:val="00165962"/>
    <w:rsid w:val="00165F81"/>
    <w:rsid w:val="00166039"/>
    <w:rsid w:val="00166540"/>
    <w:rsid w:val="001667A8"/>
    <w:rsid w:val="00166E69"/>
    <w:rsid w:val="00167128"/>
    <w:rsid w:val="00167130"/>
    <w:rsid w:val="00167443"/>
    <w:rsid w:val="001675DF"/>
    <w:rsid w:val="00167E37"/>
    <w:rsid w:val="00170401"/>
    <w:rsid w:val="0017060C"/>
    <w:rsid w:val="00170FD9"/>
    <w:rsid w:val="00171FBC"/>
    <w:rsid w:val="00172102"/>
    <w:rsid w:val="0017227F"/>
    <w:rsid w:val="001722AF"/>
    <w:rsid w:val="0017244F"/>
    <w:rsid w:val="00172BF0"/>
    <w:rsid w:val="00174C82"/>
    <w:rsid w:val="00174EEE"/>
    <w:rsid w:val="00174F32"/>
    <w:rsid w:val="001754BA"/>
    <w:rsid w:val="00175814"/>
    <w:rsid w:val="00175B97"/>
    <w:rsid w:val="0017786C"/>
    <w:rsid w:val="00177934"/>
    <w:rsid w:val="0018185B"/>
    <w:rsid w:val="001821F6"/>
    <w:rsid w:val="0018257C"/>
    <w:rsid w:val="00183408"/>
    <w:rsid w:val="00183579"/>
    <w:rsid w:val="001837C8"/>
    <w:rsid w:val="001838D6"/>
    <w:rsid w:val="00183F2D"/>
    <w:rsid w:val="00184587"/>
    <w:rsid w:val="0018615A"/>
    <w:rsid w:val="001864DD"/>
    <w:rsid w:val="00187191"/>
    <w:rsid w:val="00187BF4"/>
    <w:rsid w:val="00187D50"/>
    <w:rsid w:val="00187E87"/>
    <w:rsid w:val="00190173"/>
    <w:rsid w:val="001909EC"/>
    <w:rsid w:val="00193F9D"/>
    <w:rsid w:val="00194B97"/>
    <w:rsid w:val="0019666C"/>
    <w:rsid w:val="00197620"/>
    <w:rsid w:val="00197FAD"/>
    <w:rsid w:val="001A0074"/>
    <w:rsid w:val="001A0977"/>
    <w:rsid w:val="001A110A"/>
    <w:rsid w:val="001A1704"/>
    <w:rsid w:val="001A278B"/>
    <w:rsid w:val="001A3566"/>
    <w:rsid w:val="001A3587"/>
    <w:rsid w:val="001A3EF1"/>
    <w:rsid w:val="001A5E18"/>
    <w:rsid w:val="001A63FE"/>
    <w:rsid w:val="001A6663"/>
    <w:rsid w:val="001A75A3"/>
    <w:rsid w:val="001A7BFE"/>
    <w:rsid w:val="001A7D12"/>
    <w:rsid w:val="001B02CF"/>
    <w:rsid w:val="001B07B6"/>
    <w:rsid w:val="001B0807"/>
    <w:rsid w:val="001B0984"/>
    <w:rsid w:val="001B16F3"/>
    <w:rsid w:val="001B25E0"/>
    <w:rsid w:val="001B2CF6"/>
    <w:rsid w:val="001B351E"/>
    <w:rsid w:val="001B36EE"/>
    <w:rsid w:val="001B3FEB"/>
    <w:rsid w:val="001B44F9"/>
    <w:rsid w:val="001B4F20"/>
    <w:rsid w:val="001B6A3C"/>
    <w:rsid w:val="001B7180"/>
    <w:rsid w:val="001B72D8"/>
    <w:rsid w:val="001C09BD"/>
    <w:rsid w:val="001C0D4C"/>
    <w:rsid w:val="001C1066"/>
    <w:rsid w:val="001C111A"/>
    <w:rsid w:val="001C13D5"/>
    <w:rsid w:val="001C20E7"/>
    <w:rsid w:val="001C353E"/>
    <w:rsid w:val="001C3CB1"/>
    <w:rsid w:val="001C3EDC"/>
    <w:rsid w:val="001C3F2C"/>
    <w:rsid w:val="001C41EA"/>
    <w:rsid w:val="001C4E22"/>
    <w:rsid w:val="001C576E"/>
    <w:rsid w:val="001C5A1E"/>
    <w:rsid w:val="001C6F6A"/>
    <w:rsid w:val="001C72B8"/>
    <w:rsid w:val="001C73B5"/>
    <w:rsid w:val="001D0765"/>
    <w:rsid w:val="001D092B"/>
    <w:rsid w:val="001D09DB"/>
    <w:rsid w:val="001D0B44"/>
    <w:rsid w:val="001D0C92"/>
    <w:rsid w:val="001D17B2"/>
    <w:rsid w:val="001D1AA6"/>
    <w:rsid w:val="001D1C2C"/>
    <w:rsid w:val="001D286D"/>
    <w:rsid w:val="001D2A76"/>
    <w:rsid w:val="001D2D1E"/>
    <w:rsid w:val="001D3166"/>
    <w:rsid w:val="001D4503"/>
    <w:rsid w:val="001D494D"/>
    <w:rsid w:val="001D60FE"/>
    <w:rsid w:val="001D62E3"/>
    <w:rsid w:val="001D70B9"/>
    <w:rsid w:val="001D7AD1"/>
    <w:rsid w:val="001D7C37"/>
    <w:rsid w:val="001E02A1"/>
    <w:rsid w:val="001E0407"/>
    <w:rsid w:val="001E0554"/>
    <w:rsid w:val="001E08BA"/>
    <w:rsid w:val="001E297D"/>
    <w:rsid w:val="001E32A0"/>
    <w:rsid w:val="001E3678"/>
    <w:rsid w:val="001E3855"/>
    <w:rsid w:val="001E411C"/>
    <w:rsid w:val="001E43EF"/>
    <w:rsid w:val="001E471E"/>
    <w:rsid w:val="001E47B8"/>
    <w:rsid w:val="001E5012"/>
    <w:rsid w:val="001E507D"/>
    <w:rsid w:val="001E5C50"/>
    <w:rsid w:val="001E5E37"/>
    <w:rsid w:val="001E643E"/>
    <w:rsid w:val="001E6F8C"/>
    <w:rsid w:val="001E729D"/>
    <w:rsid w:val="001E750A"/>
    <w:rsid w:val="001F028E"/>
    <w:rsid w:val="001F0AF4"/>
    <w:rsid w:val="001F243D"/>
    <w:rsid w:val="001F26F6"/>
    <w:rsid w:val="001F2DDF"/>
    <w:rsid w:val="001F3215"/>
    <w:rsid w:val="001F33AD"/>
    <w:rsid w:val="001F33E8"/>
    <w:rsid w:val="001F3F1F"/>
    <w:rsid w:val="001F4069"/>
    <w:rsid w:val="001F474F"/>
    <w:rsid w:val="001F47DC"/>
    <w:rsid w:val="001F4A2A"/>
    <w:rsid w:val="001F4B9D"/>
    <w:rsid w:val="001F4EFA"/>
    <w:rsid w:val="001F63AA"/>
    <w:rsid w:val="001F6675"/>
    <w:rsid w:val="001F6DA0"/>
    <w:rsid w:val="001F738A"/>
    <w:rsid w:val="001F78A1"/>
    <w:rsid w:val="001F7C59"/>
    <w:rsid w:val="00200ABA"/>
    <w:rsid w:val="00200B5F"/>
    <w:rsid w:val="00200E38"/>
    <w:rsid w:val="002013EB"/>
    <w:rsid w:val="00202349"/>
    <w:rsid w:val="002024BF"/>
    <w:rsid w:val="0020319C"/>
    <w:rsid w:val="002032CA"/>
    <w:rsid w:val="00203D8F"/>
    <w:rsid w:val="00203F6F"/>
    <w:rsid w:val="00204248"/>
    <w:rsid w:val="00204453"/>
    <w:rsid w:val="002049B2"/>
    <w:rsid w:val="002056B1"/>
    <w:rsid w:val="00205A59"/>
    <w:rsid w:val="00205BD0"/>
    <w:rsid w:val="0020664F"/>
    <w:rsid w:val="00206C82"/>
    <w:rsid w:val="00207026"/>
    <w:rsid w:val="00207CF5"/>
    <w:rsid w:val="00210530"/>
    <w:rsid w:val="0021097F"/>
    <w:rsid w:val="00212A48"/>
    <w:rsid w:val="00212A63"/>
    <w:rsid w:val="002135C7"/>
    <w:rsid w:val="002146DC"/>
    <w:rsid w:val="002149D5"/>
    <w:rsid w:val="00214D9C"/>
    <w:rsid w:val="002152A2"/>
    <w:rsid w:val="00215536"/>
    <w:rsid w:val="00215E3B"/>
    <w:rsid w:val="002160E0"/>
    <w:rsid w:val="00216B4F"/>
    <w:rsid w:val="00216BE3"/>
    <w:rsid w:val="00217724"/>
    <w:rsid w:val="002203AF"/>
    <w:rsid w:val="002203BE"/>
    <w:rsid w:val="00220B38"/>
    <w:rsid w:val="0022184B"/>
    <w:rsid w:val="002218A9"/>
    <w:rsid w:val="00221BE9"/>
    <w:rsid w:val="00221CBE"/>
    <w:rsid w:val="002239BA"/>
    <w:rsid w:val="002257C7"/>
    <w:rsid w:val="0022587C"/>
    <w:rsid w:val="00225972"/>
    <w:rsid w:val="002263B6"/>
    <w:rsid w:val="00226519"/>
    <w:rsid w:val="002267F9"/>
    <w:rsid w:val="002270F9"/>
    <w:rsid w:val="00227978"/>
    <w:rsid w:val="00227E01"/>
    <w:rsid w:val="00230551"/>
    <w:rsid w:val="002315C5"/>
    <w:rsid w:val="002322BE"/>
    <w:rsid w:val="00233069"/>
    <w:rsid w:val="00233FBB"/>
    <w:rsid w:val="0023408A"/>
    <w:rsid w:val="00234335"/>
    <w:rsid w:val="002346B6"/>
    <w:rsid w:val="00234F71"/>
    <w:rsid w:val="0023539C"/>
    <w:rsid w:val="00235556"/>
    <w:rsid w:val="002355EB"/>
    <w:rsid w:val="00235B48"/>
    <w:rsid w:val="00236855"/>
    <w:rsid w:val="00236AEC"/>
    <w:rsid w:val="00237299"/>
    <w:rsid w:val="00237725"/>
    <w:rsid w:val="00237F2E"/>
    <w:rsid w:val="0024052C"/>
    <w:rsid w:val="002417F7"/>
    <w:rsid w:val="00241D62"/>
    <w:rsid w:val="00241D7A"/>
    <w:rsid w:val="00241DE3"/>
    <w:rsid w:val="00241F8F"/>
    <w:rsid w:val="00241FA0"/>
    <w:rsid w:val="00242A7E"/>
    <w:rsid w:val="00242E92"/>
    <w:rsid w:val="002435BF"/>
    <w:rsid w:val="00243AFA"/>
    <w:rsid w:val="002449E9"/>
    <w:rsid w:val="00244E5E"/>
    <w:rsid w:val="0024534B"/>
    <w:rsid w:val="002457AA"/>
    <w:rsid w:val="00245C71"/>
    <w:rsid w:val="0024659B"/>
    <w:rsid w:val="00246929"/>
    <w:rsid w:val="002473A1"/>
    <w:rsid w:val="002473EF"/>
    <w:rsid w:val="0025012C"/>
    <w:rsid w:val="00250244"/>
    <w:rsid w:val="002502BF"/>
    <w:rsid w:val="00250620"/>
    <w:rsid w:val="00250C9F"/>
    <w:rsid w:val="0025192B"/>
    <w:rsid w:val="0025267B"/>
    <w:rsid w:val="002529ED"/>
    <w:rsid w:val="00252BD0"/>
    <w:rsid w:val="002544D2"/>
    <w:rsid w:val="00254A27"/>
    <w:rsid w:val="00254C71"/>
    <w:rsid w:val="00254CA5"/>
    <w:rsid w:val="00254F58"/>
    <w:rsid w:val="00255553"/>
    <w:rsid w:val="00255BFC"/>
    <w:rsid w:val="00256320"/>
    <w:rsid w:val="00256F64"/>
    <w:rsid w:val="002575AB"/>
    <w:rsid w:val="002579E3"/>
    <w:rsid w:val="00257E7E"/>
    <w:rsid w:val="00260768"/>
    <w:rsid w:val="002609A0"/>
    <w:rsid w:val="00260C06"/>
    <w:rsid w:val="00260DC3"/>
    <w:rsid w:val="00261A34"/>
    <w:rsid w:val="00261F60"/>
    <w:rsid w:val="00262E11"/>
    <w:rsid w:val="002634DC"/>
    <w:rsid w:val="00263A45"/>
    <w:rsid w:val="00264230"/>
    <w:rsid w:val="002647B9"/>
    <w:rsid w:val="00264F54"/>
    <w:rsid w:val="00265200"/>
    <w:rsid w:val="00265206"/>
    <w:rsid w:val="00265292"/>
    <w:rsid w:val="00266EE8"/>
    <w:rsid w:val="00270341"/>
    <w:rsid w:val="00270CD4"/>
    <w:rsid w:val="00271353"/>
    <w:rsid w:val="00271A25"/>
    <w:rsid w:val="00272B37"/>
    <w:rsid w:val="00272E37"/>
    <w:rsid w:val="00272E53"/>
    <w:rsid w:val="0027316E"/>
    <w:rsid w:val="002731FA"/>
    <w:rsid w:val="00273364"/>
    <w:rsid w:val="0027392B"/>
    <w:rsid w:val="00273C21"/>
    <w:rsid w:val="002743C4"/>
    <w:rsid w:val="00274A9F"/>
    <w:rsid w:val="00275131"/>
    <w:rsid w:val="00275499"/>
    <w:rsid w:val="00275618"/>
    <w:rsid w:val="00276444"/>
    <w:rsid w:val="00276826"/>
    <w:rsid w:val="00276B02"/>
    <w:rsid w:val="00276F19"/>
    <w:rsid w:val="00277097"/>
    <w:rsid w:val="002770D2"/>
    <w:rsid w:val="002774BF"/>
    <w:rsid w:val="00281DF8"/>
    <w:rsid w:val="00282408"/>
    <w:rsid w:val="0028263A"/>
    <w:rsid w:val="002831FC"/>
    <w:rsid w:val="002845AC"/>
    <w:rsid w:val="00285240"/>
    <w:rsid w:val="00286D81"/>
    <w:rsid w:val="00286F48"/>
    <w:rsid w:val="00287117"/>
    <w:rsid w:val="002879FE"/>
    <w:rsid w:val="00287B94"/>
    <w:rsid w:val="00287CDE"/>
    <w:rsid w:val="00287E09"/>
    <w:rsid w:val="002904AF"/>
    <w:rsid w:val="00290FB8"/>
    <w:rsid w:val="002910D9"/>
    <w:rsid w:val="00291105"/>
    <w:rsid w:val="00291364"/>
    <w:rsid w:val="002949FD"/>
    <w:rsid w:val="002954D1"/>
    <w:rsid w:val="00295872"/>
    <w:rsid w:val="00295917"/>
    <w:rsid w:val="002967A3"/>
    <w:rsid w:val="002967C1"/>
    <w:rsid w:val="00296A2C"/>
    <w:rsid w:val="00296E76"/>
    <w:rsid w:val="00297098"/>
    <w:rsid w:val="0029712D"/>
    <w:rsid w:val="002A1186"/>
    <w:rsid w:val="002A1447"/>
    <w:rsid w:val="002A1B9F"/>
    <w:rsid w:val="002A22DE"/>
    <w:rsid w:val="002A23FB"/>
    <w:rsid w:val="002A35C6"/>
    <w:rsid w:val="002A395F"/>
    <w:rsid w:val="002A4C21"/>
    <w:rsid w:val="002A54B4"/>
    <w:rsid w:val="002A5772"/>
    <w:rsid w:val="002A586E"/>
    <w:rsid w:val="002A5B13"/>
    <w:rsid w:val="002A5D61"/>
    <w:rsid w:val="002A5F56"/>
    <w:rsid w:val="002A642D"/>
    <w:rsid w:val="002A67A9"/>
    <w:rsid w:val="002A6AAB"/>
    <w:rsid w:val="002A7AEF"/>
    <w:rsid w:val="002B0330"/>
    <w:rsid w:val="002B123C"/>
    <w:rsid w:val="002B1962"/>
    <w:rsid w:val="002B207D"/>
    <w:rsid w:val="002B258A"/>
    <w:rsid w:val="002B345F"/>
    <w:rsid w:val="002B3472"/>
    <w:rsid w:val="002B3B0F"/>
    <w:rsid w:val="002B4B19"/>
    <w:rsid w:val="002B4F64"/>
    <w:rsid w:val="002B6142"/>
    <w:rsid w:val="002B6211"/>
    <w:rsid w:val="002B686B"/>
    <w:rsid w:val="002B686C"/>
    <w:rsid w:val="002B7512"/>
    <w:rsid w:val="002B789A"/>
    <w:rsid w:val="002B7C82"/>
    <w:rsid w:val="002C0221"/>
    <w:rsid w:val="002C05D0"/>
    <w:rsid w:val="002C0961"/>
    <w:rsid w:val="002C1320"/>
    <w:rsid w:val="002C2D16"/>
    <w:rsid w:val="002C3399"/>
    <w:rsid w:val="002C6BDF"/>
    <w:rsid w:val="002C7589"/>
    <w:rsid w:val="002C75B0"/>
    <w:rsid w:val="002C78B2"/>
    <w:rsid w:val="002D0BF6"/>
    <w:rsid w:val="002D2DA0"/>
    <w:rsid w:val="002D32FC"/>
    <w:rsid w:val="002D3658"/>
    <w:rsid w:val="002D48BE"/>
    <w:rsid w:val="002D4C08"/>
    <w:rsid w:val="002D53AE"/>
    <w:rsid w:val="002D54E7"/>
    <w:rsid w:val="002D55B0"/>
    <w:rsid w:val="002D5AD5"/>
    <w:rsid w:val="002D5CE9"/>
    <w:rsid w:val="002D5FB0"/>
    <w:rsid w:val="002D6760"/>
    <w:rsid w:val="002D6913"/>
    <w:rsid w:val="002D6A90"/>
    <w:rsid w:val="002D6B50"/>
    <w:rsid w:val="002D6E29"/>
    <w:rsid w:val="002D77A2"/>
    <w:rsid w:val="002D7FDC"/>
    <w:rsid w:val="002E028F"/>
    <w:rsid w:val="002E1CFE"/>
    <w:rsid w:val="002E1F83"/>
    <w:rsid w:val="002E1F99"/>
    <w:rsid w:val="002E202B"/>
    <w:rsid w:val="002E3B8E"/>
    <w:rsid w:val="002E3F99"/>
    <w:rsid w:val="002E402E"/>
    <w:rsid w:val="002E4A1D"/>
    <w:rsid w:val="002E4EE1"/>
    <w:rsid w:val="002E538D"/>
    <w:rsid w:val="002E5454"/>
    <w:rsid w:val="002E6E58"/>
    <w:rsid w:val="002E6E74"/>
    <w:rsid w:val="002E7154"/>
    <w:rsid w:val="002F00F5"/>
    <w:rsid w:val="002F06B0"/>
    <w:rsid w:val="002F0CF8"/>
    <w:rsid w:val="002F0E74"/>
    <w:rsid w:val="002F1CDB"/>
    <w:rsid w:val="002F1DBB"/>
    <w:rsid w:val="002F275E"/>
    <w:rsid w:val="002F2CA4"/>
    <w:rsid w:val="002F3019"/>
    <w:rsid w:val="002F34CC"/>
    <w:rsid w:val="002F3A7B"/>
    <w:rsid w:val="002F3B4F"/>
    <w:rsid w:val="002F3FF6"/>
    <w:rsid w:val="002F4807"/>
    <w:rsid w:val="002F4FA0"/>
    <w:rsid w:val="002F54C3"/>
    <w:rsid w:val="002F6407"/>
    <w:rsid w:val="002F65C2"/>
    <w:rsid w:val="002F669D"/>
    <w:rsid w:val="002F7FEB"/>
    <w:rsid w:val="003000B6"/>
    <w:rsid w:val="00300AFC"/>
    <w:rsid w:val="00301068"/>
    <w:rsid w:val="00302126"/>
    <w:rsid w:val="00302DE5"/>
    <w:rsid w:val="00302EF1"/>
    <w:rsid w:val="00302F4C"/>
    <w:rsid w:val="003034CF"/>
    <w:rsid w:val="003035AD"/>
    <w:rsid w:val="003041EA"/>
    <w:rsid w:val="00305488"/>
    <w:rsid w:val="00305E97"/>
    <w:rsid w:val="003061DB"/>
    <w:rsid w:val="00306B0E"/>
    <w:rsid w:val="00307930"/>
    <w:rsid w:val="00307E17"/>
    <w:rsid w:val="00310131"/>
    <w:rsid w:val="00310811"/>
    <w:rsid w:val="0031087F"/>
    <w:rsid w:val="0031099E"/>
    <w:rsid w:val="003118A7"/>
    <w:rsid w:val="00311B75"/>
    <w:rsid w:val="0031258A"/>
    <w:rsid w:val="00312DB2"/>
    <w:rsid w:val="003134A1"/>
    <w:rsid w:val="00314DF5"/>
    <w:rsid w:val="0031516B"/>
    <w:rsid w:val="003155C2"/>
    <w:rsid w:val="00315885"/>
    <w:rsid w:val="003169D1"/>
    <w:rsid w:val="00316B95"/>
    <w:rsid w:val="00317042"/>
    <w:rsid w:val="003172E9"/>
    <w:rsid w:val="00317C01"/>
    <w:rsid w:val="00317FC7"/>
    <w:rsid w:val="00320484"/>
    <w:rsid w:val="0032109E"/>
    <w:rsid w:val="00321349"/>
    <w:rsid w:val="00321577"/>
    <w:rsid w:val="00321AF0"/>
    <w:rsid w:val="00321B89"/>
    <w:rsid w:val="00321BDB"/>
    <w:rsid w:val="00325C22"/>
    <w:rsid w:val="00325D68"/>
    <w:rsid w:val="00325DEE"/>
    <w:rsid w:val="00326191"/>
    <w:rsid w:val="0032621C"/>
    <w:rsid w:val="003264A7"/>
    <w:rsid w:val="00330321"/>
    <w:rsid w:val="003308C7"/>
    <w:rsid w:val="00330960"/>
    <w:rsid w:val="00330FC1"/>
    <w:rsid w:val="00331A48"/>
    <w:rsid w:val="00331F3B"/>
    <w:rsid w:val="00332075"/>
    <w:rsid w:val="00332DA2"/>
    <w:rsid w:val="00333185"/>
    <w:rsid w:val="003334A3"/>
    <w:rsid w:val="00333FE2"/>
    <w:rsid w:val="003356CE"/>
    <w:rsid w:val="003356F4"/>
    <w:rsid w:val="00335B97"/>
    <w:rsid w:val="003362D5"/>
    <w:rsid w:val="003365BF"/>
    <w:rsid w:val="00336E07"/>
    <w:rsid w:val="003407B7"/>
    <w:rsid w:val="00340F28"/>
    <w:rsid w:val="00341301"/>
    <w:rsid w:val="003413A5"/>
    <w:rsid w:val="0034201B"/>
    <w:rsid w:val="00342960"/>
    <w:rsid w:val="00342EBA"/>
    <w:rsid w:val="00343417"/>
    <w:rsid w:val="00343457"/>
    <w:rsid w:val="00343B6C"/>
    <w:rsid w:val="00343FD1"/>
    <w:rsid w:val="00344F32"/>
    <w:rsid w:val="0034691B"/>
    <w:rsid w:val="00347016"/>
    <w:rsid w:val="0034704E"/>
    <w:rsid w:val="003474F0"/>
    <w:rsid w:val="00347E88"/>
    <w:rsid w:val="003508DC"/>
    <w:rsid w:val="0035123C"/>
    <w:rsid w:val="00353E4C"/>
    <w:rsid w:val="00354463"/>
    <w:rsid w:val="0035449F"/>
    <w:rsid w:val="00354D09"/>
    <w:rsid w:val="0035516F"/>
    <w:rsid w:val="00356011"/>
    <w:rsid w:val="003564EF"/>
    <w:rsid w:val="00357233"/>
    <w:rsid w:val="00360594"/>
    <w:rsid w:val="00362758"/>
    <w:rsid w:val="00362A76"/>
    <w:rsid w:val="003631EE"/>
    <w:rsid w:val="003632D9"/>
    <w:rsid w:val="00363902"/>
    <w:rsid w:val="00363C45"/>
    <w:rsid w:val="003642E3"/>
    <w:rsid w:val="003646C3"/>
    <w:rsid w:val="003653F7"/>
    <w:rsid w:val="00365695"/>
    <w:rsid w:val="00366DF7"/>
    <w:rsid w:val="00366E31"/>
    <w:rsid w:val="003670BB"/>
    <w:rsid w:val="00367221"/>
    <w:rsid w:val="0036780D"/>
    <w:rsid w:val="00367A65"/>
    <w:rsid w:val="003702A6"/>
    <w:rsid w:val="00370619"/>
    <w:rsid w:val="00370875"/>
    <w:rsid w:val="00371CE9"/>
    <w:rsid w:val="00372FA8"/>
    <w:rsid w:val="003740AC"/>
    <w:rsid w:val="003742DC"/>
    <w:rsid w:val="0037484F"/>
    <w:rsid w:val="00374CC4"/>
    <w:rsid w:val="00374D89"/>
    <w:rsid w:val="00376CC6"/>
    <w:rsid w:val="00376CD5"/>
    <w:rsid w:val="00376CFE"/>
    <w:rsid w:val="00376D5D"/>
    <w:rsid w:val="00377A85"/>
    <w:rsid w:val="00380D4D"/>
    <w:rsid w:val="00380F55"/>
    <w:rsid w:val="00381145"/>
    <w:rsid w:val="00381207"/>
    <w:rsid w:val="003813F5"/>
    <w:rsid w:val="003817FE"/>
    <w:rsid w:val="00381981"/>
    <w:rsid w:val="003821A8"/>
    <w:rsid w:val="00383E03"/>
    <w:rsid w:val="003848B5"/>
    <w:rsid w:val="00385208"/>
    <w:rsid w:val="00385215"/>
    <w:rsid w:val="003855C0"/>
    <w:rsid w:val="00386D00"/>
    <w:rsid w:val="0038794D"/>
    <w:rsid w:val="003904F0"/>
    <w:rsid w:val="00390FF4"/>
    <w:rsid w:val="00392282"/>
    <w:rsid w:val="00392D4F"/>
    <w:rsid w:val="003940E8"/>
    <w:rsid w:val="003946B6"/>
    <w:rsid w:val="00394E85"/>
    <w:rsid w:val="00395026"/>
    <w:rsid w:val="003951D3"/>
    <w:rsid w:val="00395267"/>
    <w:rsid w:val="003952C4"/>
    <w:rsid w:val="00395CB2"/>
    <w:rsid w:val="00395D5F"/>
    <w:rsid w:val="00395DF4"/>
    <w:rsid w:val="00396BDB"/>
    <w:rsid w:val="0039784E"/>
    <w:rsid w:val="00397EB0"/>
    <w:rsid w:val="003A00AF"/>
    <w:rsid w:val="003A08CE"/>
    <w:rsid w:val="003A0DB6"/>
    <w:rsid w:val="003A0E7B"/>
    <w:rsid w:val="003A16EB"/>
    <w:rsid w:val="003A1DB2"/>
    <w:rsid w:val="003A2454"/>
    <w:rsid w:val="003A3076"/>
    <w:rsid w:val="003A35A1"/>
    <w:rsid w:val="003A3C14"/>
    <w:rsid w:val="003A432E"/>
    <w:rsid w:val="003A43D0"/>
    <w:rsid w:val="003A4DAD"/>
    <w:rsid w:val="003A4FDF"/>
    <w:rsid w:val="003A53F8"/>
    <w:rsid w:val="003A6669"/>
    <w:rsid w:val="003A6A04"/>
    <w:rsid w:val="003A6B5C"/>
    <w:rsid w:val="003B0439"/>
    <w:rsid w:val="003B0869"/>
    <w:rsid w:val="003B0EBA"/>
    <w:rsid w:val="003B12F7"/>
    <w:rsid w:val="003B14BC"/>
    <w:rsid w:val="003B1725"/>
    <w:rsid w:val="003B2009"/>
    <w:rsid w:val="003B2041"/>
    <w:rsid w:val="003B269A"/>
    <w:rsid w:val="003B28A7"/>
    <w:rsid w:val="003B335C"/>
    <w:rsid w:val="003B3EBC"/>
    <w:rsid w:val="003B4047"/>
    <w:rsid w:val="003B4EA0"/>
    <w:rsid w:val="003B6EF7"/>
    <w:rsid w:val="003B79DF"/>
    <w:rsid w:val="003B7A21"/>
    <w:rsid w:val="003C07AC"/>
    <w:rsid w:val="003C0B57"/>
    <w:rsid w:val="003C0FE6"/>
    <w:rsid w:val="003C19B1"/>
    <w:rsid w:val="003C20C4"/>
    <w:rsid w:val="003C3496"/>
    <w:rsid w:val="003C399B"/>
    <w:rsid w:val="003C3B94"/>
    <w:rsid w:val="003C3E42"/>
    <w:rsid w:val="003C4306"/>
    <w:rsid w:val="003C43AA"/>
    <w:rsid w:val="003C43DE"/>
    <w:rsid w:val="003C4C07"/>
    <w:rsid w:val="003C5306"/>
    <w:rsid w:val="003C62FE"/>
    <w:rsid w:val="003C65F4"/>
    <w:rsid w:val="003C74BC"/>
    <w:rsid w:val="003C75FF"/>
    <w:rsid w:val="003C7BEF"/>
    <w:rsid w:val="003D0497"/>
    <w:rsid w:val="003D0BC6"/>
    <w:rsid w:val="003D1789"/>
    <w:rsid w:val="003D3305"/>
    <w:rsid w:val="003D351C"/>
    <w:rsid w:val="003D36C4"/>
    <w:rsid w:val="003D396A"/>
    <w:rsid w:val="003D3DF4"/>
    <w:rsid w:val="003D4C2B"/>
    <w:rsid w:val="003D66C9"/>
    <w:rsid w:val="003D733D"/>
    <w:rsid w:val="003D7A21"/>
    <w:rsid w:val="003D7A89"/>
    <w:rsid w:val="003D7C3F"/>
    <w:rsid w:val="003D7C6B"/>
    <w:rsid w:val="003D7D56"/>
    <w:rsid w:val="003E00FD"/>
    <w:rsid w:val="003E0987"/>
    <w:rsid w:val="003E1352"/>
    <w:rsid w:val="003E1568"/>
    <w:rsid w:val="003E32A3"/>
    <w:rsid w:val="003E3526"/>
    <w:rsid w:val="003E56AF"/>
    <w:rsid w:val="003E73EE"/>
    <w:rsid w:val="003E74A6"/>
    <w:rsid w:val="003E7DAD"/>
    <w:rsid w:val="003F047F"/>
    <w:rsid w:val="003F212A"/>
    <w:rsid w:val="003F2E53"/>
    <w:rsid w:val="003F2F03"/>
    <w:rsid w:val="003F46A0"/>
    <w:rsid w:val="003F4EE4"/>
    <w:rsid w:val="003F56B8"/>
    <w:rsid w:val="003F5C70"/>
    <w:rsid w:val="003F6A8B"/>
    <w:rsid w:val="003F6BD4"/>
    <w:rsid w:val="00400430"/>
    <w:rsid w:val="004005AF"/>
    <w:rsid w:val="004014DB"/>
    <w:rsid w:val="004018BA"/>
    <w:rsid w:val="00401ECD"/>
    <w:rsid w:val="00401F42"/>
    <w:rsid w:val="0040275F"/>
    <w:rsid w:val="004029C9"/>
    <w:rsid w:val="00403CA8"/>
    <w:rsid w:val="00404EAA"/>
    <w:rsid w:val="00405189"/>
    <w:rsid w:val="0040530F"/>
    <w:rsid w:val="004053A6"/>
    <w:rsid w:val="004059E0"/>
    <w:rsid w:val="00405BA5"/>
    <w:rsid w:val="004066B4"/>
    <w:rsid w:val="004068D7"/>
    <w:rsid w:val="00406A84"/>
    <w:rsid w:val="00406FB4"/>
    <w:rsid w:val="00407104"/>
    <w:rsid w:val="0040715C"/>
    <w:rsid w:val="00407493"/>
    <w:rsid w:val="00407554"/>
    <w:rsid w:val="00407597"/>
    <w:rsid w:val="00407E60"/>
    <w:rsid w:val="00407F10"/>
    <w:rsid w:val="0041086E"/>
    <w:rsid w:val="004126E0"/>
    <w:rsid w:val="00412E14"/>
    <w:rsid w:val="00413460"/>
    <w:rsid w:val="004134D9"/>
    <w:rsid w:val="004134E4"/>
    <w:rsid w:val="0041388D"/>
    <w:rsid w:val="00413DD7"/>
    <w:rsid w:val="004152BB"/>
    <w:rsid w:val="004159A1"/>
    <w:rsid w:val="004168EA"/>
    <w:rsid w:val="00416D6B"/>
    <w:rsid w:val="00417DC1"/>
    <w:rsid w:val="00420E5F"/>
    <w:rsid w:val="00422587"/>
    <w:rsid w:val="00423F9A"/>
    <w:rsid w:val="00424EF7"/>
    <w:rsid w:val="00425912"/>
    <w:rsid w:val="004259E7"/>
    <w:rsid w:val="00426581"/>
    <w:rsid w:val="00426727"/>
    <w:rsid w:val="0042783B"/>
    <w:rsid w:val="00430979"/>
    <w:rsid w:val="00430C94"/>
    <w:rsid w:val="00431580"/>
    <w:rsid w:val="00431BC8"/>
    <w:rsid w:val="00431EB4"/>
    <w:rsid w:val="00431F0A"/>
    <w:rsid w:val="00432379"/>
    <w:rsid w:val="004334B9"/>
    <w:rsid w:val="004337D3"/>
    <w:rsid w:val="00433B97"/>
    <w:rsid w:val="0043417B"/>
    <w:rsid w:val="00434589"/>
    <w:rsid w:val="00434703"/>
    <w:rsid w:val="00434B26"/>
    <w:rsid w:val="0043598B"/>
    <w:rsid w:val="004364AB"/>
    <w:rsid w:val="0043674F"/>
    <w:rsid w:val="00437184"/>
    <w:rsid w:val="00440441"/>
    <w:rsid w:val="00440948"/>
    <w:rsid w:val="00440A6E"/>
    <w:rsid w:val="00440E18"/>
    <w:rsid w:val="00441BD4"/>
    <w:rsid w:val="00442A63"/>
    <w:rsid w:val="00442B9A"/>
    <w:rsid w:val="00443BC2"/>
    <w:rsid w:val="00443EC1"/>
    <w:rsid w:val="004444B0"/>
    <w:rsid w:val="00444DA8"/>
    <w:rsid w:val="004456F3"/>
    <w:rsid w:val="00445F70"/>
    <w:rsid w:val="004461C6"/>
    <w:rsid w:val="0044687C"/>
    <w:rsid w:val="004468D6"/>
    <w:rsid w:val="004477F1"/>
    <w:rsid w:val="00447E5A"/>
    <w:rsid w:val="00447F21"/>
    <w:rsid w:val="00447F7F"/>
    <w:rsid w:val="0045006E"/>
    <w:rsid w:val="0045030D"/>
    <w:rsid w:val="0045078D"/>
    <w:rsid w:val="00450BEA"/>
    <w:rsid w:val="00450EF0"/>
    <w:rsid w:val="004510A0"/>
    <w:rsid w:val="004513AD"/>
    <w:rsid w:val="0045158F"/>
    <w:rsid w:val="00451E14"/>
    <w:rsid w:val="00452717"/>
    <w:rsid w:val="00452FB3"/>
    <w:rsid w:val="00453E24"/>
    <w:rsid w:val="004550EB"/>
    <w:rsid w:val="00455FE1"/>
    <w:rsid w:val="00456898"/>
    <w:rsid w:val="004569A5"/>
    <w:rsid w:val="004569FA"/>
    <w:rsid w:val="00456BFF"/>
    <w:rsid w:val="00456F6D"/>
    <w:rsid w:val="00457230"/>
    <w:rsid w:val="004577BE"/>
    <w:rsid w:val="00457D2C"/>
    <w:rsid w:val="00457EA6"/>
    <w:rsid w:val="00460105"/>
    <w:rsid w:val="004605BC"/>
    <w:rsid w:val="00460BEB"/>
    <w:rsid w:val="004614E8"/>
    <w:rsid w:val="0046182D"/>
    <w:rsid w:val="00461F02"/>
    <w:rsid w:val="00462987"/>
    <w:rsid w:val="00462C59"/>
    <w:rsid w:val="00464F36"/>
    <w:rsid w:val="00465991"/>
    <w:rsid w:val="00465FC4"/>
    <w:rsid w:val="00466857"/>
    <w:rsid w:val="00467389"/>
    <w:rsid w:val="004676C1"/>
    <w:rsid w:val="00467BD3"/>
    <w:rsid w:val="00467C95"/>
    <w:rsid w:val="00467ED4"/>
    <w:rsid w:val="004704B0"/>
    <w:rsid w:val="0047224F"/>
    <w:rsid w:val="00472DC2"/>
    <w:rsid w:val="00472FC6"/>
    <w:rsid w:val="004731F2"/>
    <w:rsid w:val="00475F97"/>
    <w:rsid w:val="00476641"/>
    <w:rsid w:val="00476830"/>
    <w:rsid w:val="00476E3B"/>
    <w:rsid w:val="00476F7C"/>
    <w:rsid w:val="00477621"/>
    <w:rsid w:val="00477E5F"/>
    <w:rsid w:val="004809A6"/>
    <w:rsid w:val="00480C98"/>
    <w:rsid w:val="00481542"/>
    <w:rsid w:val="00482531"/>
    <w:rsid w:val="00482BC7"/>
    <w:rsid w:val="00482E2E"/>
    <w:rsid w:val="00482FCB"/>
    <w:rsid w:val="00483231"/>
    <w:rsid w:val="0048402F"/>
    <w:rsid w:val="00484387"/>
    <w:rsid w:val="00484821"/>
    <w:rsid w:val="00485818"/>
    <w:rsid w:val="004868BE"/>
    <w:rsid w:val="00486DA0"/>
    <w:rsid w:val="00487199"/>
    <w:rsid w:val="00487335"/>
    <w:rsid w:val="00490E78"/>
    <w:rsid w:val="00490FD7"/>
    <w:rsid w:val="004913F0"/>
    <w:rsid w:val="00491D0A"/>
    <w:rsid w:val="00491F63"/>
    <w:rsid w:val="004925A1"/>
    <w:rsid w:val="0049360D"/>
    <w:rsid w:val="0049363D"/>
    <w:rsid w:val="00494403"/>
    <w:rsid w:val="004947AF"/>
    <w:rsid w:val="004947FD"/>
    <w:rsid w:val="004949B3"/>
    <w:rsid w:val="00494CDE"/>
    <w:rsid w:val="00495DD9"/>
    <w:rsid w:val="00495E4F"/>
    <w:rsid w:val="00496502"/>
    <w:rsid w:val="004973ED"/>
    <w:rsid w:val="00497B7B"/>
    <w:rsid w:val="00497F36"/>
    <w:rsid w:val="004A0A5E"/>
    <w:rsid w:val="004A2B4C"/>
    <w:rsid w:val="004A30FA"/>
    <w:rsid w:val="004A3FA6"/>
    <w:rsid w:val="004A4169"/>
    <w:rsid w:val="004A5441"/>
    <w:rsid w:val="004A6CAA"/>
    <w:rsid w:val="004A6CF5"/>
    <w:rsid w:val="004A6F71"/>
    <w:rsid w:val="004A765F"/>
    <w:rsid w:val="004A7BA9"/>
    <w:rsid w:val="004B05EE"/>
    <w:rsid w:val="004B0E85"/>
    <w:rsid w:val="004B1425"/>
    <w:rsid w:val="004B169F"/>
    <w:rsid w:val="004B1C8F"/>
    <w:rsid w:val="004B1F8C"/>
    <w:rsid w:val="004B26C9"/>
    <w:rsid w:val="004B372F"/>
    <w:rsid w:val="004B4BEE"/>
    <w:rsid w:val="004B53BA"/>
    <w:rsid w:val="004B5454"/>
    <w:rsid w:val="004B6185"/>
    <w:rsid w:val="004B61B8"/>
    <w:rsid w:val="004B6DAB"/>
    <w:rsid w:val="004B7539"/>
    <w:rsid w:val="004C13CC"/>
    <w:rsid w:val="004C1D2D"/>
    <w:rsid w:val="004C1D7D"/>
    <w:rsid w:val="004C3350"/>
    <w:rsid w:val="004C449A"/>
    <w:rsid w:val="004C49FB"/>
    <w:rsid w:val="004C523B"/>
    <w:rsid w:val="004C58D5"/>
    <w:rsid w:val="004C68E3"/>
    <w:rsid w:val="004C7334"/>
    <w:rsid w:val="004C7377"/>
    <w:rsid w:val="004C79A0"/>
    <w:rsid w:val="004D0ACF"/>
    <w:rsid w:val="004D0C63"/>
    <w:rsid w:val="004D0DFC"/>
    <w:rsid w:val="004D0EF2"/>
    <w:rsid w:val="004D140E"/>
    <w:rsid w:val="004D238A"/>
    <w:rsid w:val="004D2FAE"/>
    <w:rsid w:val="004D3CEB"/>
    <w:rsid w:val="004D4312"/>
    <w:rsid w:val="004D4DBB"/>
    <w:rsid w:val="004D50F2"/>
    <w:rsid w:val="004D59DE"/>
    <w:rsid w:val="004D5FAD"/>
    <w:rsid w:val="004D6553"/>
    <w:rsid w:val="004D6E40"/>
    <w:rsid w:val="004D72C1"/>
    <w:rsid w:val="004D7596"/>
    <w:rsid w:val="004D7FD5"/>
    <w:rsid w:val="004E17CD"/>
    <w:rsid w:val="004E3BEF"/>
    <w:rsid w:val="004E3E63"/>
    <w:rsid w:val="004E4800"/>
    <w:rsid w:val="004E53FA"/>
    <w:rsid w:val="004E53FB"/>
    <w:rsid w:val="004E58E9"/>
    <w:rsid w:val="004E6F4C"/>
    <w:rsid w:val="004E725A"/>
    <w:rsid w:val="004E7A57"/>
    <w:rsid w:val="004E7D83"/>
    <w:rsid w:val="004F034D"/>
    <w:rsid w:val="004F0457"/>
    <w:rsid w:val="004F0CEC"/>
    <w:rsid w:val="004F0E58"/>
    <w:rsid w:val="004F1A5C"/>
    <w:rsid w:val="004F2172"/>
    <w:rsid w:val="004F217B"/>
    <w:rsid w:val="004F2250"/>
    <w:rsid w:val="004F2381"/>
    <w:rsid w:val="004F25AA"/>
    <w:rsid w:val="004F36CE"/>
    <w:rsid w:val="004F3C6D"/>
    <w:rsid w:val="004F4126"/>
    <w:rsid w:val="004F5952"/>
    <w:rsid w:val="004F681E"/>
    <w:rsid w:val="004F7448"/>
    <w:rsid w:val="004F74CF"/>
    <w:rsid w:val="004F774C"/>
    <w:rsid w:val="004F790E"/>
    <w:rsid w:val="00500791"/>
    <w:rsid w:val="0050152D"/>
    <w:rsid w:val="00501CBA"/>
    <w:rsid w:val="00501EF2"/>
    <w:rsid w:val="00502BC6"/>
    <w:rsid w:val="00502E27"/>
    <w:rsid w:val="005039E8"/>
    <w:rsid w:val="00503FB5"/>
    <w:rsid w:val="0050453C"/>
    <w:rsid w:val="00504547"/>
    <w:rsid w:val="0050713B"/>
    <w:rsid w:val="005072CA"/>
    <w:rsid w:val="00507D7B"/>
    <w:rsid w:val="00510119"/>
    <w:rsid w:val="005102A4"/>
    <w:rsid w:val="0051055C"/>
    <w:rsid w:val="00512D78"/>
    <w:rsid w:val="00512DE3"/>
    <w:rsid w:val="00512E95"/>
    <w:rsid w:val="005133C6"/>
    <w:rsid w:val="00514288"/>
    <w:rsid w:val="005149F7"/>
    <w:rsid w:val="00514A8B"/>
    <w:rsid w:val="005158EE"/>
    <w:rsid w:val="00515EF4"/>
    <w:rsid w:val="00516278"/>
    <w:rsid w:val="00517B7B"/>
    <w:rsid w:val="0052042C"/>
    <w:rsid w:val="00520B1F"/>
    <w:rsid w:val="0052141C"/>
    <w:rsid w:val="0052187B"/>
    <w:rsid w:val="005218BA"/>
    <w:rsid w:val="00521B46"/>
    <w:rsid w:val="00521F6D"/>
    <w:rsid w:val="005222DD"/>
    <w:rsid w:val="005223E9"/>
    <w:rsid w:val="00524303"/>
    <w:rsid w:val="005247C1"/>
    <w:rsid w:val="00526667"/>
    <w:rsid w:val="0052716F"/>
    <w:rsid w:val="005273EB"/>
    <w:rsid w:val="00527DC0"/>
    <w:rsid w:val="00527DCD"/>
    <w:rsid w:val="00530493"/>
    <w:rsid w:val="0053069E"/>
    <w:rsid w:val="00530D1A"/>
    <w:rsid w:val="005310A7"/>
    <w:rsid w:val="0053207C"/>
    <w:rsid w:val="00532205"/>
    <w:rsid w:val="00532226"/>
    <w:rsid w:val="005326DD"/>
    <w:rsid w:val="005328B4"/>
    <w:rsid w:val="00532997"/>
    <w:rsid w:val="00532FF2"/>
    <w:rsid w:val="00533233"/>
    <w:rsid w:val="00533DD5"/>
    <w:rsid w:val="0053420D"/>
    <w:rsid w:val="00535078"/>
    <w:rsid w:val="00535623"/>
    <w:rsid w:val="00535A01"/>
    <w:rsid w:val="00535D57"/>
    <w:rsid w:val="0053721F"/>
    <w:rsid w:val="0053726B"/>
    <w:rsid w:val="00540043"/>
    <w:rsid w:val="005403A3"/>
    <w:rsid w:val="00540635"/>
    <w:rsid w:val="00541075"/>
    <w:rsid w:val="005414D7"/>
    <w:rsid w:val="00541963"/>
    <w:rsid w:val="00541C3A"/>
    <w:rsid w:val="005422AA"/>
    <w:rsid w:val="0054282A"/>
    <w:rsid w:val="0054317D"/>
    <w:rsid w:val="0054334B"/>
    <w:rsid w:val="00543682"/>
    <w:rsid w:val="00543ACC"/>
    <w:rsid w:val="00544156"/>
    <w:rsid w:val="005442A2"/>
    <w:rsid w:val="00544654"/>
    <w:rsid w:val="005449F5"/>
    <w:rsid w:val="00544A38"/>
    <w:rsid w:val="00544D9F"/>
    <w:rsid w:val="0054505A"/>
    <w:rsid w:val="00545073"/>
    <w:rsid w:val="00545638"/>
    <w:rsid w:val="00545D0C"/>
    <w:rsid w:val="005460D6"/>
    <w:rsid w:val="005469CB"/>
    <w:rsid w:val="005470A9"/>
    <w:rsid w:val="0054734D"/>
    <w:rsid w:val="00547B5F"/>
    <w:rsid w:val="00550011"/>
    <w:rsid w:val="00550B50"/>
    <w:rsid w:val="00551AC5"/>
    <w:rsid w:val="00551AEB"/>
    <w:rsid w:val="00551F10"/>
    <w:rsid w:val="00552F1B"/>
    <w:rsid w:val="00552F9A"/>
    <w:rsid w:val="005533FF"/>
    <w:rsid w:val="00553404"/>
    <w:rsid w:val="005535A4"/>
    <w:rsid w:val="00553757"/>
    <w:rsid w:val="00553DA3"/>
    <w:rsid w:val="00554F41"/>
    <w:rsid w:val="00554F9B"/>
    <w:rsid w:val="005552BD"/>
    <w:rsid w:val="00555965"/>
    <w:rsid w:val="00555EB8"/>
    <w:rsid w:val="0056125C"/>
    <w:rsid w:val="00561361"/>
    <w:rsid w:val="00561759"/>
    <w:rsid w:val="005618C8"/>
    <w:rsid w:val="005619BB"/>
    <w:rsid w:val="00561F63"/>
    <w:rsid w:val="00562EF3"/>
    <w:rsid w:val="00563C5A"/>
    <w:rsid w:val="005642C9"/>
    <w:rsid w:val="00564419"/>
    <w:rsid w:val="00564502"/>
    <w:rsid w:val="00564697"/>
    <w:rsid w:val="005647D5"/>
    <w:rsid w:val="00564C66"/>
    <w:rsid w:val="00567AAC"/>
    <w:rsid w:val="00567D13"/>
    <w:rsid w:val="00571855"/>
    <w:rsid w:val="00571E1D"/>
    <w:rsid w:val="00573E54"/>
    <w:rsid w:val="005741AA"/>
    <w:rsid w:val="00574A83"/>
    <w:rsid w:val="00575105"/>
    <w:rsid w:val="0057545C"/>
    <w:rsid w:val="00575833"/>
    <w:rsid w:val="0057584E"/>
    <w:rsid w:val="00575F19"/>
    <w:rsid w:val="00576357"/>
    <w:rsid w:val="00576763"/>
    <w:rsid w:val="00577174"/>
    <w:rsid w:val="00577A42"/>
    <w:rsid w:val="00577E49"/>
    <w:rsid w:val="005801B7"/>
    <w:rsid w:val="00581323"/>
    <w:rsid w:val="00583558"/>
    <w:rsid w:val="00583F72"/>
    <w:rsid w:val="00584073"/>
    <w:rsid w:val="0058423B"/>
    <w:rsid w:val="0058430D"/>
    <w:rsid w:val="00584AA2"/>
    <w:rsid w:val="005851AA"/>
    <w:rsid w:val="0058568A"/>
    <w:rsid w:val="0058574B"/>
    <w:rsid w:val="005857A9"/>
    <w:rsid w:val="00585A48"/>
    <w:rsid w:val="005867EC"/>
    <w:rsid w:val="0058684B"/>
    <w:rsid w:val="005868CF"/>
    <w:rsid w:val="00586E9A"/>
    <w:rsid w:val="005872D8"/>
    <w:rsid w:val="00591147"/>
    <w:rsid w:val="005923D3"/>
    <w:rsid w:val="00592582"/>
    <w:rsid w:val="00592A2D"/>
    <w:rsid w:val="00592E6E"/>
    <w:rsid w:val="00593B4E"/>
    <w:rsid w:val="00593CC9"/>
    <w:rsid w:val="00594255"/>
    <w:rsid w:val="00594501"/>
    <w:rsid w:val="00595AF5"/>
    <w:rsid w:val="00595E65"/>
    <w:rsid w:val="00596759"/>
    <w:rsid w:val="005968EB"/>
    <w:rsid w:val="0059704A"/>
    <w:rsid w:val="00597218"/>
    <w:rsid w:val="005975D4"/>
    <w:rsid w:val="0059790A"/>
    <w:rsid w:val="00597E8D"/>
    <w:rsid w:val="005A0413"/>
    <w:rsid w:val="005A0966"/>
    <w:rsid w:val="005A0DDC"/>
    <w:rsid w:val="005A1265"/>
    <w:rsid w:val="005A1E37"/>
    <w:rsid w:val="005A2044"/>
    <w:rsid w:val="005A2188"/>
    <w:rsid w:val="005A2599"/>
    <w:rsid w:val="005A4820"/>
    <w:rsid w:val="005A483A"/>
    <w:rsid w:val="005A509D"/>
    <w:rsid w:val="005A5401"/>
    <w:rsid w:val="005A6688"/>
    <w:rsid w:val="005A7EB3"/>
    <w:rsid w:val="005B1A11"/>
    <w:rsid w:val="005B1F4D"/>
    <w:rsid w:val="005B2006"/>
    <w:rsid w:val="005B272A"/>
    <w:rsid w:val="005B2831"/>
    <w:rsid w:val="005B28FA"/>
    <w:rsid w:val="005B41C8"/>
    <w:rsid w:val="005B501D"/>
    <w:rsid w:val="005B559A"/>
    <w:rsid w:val="005B5A76"/>
    <w:rsid w:val="005B6D7A"/>
    <w:rsid w:val="005B6F66"/>
    <w:rsid w:val="005B7359"/>
    <w:rsid w:val="005B7804"/>
    <w:rsid w:val="005C0605"/>
    <w:rsid w:val="005C061C"/>
    <w:rsid w:val="005C0FEC"/>
    <w:rsid w:val="005C27A3"/>
    <w:rsid w:val="005C299D"/>
    <w:rsid w:val="005C2B44"/>
    <w:rsid w:val="005C2F5C"/>
    <w:rsid w:val="005C40C4"/>
    <w:rsid w:val="005C45BC"/>
    <w:rsid w:val="005C55C9"/>
    <w:rsid w:val="005C59AF"/>
    <w:rsid w:val="005C5A28"/>
    <w:rsid w:val="005C601C"/>
    <w:rsid w:val="005C638F"/>
    <w:rsid w:val="005C6953"/>
    <w:rsid w:val="005C6BF9"/>
    <w:rsid w:val="005C6DC8"/>
    <w:rsid w:val="005C7157"/>
    <w:rsid w:val="005C7D5F"/>
    <w:rsid w:val="005D03C4"/>
    <w:rsid w:val="005D065A"/>
    <w:rsid w:val="005D099F"/>
    <w:rsid w:val="005D0AC4"/>
    <w:rsid w:val="005D0C2F"/>
    <w:rsid w:val="005D1B4C"/>
    <w:rsid w:val="005D2062"/>
    <w:rsid w:val="005D22F8"/>
    <w:rsid w:val="005D2B3D"/>
    <w:rsid w:val="005D4064"/>
    <w:rsid w:val="005D4367"/>
    <w:rsid w:val="005D4A94"/>
    <w:rsid w:val="005D4FFC"/>
    <w:rsid w:val="005D544A"/>
    <w:rsid w:val="005D5CB5"/>
    <w:rsid w:val="005D5E14"/>
    <w:rsid w:val="005D6244"/>
    <w:rsid w:val="005D64BB"/>
    <w:rsid w:val="005D74CC"/>
    <w:rsid w:val="005E0BE6"/>
    <w:rsid w:val="005E204A"/>
    <w:rsid w:val="005E208E"/>
    <w:rsid w:val="005E22D9"/>
    <w:rsid w:val="005E2606"/>
    <w:rsid w:val="005E26D5"/>
    <w:rsid w:val="005E2D85"/>
    <w:rsid w:val="005E2EF6"/>
    <w:rsid w:val="005E3B8C"/>
    <w:rsid w:val="005E3CA9"/>
    <w:rsid w:val="005E42F5"/>
    <w:rsid w:val="005E5A82"/>
    <w:rsid w:val="005E69C9"/>
    <w:rsid w:val="005E7956"/>
    <w:rsid w:val="005E7AC5"/>
    <w:rsid w:val="005E7F3E"/>
    <w:rsid w:val="005F068D"/>
    <w:rsid w:val="005F0BFB"/>
    <w:rsid w:val="005F10A4"/>
    <w:rsid w:val="005F12BC"/>
    <w:rsid w:val="005F156B"/>
    <w:rsid w:val="005F17AF"/>
    <w:rsid w:val="005F2BBA"/>
    <w:rsid w:val="005F375E"/>
    <w:rsid w:val="005F3D49"/>
    <w:rsid w:val="005F3E99"/>
    <w:rsid w:val="005F6A67"/>
    <w:rsid w:val="005F6E48"/>
    <w:rsid w:val="005F7C66"/>
    <w:rsid w:val="005F7CBA"/>
    <w:rsid w:val="00600926"/>
    <w:rsid w:val="006009D5"/>
    <w:rsid w:val="00601776"/>
    <w:rsid w:val="00601FFC"/>
    <w:rsid w:val="0060268D"/>
    <w:rsid w:val="00604DCB"/>
    <w:rsid w:val="0060587D"/>
    <w:rsid w:val="00605A8A"/>
    <w:rsid w:val="00605D7F"/>
    <w:rsid w:val="00605E40"/>
    <w:rsid w:val="00606577"/>
    <w:rsid w:val="006065E6"/>
    <w:rsid w:val="00606601"/>
    <w:rsid w:val="0060744A"/>
    <w:rsid w:val="00607C0F"/>
    <w:rsid w:val="00607F71"/>
    <w:rsid w:val="00610C3F"/>
    <w:rsid w:val="006113F1"/>
    <w:rsid w:val="00611682"/>
    <w:rsid w:val="00611C99"/>
    <w:rsid w:val="00611E56"/>
    <w:rsid w:val="00612380"/>
    <w:rsid w:val="00612F4A"/>
    <w:rsid w:val="00614159"/>
    <w:rsid w:val="00614354"/>
    <w:rsid w:val="006146A3"/>
    <w:rsid w:val="0061507D"/>
    <w:rsid w:val="006152BC"/>
    <w:rsid w:val="006155BD"/>
    <w:rsid w:val="006159AE"/>
    <w:rsid w:val="00615E69"/>
    <w:rsid w:val="006161E0"/>
    <w:rsid w:val="006162B8"/>
    <w:rsid w:val="006162EB"/>
    <w:rsid w:val="006169DA"/>
    <w:rsid w:val="00616E28"/>
    <w:rsid w:val="00617627"/>
    <w:rsid w:val="00617ADC"/>
    <w:rsid w:val="00620991"/>
    <w:rsid w:val="00620C0E"/>
    <w:rsid w:val="0062127C"/>
    <w:rsid w:val="006216E3"/>
    <w:rsid w:val="0062188D"/>
    <w:rsid w:val="00622080"/>
    <w:rsid w:val="00623273"/>
    <w:rsid w:val="0062346A"/>
    <w:rsid w:val="00623706"/>
    <w:rsid w:val="00623F46"/>
    <w:rsid w:val="006248BE"/>
    <w:rsid w:val="00624C98"/>
    <w:rsid w:val="00624D19"/>
    <w:rsid w:val="0062669E"/>
    <w:rsid w:val="00626814"/>
    <w:rsid w:val="00627168"/>
    <w:rsid w:val="0062731C"/>
    <w:rsid w:val="00627F3F"/>
    <w:rsid w:val="00630814"/>
    <w:rsid w:val="00630E28"/>
    <w:rsid w:val="00633463"/>
    <w:rsid w:val="0063398B"/>
    <w:rsid w:val="00633BC7"/>
    <w:rsid w:val="00633CC2"/>
    <w:rsid w:val="006341AD"/>
    <w:rsid w:val="00634A1C"/>
    <w:rsid w:val="00635199"/>
    <w:rsid w:val="006357D4"/>
    <w:rsid w:val="00635EBE"/>
    <w:rsid w:val="00636C5B"/>
    <w:rsid w:val="00636D97"/>
    <w:rsid w:val="00637350"/>
    <w:rsid w:val="006379B5"/>
    <w:rsid w:val="00637D9A"/>
    <w:rsid w:val="0064110C"/>
    <w:rsid w:val="00641212"/>
    <w:rsid w:val="0064152F"/>
    <w:rsid w:val="0064209D"/>
    <w:rsid w:val="00642513"/>
    <w:rsid w:val="006434A0"/>
    <w:rsid w:val="00643935"/>
    <w:rsid w:val="00643E10"/>
    <w:rsid w:val="00644D75"/>
    <w:rsid w:val="00645B8F"/>
    <w:rsid w:val="0064660A"/>
    <w:rsid w:val="00647998"/>
    <w:rsid w:val="00647D5E"/>
    <w:rsid w:val="006505C6"/>
    <w:rsid w:val="006519F7"/>
    <w:rsid w:val="00651A42"/>
    <w:rsid w:val="006524A3"/>
    <w:rsid w:val="00652E45"/>
    <w:rsid w:val="0065308F"/>
    <w:rsid w:val="006536B2"/>
    <w:rsid w:val="00653E71"/>
    <w:rsid w:val="006544C5"/>
    <w:rsid w:val="00654656"/>
    <w:rsid w:val="00655487"/>
    <w:rsid w:val="00655A3E"/>
    <w:rsid w:val="00656510"/>
    <w:rsid w:val="00657A3A"/>
    <w:rsid w:val="00660296"/>
    <w:rsid w:val="00660E55"/>
    <w:rsid w:val="00661180"/>
    <w:rsid w:val="0066152C"/>
    <w:rsid w:val="00661CA5"/>
    <w:rsid w:val="00662073"/>
    <w:rsid w:val="00662221"/>
    <w:rsid w:val="006627F9"/>
    <w:rsid w:val="00662D1B"/>
    <w:rsid w:val="0066428A"/>
    <w:rsid w:val="00664357"/>
    <w:rsid w:val="00665883"/>
    <w:rsid w:val="006665FD"/>
    <w:rsid w:val="0066696B"/>
    <w:rsid w:val="00666E0A"/>
    <w:rsid w:val="006708E9"/>
    <w:rsid w:val="00671221"/>
    <w:rsid w:val="006715C9"/>
    <w:rsid w:val="00671B06"/>
    <w:rsid w:val="00671B8F"/>
    <w:rsid w:val="00672DAB"/>
    <w:rsid w:val="00672EEE"/>
    <w:rsid w:val="0067305F"/>
    <w:rsid w:val="00673475"/>
    <w:rsid w:val="006734AD"/>
    <w:rsid w:val="00673511"/>
    <w:rsid w:val="00673829"/>
    <w:rsid w:val="00673D3F"/>
    <w:rsid w:val="00673D8E"/>
    <w:rsid w:val="00673FC5"/>
    <w:rsid w:val="006756A7"/>
    <w:rsid w:val="00675BCC"/>
    <w:rsid w:val="00675F32"/>
    <w:rsid w:val="00677058"/>
    <w:rsid w:val="00677274"/>
    <w:rsid w:val="00677293"/>
    <w:rsid w:val="0067783E"/>
    <w:rsid w:val="00677C94"/>
    <w:rsid w:val="00680926"/>
    <w:rsid w:val="00680B23"/>
    <w:rsid w:val="00680B4D"/>
    <w:rsid w:val="00680E06"/>
    <w:rsid w:val="0068167B"/>
    <w:rsid w:val="006826EF"/>
    <w:rsid w:val="0068278C"/>
    <w:rsid w:val="00682AEB"/>
    <w:rsid w:val="00682D1C"/>
    <w:rsid w:val="0068311D"/>
    <w:rsid w:val="00683581"/>
    <w:rsid w:val="00683684"/>
    <w:rsid w:val="0068418D"/>
    <w:rsid w:val="006842A7"/>
    <w:rsid w:val="00684714"/>
    <w:rsid w:val="00684A60"/>
    <w:rsid w:val="00685ABF"/>
    <w:rsid w:val="00685B0E"/>
    <w:rsid w:val="00686027"/>
    <w:rsid w:val="00686EF8"/>
    <w:rsid w:val="0068789E"/>
    <w:rsid w:val="00687A6B"/>
    <w:rsid w:val="00687E46"/>
    <w:rsid w:val="00690D0C"/>
    <w:rsid w:val="00691854"/>
    <w:rsid w:val="00691D16"/>
    <w:rsid w:val="00692548"/>
    <w:rsid w:val="006925AE"/>
    <w:rsid w:val="00692F0C"/>
    <w:rsid w:val="006932CD"/>
    <w:rsid w:val="00693493"/>
    <w:rsid w:val="00693C11"/>
    <w:rsid w:val="00694578"/>
    <w:rsid w:val="00694D60"/>
    <w:rsid w:val="00695EE9"/>
    <w:rsid w:val="00696175"/>
    <w:rsid w:val="006969DF"/>
    <w:rsid w:val="0069741D"/>
    <w:rsid w:val="006A07C3"/>
    <w:rsid w:val="006A0A32"/>
    <w:rsid w:val="006A135B"/>
    <w:rsid w:val="006A16BA"/>
    <w:rsid w:val="006A1FA3"/>
    <w:rsid w:val="006A2150"/>
    <w:rsid w:val="006A2AA6"/>
    <w:rsid w:val="006A3CC0"/>
    <w:rsid w:val="006A485A"/>
    <w:rsid w:val="006A4959"/>
    <w:rsid w:val="006A4E60"/>
    <w:rsid w:val="006A4EAE"/>
    <w:rsid w:val="006A698E"/>
    <w:rsid w:val="006A6E45"/>
    <w:rsid w:val="006A6F46"/>
    <w:rsid w:val="006B151D"/>
    <w:rsid w:val="006B2591"/>
    <w:rsid w:val="006B3D00"/>
    <w:rsid w:val="006B527D"/>
    <w:rsid w:val="006B5525"/>
    <w:rsid w:val="006B5626"/>
    <w:rsid w:val="006B5A74"/>
    <w:rsid w:val="006B5B83"/>
    <w:rsid w:val="006B5D87"/>
    <w:rsid w:val="006B62A7"/>
    <w:rsid w:val="006B662A"/>
    <w:rsid w:val="006B7266"/>
    <w:rsid w:val="006C0116"/>
    <w:rsid w:val="006C054D"/>
    <w:rsid w:val="006C0911"/>
    <w:rsid w:val="006C0B5E"/>
    <w:rsid w:val="006C126E"/>
    <w:rsid w:val="006C135C"/>
    <w:rsid w:val="006C14C2"/>
    <w:rsid w:val="006C1576"/>
    <w:rsid w:val="006C1CE1"/>
    <w:rsid w:val="006C1D39"/>
    <w:rsid w:val="006C2505"/>
    <w:rsid w:val="006C460E"/>
    <w:rsid w:val="006C4B16"/>
    <w:rsid w:val="006C5517"/>
    <w:rsid w:val="006C620E"/>
    <w:rsid w:val="006C6E4A"/>
    <w:rsid w:val="006C72D2"/>
    <w:rsid w:val="006C77E2"/>
    <w:rsid w:val="006C7B67"/>
    <w:rsid w:val="006D010B"/>
    <w:rsid w:val="006D0A95"/>
    <w:rsid w:val="006D0BB3"/>
    <w:rsid w:val="006D1141"/>
    <w:rsid w:val="006D1B82"/>
    <w:rsid w:val="006D24F3"/>
    <w:rsid w:val="006D2693"/>
    <w:rsid w:val="006D2F02"/>
    <w:rsid w:val="006D4179"/>
    <w:rsid w:val="006D4483"/>
    <w:rsid w:val="006D4A41"/>
    <w:rsid w:val="006D5641"/>
    <w:rsid w:val="006D59E1"/>
    <w:rsid w:val="006D5EA8"/>
    <w:rsid w:val="006D65C0"/>
    <w:rsid w:val="006D75F2"/>
    <w:rsid w:val="006E043B"/>
    <w:rsid w:val="006E0977"/>
    <w:rsid w:val="006E0B7E"/>
    <w:rsid w:val="006E1280"/>
    <w:rsid w:val="006E2753"/>
    <w:rsid w:val="006E291E"/>
    <w:rsid w:val="006E2E2E"/>
    <w:rsid w:val="006E2FEC"/>
    <w:rsid w:val="006E3068"/>
    <w:rsid w:val="006E34EC"/>
    <w:rsid w:val="006E3B3F"/>
    <w:rsid w:val="006E454E"/>
    <w:rsid w:val="006E4B32"/>
    <w:rsid w:val="006E50E4"/>
    <w:rsid w:val="006E52E3"/>
    <w:rsid w:val="006E5DF2"/>
    <w:rsid w:val="006E5DF5"/>
    <w:rsid w:val="006E6A2F"/>
    <w:rsid w:val="006E73AE"/>
    <w:rsid w:val="006F06D9"/>
    <w:rsid w:val="006F1126"/>
    <w:rsid w:val="006F1C87"/>
    <w:rsid w:val="006F1E85"/>
    <w:rsid w:val="006F2563"/>
    <w:rsid w:val="006F341C"/>
    <w:rsid w:val="006F34E1"/>
    <w:rsid w:val="006F3532"/>
    <w:rsid w:val="006F395E"/>
    <w:rsid w:val="006F4191"/>
    <w:rsid w:val="006F4716"/>
    <w:rsid w:val="006F4A69"/>
    <w:rsid w:val="006F4F38"/>
    <w:rsid w:val="006F666A"/>
    <w:rsid w:val="006F6997"/>
    <w:rsid w:val="006F7980"/>
    <w:rsid w:val="007005AE"/>
    <w:rsid w:val="00701000"/>
    <w:rsid w:val="007014F0"/>
    <w:rsid w:val="0070170D"/>
    <w:rsid w:val="007019FA"/>
    <w:rsid w:val="007020B8"/>
    <w:rsid w:val="0070291A"/>
    <w:rsid w:val="00702DC0"/>
    <w:rsid w:val="00703344"/>
    <w:rsid w:val="007040C7"/>
    <w:rsid w:val="00704223"/>
    <w:rsid w:val="00704313"/>
    <w:rsid w:val="00704D9C"/>
    <w:rsid w:val="00704E5D"/>
    <w:rsid w:val="00705779"/>
    <w:rsid w:val="00705D8A"/>
    <w:rsid w:val="00707269"/>
    <w:rsid w:val="00707860"/>
    <w:rsid w:val="0071091A"/>
    <w:rsid w:val="007109F7"/>
    <w:rsid w:val="007110DC"/>
    <w:rsid w:val="00711815"/>
    <w:rsid w:val="00711A42"/>
    <w:rsid w:val="00711AF0"/>
    <w:rsid w:val="007136C0"/>
    <w:rsid w:val="007150E4"/>
    <w:rsid w:val="007155B2"/>
    <w:rsid w:val="007156C9"/>
    <w:rsid w:val="00715C65"/>
    <w:rsid w:val="0071644D"/>
    <w:rsid w:val="00716808"/>
    <w:rsid w:val="0072192B"/>
    <w:rsid w:val="00721CA3"/>
    <w:rsid w:val="007223E3"/>
    <w:rsid w:val="0072259C"/>
    <w:rsid w:val="00722EB1"/>
    <w:rsid w:val="007246D4"/>
    <w:rsid w:val="007257F9"/>
    <w:rsid w:val="007259BF"/>
    <w:rsid w:val="00725FDB"/>
    <w:rsid w:val="007265EF"/>
    <w:rsid w:val="00726639"/>
    <w:rsid w:val="00726899"/>
    <w:rsid w:val="007304A1"/>
    <w:rsid w:val="0073097F"/>
    <w:rsid w:val="00730E25"/>
    <w:rsid w:val="00730ED8"/>
    <w:rsid w:val="00731669"/>
    <w:rsid w:val="00732517"/>
    <w:rsid w:val="00732FF3"/>
    <w:rsid w:val="00733083"/>
    <w:rsid w:val="0073317D"/>
    <w:rsid w:val="007337E7"/>
    <w:rsid w:val="007347E5"/>
    <w:rsid w:val="00734A5C"/>
    <w:rsid w:val="00734D59"/>
    <w:rsid w:val="00734DB5"/>
    <w:rsid w:val="0073620A"/>
    <w:rsid w:val="0073680F"/>
    <w:rsid w:val="00737399"/>
    <w:rsid w:val="0073773D"/>
    <w:rsid w:val="00737D73"/>
    <w:rsid w:val="00742004"/>
    <w:rsid w:val="00742030"/>
    <w:rsid w:val="00743DF2"/>
    <w:rsid w:val="00743E4D"/>
    <w:rsid w:val="00744E62"/>
    <w:rsid w:val="00745907"/>
    <w:rsid w:val="007462BF"/>
    <w:rsid w:val="00747218"/>
    <w:rsid w:val="007476EE"/>
    <w:rsid w:val="00747B6E"/>
    <w:rsid w:val="00751645"/>
    <w:rsid w:val="00751AF3"/>
    <w:rsid w:val="00752382"/>
    <w:rsid w:val="00752424"/>
    <w:rsid w:val="00752730"/>
    <w:rsid w:val="00752976"/>
    <w:rsid w:val="00753527"/>
    <w:rsid w:val="00753BAD"/>
    <w:rsid w:val="00754524"/>
    <w:rsid w:val="0075478E"/>
    <w:rsid w:val="00754795"/>
    <w:rsid w:val="00755B76"/>
    <w:rsid w:val="00756261"/>
    <w:rsid w:val="00757B04"/>
    <w:rsid w:val="00761047"/>
    <w:rsid w:val="007610FF"/>
    <w:rsid w:val="00761970"/>
    <w:rsid w:val="007619B6"/>
    <w:rsid w:val="0076238C"/>
    <w:rsid w:val="007625AC"/>
    <w:rsid w:val="00762E04"/>
    <w:rsid w:val="0076350B"/>
    <w:rsid w:val="007635E7"/>
    <w:rsid w:val="007642DF"/>
    <w:rsid w:val="00764C0C"/>
    <w:rsid w:val="00765C85"/>
    <w:rsid w:val="00765DA8"/>
    <w:rsid w:val="00765EA8"/>
    <w:rsid w:val="00766665"/>
    <w:rsid w:val="0076670C"/>
    <w:rsid w:val="00767740"/>
    <w:rsid w:val="00767845"/>
    <w:rsid w:val="00767E1D"/>
    <w:rsid w:val="007702C8"/>
    <w:rsid w:val="00770417"/>
    <w:rsid w:val="00770556"/>
    <w:rsid w:val="007716B1"/>
    <w:rsid w:val="00771CE5"/>
    <w:rsid w:val="00771E0B"/>
    <w:rsid w:val="00772715"/>
    <w:rsid w:val="0077344D"/>
    <w:rsid w:val="00773C2A"/>
    <w:rsid w:val="00773F8E"/>
    <w:rsid w:val="00774368"/>
    <w:rsid w:val="0077451D"/>
    <w:rsid w:val="00774C01"/>
    <w:rsid w:val="00774CA1"/>
    <w:rsid w:val="00776435"/>
    <w:rsid w:val="0077694A"/>
    <w:rsid w:val="00777363"/>
    <w:rsid w:val="00777FB4"/>
    <w:rsid w:val="007804B9"/>
    <w:rsid w:val="007804C9"/>
    <w:rsid w:val="00780D45"/>
    <w:rsid w:val="00780DB3"/>
    <w:rsid w:val="00781010"/>
    <w:rsid w:val="00781084"/>
    <w:rsid w:val="007812B4"/>
    <w:rsid w:val="00781AEE"/>
    <w:rsid w:val="00781B55"/>
    <w:rsid w:val="00782926"/>
    <w:rsid w:val="00782945"/>
    <w:rsid w:val="00782C7B"/>
    <w:rsid w:val="00783294"/>
    <w:rsid w:val="007835FC"/>
    <w:rsid w:val="00783B85"/>
    <w:rsid w:val="00784263"/>
    <w:rsid w:val="00784DEC"/>
    <w:rsid w:val="00785E3E"/>
    <w:rsid w:val="00786EFF"/>
    <w:rsid w:val="00787996"/>
    <w:rsid w:val="00787B04"/>
    <w:rsid w:val="00787B9B"/>
    <w:rsid w:val="00787D50"/>
    <w:rsid w:val="00790594"/>
    <w:rsid w:val="00790ABA"/>
    <w:rsid w:val="00790DE4"/>
    <w:rsid w:val="007910ED"/>
    <w:rsid w:val="00791741"/>
    <w:rsid w:val="00792A26"/>
    <w:rsid w:val="00793FFD"/>
    <w:rsid w:val="007944FB"/>
    <w:rsid w:val="00795604"/>
    <w:rsid w:val="00796834"/>
    <w:rsid w:val="007969D5"/>
    <w:rsid w:val="00796A6C"/>
    <w:rsid w:val="007A08BF"/>
    <w:rsid w:val="007A1B71"/>
    <w:rsid w:val="007A1DD7"/>
    <w:rsid w:val="007A24E0"/>
    <w:rsid w:val="007A2E0B"/>
    <w:rsid w:val="007A3135"/>
    <w:rsid w:val="007A3B40"/>
    <w:rsid w:val="007A3E03"/>
    <w:rsid w:val="007A44B1"/>
    <w:rsid w:val="007A5622"/>
    <w:rsid w:val="007A5CCA"/>
    <w:rsid w:val="007A5D4D"/>
    <w:rsid w:val="007A5EE1"/>
    <w:rsid w:val="007A6D31"/>
    <w:rsid w:val="007A6D78"/>
    <w:rsid w:val="007B00EA"/>
    <w:rsid w:val="007B0376"/>
    <w:rsid w:val="007B038A"/>
    <w:rsid w:val="007B07AE"/>
    <w:rsid w:val="007B0ED4"/>
    <w:rsid w:val="007B2C9B"/>
    <w:rsid w:val="007B34ED"/>
    <w:rsid w:val="007B4B78"/>
    <w:rsid w:val="007B4B87"/>
    <w:rsid w:val="007B5CA8"/>
    <w:rsid w:val="007B5CDE"/>
    <w:rsid w:val="007B5EFE"/>
    <w:rsid w:val="007B5F4A"/>
    <w:rsid w:val="007B68D7"/>
    <w:rsid w:val="007B77A7"/>
    <w:rsid w:val="007B7A97"/>
    <w:rsid w:val="007B7F8D"/>
    <w:rsid w:val="007C048D"/>
    <w:rsid w:val="007C05A9"/>
    <w:rsid w:val="007C0613"/>
    <w:rsid w:val="007C0818"/>
    <w:rsid w:val="007C0ADA"/>
    <w:rsid w:val="007C1983"/>
    <w:rsid w:val="007C1AC4"/>
    <w:rsid w:val="007C21BD"/>
    <w:rsid w:val="007C2EA7"/>
    <w:rsid w:val="007C3170"/>
    <w:rsid w:val="007C459A"/>
    <w:rsid w:val="007C6442"/>
    <w:rsid w:val="007C68D6"/>
    <w:rsid w:val="007C790C"/>
    <w:rsid w:val="007D132E"/>
    <w:rsid w:val="007D156A"/>
    <w:rsid w:val="007D22FF"/>
    <w:rsid w:val="007D29D8"/>
    <w:rsid w:val="007D3D64"/>
    <w:rsid w:val="007D3E78"/>
    <w:rsid w:val="007D3E93"/>
    <w:rsid w:val="007D3F9A"/>
    <w:rsid w:val="007D4221"/>
    <w:rsid w:val="007D4372"/>
    <w:rsid w:val="007D43C9"/>
    <w:rsid w:val="007D56EB"/>
    <w:rsid w:val="007D5872"/>
    <w:rsid w:val="007D6D82"/>
    <w:rsid w:val="007D6F20"/>
    <w:rsid w:val="007E0105"/>
    <w:rsid w:val="007E0266"/>
    <w:rsid w:val="007E1269"/>
    <w:rsid w:val="007E282A"/>
    <w:rsid w:val="007E3F14"/>
    <w:rsid w:val="007E418A"/>
    <w:rsid w:val="007E769A"/>
    <w:rsid w:val="007E7727"/>
    <w:rsid w:val="007E7DB0"/>
    <w:rsid w:val="007F0276"/>
    <w:rsid w:val="007F0C3D"/>
    <w:rsid w:val="007F1B6A"/>
    <w:rsid w:val="007F27BB"/>
    <w:rsid w:val="007F2F44"/>
    <w:rsid w:val="007F3377"/>
    <w:rsid w:val="007F34A9"/>
    <w:rsid w:val="007F3D92"/>
    <w:rsid w:val="007F3FE6"/>
    <w:rsid w:val="007F41A2"/>
    <w:rsid w:val="007F49B0"/>
    <w:rsid w:val="007F4EE2"/>
    <w:rsid w:val="007F6383"/>
    <w:rsid w:val="007F6436"/>
    <w:rsid w:val="007F6601"/>
    <w:rsid w:val="007F6BD5"/>
    <w:rsid w:val="007F79FE"/>
    <w:rsid w:val="00801A5F"/>
    <w:rsid w:val="008035B7"/>
    <w:rsid w:val="008041CD"/>
    <w:rsid w:val="008041F1"/>
    <w:rsid w:val="00804217"/>
    <w:rsid w:val="00804913"/>
    <w:rsid w:val="00804FA3"/>
    <w:rsid w:val="0080528B"/>
    <w:rsid w:val="008053A3"/>
    <w:rsid w:val="008062DB"/>
    <w:rsid w:val="008067C2"/>
    <w:rsid w:val="00806B08"/>
    <w:rsid w:val="00807286"/>
    <w:rsid w:val="0080752B"/>
    <w:rsid w:val="0080795D"/>
    <w:rsid w:val="00807C36"/>
    <w:rsid w:val="0081003D"/>
    <w:rsid w:val="00812549"/>
    <w:rsid w:val="00812643"/>
    <w:rsid w:val="00812CB1"/>
    <w:rsid w:val="00812E06"/>
    <w:rsid w:val="00812E0D"/>
    <w:rsid w:val="00813656"/>
    <w:rsid w:val="008137E8"/>
    <w:rsid w:val="00813936"/>
    <w:rsid w:val="00813FC9"/>
    <w:rsid w:val="008145BA"/>
    <w:rsid w:val="00814734"/>
    <w:rsid w:val="00815753"/>
    <w:rsid w:val="008164DE"/>
    <w:rsid w:val="00817042"/>
    <w:rsid w:val="008174A4"/>
    <w:rsid w:val="00821824"/>
    <w:rsid w:val="00821A2D"/>
    <w:rsid w:val="00821B79"/>
    <w:rsid w:val="008221EF"/>
    <w:rsid w:val="00822663"/>
    <w:rsid w:val="00822F15"/>
    <w:rsid w:val="00823A9F"/>
    <w:rsid w:val="00823D16"/>
    <w:rsid w:val="00823D73"/>
    <w:rsid w:val="00826DEE"/>
    <w:rsid w:val="008271B8"/>
    <w:rsid w:val="008279F8"/>
    <w:rsid w:val="00827B1F"/>
    <w:rsid w:val="00830432"/>
    <w:rsid w:val="00830472"/>
    <w:rsid w:val="00830CA5"/>
    <w:rsid w:val="00831096"/>
    <w:rsid w:val="00831165"/>
    <w:rsid w:val="0083121A"/>
    <w:rsid w:val="008312C0"/>
    <w:rsid w:val="0083154C"/>
    <w:rsid w:val="00832F23"/>
    <w:rsid w:val="00833215"/>
    <w:rsid w:val="00834BF3"/>
    <w:rsid w:val="0083500E"/>
    <w:rsid w:val="0083545F"/>
    <w:rsid w:val="0083582D"/>
    <w:rsid w:val="00835DCD"/>
    <w:rsid w:val="00836117"/>
    <w:rsid w:val="00836411"/>
    <w:rsid w:val="00840AE1"/>
    <w:rsid w:val="00840F96"/>
    <w:rsid w:val="008413A0"/>
    <w:rsid w:val="008414C4"/>
    <w:rsid w:val="008425EE"/>
    <w:rsid w:val="00843015"/>
    <w:rsid w:val="00843406"/>
    <w:rsid w:val="008440F7"/>
    <w:rsid w:val="00844203"/>
    <w:rsid w:val="008445C8"/>
    <w:rsid w:val="00846057"/>
    <w:rsid w:val="008461CA"/>
    <w:rsid w:val="00846426"/>
    <w:rsid w:val="008464C4"/>
    <w:rsid w:val="00846616"/>
    <w:rsid w:val="00846CB9"/>
    <w:rsid w:val="0084752D"/>
    <w:rsid w:val="008507CF"/>
    <w:rsid w:val="00850E85"/>
    <w:rsid w:val="00851FE0"/>
    <w:rsid w:val="008524D6"/>
    <w:rsid w:val="00852623"/>
    <w:rsid w:val="008526EC"/>
    <w:rsid w:val="00852CBF"/>
    <w:rsid w:val="0085308E"/>
    <w:rsid w:val="00853A0E"/>
    <w:rsid w:val="00854824"/>
    <w:rsid w:val="008558A0"/>
    <w:rsid w:val="00855DD8"/>
    <w:rsid w:val="008561D3"/>
    <w:rsid w:val="00857059"/>
    <w:rsid w:val="0085720F"/>
    <w:rsid w:val="008573BE"/>
    <w:rsid w:val="00860090"/>
    <w:rsid w:val="00861FEC"/>
    <w:rsid w:val="0086376D"/>
    <w:rsid w:val="00863840"/>
    <w:rsid w:val="0086405D"/>
    <w:rsid w:val="00864C0F"/>
    <w:rsid w:val="00864CF5"/>
    <w:rsid w:val="008665EB"/>
    <w:rsid w:val="00866FB0"/>
    <w:rsid w:val="00867AAE"/>
    <w:rsid w:val="00867B7D"/>
    <w:rsid w:val="00867D3C"/>
    <w:rsid w:val="0087035B"/>
    <w:rsid w:val="008716BC"/>
    <w:rsid w:val="008716CE"/>
    <w:rsid w:val="00871922"/>
    <w:rsid w:val="00871B8A"/>
    <w:rsid w:val="008729B5"/>
    <w:rsid w:val="00873545"/>
    <w:rsid w:val="0087399A"/>
    <w:rsid w:val="00874868"/>
    <w:rsid w:val="0087490E"/>
    <w:rsid w:val="00874A71"/>
    <w:rsid w:val="00874E71"/>
    <w:rsid w:val="008761C7"/>
    <w:rsid w:val="008774E5"/>
    <w:rsid w:val="00877891"/>
    <w:rsid w:val="008804E2"/>
    <w:rsid w:val="00880CA2"/>
    <w:rsid w:val="00881777"/>
    <w:rsid w:val="00881D39"/>
    <w:rsid w:val="008822D7"/>
    <w:rsid w:val="008822E1"/>
    <w:rsid w:val="00882C43"/>
    <w:rsid w:val="008835A9"/>
    <w:rsid w:val="0088389E"/>
    <w:rsid w:val="00884019"/>
    <w:rsid w:val="008865DD"/>
    <w:rsid w:val="0088733A"/>
    <w:rsid w:val="00887377"/>
    <w:rsid w:val="00887502"/>
    <w:rsid w:val="00887AB7"/>
    <w:rsid w:val="00887E02"/>
    <w:rsid w:val="00891785"/>
    <w:rsid w:val="00891D66"/>
    <w:rsid w:val="008939FD"/>
    <w:rsid w:val="00893BA6"/>
    <w:rsid w:val="008940CA"/>
    <w:rsid w:val="0089477A"/>
    <w:rsid w:val="00895658"/>
    <w:rsid w:val="00895748"/>
    <w:rsid w:val="008968F4"/>
    <w:rsid w:val="00897417"/>
    <w:rsid w:val="00897D19"/>
    <w:rsid w:val="00897E26"/>
    <w:rsid w:val="00897F79"/>
    <w:rsid w:val="008A0045"/>
    <w:rsid w:val="008A0064"/>
    <w:rsid w:val="008A01B3"/>
    <w:rsid w:val="008A0DA3"/>
    <w:rsid w:val="008A1174"/>
    <w:rsid w:val="008A122C"/>
    <w:rsid w:val="008A157C"/>
    <w:rsid w:val="008A2AEE"/>
    <w:rsid w:val="008A2E96"/>
    <w:rsid w:val="008A5229"/>
    <w:rsid w:val="008A5450"/>
    <w:rsid w:val="008A599B"/>
    <w:rsid w:val="008A5F67"/>
    <w:rsid w:val="008A652F"/>
    <w:rsid w:val="008A6AA4"/>
    <w:rsid w:val="008A7596"/>
    <w:rsid w:val="008A75C6"/>
    <w:rsid w:val="008B0005"/>
    <w:rsid w:val="008B02EF"/>
    <w:rsid w:val="008B08EC"/>
    <w:rsid w:val="008B0913"/>
    <w:rsid w:val="008B0AAE"/>
    <w:rsid w:val="008B0E1B"/>
    <w:rsid w:val="008B0ED6"/>
    <w:rsid w:val="008B0F9D"/>
    <w:rsid w:val="008B23AE"/>
    <w:rsid w:val="008B2CE0"/>
    <w:rsid w:val="008B2E04"/>
    <w:rsid w:val="008B4306"/>
    <w:rsid w:val="008B4FCF"/>
    <w:rsid w:val="008B556C"/>
    <w:rsid w:val="008B5EA6"/>
    <w:rsid w:val="008B61D5"/>
    <w:rsid w:val="008B6ABD"/>
    <w:rsid w:val="008B6C18"/>
    <w:rsid w:val="008B6E76"/>
    <w:rsid w:val="008B7159"/>
    <w:rsid w:val="008B7A36"/>
    <w:rsid w:val="008B7B8D"/>
    <w:rsid w:val="008B7BF0"/>
    <w:rsid w:val="008C0120"/>
    <w:rsid w:val="008C0FB9"/>
    <w:rsid w:val="008C1042"/>
    <w:rsid w:val="008C162B"/>
    <w:rsid w:val="008C1714"/>
    <w:rsid w:val="008C1B76"/>
    <w:rsid w:val="008C1C8E"/>
    <w:rsid w:val="008C2391"/>
    <w:rsid w:val="008C27EC"/>
    <w:rsid w:val="008C2ED5"/>
    <w:rsid w:val="008C3135"/>
    <w:rsid w:val="008C3E2C"/>
    <w:rsid w:val="008C4A1A"/>
    <w:rsid w:val="008C5AC7"/>
    <w:rsid w:val="008C5EDB"/>
    <w:rsid w:val="008C615C"/>
    <w:rsid w:val="008C6215"/>
    <w:rsid w:val="008C65F0"/>
    <w:rsid w:val="008C733D"/>
    <w:rsid w:val="008D0DB4"/>
    <w:rsid w:val="008D1A52"/>
    <w:rsid w:val="008D2130"/>
    <w:rsid w:val="008D2953"/>
    <w:rsid w:val="008D2E91"/>
    <w:rsid w:val="008D30A0"/>
    <w:rsid w:val="008D38E9"/>
    <w:rsid w:val="008D3DA6"/>
    <w:rsid w:val="008D41B8"/>
    <w:rsid w:val="008D4434"/>
    <w:rsid w:val="008D44F8"/>
    <w:rsid w:val="008D48C6"/>
    <w:rsid w:val="008D51E4"/>
    <w:rsid w:val="008D557B"/>
    <w:rsid w:val="008D6F21"/>
    <w:rsid w:val="008D71AC"/>
    <w:rsid w:val="008D7448"/>
    <w:rsid w:val="008D74AC"/>
    <w:rsid w:val="008D7693"/>
    <w:rsid w:val="008D792A"/>
    <w:rsid w:val="008D7AE7"/>
    <w:rsid w:val="008E0326"/>
    <w:rsid w:val="008E0593"/>
    <w:rsid w:val="008E15EC"/>
    <w:rsid w:val="008E1B94"/>
    <w:rsid w:val="008E258D"/>
    <w:rsid w:val="008E2E9E"/>
    <w:rsid w:val="008E31EF"/>
    <w:rsid w:val="008E3303"/>
    <w:rsid w:val="008E36C0"/>
    <w:rsid w:val="008E36F2"/>
    <w:rsid w:val="008E3CE2"/>
    <w:rsid w:val="008E3E2F"/>
    <w:rsid w:val="008E450B"/>
    <w:rsid w:val="008E4C23"/>
    <w:rsid w:val="008E4DCE"/>
    <w:rsid w:val="008E5895"/>
    <w:rsid w:val="008E5959"/>
    <w:rsid w:val="008E667F"/>
    <w:rsid w:val="008E676F"/>
    <w:rsid w:val="008E6785"/>
    <w:rsid w:val="008E68F7"/>
    <w:rsid w:val="008E7251"/>
    <w:rsid w:val="008E76AE"/>
    <w:rsid w:val="008E76EF"/>
    <w:rsid w:val="008E7D7C"/>
    <w:rsid w:val="008F0097"/>
    <w:rsid w:val="008F1594"/>
    <w:rsid w:val="008F1AAC"/>
    <w:rsid w:val="008F2318"/>
    <w:rsid w:val="008F2449"/>
    <w:rsid w:val="008F2EC0"/>
    <w:rsid w:val="008F44DB"/>
    <w:rsid w:val="008F4615"/>
    <w:rsid w:val="008F4ABC"/>
    <w:rsid w:val="008F591D"/>
    <w:rsid w:val="008F5C77"/>
    <w:rsid w:val="008F60F8"/>
    <w:rsid w:val="008F7199"/>
    <w:rsid w:val="008F74BB"/>
    <w:rsid w:val="008F7728"/>
    <w:rsid w:val="008F7CB6"/>
    <w:rsid w:val="00900066"/>
    <w:rsid w:val="009007FB"/>
    <w:rsid w:val="00900807"/>
    <w:rsid w:val="009008A9"/>
    <w:rsid w:val="00901452"/>
    <w:rsid w:val="00901D78"/>
    <w:rsid w:val="00901ECF"/>
    <w:rsid w:val="00901FB3"/>
    <w:rsid w:val="00903003"/>
    <w:rsid w:val="00903C1E"/>
    <w:rsid w:val="009041B8"/>
    <w:rsid w:val="009048D8"/>
    <w:rsid w:val="00905040"/>
    <w:rsid w:val="00905725"/>
    <w:rsid w:val="00905A05"/>
    <w:rsid w:val="00906A75"/>
    <w:rsid w:val="00907267"/>
    <w:rsid w:val="0090770D"/>
    <w:rsid w:val="009106BC"/>
    <w:rsid w:val="0091177E"/>
    <w:rsid w:val="0091193A"/>
    <w:rsid w:val="009123E5"/>
    <w:rsid w:val="00912560"/>
    <w:rsid w:val="00912ABC"/>
    <w:rsid w:val="00912C01"/>
    <w:rsid w:val="0091308A"/>
    <w:rsid w:val="009130AF"/>
    <w:rsid w:val="00913546"/>
    <w:rsid w:val="009141A9"/>
    <w:rsid w:val="00914BDB"/>
    <w:rsid w:val="009150CA"/>
    <w:rsid w:val="0091603D"/>
    <w:rsid w:val="0091673E"/>
    <w:rsid w:val="00916FAA"/>
    <w:rsid w:val="009177DF"/>
    <w:rsid w:val="00917C22"/>
    <w:rsid w:val="009203E8"/>
    <w:rsid w:val="00920617"/>
    <w:rsid w:val="00921423"/>
    <w:rsid w:val="009216DB"/>
    <w:rsid w:val="00923EDC"/>
    <w:rsid w:val="00925750"/>
    <w:rsid w:val="00925DB8"/>
    <w:rsid w:val="009260E8"/>
    <w:rsid w:val="009266AF"/>
    <w:rsid w:val="009267F8"/>
    <w:rsid w:val="009274C8"/>
    <w:rsid w:val="00927552"/>
    <w:rsid w:val="00927816"/>
    <w:rsid w:val="009279DF"/>
    <w:rsid w:val="00927A2B"/>
    <w:rsid w:val="00927C12"/>
    <w:rsid w:val="009308E9"/>
    <w:rsid w:val="00930A79"/>
    <w:rsid w:val="00930B49"/>
    <w:rsid w:val="00930D5E"/>
    <w:rsid w:val="00931F98"/>
    <w:rsid w:val="0093270E"/>
    <w:rsid w:val="0093308A"/>
    <w:rsid w:val="009341F9"/>
    <w:rsid w:val="00934B9C"/>
    <w:rsid w:val="00934E16"/>
    <w:rsid w:val="0093687F"/>
    <w:rsid w:val="00937681"/>
    <w:rsid w:val="009377C8"/>
    <w:rsid w:val="00937CBB"/>
    <w:rsid w:val="009406FC"/>
    <w:rsid w:val="009412A7"/>
    <w:rsid w:val="0094248A"/>
    <w:rsid w:val="009426B0"/>
    <w:rsid w:val="00942C5A"/>
    <w:rsid w:val="00943212"/>
    <w:rsid w:val="00943761"/>
    <w:rsid w:val="00943C39"/>
    <w:rsid w:val="00943F45"/>
    <w:rsid w:val="009446CB"/>
    <w:rsid w:val="00944EEB"/>
    <w:rsid w:val="00944F89"/>
    <w:rsid w:val="00945234"/>
    <w:rsid w:val="00945BBC"/>
    <w:rsid w:val="00946A93"/>
    <w:rsid w:val="00946ED5"/>
    <w:rsid w:val="009470DA"/>
    <w:rsid w:val="009472AC"/>
    <w:rsid w:val="00947ACC"/>
    <w:rsid w:val="00950783"/>
    <w:rsid w:val="009517E6"/>
    <w:rsid w:val="0095190C"/>
    <w:rsid w:val="00951EE6"/>
    <w:rsid w:val="00952919"/>
    <w:rsid w:val="00953739"/>
    <w:rsid w:val="0095373D"/>
    <w:rsid w:val="00953775"/>
    <w:rsid w:val="009538B2"/>
    <w:rsid w:val="00954232"/>
    <w:rsid w:val="00954942"/>
    <w:rsid w:val="00955A9E"/>
    <w:rsid w:val="00956491"/>
    <w:rsid w:val="00956918"/>
    <w:rsid w:val="00956AFC"/>
    <w:rsid w:val="00957C2A"/>
    <w:rsid w:val="00957E4A"/>
    <w:rsid w:val="00957FF7"/>
    <w:rsid w:val="00960A32"/>
    <w:rsid w:val="009612D6"/>
    <w:rsid w:val="00963E11"/>
    <w:rsid w:val="00963E43"/>
    <w:rsid w:val="00963F40"/>
    <w:rsid w:val="0096559A"/>
    <w:rsid w:val="009656FC"/>
    <w:rsid w:val="00965718"/>
    <w:rsid w:val="00965777"/>
    <w:rsid w:val="00966F48"/>
    <w:rsid w:val="009677CB"/>
    <w:rsid w:val="009703A9"/>
    <w:rsid w:val="009707C3"/>
    <w:rsid w:val="009708AE"/>
    <w:rsid w:val="009709FC"/>
    <w:rsid w:val="00970A3C"/>
    <w:rsid w:val="00971220"/>
    <w:rsid w:val="00971DC1"/>
    <w:rsid w:val="00972D21"/>
    <w:rsid w:val="00974D6F"/>
    <w:rsid w:val="009757C2"/>
    <w:rsid w:val="00976456"/>
    <w:rsid w:val="00976475"/>
    <w:rsid w:val="00977598"/>
    <w:rsid w:val="0097769C"/>
    <w:rsid w:val="00977A83"/>
    <w:rsid w:val="00980207"/>
    <w:rsid w:val="009811FF"/>
    <w:rsid w:val="00981B7C"/>
    <w:rsid w:val="00982191"/>
    <w:rsid w:val="0098222D"/>
    <w:rsid w:val="009825E8"/>
    <w:rsid w:val="00983488"/>
    <w:rsid w:val="00983F23"/>
    <w:rsid w:val="009848F2"/>
    <w:rsid w:val="00984B31"/>
    <w:rsid w:val="009857C8"/>
    <w:rsid w:val="00985F6A"/>
    <w:rsid w:val="009872B9"/>
    <w:rsid w:val="009874AB"/>
    <w:rsid w:val="0098791C"/>
    <w:rsid w:val="009908F0"/>
    <w:rsid w:val="00990AB6"/>
    <w:rsid w:val="0099101D"/>
    <w:rsid w:val="009910E5"/>
    <w:rsid w:val="009919D2"/>
    <w:rsid w:val="00991E89"/>
    <w:rsid w:val="00992355"/>
    <w:rsid w:val="00992439"/>
    <w:rsid w:val="00993957"/>
    <w:rsid w:val="00993A1E"/>
    <w:rsid w:val="009946E6"/>
    <w:rsid w:val="0099471C"/>
    <w:rsid w:val="00994842"/>
    <w:rsid w:val="00995A2A"/>
    <w:rsid w:val="00996786"/>
    <w:rsid w:val="0099687F"/>
    <w:rsid w:val="00996DF3"/>
    <w:rsid w:val="009A0C93"/>
    <w:rsid w:val="009A0EAE"/>
    <w:rsid w:val="009A12E1"/>
    <w:rsid w:val="009A1515"/>
    <w:rsid w:val="009A167F"/>
    <w:rsid w:val="009A1A37"/>
    <w:rsid w:val="009A1CED"/>
    <w:rsid w:val="009A22F9"/>
    <w:rsid w:val="009A27A1"/>
    <w:rsid w:val="009A2F4C"/>
    <w:rsid w:val="009A32C6"/>
    <w:rsid w:val="009A38BC"/>
    <w:rsid w:val="009A3B1F"/>
    <w:rsid w:val="009A3C84"/>
    <w:rsid w:val="009A48E0"/>
    <w:rsid w:val="009A4B03"/>
    <w:rsid w:val="009A573F"/>
    <w:rsid w:val="009A7194"/>
    <w:rsid w:val="009A72F9"/>
    <w:rsid w:val="009A7F90"/>
    <w:rsid w:val="009B0F82"/>
    <w:rsid w:val="009B1360"/>
    <w:rsid w:val="009B3712"/>
    <w:rsid w:val="009B373A"/>
    <w:rsid w:val="009B376B"/>
    <w:rsid w:val="009B377E"/>
    <w:rsid w:val="009B3FD1"/>
    <w:rsid w:val="009B4528"/>
    <w:rsid w:val="009B462A"/>
    <w:rsid w:val="009B46D4"/>
    <w:rsid w:val="009B56B6"/>
    <w:rsid w:val="009B5B57"/>
    <w:rsid w:val="009B5D3F"/>
    <w:rsid w:val="009B6EAB"/>
    <w:rsid w:val="009B7110"/>
    <w:rsid w:val="009B719A"/>
    <w:rsid w:val="009C0242"/>
    <w:rsid w:val="009C07AD"/>
    <w:rsid w:val="009C0A8F"/>
    <w:rsid w:val="009C0E0B"/>
    <w:rsid w:val="009C1263"/>
    <w:rsid w:val="009C1D1F"/>
    <w:rsid w:val="009C1F0E"/>
    <w:rsid w:val="009C2439"/>
    <w:rsid w:val="009C2BEA"/>
    <w:rsid w:val="009C2E11"/>
    <w:rsid w:val="009C332D"/>
    <w:rsid w:val="009C3946"/>
    <w:rsid w:val="009C3BA8"/>
    <w:rsid w:val="009C45A3"/>
    <w:rsid w:val="009C4DC6"/>
    <w:rsid w:val="009C4F47"/>
    <w:rsid w:val="009C5748"/>
    <w:rsid w:val="009C6082"/>
    <w:rsid w:val="009C64EA"/>
    <w:rsid w:val="009C691E"/>
    <w:rsid w:val="009C6E3D"/>
    <w:rsid w:val="009C7344"/>
    <w:rsid w:val="009C7CF0"/>
    <w:rsid w:val="009D036D"/>
    <w:rsid w:val="009D06D9"/>
    <w:rsid w:val="009D06EB"/>
    <w:rsid w:val="009D1928"/>
    <w:rsid w:val="009D3330"/>
    <w:rsid w:val="009D3DF1"/>
    <w:rsid w:val="009D4602"/>
    <w:rsid w:val="009D47A1"/>
    <w:rsid w:val="009D47AA"/>
    <w:rsid w:val="009D48DC"/>
    <w:rsid w:val="009D4EA1"/>
    <w:rsid w:val="009D50D3"/>
    <w:rsid w:val="009D55C7"/>
    <w:rsid w:val="009D5749"/>
    <w:rsid w:val="009D594D"/>
    <w:rsid w:val="009D5C8A"/>
    <w:rsid w:val="009D6F05"/>
    <w:rsid w:val="009D6FC5"/>
    <w:rsid w:val="009D7029"/>
    <w:rsid w:val="009D75E4"/>
    <w:rsid w:val="009D7B57"/>
    <w:rsid w:val="009D7DA3"/>
    <w:rsid w:val="009E03FE"/>
    <w:rsid w:val="009E0C69"/>
    <w:rsid w:val="009E149B"/>
    <w:rsid w:val="009E1894"/>
    <w:rsid w:val="009E1AE6"/>
    <w:rsid w:val="009E2A41"/>
    <w:rsid w:val="009E2B16"/>
    <w:rsid w:val="009E2BF8"/>
    <w:rsid w:val="009E2D49"/>
    <w:rsid w:val="009E3A7B"/>
    <w:rsid w:val="009E47B3"/>
    <w:rsid w:val="009E54BC"/>
    <w:rsid w:val="009E564D"/>
    <w:rsid w:val="009E76E5"/>
    <w:rsid w:val="009E770E"/>
    <w:rsid w:val="009E7CC2"/>
    <w:rsid w:val="009E7F8C"/>
    <w:rsid w:val="009F1DDA"/>
    <w:rsid w:val="009F1DFF"/>
    <w:rsid w:val="009F2065"/>
    <w:rsid w:val="009F2263"/>
    <w:rsid w:val="009F25A7"/>
    <w:rsid w:val="009F25AF"/>
    <w:rsid w:val="009F282C"/>
    <w:rsid w:val="009F2876"/>
    <w:rsid w:val="009F3C10"/>
    <w:rsid w:val="009F3E8D"/>
    <w:rsid w:val="009F460A"/>
    <w:rsid w:val="009F4B15"/>
    <w:rsid w:val="009F4F1B"/>
    <w:rsid w:val="009F51B6"/>
    <w:rsid w:val="009F559A"/>
    <w:rsid w:val="009F7D89"/>
    <w:rsid w:val="00A0071A"/>
    <w:rsid w:val="00A00E54"/>
    <w:rsid w:val="00A01717"/>
    <w:rsid w:val="00A01875"/>
    <w:rsid w:val="00A01B88"/>
    <w:rsid w:val="00A02123"/>
    <w:rsid w:val="00A024F6"/>
    <w:rsid w:val="00A028CF"/>
    <w:rsid w:val="00A0350E"/>
    <w:rsid w:val="00A0377F"/>
    <w:rsid w:val="00A03C01"/>
    <w:rsid w:val="00A03CBF"/>
    <w:rsid w:val="00A047D1"/>
    <w:rsid w:val="00A0485E"/>
    <w:rsid w:val="00A04E8E"/>
    <w:rsid w:val="00A04FCB"/>
    <w:rsid w:val="00A05175"/>
    <w:rsid w:val="00A05215"/>
    <w:rsid w:val="00A061BA"/>
    <w:rsid w:val="00A071CE"/>
    <w:rsid w:val="00A07E6B"/>
    <w:rsid w:val="00A10875"/>
    <w:rsid w:val="00A10F56"/>
    <w:rsid w:val="00A112C6"/>
    <w:rsid w:val="00A11413"/>
    <w:rsid w:val="00A116A6"/>
    <w:rsid w:val="00A12C31"/>
    <w:rsid w:val="00A1353F"/>
    <w:rsid w:val="00A13C12"/>
    <w:rsid w:val="00A1418D"/>
    <w:rsid w:val="00A1550F"/>
    <w:rsid w:val="00A157E7"/>
    <w:rsid w:val="00A15DA7"/>
    <w:rsid w:val="00A16EE7"/>
    <w:rsid w:val="00A1720C"/>
    <w:rsid w:val="00A172BE"/>
    <w:rsid w:val="00A17BD0"/>
    <w:rsid w:val="00A2017D"/>
    <w:rsid w:val="00A203AB"/>
    <w:rsid w:val="00A20D2E"/>
    <w:rsid w:val="00A21B39"/>
    <w:rsid w:val="00A21F1C"/>
    <w:rsid w:val="00A22AFB"/>
    <w:rsid w:val="00A23FD9"/>
    <w:rsid w:val="00A247F3"/>
    <w:rsid w:val="00A2507B"/>
    <w:rsid w:val="00A27638"/>
    <w:rsid w:val="00A2768D"/>
    <w:rsid w:val="00A27D0C"/>
    <w:rsid w:val="00A27E72"/>
    <w:rsid w:val="00A30B11"/>
    <w:rsid w:val="00A319AE"/>
    <w:rsid w:val="00A33031"/>
    <w:rsid w:val="00A330E5"/>
    <w:rsid w:val="00A3321F"/>
    <w:rsid w:val="00A333C6"/>
    <w:rsid w:val="00A33B95"/>
    <w:rsid w:val="00A33D05"/>
    <w:rsid w:val="00A33F5F"/>
    <w:rsid w:val="00A33FAC"/>
    <w:rsid w:val="00A34521"/>
    <w:rsid w:val="00A35873"/>
    <w:rsid w:val="00A40274"/>
    <w:rsid w:val="00A40375"/>
    <w:rsid w:val="00A405CB"/>
    <w:rsid w:val="00A40FB6"/>
    <w:rsid w:val="00A4118B"/>
    <w:rsid w:val="00A41808"/>
    <w:rsid w:val="00A429E6"/>
    <w:rsid w:val="00A438F0"/>
    <w:rsid w:val="00A43EDA"/>
    <w:rsid w:val="00A44009"/>
    <w:rsid w:val="00A44569"/>
    <w:rsid w:val="00A448CD"/>
    <w:rsid w:val="00A44B41"/>
    <w:rsid w:val="00A4552A"/>
    <w:rsid w:val="00A4591C"/>
    <w:rsid w:val="00A45D0E"/>
    <w:rsid w:val="00A45E01"/>
    <w:rsid w:val="00A4746D"/>
    <w:rsid w:val="00A47BC2"/>
    <w:rsid w:val="00A50201"/>
    <w:rsid w:val="00A5025D"/>
    <w:rsid w:val="00A50B0B"/>
    <w:rsid w:val="00A51183"/>
    <w:rsid w:val="00A52B86"/>
    <w:rsid w:val="00A53446"/>
    <w:rsid w:val="00A549D6"/>
    <w:rsid w:val="00A568DD"/>
    <w:rsid w:val="00A57C32"/>
    <w:rsid w:val="00A601A1"/>
    <w:rsid w:val="00A60401"/>
    <w:rsid w:val="00A60B7C"/>
    <w:rsid w:val="00A60DE6"/>
    <w:rsid w:val="00A617A2"/>
    <w:rsid w:val="00A61912"/>
    <w:rsid w:val="00A61E33"/>
    <w:rsid w:val="00A62009"/>
    <w:rsid w:val="00A62B16"/>
    <w:rsid w:val="00A62D6C"/>
    <w:rsid w:val="00A62DEC"/>
    <w:rsid w:val="00A632A3"/>
    <w:rsid w:val="00A63636"/>
    <w:rsid w:val="00A63911"/>
    <w:rsid w:val="00A63FB5"/>
    <w:rsid w:val="00A64190"/>
    <w:rsid w:val="00A646CD"/>
    <w:rsid w:val="00A64F2E"/>
    <w:rsid w:val="00A65101"/>
    <w:rsid w:val="00A65992"/>
    <w:rsid w:val="00A707E6"/>
    <w:rsid w:val="00A71A09"/>
    <w:rsid w:val="00A71A27"/>
    <w:rsid w:val="00A71ECF"/>
    <w:rsid w:val="00A723F7"/>
    <w:rsid w:val="00A72A3A"/>
    <w:rsid w:val="00A72B12"/>
    <w:rsid w:val="00A72E2D"/>
    <w:rsid w:val="00A7340B"/>
    <w:rsid w:val="00A73FE3"/>
    <w:rsid w:val="00A75A51"/>
    <w:rsid w:val="00A765FA"/>
    <w:rsid w:val="00A76D05"/>
    <w:rsid w:val="00A77C9D"/>
    <w:rsid w:val="00A80065"/>
    <w:rsid w:val="00A80AAC"/>
    <w:rsid w:val="00A81AF6"/>
    <w:rsid w:val="00A81D37"/>
    <w:rsid w:val="00A82C3D"/>
    <w:rsid w:val="00A82CB1"/>
    <w:rsid w:val="00A82EA2"/>
    <w:rsid w:val="00A83621"/>
    <w:rsid w:val="00A854E8"/>
    <w:rsid w:val="00A85773"/>
    <w:rsid w:val="00A85FAA"/>
    <w:rsid w:val="00A860B2"/>
    <w:rsid w:val="00A866B3"/>
    <w:rsid w:val="00A86780"/>
    <w:rsid w:val="00A86863"/>
    <w:rsid w:val="00A86D7A"/>
    <w:rsid w:val="00A86DB3"/>
    <w:rsid w:val="00A86ED8"/>
    <w:rsid w:val="00A905BA"/>
    <w:rsid w:val="00A9061E"/>
    <w:rsid w:val="00A91EF0"/>
    <w:rsid w:val="00A93882"/>
    <w:rsid w:val="00A938E0"/>
    <w:rsid w:val="00A93B06"/>
    <w:rsid w:val="00A93DF2"/>
    <w:rsid w:val="00A9432E"/>
    <w:rsid w:val="00A9457E"/>
    <w:rsid w:val="00A94738"/>
    <w:rsid w:val="00A947E2"/>
    <w:rsid w:val="00A94C02"/>
    <w:rsid w:val="00A94D3D"/>
    <w:rsid w:val="00A94FDF"/>
    <w:rsid w:val="00A96CFD"/>
    <w:rsid w:val="00A974CB"/>
    <w:rsid w:val="00A97EC7"/>
    <w:rsid w:val="00AA02E4"/>
    <w:rsid w:val="00AA0B21"/>
    <w:rsid w:val="00AA0F4D"/>
    <w:rsid w:val="00AA21A4"/>
    <w:rsid w:val="00AA2CC4"/>
    <w:rsid w:val="00AA3975"/>
    <w:rsid w:val="00AA45A3"/>
    <w:rsid w:val="00AA483D"/>
    <w:rsid w:val="00AA48A4"/>
    <w:rsid w:val="00AA56FC"/>
    <w:rsid w:val="00AA5AD3"/>
    <w:rsid w:val="00AA5EC0"/>
    <w:rsid w:val="00AA6837"/>
    <w:rsid w:val="00AA69BE"/>
    <w:rsid w:val="00AA6B16"/>
    <w:rsid w:val="00AA7383"/>
    <w:rsid w:val="00AA7A11"/>
    <w:rsid w:val="00AB0098"/>
    <w:rsid w:val="00AB0C57"/>
    <w:rsid w:val="00AB1667"/>
    <w:rsid w:val="00AB223B"/>
    <w:rsid w:val="00AB25CB"/>
    <w:rsid w:val="00AB28FD"/>
    <w:rsid w:val="00AB4242"/>
    <w:rsid w:val="00AB48DD"/>
    <w:rsid w:val="00AB60A6"/>
    <w:rsid w:val="00AB64F8"/>
    <w:rsid w:val="00AB6630"/>
    <w:rsid w:val="00AB66E8"/>
    <w:rsid w:val="00AB71EC"/>
    <w:rsid w:val="00AB7980"/>
    <w:rsid w:val="00AC1338"/>
    <w:rsid w:val="00AC1EF4"/>
    <w:rsid w:val="00AC28B1"/>
    <w:rsid w:val="00AC2980"/>
    <w:rsid w:val="00AC3BA6"/>
    <w:rsid w:val="00AC4043"/>
    <w:rsid w:val="00AC404D"/>
    <w:rsid w:val="00AC48A7"/>
    <w:rsid w:val="00AC4F3A"/>
    <w:rsid w:val="00AC5165"/>
    <w:rsid w:val="00AC61DE"/>
    <w:rsid w:val="00AC6C7B"/>
    <w:rsid w:val="00AC7E59"/>
    <w:rsid w:val="00AD0967"/>
    <w:rsid w:val="00AD0F99"/>
    <w:rsid w:val="00AD1A32"/>
    <w:rsid w:val="00AD1FEE"/>
    <w:rsid w:val="00AD224C"/>
    <w:rsid w:val="00AD36CE"/>
    <w:rsid w:val="00AD3E1F"/>
    <w:rsid w:val="00AD47E7"/>
    <w:rsid w:val="00AD53EA"/>
    <w:rsid w:val="00AD5875"/>
    <w:rsid w:val="00AD5C31"/>
    <w:rsid w:val="00AD6527"/>
    <w:rsid w:val="00AD6536"/>
    <w:rsid w:val="00AD6DB4"/>
    <w:rsid w:val="00AD7853"/>
    <w:rsid w:val="00AD7BC9"/>
    <w:rsid w:val="00AD7E9D"/>
    <w:rsid w:val="00AE08F5"/>
    <w:rsid w:val="00AE0A42"/>
    <w:rsid w:val="00AE12F3"/>
    <w:rsid w:val="00AE1CE5"/>
    <w:rsid w:val="00AE1E55"/>
    <w:rsid w:val="00AE24BE"/>
    <w:rsid w:val="00AE255C"/>
    <w:rsid w:val="00AE2A4B"/>
    <w:rsid w:val="00AE3436"/>
    <w:rsid w:val="00AE3971"/>
    <w:rsid w:val="00AE3D1A"/>
    <w:rsid w:val="00AE433F"/>
    <w:rsid w:val="00AE4B2E"/>
    <w:rsid w:val="00AE4E8D"/>
    <w:rsid w:val="00AE5058"/>
    <w:rsid w:val="00AE50C5"/>
    <w:rsid w:val="00AE545A"/>
    <w:rsid w:val="00AE55C3"/>
    <w:rsid w:val="00AE5935"/>
    <w:rsid w:val="00AE64A9"/>
    <w:rsid w:val="00AE68E8"/>
    <w:rsid w:val="00AE6D38"/>
    <w:rsid w:val="00AE6F98"/>
    <w:rsid w:val="00AE709D"/>
    <w:rsid w:val="00AE7165"/>
    <w:rsid w:val="00AE7ACC"/>
    <w:rsid w:val="00AE7D8E"/>
    <w:rsid w:val="00AF65FF"/>
    <w:rsid w:val="00AF6659"/>
    <w:rsid w:val="00AF67A7"/>
    <w:rsid w:val="00AF793E"/>
    <w:rsid w:val="00B00428"/>
    <w:rsid w:val="00B00A28"/>
    <w:rsid w:val="00B00BE0"/>
    <w:rsid w:val="00B01933"/>
    <w:rsid w:val="00B01F34"/>
    <w:rsid w:val="00B02FB2"/>
    <w:rsid w:val="00B03C1D"/>
    <w:rsid w:val="00B03FD2"/>
    <w:rsid w:val="00B05042"/>
    <w:rsid w:val="00B051E0"/>
    <w:rsid w:val="00B062EF"/>
    <w:rsid w:val="00B066E7"/>
    <w:rsid w:val="00B070CB"/>
    <w:rsid w:val="00B0776A"/>
    <w:rsid w:val="00B0782A"/>
    <w:rsid w:val="00B10588"/>
    <w:rsid w:val="00B10E8D"/>
    <w:rsid w:val="00B12436"/>
    <w:rsid w:val="00B124DF"/>
    <w:rsid w:val="00B12C95"/>
    <w:rsid w:val="00B1333B"/>
    <w:rsid w:val="00B14F37"/>
    <w:rsid w:val="00B17611"/>
    <w:rsid w:val="00B17BDD"/>
    <w:rsid w:val="00B17EE6"/>
    <w:rsid w:val="00B2013C"/>
    <w:rsid w:val="00B2048D"/>
    <w:rsid w:val="00B20876"/>
    <w:rsid w:val="00B20DF0"/>
    <w:rsid w:val="00B20F28"/>
    <w:rsid w:val="00B213A8"/>
    <w:rsid w:val="00B21869"/>
    <w:rsid w:val="00B21DA3"/>
    <w:rsid w:val="00B21E4F"/>
    <w:rsid w:val="00B22605"/>
    <w:rsid w:val="00B238F8"/>
    <w:rsid w:val="00B23DB8"/>
    <w:rsid w:val="00B258FC"/>
    <w:rsid w:val="00B26BEF"/>
    <w:rsid w:val="00B311A3"/>
    <w:rsid w:val="00B31409"/>
    <w:rsid w:val="00B314DA"/>
    <w:rsid w:val="00B315DE"/>
    <w:rsid w:val="00B31618"/>
    <w:rsid w:val="00B31F12"/>
    <w:rsid w:val="00B32146"/>
    <w:rsid w:val="00B32E8E"/>
    <w:rsid w:val="00B34274"/>
    <w:rsid w:val="00B35314"/>
    <w:rsid w:val="00B35FB3"/>
    <w:rsid w:val="00B3709F"/>
    <w:rsid w:val="00B3772C"/>
    <w:rsid w:val="00B37A98"/>
    <w:rsid w:val="00B41467"/>
    <w:rsid w:val="00B41650"/>
    <w:rsid w:val="00B41CC1"/>
    <w:rsid w:val="00B427E6"/>
    <w:rsid w:val="00B432B8"/>
    <w:rsid w:val="00B4343E"/>
    <w:rsid w:val="00B43790"/>
    <w:rsid w:val="00B43832"/>
    <w:rsid w:val="00B438B1"/>
    <w:rsid w:val="00B44C15"/>
    <w:rsid w:val="00B44CF9"/>
    <w:rsid w:val="00B457B6"/>
    <w:rsid w:val="00B45BE8"/>
    <w:rsid w:val="00B46527"/>
    <w:rsid w:val="00B46AF4"/>
    <w:rsid w:val="00B4717C"/>
    <w:rsid w:val="00B4740C"/>
    <w:rsid w:val="00B475E4"/>
    <w:rsid w:val="00B47BC3"/>
    <w:rsid w:val="00B504F8"/>
    <w:rsid w:val="00B515A5"/>
    <w:rsid w:val="00B5200C"/>
    <w:rsid w:val="00B53561"/>
    <w:rsid w:val="00B536FC"/>
    <w:rsid w:val="00B5449A"/>
    <w:rsid w:val="00B5517F"/>
    <w:rsid w:val="00B55E83"/>
    <w:rsid w:val="00B56528"/>
    <w:rsid w:val="00B56D9C"/>
    <w:rsid w:val="00B572E6"/>
    <w:rsid w:val="00B60825"/>
    <w:rsid w:val="00B608EC"/>
    <w:rsid w:val="00B60CD2"/>
    <w:rsid w:val="00B60ECF"/>
    <w:rsid w:val="00B60F1C"/>
    <w:rsid w:val="00B60FF7"/>
    <w:rsid w:val="00B61029"/>
    <w:rsid w:val="00B6118C"/>
    <w:rsid w:val="00B627EE"/>
    <w:rsid w:val="00B62813"/>
    <w:rsid w:val="00B62DF7"/>
    <w:rsid w:val="00B63A5E"/>
    <w:rsid w:val="00B64912"/>
    <w:rsid w:val="00B64EAD"/>
    <w:rsid w:val="00B6541B"/>
    <w:rsid w:val="00B65D42"/>
    <w:rsid w:val="00B66A9C"/>
    <w:rsid w:val="00B66D05"/>
    <w:rsid w:val="00B66D72"/>
    <w:rsid w:val="00B67148"/>
    <w:rsid w:val="00B674C3"/>
    <w:rsid w:val="00B67D4D"/>
    <w:rsid w:val="00B70140"/>
    <w:rsid w:val="00B7044F"/>
    <w:rsid w:val="00B70AE9"/>
    <w:rsid w:val="00B70B42"/>
    <w:rsid w:val="00B70E21"/>
    <w:rsid w:val="00B710C4"/>
    <w:rsid w:val="00B71CC4"/>
    <w:rsid w:val="00B72DC8"/>
    <w:rsid w:val="00B73958"/>
    <w:rsid w:val="00B739D8"/>
    <w:rsid w:val="00B73AC6"/>
    <w:rsid w:val="00B75220"/>
    <w:rsid w:val="00B758F4"/>
    <w:rsid w:val="00B75CB7"/>
    <w:rsid w:val="00B7645F"/>
    <w:rsid w:val="00B76D83"/>
    <w:rsid w:val="00B76E16"/>
    <w:rsid w:val="00B76E27"/>
    <w:rsid w:val="00B779E3"/>
    <w:rsid w:val="00B803E2"/>
    <w:rsid w:val="00B80DB3"/>
    <w:rsid w:val="00B80E5C"/>
    <w:rsid w:val="00B8101E"/>
    <w:rsid w:val="00B8103D"/>
    <w:rsid w:val="00B8162E"/>
    <w:rsid w:val="00B82CAC"/>
    <w:rsid w:val="00B82CBD"/>
    <w:rsid w:val="00B83124"/>
    <w:rsid w:val="00B8325B"/>
    <w:rsid w:val="00B84D9B"/>
    <w:rsid w:val="00B85CA9"/>
    <w:rsid w:val="00B85D10"/>
    <w:rsid w:val="00B868AD"/>
    <w:rsid w:val="00B86CFE"/>
    <w:rsid w:val="00B87408"/>
    <w:rsid w:val="00B876EB"/>
    <w:rsid w:val="00B87CC0"/>
    <w:rsid w:val="00B91981"/>
    <w:rsid w:val="00B922BB"/>
    <w:rsid w:val="00B92890"/>
    <w:rsid w:val="00B92B25"/>
    <w:rsid w:val="00B92CF4"/>
    <w:rsid w:val="00B9361B"/>
    <w:rsid w:val="00B93F87"/>
    <w:rsid w:val="00B942D8"/>
    <w:rsid w:val="00B94358"/>
    <w:rsid w:val="00B959E3"/>
    <w:rsid w:val="00B96941"/>
    <w:rsid w:val="00B96E35"/>
    <w:rsid w:val="00B96E63"/>
    <w:rsid w:val="00B97C36"/>
    <w:rsid w:val="00BA0598"/>
    <w:rsid w:val="00BA09A6"/>
    <w:rsid w:val="00BA129F"/>
    <w:rsid w:val="00BA12C4"/>
    <w:rsid w:val="00BA1B6A"/>
    <w:rsid w:val="00BA2ACE"/>
    <w:rsid w:val="00BA3034"/>
    <w:rsid w:val="00BA33EB"/>
    <w:rsid w:val="00BA3910"/>
    <w:rsid w:val="00BA49EA"/>
    <w:rsid w:val="00BA49F6"/>
    <w:rsid w:val="00BA580E"/>
    <w:rsid w:val="00BA5A3C"/>
    <w:rsid w:val="00BA65F5"/>
    <w:rsid w:val="00BA6B4A"/>
    <w:rsid w:val="00BA7269"/>
    <w:rsid w:val="00BA7277"/>
    <w:rsid w:val="00BA73F1"/>
    <w:rsid w:val="00BA763C"/>
    <w:rsid w:val="00BA79A8"/>
    <w:rsid w:val="00BA7CE6"/>
    <w:rsid w:val="00BA7EBB"/>
    <w:rsid w:val="00BB1F35"/>
    <w:rsid w:val="00BB2576"/>
    <w:rsid w:val="00BB2A1A"/>
    <w:rsid w:val="00BB3BDA"/>
    <w:rsid w:val="00BB45F5"/>
    <w:rsid w:val="00BB69CB"/>
    <w:rsid w:val="00BB6C44"/>
    <w:rsid w:val="00BB6E17"/>
    <w:rsid w:val="00BB72EA"/>
    <w:rsid w:val="00BB7AF6"/>
    <w:rsid w:val="00BC01B9"/>
    <w:rsid w:val="00BC02A7"/>
    <w:rsid w:val="00BC068E"/>
    <w:rsid w:val="00BC0BD3"/>
    <w:rsid w:val="00BC0BEF"/>
    <w:rsid w:val="00BC0C31"/>
    <w:rsid w:val="00BC0CEB"/>
    <w:rsid w:val="00BC139A"/>
    <w:rsid w:val="00BC2A9C"/>
    <w:rsid w:val="00BC33D0"/>
    <w:rsid w:val="00BC35B6"/>
    <w:rsid w:val="00BC37C3"/>
    <w:rsid w:val="00BC45D7"/>
    <w:rsid w:val="00BC5096"/>
    <w:rsid w:val="00BC5957"/>
    <w:rsid w:val="00BC5FA8"/>
    <w:rsid w:val="00BC626C"/>
    <w:rsid w:val="00BC6487"/>
    <w:rsid w:val="00BC681F"/>
    <w:rsid w:val="00BC7AF7"/>
    <w:rsid w:val="00BC7EA5"/>
    <w:rsid w:val="00BD03EC"/>
    <w:rsid w:val="00BD088E"/>
    <w:rsid w:val="00BD1863"/>
    <w:rsid w:val="00BD3C4D"/>
    <w:rsid w:val="00BD3F33"/>
    <w:rsid w:val="00BD41A0"/>
    <w:rsid w:val="00BD47DE"/>
    <w:rsid w:val="00BD4EF0"/>
    <w:rsid w:val="00BD502E"/>
    <w:rsid w:val="00BD50E5"/>
    <w:rsid w:val="00BD59B3"/>
    <w:rsid w:val="00BD673F"/>
    <w:rsid w:val="00BD73C0"/>
    <w:rsid w:val="00BD7835"/>
    <w:rsid w:val="00BD79C3"/>
    <w:rsid w:val="00BD7D7A"/>
    <w:rsid w:val="00BE0B91"/>
    <w:rsid w:val="00BE0EA7"/>
    <w:rsid w:val="00BE1793"/>
    <w:rsid w:val="00BE1928"/>
    <w:rsid w:val="00BE1DA8"/>
    <w:rsid w:val="00BE213D"/>
    <w:rsid w:val="00BE27AD"/>
    <w:rsid w:val="00BE289C"/>
    <w:rsid w:val="00BE2987"/>
    <w:rsid w:val="00BE2998"/>
    <w:rsid w:val="00BE318B"/>
    <w:rsid w:val="00BE34E2"/>
    <w:rsid w:val="00BE396A"/>
    <w:rsid w:val="00BE3C8C"/>
    <w:rsid w:val="00BE4681"/>
    <w:rsid w:val="00BE4BE3"/>
    <w:rsid w:val="00BE4EB5"/>
    <w:rsid w:val="00BE5CDB"/>
    <w:rsid w:val="00BE5E98"/>
    <w:rsid w:val="00BE646A"/>
    <w:rsid w:val="00BE646B"/>
    <w:rsid w:val="00BE6786"/>
    <w:rsid w:val="00BE6F82"/>
    <w:rsid w:val="00BE719D"/>
    <w:rsid w:val="00BE7B7B"/>
    <w:rsid w:val="00BF0492"/>
    <w:rsid w:val="00BF04B6"/>
    <w:rsid w:val="00BF095A"/>
    <w:rsid w:val="00BF15F8"/>
    <w:rsid w:val="00BF343A"/>
    <w:rsid w:val="00BF3499"/>
    <w:rsid w:val="00BF38EF"/>
    <w:rsid w:val="00BF408D"/>
    <w:rsid w:val="00BF5B01"/>
    <w:rsid w:val="00BF69BC"/>
    <w:rsid w:val="00BF6A60"/>
    <w:rsid w:val="00BF6EA8"/>
    <w:rsid w:val="00BF7633"/>
    <w:rsid w:val="00BF7B9E"/>
    <w:rsid w:val="00BF7BCA"/>
    <w:rsid w:val="00C00EF6"/>
    <w:rsid w:val="00C01526"/>
    <w:rsid w:val="00C02802"/>
    <w:rsid w:val="00C0319E"/>
    <w:rsid w:val="00C038DF"/>
    <w:rsid w:val="00C046EB"/>
    <w:rsid w:val="00C04A8E"/>
    <w:rsid w:val="00C04B1E"/>
    <w:rsid w:val="00C05647"/>
    <w:rsid w:val="00C057FE"/>
    <w:rsid w:val="00C05A53"/>
    <w:rsid w:val="00C0717F"/>
    <w:rsid w:val="00C074BC"/>
    <w:rsid w:val="00C076CA"/>
    <w:rsid w:val="00C10580"/>
    <w:rsid w:val="00C10F04"/>
    <w:rsid w:val="00C11AC4"/>
    <w:rsid w:val="00C11DBC"/>
    <w:rsid w:val="00C12532"/>
    <w:rsid w:val="00C13DF8"/>
    <w:rsid w:val="00C15BAF"/>
    <w:rsid w:val="00C15E68"/>
    <w:rsid w:val="00C15EBB"/>
    <w:rsid w:val="00C15EE1"/>
    <w:rsid w:val="00C16707"/>
    <w:rsid w:val="00C1682B"/>
    <w:rsid w:val="00C16CDA"/>
    <w:rsid w:val="00C17C66"/>
    <w:rsid w:val="00C202AE"/>
    <w:rsid w:val="00C20F60"/>
    <w:rsid w:val="00C215C2"/>
    <w:rsid w:val="00C215C5"/>
    <w:rsid w:val="00C21E41"/>
    <w:rsid w:val="00C21F45"/>
    <w:rsid w:val="00C225E9"/>
    <w:rsid w:val="00C22F1E"/>
    <w:rsid w:val="00C231C8"/>
    <w:rsid w:val="00C2361A"/>
    <w:rsid w:val="00C236B3"/>
    <w:rsid w:val="00C23A75"/>
    <w:rsid w:val="00C24477"/>
    <w:rsid w:val="00C2472D"/>
    <w:rsid w:val="00C2483D"/>
    <w:rsid w:val="00C24853"/>
    <w:rsid w:val="00C25295"/>
    <w:rsid w:val="00C25405"/>
    <w:rsid w:val="00C25AAC"/>
    <w:rsid w:val="00C2792B"/>
    <w:rsid w:val="00C27BE4"/>
    <w:rsid w:val="00C30890"/>
    <w:rsid w:val="00C314A0"/>
    <w:rsid w:val="00C32D34"/>
    <w:rsid w:val="00C33A1E"/>
    <w:rsid w:val="00C347F8"/>
    <w:rsid w:val="00C347FF"/>
    <w:rsid w:val="00C351CD"/>
    <w:rsid w:val="00C35601"/>
    <w:rsid w:val="00C3569B"/>
    <w:rsid w:val="00C357BE"/>
    <w:rsid w:val="00C35C62"/>
    <w:rsid w:val="00C36031"/>
    <w:rsid w:val="00C36553"/>
    <w:rsid w:val="00C36DBB"/>
    <w:rsid w:val="00C37C7A"/>
    <w:rsid w:val="00C40765"/>
    <w:rsid w:val="00C40D7E"/>
    <w:rsid w:val="00C419B4"/>
    <w:rsid w:val="00C422FE"/>
    <w:rsid w:val="00C432A4"/>
    <w:rsid w:val="00C438E8"/>
    <w:rsid w:val="00C446FE"/>
    <w:rsid w:val="00C44909"/>
    <w:rsid w:val="00C44B40"/>
    <w:rsid w:val="00C44B5C"/>
    <w:rsid w:val="00C44D45"/>
    <w:rsid w:val="00C45774"/>
    <w:rsid w:val="00C457FA"/>
    <w:rsid w:val="00C4587C"/>
    <w:rsid w:val="00C4629F"/>
    <w:rsid w:val="00C4636F"/>
    <w:rsid w:val="00C46F26"/>
    <w:rsid w:val="00C47037"/>
    <w:rsid w:val="00C47698"/>
    <w:rsid w:val="00C47D85"/>
    <w:rsid w:val="00C513D8"/>
    <w:rsid w:val="00C524DB"/>
    <w:rsid w:val="00C527F3"/>
    <w:rsid w:val="00C5280A"/>
    <w:rsid w:val="00C5457E"/>
    <w:rsid w:val="00C54E9C"/>
    <w:rsid w:val="00C5584A"/>
    <w:rsid w:val="00C55E46"/>
    <w:rsid w:val="00C56D72"/>
    <w:rsid w:val="00C5766D"/>
    <w:rsid w:val="00C57CA9"/>
    <w:rsid w:val="00C614E7"/>
    <w:rsid w:val="00C615B1"/>
    <w:rsid w:val="00C61F50"/>
    <w:rsid w:val="00C626F4"/>
    <w:rsid w:val="00C6271A"/>
    <w:rsid w:val="00C62B13"/>
    <w:rsid w:val="00C62D07"/>
    <w:rsid w:val="00C644CD"/>
    <w:rsid w:val="00C645B3"/>
    <w:rsid w:val="00C64C21"/>
    <w:rsid w:val="00C659CB"/>
    <w:rsid w:val="00C66B25"/>
    <w:rsid w:val="00C66C0B"/>
    <w:rsid w:val="00C679D4"/>
    <w:rsid w:val="00C67E13"/>
    <w:rsid w:val="00C701A0"/>
    <w:rsid w:val="00C70991"/>
    <w:rsid w:val="00C70D10"/>
    <w:rsid w:val="00C71243"/>
    <w:rsid w:val="00C71783"/>
    <w:rsid w:val="00C718F1"/>
    <w:rsid w:val="00C71F89"/>
    <w:rsid w:val="00C7400B"/>
    <w:rsid w:val="00C744BD"/>
    <w:rsid w:val="00C75BE1"/>
    <w:rsid w:val="00C76752"/>
    <w:rsid w:val="00C76DF3"/>
    <w:rsid w:val="00C77AB8"/>
    <w:rsid w:val="00C81E30"/>
    <w:rsid w:val="00C83DC9"/>
    <w:rsid w:val="00C84B0F"/>
    <w:rsid w:val="00C85D75"/>
    <w:rsid w:val="00C86427"/>
    <w:rsid w:val="00C8675E"/>
    <w:rsid w:val="00C86919"/>
    <w:rsid w:val="00C86BDF"/>
    <w:rsid w:val="00C900FA"/>
    <w:rsid w:val="00C907C0"/>
    <w:rsid w:val="00C91080"/>
    <w:rsid w:val="00C913B8"/>
    <w:rsid w:val="00C91464"/>
    <w:rsid w:val="00C91F92"/>
    <w:rsid w:val="00C92DC7"/>
    <w:rsid w:val="00C9307D"/>
    <w:rsid w:val="00C93943"/>
    <w:rsid w:val="00C93EA7"/>
    <w:rsid w:val="00C9410A"/>
    <w:rsid w:val="00C9437B"/>
    <w:rsid w:val="00C9518F"/>
    <w:rsid w:val="00C952C9"/>
    <w:rsid w:val="00C95C16"/>
    <w:rsid w:val="00C961F0"/>
    <w:rsid w:val="00C966D4"/>
    <w:rsid w:val="00C96A29"/>
    <w:rsid w:val="00C9711E"/>
    <w:rsid w:val="00C973D1"/>
    <w:rsid w:val="00CA2047"/>
    <w:rsid w:val="00CA305C"/>
    <w:rsid w:val="00CA332F"/>
    <w:rsid w:val="00CA461C"/>
    <w:rsid w:val="00CA4A89"/>
    <w:rsid w:val="00CA509E"/>
    <w:rsid w:val="00CA55D9"/>
    <w:rsid w:val="00CA584A"/>
    <w:rsid w:val="00CA5B94"/>
    <w:rsid w:val="00CA5CE3"/>
    <w:rsid w:val="00CA63AC"/>
    <w:rsid w:val="00CA66E5"/>
    <w:rsid w:val="00CA687B"/>
    <w:rsid w:val="00CA6B41"/>
    <w:rsid w:val="00CA6CC5"/>
    <w:rsid w:val="00CA71D7"/>
    <w:rsid w:val="00CA7BE1"/>
    <w:rsid w:val="00CA7F4D"/>
    <w:rsid w:val="00CB138C"/>
    <w:rsid w:val="00CB1C65"/>
    <w:rsid w:val="00CB2737"/>
    <w:rsid w:val="00CB2A13"/>
    <w:rsid w:val="00CB2C3A"/>
    <w:rsid w:val="00CB303E"/>
    <w:rsid w:val="00CB33DA"/>
    <w:rsid w:val="00CB3D69"/>
    <w:rsid w:val="00CB4168"/>
    <w:rsid w:val="00CB4443"/>
    <w:rsid w:val="00CB492D"/>
    <w:rsid w:val="00CB4A17"/>
    <w:rsid w:val="00CB563D"/>
    <w:rsid w:val="00CB66D7"/>
    <w:rsid w:val="00CC0487"/>
    <w:rsid w:val="00CC255D"/>
    <w:rsid w:val="00CC258E"/>
    <w:rsid w:val="00CC2904"/>
    <w:rsid w:val="00CC2C63"/>
    <w:rsid w:val="00CC2D6F"/>
    <w:rsid w:val="00CC3273"/>
    <w:rsid w:val="00CC338A"/>
    <w:rsid w:val="00CC5137"/>
    <w:rsid w:val="00CC54F7"/>
    <w:rsid w:val="00CC5FD6"/>
    <w:rsid w:val="00CC615D"/>
    <w:rsid w:val="00CC62F9"/>
    <w:rsid w:val="00CC6BFE"/>
    <w:rsid w:val="00CC7292"/>
    <w:rsid w:val="00CC758E"/>
    <w:rsid w:val="00CD00BE"/>
    <w:rsid w:val="00CD10C2"/>
    <w:rsid w:val="00CD12B3"/>
    <w:rsid w:val="00CD22B6"/>
    <w:rsid w:val="00CD23BA"/>
    <w:rsid w:val="00CD240F"/>
    <w:rsid w:val="00CD2F67"/>
    <w:rsid w:val="00CD3CDB"/>
    <w:rsid w:val="00CD3F90"/>
    <w:rsid w:val="00CD5187"/>
    <w:rsid w:val="00CD538A"/>
    <w:rsid w:val="00CD601A"/>
    <w:rsid w:val="00CD60E6"/>
    <w:rsid w:val="00CD6151"/>
    <w:rsid w:val="00CD637C"/>
    <w:rsid w:val="00CD6EAB"/>
    <w:rsid w:val="00CD72A6"/>
    <w:rsid w:val="00CD740E"/>
    <w:rsid w:val="00CE0A92"/>
    <w:rsid w:val="00CE0C80"/>
    <w:rsid w:val="00CE1320"/>
    <w:rsid w:val="00CE136B"/>
    <w:rsid w:val="00CE1FBF"/>
    <w:rsid w:val="00CE29C1"/>
    <w:rsid w:val="00CE2A50"/>
    <w:rsid w:val="00CE2C91"/>
    <w:rsid w:val="00CE3214"/>
    <w:rsid w:val="00CE324F"/>
    <w:rsid w:val="00CE3694"/>
    <w:rsid w:val="00CE4450"/>
    <w:rsid w:val="00CE45F9"/>
    <w:rsid w:val="00CE4E7D"/>
    <w:rsid w:val="00CE4F5E"/>
    <w:rsid w:val="00CE54EA"/>
    <w:rsid w:val="00CE5C9E"/>
    <w:rsid w:val="00CE5DF6"/>
    <w:rsid w:val="00CE5EEC"/>
    <w:rsid w:val="00CE62C3"/>
    <w:rsid w:val="00CE6EBB"/>
    <w:rsid w:val="00CE6F20"/>
    <w:rsid w:val="00CE7091"/>
    <w:rsid w:val="00CE7247"/>
    <w:rsid w:val="00CE7536"/>
    <w:rsid w:val="00CE76C6"/>
    <w:rsid w:val="00CF012D"/>
    <w:rsid w:val="00CF18DD"/>
    <w:rsid w:val="00CF19C2"/>
    <w:rsid w:val="00CF1C2E"/>
    <w:rsid w:val="00CF2115"/>
    <w:rsid w:val="00CF2534"/>
    <w:rsid w:val="00CF2688"/>
    <w:rsid w:val="00CF3581"/>
    <w:rsid w:val="00CF4D41"/>
    <w:rsid w:val="00CF6160"/>
    <w:rsid w:val="00CF61FD"/>
    <w:rsid w:val="00CF7038"/>
    <w:rsid w:val="00CF7488"/>
    <w:rsid w:val="00CF7A47"/>
    <w:rsid w:val="00CF7B6D"/>
    <w:rsid w:val="00CF7C6F"/>
    <w:rsid w:val="00CF7DD7"/>
    <w:rsid w:val="00D004A3"/>
    <w:rsid w:val="00D0075A"/>
    <w:rsid w:val="00D00A7E"/>
    <w:rsid w:val="00D00B94"/>
    <w:rsid w:val="00D011AB"/>
    <w:rsid w:val="00D015D2"/>
    <w:rsid w:val="00D03CDC"/>
    <w:rsid w:val="00D03DA5"/>
    <w:rsid w:val="00D03F3C"/>
    <w:rsid w:val="00D0461B"/>
    <w:rsid w:val="00D04844"/>
    <w:rsid w:val="00D05387"/>
    <w:rsid w:val="00D05CC3"/>
    <w:rsid w:val="00D05F6D"/>
    <w:rsid w:val="00D062FE"/>
    <w:rsid w:val="00D066A8"/>
    <w:rsid w:val="00D06830"/>
    <w:rsid w:val="00D07284"/>
    <w:rsid w:val="00D074CF"/>
    <w:rsid w:val="00D07EF0"/>
    <w:rsid w:val="00D1024F"/>
    <w:rsid w:val="00D103AF"/>
    <w:rsid w:val="00D1097B"/>
    <w:rsid w:val="00D111A4"/>
    <w:rsid w:val="00D11F4A"/>
    <w:rsid w:val="00D12B19"/>
    <w:rsid w:val="00D12BC1"/>
    <w:rsid w:val="00D14649"/>
    <w:rsid w:val="00D14E32"/>
    <w:rsid w:val="00D14E6F"/>
    <w:rsid w:val="00D1557B"/>
    <w:rsid w:val="00D15B9F"/>
    <w:rsid w:val="00D1684A"/>
    <w:rsid w:val="00D1755F"/>
    <w:rsid w:val="00D17641"/>
    <w:rsid w:val="00D17877"/>
    <w:rsid w:val="00D17D13"/>
    <w:rsid w:val="00D20A3E"/>
    <w:rsid w:val="00D20FC9"/>
    <w:rsid w:val="00D2128B"/>
    <w:rsid w:val="00D21422"/>
    <w:rsid w:val="00D21C78"/>
    <w:rsid w:val="00D21E5E"/>
    <w:rsid w:val="00D2270F"/>
    <w:rsid w:val="00D230CD"/>
    <w:rsid w:val="00D2426D"/>
    <w:rsid w:val="00D244FB"/>
    <w:rsid w:val="00D253AA"/>
    <w:rsid w:val="00D25CD6"/>
    <w:rsid w:val="00D25E0F"/>
    <w:rsid w:val="00D25FC6"/>
    <w:rsid w:val="00D26825"/>
    <w:rsid w:val="00D26892"/>
    <w:rsid w:val="00D2725C"/>
    <w:rsid w:val="00D276BB"/>
    <w:rsid w:val="00D27ABE"/>
    <w:rsid w:val="00D3001A"/>
    <w:rsid w:val="00D30681"/>
    <w:rsid w:val="00D306FE"/>
    <w:rsid w:val="00D30B89"/>
    <w:rsid w:val="00D30BA2"/>
    <w:rsid w:val="00D30CA5"/>
    <w:rsid w:val="00D315FF"/>
    <w:rsid w:val="00D317E9"/>
    <w:rsid w:val="00D318B0"/>
    <w:rsid w:val="00D31A83"/>
    <w:rsid w:val="00D31A98"/>
    <w:rsid w:val="00D32C97"/>
    <w:rsid w:val="00D338A5"/>
    <w:rsid w:val="00D33C4C"/>
    <w:rsid w:val="00D3417F"/>
    <w:rsid w:val="00D341DE"/>
    <w:rsid w:val="00D3434F"/>
    <w:rsid w:val="00D34C3B"/>
    <w:rsid w:val="00D351E2"/>
    <w:rsid w:val="00D35241"/>
    <w:rsid w:val="00D37367"/>
    <w:rsid w:val="00D37586"/>
    <w:rsid w:val="00D3758A"/>
    <w:rsid w:val="00D3765F"/>
    <w:rsid w:val="00D3788A"/>
    <w:rsid w:val="00D37A8E"/>
    <w:rsid w:val="00D37B13"/>
    <w:rsid w:val="00D37F13"/>
    <w:rsid w:val="00D37F31"/>
    <w:rsid w:val="00D40866"/>
    <w:rsid w:val="00D41199"/>
    <w:rsid w:val="00D41408"/>
    <w:rsid w:val="00D41AF5"/>
    <w:rsid w:val="00D421F3"/>
    <w:rsid w:val="00D4228D"/>
    <w:rsid w:val="00D42562"/>
    <w:rsid w:val="00D4310C"/>
    <w:rsid w:val="00D43447"/>
    <w:rsid w:val="00D437A5"/>
    <w:rsid w:val="00D443C7"/>
    <w:rsid w:val="00D450D0"/>
    <w:rsid w:val="00D457C9"/>
    <w:rsid w:val="00D46BBE"/>
    <w:rsid w:val="00D46DC5"/>
    <w:rsid w:val="00D46E2F"/>
    <w:rsid w:val="00D47E80"/>
    <w:rsid w:val="00D47F97"/>
    <w:rsid w:val="00D50315"/>
    <w:rsid w:val="00D50DE8"/>
    <w:rsid w:val="00D50DF9"/>
    <w:rsid w:val="00D510DA"/>
    <w:rsid w:val="00D51790"/>
    <w:rsid w:val="00D51A52"/>
    <w:rsid w:val="00D51F02"/>
    <w:rsid w:val="00D51F23"/>
    <w:rsid w:val="00D5202B"/>
    <w:rsid w:val="00D522CD"/>
    <w:rsid w:val="00D53585"/>
    <w:rsid w:val="00D5365D"/>
    <w:rsid w:val="00D5434B"/>
    <w:rsid w:val="00D5489D"/>
    <w:rsid w:val="00D5519A"/>
    <w:rsid w:val="00D5523E"/>
    <w:rsid w:val="00D56CFD"/>
    <w:rsid w:val="00D604AE"/>
    <w:rsid w:val="00D608A0"/>
    <w:rsid w:val="00D6097D"/>
    <w:rsid w:val="00D609CB"/>
    <w:rsid w:val="00D60BE5"/>
    <w:rsid w:val="00D60D60"/>
    <w:rsid w:val="00D618BB"/>
    <w:rsid w:val="00D61D13"/>
    <w:rsid w:val="00D6337A"/>
    <w:rsid w:val="00D635D9"/>
    <w:rsid w:val="00D63B7D"/>
    <w:rsid w:val="00D64410"/>
    <w:rsid w:val="00D64CD1"/>
    <w:rsid w:val="00D64D94"/>
    <w:rsid w:val="00D655C1"/>
    <w:rsid w:val="00D65BE7"/>
    <w:rsid w:val="00D65DA3"/>
    <w:rsid w:val="00D67331"/>
    <w:rsid w:val="00D67524"/>
    <w:rsid w:val="00D67764"/>
    <w:rsid w:val="00D67904"/>
    <w:rsid w:val="00D67CD9"/>
    <w:rsid w:val="00D70B5E"/>
    <w:rsid w:val="00D72164"/>
    <w:rsid w:val="00D72477"/>
    <w:rsid w:val="00D73C40"/>
    <w:rsid w:val="00D74656"/>
    <w:rsid w:val="00D75B54"/>
    <w:rsid w:val="00D76362"/>
    <w:rsid w:val="00D76773"/>
    <w:rsid w:val="00D76F8C"/>
    <w:rsid w:val="00D77036"/>
    <w:rsid w:val="00D77857"/>
    <w:rsid w:val="00D77FA0"/>
    <w:rsid w:val="00D80A12"/>
    <w:rsid w:val="00D8160E"/>
    <w:rsid w:val="00D8182E"/>
    <w:rsid w:val="00D8251F"/>
    <w:rsid w:val="00D82F1A"/>
    <w:rsid w:val="00D83191"/>
    <w:rsid w:val="00D83391"/>
    <w:rsid w:val="00D8370A"/>
    <w:rsid w:val="00D83D15"/>
    <w:rsid w:val="00D84244"/>
    <w:rsid w:val="00D84948"/>
    <w:rsid w:val="00D8533F"/>
    <w:rsid w:val="00D86163"/>
    <w:rsid w:val="00D866F6"/>
    <w:rsid w:val="00D86BDA"/>
    <w:rsid w:val="00D86FA3"/>
    <w:rsid w:val="00D870BC"/>
    <w:rsid w:val="00D8788C"/>
    <w:rsid w:val="00D87D89"/>
    <w:rsid w:val="00D909A5"/>
    <w:rsid w:val="00D917F9"/>
    <w:rsid w:val="00D91814"/>
    <w:rsid w:val="00D91B17"/>
    <w:rsid w:val="00D93E58"/>
    <w:rsid w:val="00D93F83"/>
    <w:rsid w:val="00D94033"/>
    <w:rsid w:val="00D952C5"/>
    <w:rsid w:val="00D9543D"/>
    <w:rsid w:val="00D979D3"/>
    <w:rsid w:val="00DA018C"/>
    <w:rsid w:val="00DA2143"/>
    <w:rsid w:val="00DA242A"/>
    <w:rsid w:val="00DA2953"/>
    <w:rsid w:val="00DA42EE"/>
    <w:rsid w:val="00DA4C8F"/>
    <w:rsid w:val="00DA52F9"/>
    <w:rsid w:val="00DA5C94"/>
    <w:rsid w:val="00DA5EB4"/>
    <w:rsid w:val="00DA6241"/>
    <w:rsid w:val="00DA62A9"/>
    <w:rsid w:val="00DA7ADD"/>
    <w:rsid w:val="00DB0AD4"/>
    <w:rsid w:val="00DB0BA2"/>
    <w:rsid w:val="00DB0FA5"/>
    <w:rsid w:val="00DB161C"/>
    <w:rsid w:val="00DB1B7E"/>
    <w:rsid w:val="00DB2657"/>
    <w:rsid w:val="00DB2789"/>
    <w:rsid w:val="00DB2A2C"/>
    <w:rsid w:val="00DB2E5A"/>
    <w:rsid w:val="00DB30AA"/>
    <w:rsid w:val="00DB3C8D"/>
    <w:rsid w:val="00DB3DBF"/>
    <w:rsid w:val="00DB4449"/>
    <w:rsid w:val="00DB4A2A"/>
    <w:rsid w:val="00DB4B0C"/>
    <w:rsid w:val="00DB4E36"/>
    <w:rsid w:val="00DB5001"/>
    <w:rsid w:val="00DB5F71"/>
    <w:rsid w:val="00DB6414"/>
    <w:rsid w:val="00DB69C8"/>
    <w:rsid w:val="00DB7A1F"/>
    <w:rsid w:val="00DC0385"/>
    <w:rsid w:val="00DC0631"/>
    <w:rsid w:val="00DC097C"/>
    <w:rsid w:val="00DC19A2"/>
    <w:rsid w:val="00DC2685"/>
    <w:rsid w:val="00DC2BDE"/>
    <w:rsid w:val="00DC2CCC"/>
    <w:rsid w:val="00DC38ED"/>
    <w:rsid w:val="00DC40C2"/>
    <w:rsid w:val="00DC47E5"/>
    <w:rsid w:val="00DC66F8"/>
    <w:rsid w:val="00DC6F8F"/>
    <w:rsid w:val="00DC79CC"/>
    <w:rsid w:val="00DC7ACC"/>
    <w:rsid w:val="00DC7CDF"/>
    <w:rsid w:val="00DC7D20"/>
    <w:rsid w:val="00DD02FA"/>
    <w:rsid w:val="00DD1A45"/>
    <w:rsid w:val="00DD1F37"/>
    <w:rsid w:val="00DD22FB"/>
    <w:rsid w:val="00DD29AD"/>
    <w:rsid w:val="00DD3EFA"/>
    <w:rsid w:val="00DD4100"/>
    <w:rsid w:val="00DD4A55"/>
    <w:rsid w:val="00DD5921"/>
    <w:rsid w:val="00DD649A"/>
    <w:rsid w:val="00DD7E15"/>
    <w:rsid w:val="00DE064E"/>
    <w:rsid w:val="00DE0862"/>
    <w:rsid w:val="00DE1FEF"/>
    <w:rsid w:val="00DE237E"/>
    <w:rsid w:val="00DE24F0"/>
    <w:rsid w:val="00DE2833"/>
    <w:rsid w:val="00DE29E2"/>
    <w:rsid w:val="00DE36E2"/>
    <w:rsid w:val="00DE4135"/>
    <w:rsid w:val="00DE44BF"/>
    <w:rsid w:val="00DE5BF4"/>
    <w:rsid w:val="00DE5C0A"/>
    <w:rsid w:val="00DE5D23"/>
    <w:rsid w:val="00DE5D7E"/>
    <w:rsid w:val="00DE5D84"/>
    <w:rsid w:val="00DE5F5E"/>
    <w:rsid w:val="00DE7535"/>
    <w:rsid w:val="00DF0F86"/>
    <w:rsid w:val="00DF1449"/>
    <w:rsid w:val="00DF1C85"/>
    <w:rsid w:val="00DF21D8"/>
    <w:rsid w:val="00DF229E"/>
    <w:rsid w:val="00DF245D"/>
    <w:rsid w:val="00DF2A90"/>
    <w:rsid w:val="00DF329A"/>
    <w:rsid w:val="00DF331D"/>
    <w:rsid w:val="00DF38A7"/>
    <w:rsid w:val="00DF3BB8"/>
    <w:rsid w:val="00DF3DB9"/>
    <w:rsid w:val="00DF3E55"/>
    <w:rsid w:val="00DF42DA"/>
    <w:rsid w:val="00DF45EB"/>
    <w:rsid w:val="00DF470E"/>
    <w:rsid w:val="00DF49AB"/>
    <w:rsid w:val="00DF4F56"/>
    <w:rsid w:val="00DF5142"/>
    <w:rsid w:val="00DF52E3"/>
    <w:rsid w:val="00DF7D52"/>
    <w:rsid w:val="00E0289B"/>
    <w:rsid w:val="00E028E7"/>
    <w:rsid w:val="00E02A7B"/>
    <w:rsid w:val="00E03E25"/>
    <w:rsid w:val="00E04037"/>
    <w:rsid w:val="00E044E6"/>
    <w:rsid w:val="00E05CCE"/>
    <w:rsid w:val="00E05DAC"/>
    <w:rsid w:val="00E05F09"/>
    <w:rsid w:val="00E05F95"/>
    <w:rsid w:val="00E0647C"/>
    <w:rsid w:val="00E06B4F"/>
    <w:rsid w:val="00E073AE"/>
    <w:rsid w:val="00E11454"/>
    <w:rsid w:val="00E11614"/>
    <w:rsid w:val="00E11DA2"/>
    <w:rsid w:val="00E1260A"/>
    <w:rsid w:val="00E12A9E"/>
    <w:rsid w:val="00E13755"/>
    <w:rsid w:val="00E13FFE"/>
    <w:rsid w:val="00E15C18"/>
    <w:rsid w:val="00E15D39"/>
    <w:rsid w:val="00E15FC0"/>
    <w:rsid w:val="00E161C7"/>
    <w:rsid w:val="00E16BB9"/>
    <w:rsid w:val="00E1741C"/>
    <w:rsid w:val="00E1785C"/>
    <w:rsid w:val="00E17EF9"/>
    <w:rsid w:val="00E21E81"/>
    <w:rsid w:val="00E22971"/>
    <w:rsid w:val="00E22ED9"/>
    <w:rsid w:val="00E22F69"/>
    <w:rsid w:val="00E24565"/>
    <w:rsid w:val="00E248F3"/>
    <w:rsid w:val="00E25A96"/>
    <w:rsid w:val="00E25E0F"/>
    <w:rsid w:val="00E25E40"/>
    <w:rsid w:val="00E26F7A"/>
    <w:rsid w:val="00E27BD4"/>
    <w:rsid w:val="00E3036E"/>
    <w:rsid w:val="00E3049A"/>
    <w:rsid w:val="00E310A0"/>
    <w:rsid w:val="00E31CE3"/>
    <w:rsid w:val="00E33A99"/>
    <w:rsid w:val="00E34EF1"/>
    <w:rsid w:val="00E36443"/>
    <w:rsid w:val="00E366FD"/>
    <w:rsid w:val="00E374FB"/>
    <w:rsid w:val="00E3770D"/>
    <w:rsid w:val="00E3795E"/>
    <w:rsid w:val="00E37CBD"/>
    <w:rsid w:val="00E40100"/>
    <w:rsid w:val="00E40509"/>
    <w:rsid w:val="00E4075B"/>
    <w:rsid w:val="00E40A34"/>
    <w:rsid w:val="00E41311"/>
    <w:rsid w:val="00E418E6"/>
    <w:rsid w:val="00E4293A"/>
    <w:rsid w:val="00E437A7"/>
    <w:rsid w:val="00E43F8B"/>
    <w:rsid w:val="00E44416"/>
    <w:rsid w:val="00E44A07"/>
    <w:rsid w:val="00E44D93"/>
    <w:rsid w:val="00E4511B"/>
    <w:rsid w:val="00E45A5A"/>
    <w:rsid w:val="00E46232"/>
    <w:rsid w:val="00E46975"/>
    <w:rsid w:val="00E46C71"/>
    <w:rsid w:val="00E474EB"/>
    <w:rsid w:val="00E47557"/>
    <w:rsid w:val="00E47D53"/>
    <w:rsid w:val="00E503D6"/>
    <w:rsid w:val="00E50475"/>
    <w:rsid w:val="00E50D6A"/>
    <w:rsid w:val="00E50DA2"/>
    <w:rsid w:val="00E5189B"/>
    <w:rsid w:val="00E51CB1"/>
    <w:rsid w:val="00E526D8"/>
    <w:rsid w:val="00E53F8E"/>
    <w:rsid w:val="00E5457E"/>
    <w:rsid w:val="00E54AF6"/>
    <w:rsid w:val="00E54E6D"/>
    <w:rsid w:val="00E550A4"/>
    <w:rsid w:val="00E5525D"/>
    <w:rsid w:val="00E553C4"/>
    <w:rsid w:val="00E5548C"/>
    <w:rsid w:val="00E5582E"/>
    <w:rsid w:val="00E56122"/>
    <w:rsid w:val="00E56418"/>
    <w:rsid w:val="00E564B7"/>
    <w:rsid w:val="00E57E76"/>
    <w:rsid w:val="00E60816"/>
    <w:rsid w:val="00E609B0"/>
    <w:rsid w:val="00E6194F"/>
    <w:rsid w:val="00E61DFC"/>
    <w:rsid w:val="00E61F06"/>
    <w:rsid w:val="00E62D9C"/>
    <w:rsid w:val="00E649E3"/>
    <w:rsid w:val="00E652A8"/>
    <w:rsid w:val="00E65533"/>
    <w:rsid w:val="00E66354"/>
    <w:rsid w:val="00E67156"/>
    <w:rsid w:val="00E6795B"/>
    <w:rsid w:val="00E67F37"/>
    <w:rsid w:val="00E70643"/>
    <w:rsid w:val="00E71098"/>
    <w:rsid w:val="00E71A2E"/>
    <w:rsid w:val="00E72179"/>
    <w:rsid w:val="00E727C3"/>
    <w:rsid w:val="00E7294E"/>
    <w:rsid w:val="00E72FD7"/>
    <w:rsid w:val="00E7355D"/>
    <w:rsid w:val="00E73EB0"/>
    <w:rsid w:val="00E74183"/>
    <w:rsid w:val="00E74A85"/>
    <w:rsid w:val="00E74CED"/>
    <w:rsid w:val="00E75532"/>
    <w:rsid w:val="00E76C11"/>
    <w:rsid w:val="00E76FE2"/>
    <w:rsid w:val="00E77374"/>
    <w:rsid w:val="00E8031A"/>
    <w:rsid w:val="00E816C4"/>
    <w:rsid w:val="00E81D86"/>
    <w:rsid w:val="00E83157"/>
    <w:rsid w:val="00E833C7"/>
    <w:rsid w:val="00E83C0A"/>
    <w:rsid w:val="00E83CB8"/>
    <w:rsid w:val="00E84785"/>
    <w:rsid w:val="00E84A23"/>
    <w:rsid w:val="00E84F1C"/>
    <w:rsid w:val="00E8548C"/>
    <w:rsid w:val="00E856FE"/>
    <w:rsid w:val="00E85897"/>
    <w:rsid w:val="00E8647C"/>
    <w:rsid w:val="00E865C5"/>
    <w:rsid w:val="00E86718"/>
    <w:rsid w:val="00E87EC1"/>
    <w:rsid w:val="00E9029A"/>
    <w:rsid w:val="00E915FD"/>
    <w:rsid w:val="00E92011"/>
    <w:rsid w:val="00E92C40"/>
    <w:rsid w:val="00E93991"/>
    <w:rsid w:val="00E957F0"/>
    <w:rsid w:val="00E960C1"/>
    <w:rsid w:val="00E96D66"/>
    <w:rsid w:val="00E96EE7"/>
    <w:rsid w:val="00E96F15"/>
    <w:rsid w:val="00E97BC3"/>
    <w:rsid w:val="00EA044F"/>
    <w:rsid w:val="00EA0CCB"/>
    <w:rsid w:val="00EA116D"/>
    <w:rsid w:val="00EA1447"/>
    <w:rsid w:val="00EA28FF"/>
    <w:rsid w:val="00EA3F76"/>
    <w:rsid w:val="00EA3FA8"/>
    <w:rsid w:val="00EA47D8"/>
    <w:rsid w:val="00EA4BEE"/>
    <w:rsid w:val="00EA53A5"/>
    <w:rsid w:val="00EA5412"/>
    <w:rsid w:val="00EA5CBA"/>
    <w:rsid w:val="00EA5FB1"/>
    <w:rsid w:val="00EA5FCC"/>
    <w:rsid w:val="00EA61DC"/>
    <w:rsid w:val="00EA700B"/>
    <w:rsid w:val="00EA712D"/>
    <w:rsid w:val="00EA7DBB"/>
    <w:rsid w:val="00EB07BF"/>
    <w:rsid w:val="00EB1241"/>
    <w:rsid w:val="00EB166D"/>
    <w:rsid w:val="00EB1B5A"/>
    <w:rsid w:val="00EB3D56"/>
    <w:rsid w:val="00EB3F9F"/>
    <w:rsid w:val="00EB401F"/>
    <w:rsid w:val="00EB42C1"/>
    <w:rsid w:val="00EB4400"/>
    <w:rsid w:val="00EB46C3"/>
    <w:rsid w:val="00EB6087"/>
    <w:rsid w:val="00EB7DEB"/>
    <w:rsid w:val="00EC0EF3"/>
    <w:rsid w:val="00EC17F5"/>
    <w:rsid w:val="00EC1871"/>
    <w:rsid w:val="00EC1A5E"/>
    <w:rsid w:val="00EC1B71"/>
    <w:rsid w:val="00EC1E28"/>
    <w:rsid w:val="00EC2549"/>
    <w:rsid w:val="00EC2618"/>
    <w:rsid w:val="00EC3806"/>
    <w:rsid w:val="00EC38EC"/>
    <w:rsid w:val="00EC3D50"/>
    <w:rsid w:val="00EC3F08"/>
    <w:rsid w:val="00EC4F2C"/>
    <w:rsid w:val="00EC5566"/>
    <w:rsid w:val="00EC5EAE"/>
    <w:rsid w:val="00EC6254"/>
    <w:rsid w:val="00EC64EA"/>
    <w:rsid w:val="00EC6866"/>
    <w:rsid w:val="00EC7C56"/>
    <w:rsid w:val="00ED06AE"/>
    <w:rsid w:val="00ED080D"/>
    <w:rsid w:val="00ED14D9"/>
    <w:rsid w:val="00ED2AA4"/>
    <w:rsid w:val="00ED3399"/>
    <w:rsid w:val="00ED3A16"/>
    <w:rsid w:val="00ED3A2C"/>
    <w:rsid w:val="00ED4056"/>
    <w:rsid w:val="00ED4736"/>
    <w:rsid w:val="00ED53AF"/>
    <w:rsid w:val="00ED5A72"/>
    <w:rsid w:val="00ED5B1B"/>
    <w:rsid w:val="00ED7066"/>
    <w:rsid w:val="00ED7282"/>
    <w:rsid w:val="00ED75BB"/>
    <w:rsid w:val="00ED77B7"/>
    <w:rsid w:val="00EE04BA"/>
    <w:rsid w:val="00EE07E3"/>
    <w:rsid w:val="00EE0836"/>
    <w:rsid w:val="00EE0874"/>
    <w:rsid w:val="00EE116F"/>
    <w:rsid w:val="00EE1519"/>
    <w:rsid w:val="00EE1B79"/>
    <w:rsid w:val="00EE21D9"/>
    <w:rsid w:val="00EE2557"/>
    <w:rsid w:val="00EE2E80"/>
    <w:rsid w:val="00EE2EFC"/>
    <w:rsid w:val="00EE3DA5"/>
    <w:rsid w:val="00EE40B5"/>
    <w:rsid w:val="00EE4264"/>
    <w:rsid w:val="00EE429C"/>
    <w:rsid w:val="00EE4D37"/>
    <w:rsid w:val="00EE61EF"/>
    <w:rsid w:val="00EE64D8"/>
    <w:rsid w:val="00EE6CC5"/>
    <w:rsid w:val="00EE6CFD"/>
    <w:rsid w:val="00EE6E3C"/>
    <w:rsid w:val="00EE7B09"/>
    <w:rsid w:val="00EF0466"/>
    <w:rsid w:val="00EF074B"/>
    <w:rsid w:val="00EF0970"/>
    <w:rsid w:val="00EF0DBC"/>
    <w:rsid w:val="00EF171D"/>
    <w:rsid w:val="00EF1A8C"/>
    <w:rsid w:val="00EF2FC2"/>
    <w:rsid w:val="00EF37C3"/>
    <w:rsid w:val="00EF3BE5"/>
    <w:rsid w:val="00EF3F04"/>
    <w:rsid w:val="00EF4E82"/>
    <w:rsid w:val="00EF5B4F"/>
    <w:rsid w:val="00EF5BA9"/>
    <w:rsid w:val="00EF5E58"/>
    <w:rsid w:val="00EF5F90"/>
    <w:rsid w:val="00EF6654"/>
    <w:rsid w:val="00EF6AA8"/>
    <w:rsid w:val="00EF70EE"/>
    <w:rsid w:val="00EF726E"/>
    <w:rsid w:val="00EF76BC"/>
    <w:rsid w:val="00EF7CF9"/>
    <w:rsid w:val="00F00DCA"/>
    <w:rsid w:val="00F01038"/>
    <w:rsid w:val="00F0284F"/>
    <w:rsid w:val="00F03925"/>
    <w:rsid w:val="00F03BB9"/>
    <w:rsid w:val="00F047A8"/>
    <w:rsid w:val="00F05397"/>
    <w:rsid w:val="00F062D7"/>
    <w:rsid w:val="00F06A37"/>
    <w:rsid w:val="00F06C94"/>
    <w:rsid w:val="00F07542"/>
    <w:rsid w:val="00F07B0C"/>
    <w:rsid w:val="00F07F55"/>
    <w:rsid w:val="00F10723"/>
    <w:rsid w:val="00F111B2"/>
    <w:rsid w:val="00F11336"/>
    <w:rsid w:val="00F11719"/>
    <w:rsid w:val="00F1192B"/>
    <w:rsid w:val="00F11B17"/>
    <w:rsid w:val="00F131AB"/>
    <w:rsid w:val="00F13330"/>
    <w:rsid w:val="00F148E4"/>
    <w:rsid w:val="00F151AE"/>
    <w:rsid w:val="00F15BD6"/>
    <w:rsid w:val="00F1654C"/>
    <w:rsid w:val="00F16685"/>
    <w:rsid w:val="00F17C77"/>
    <w:rsid w:val="00F17F7A"/>
    <w:rsid w:val="00F20AFE"/>
    <w:rsid w:val="00F215C9"/>
    <w:rsid w:val="00F219BA"/>
    <w:rsid w:val="00F21BFC"/>
    <w:rsid w:val="00F21E07"/>
    <w:rsid w:val="00F21F65"/>
    <w:rsid w:val="00F22455"/>
    <w:rsid w:val="00F23557"/>
    <w:rsid w:val="00F23CAA"/>
    <w:rsid w:val="00F240D4"/>
    <w:rsid w:val="00F25B53"/>
    <w:rsid w:val="00F25E06"/>
    <w:rsid w:val="00F25FD1"/>
    <w:rsid w:val="00F2636E"/>
    <w:rsid w:val="00F26938"/>
    <w:rsid w:val="00F26BF1"/>
    <w:rsid w:val="00F271E1"/>
    <w:rsid w:val="00F27944"/>
    <w:rsid w:val="00F27966"/>
    <w:rsid w:val="00F27C5D"/>
    <w:rsid w:val="00F30E8F"/>
    <w:rsid w:val="00F31029"/>
    <w:rsid w:val="00F31F97"/>
    <w:rsid w:val="00F324B8"/>
    <w:rsid w:val="00F3261B"/>
    <w:rsid w:val="00F32697"/>
    <w:rsid w:val="00F32AEC"/>
    <w:rsid w:val="00F33FCB"/>
    <w:rsid w:val="00F3442A"/>
    <w:rsid w:val="00F359A7"/>
    <w:rsid w:val="00F359AF"/>
    <w:rsid w:val="00F364BF"/>
    <w:rsid w:val="00F3669D"/>
    <w:rsid w:val="00F37C51"/>
    <w:rsid w:val="00F37CAF"/>
    <w:rsid w:val="00F37D2E"/>
    <w:rsid w:val="00F41EBE"/>
    <w:rsid w:val="00F4260E"/>
    <w:rsid w:val="00F441F4"/>
    <w:rsid w:val="00F44569"/>
    <w:rsid w:val="00F4500B"/>
    <w:rsid w:val="00F45455"/>
    <w:rsid w:val="00F4592A"/>
    <w:rsid w:val="00F45DF2"/>
    <w:rsid w:val="00F45E67"/>
    <w:rsid w:val="00F47B10"/>
    <w:rsid w:val="00F519A2"/>
    <w:rsid w:val="00F52053"/>
    <w:rsid w:val="00F5268E"/>
    <w:rsid w:val="00F52BD7"/>
    <w:rsid w:val="00F53917"/>
    <w:rsid w:val="00F53A36"/>
    <w:rsid w:val="00F5471E"/>
    <w:rsid w:val="00F5696E"/>
    <w:rsid w:val="00F56E2C"/>
    <w:rsid w:val="00F575B8"/>
    <w:rsid w:val="00F578AB"/>
    <w:rsid w:val="00F57915"/>
    <w:rsid w:val="00F579D4"/>
    <w:rsid w:val="00F57EB9"/>
    <w:rsid w:val="00F601F4"/>
    <w:rsid w:val="00F6031E"/>
    <w:rsid w:val="00F61580"/>
    <w:rsid w:val="00F61584"/>
    <w:rsid w:val="00F617BB"/>
    <w:rsid w:val="00F61A85"/>
    <w:rsid w:val="00F62C15"/>
    <w:rsid w:val="00F638CE"/>
    <w:rsid w:val="00F64628"/>
    <w:rsid w:val="00F64935"/>
    <w:rsid w:val="00F6521D"/>
    <w:rsid w:val="00F65AC1"/>
    <w:rsid w:val="00F66206"/>
    <w:rsid w:val="00F664B8"/>
    <w:rsid w:val="00F6655C"/>
    <w:rsid w:val="00F66A13"/>
    <w:rsid w:val="00F66EA1"/>
    <w:rsid w:val="00F67265"/>
    <w:rsid w:val="00F6746E"/>
    <w:rsid w:val="00F7012C"/>
    <w:rsid w:val="00F704A8"/>
    <w:rsid w:val="00F70846"/>
    <w:rsid w:val="00F710F1"/>
    <w:rsid w:val="00F71289"/>
    <w:rsid w:val="00F72194"/>
    <w:rsid w:val="00F7282F"/>
    <w:rsid w:val="00F72971"/>
    <w:rsid w:val="00F72CC2"/>
    <w:rsid w:val="00F7300F"/>
    <w:rsid w:val="00F734A8"/>
    <w:rsid w:val="00F73609"/>
    <w:rsid w:val="00F7500B"/>
    <w:rsid w:val="00F7581C"/>
    <w:rsid w:val="00F76524"/>
    <w:rsid w:val="00F76E42"/>
    <w:rsid w:val="00F77400"/>
    <w:rsid w:val="00F776A8"/>
    <w:rsid w:val="00F7774D"/>
    <w:rsid w:val="00F8070D"/>
    <w:rsid w:val="00F80A49"/>
    <w:rsid w:val="00F81110"/>
    <w:rsid w:val="00F81332"/>
    <w:rsid w:val="00F81546"/>
    <w:rsid w:val="00F815DA"/>
    <w:rsid w:val="00F81A5C"/>
    <w:rsid w:val="00F822FF"/>
    <w:rsid w:val="00F82521"/>
    <w:rsid w:val="00F8261A"/>
    <w:rsid w:val="00F8294E"/>
    <w:rsid w:val="00F82DA2"/>
    <w:rsid w:val="00F82E18"/>
    <w:rsid w:val="00F84975"/>
    <w:rsid w:val="00F849AE"/>
    <w:rsid w:val="00F8533B"/>
    <w:rsid w:val="00F86693"/>
    <w:rsid w:val="00F86874"/>
    <w:rsid w:val="00F868C9"/>
    <w:rsid w:val="00F86AAF"/>
    <w:rsid w:val="00F9034B"/>
    <w:rsid w:val="00F9064F"/>
    <w:rsid w:val="00F907CB"/>
    <w:rsid w:val="00F90CBB"/>
    <w:rsid w:val="00F910AC"/>
    <w:rsid w:val="00F91892"/>
    <w:rsid w:val="00F92613"/>
    <w:rsid w:val="00F93EC8"/>
    <w:rsid w:val="00F94027"/>
    <w:rsid w:val="00F941DA"/>
    <w:rsid w:val="00F944EC"/>
    <w:rsid w:val="00F94CD7"/>
    <w:rsid w:val="00F94EE1"/>
    <w:rsid w:val="00F95491"/>
    <w:rsid w:val="00F954A6"/>
    <w:rsid w:val="00F96213"/>
    <w:rsid w:val="00F967C5"/>
    <w:rsid w:val="00F97607"/>
    <w:rsid w:val="00F97681"/>
    <w:rsid w:val="00FA00BF"/>
    <w:rsid w:val="00FA110B"/>
    <w:rsid w:val="00FA1537"/>
    <w:rsid w:val="00FA18B4"/>
    <w:rsid w:val="00FA2596"/>
    <w:rsid w:val="00FA2E4E"/>
    <w:rsid w:val="00FA4844"/>
    <w:rsid w:val="00FA4985"/>
    <w:rsid w:val="00FA509B"/>
    <w:rsid w:val="00FA5CC1"/>
    <w:rsid w:val="00FA691A"/>
    <w:rsid w:val="00FA69EA"/>
    <w:rsid w:val="00FA6E9B"/>
    <w:rsid w:val="00FA72EE"/>
    <w:rsid w:val="00FA74B2"/>
    <w:rsid w:val="00FA7A33"/>
    <w:rsid w:val="00FA7C35"/>
    <w:rsid w:val="00FA7CDD"/>
    <w:rsid w:val="00FB1558"/>
    <w:rsid w:val="00FB1ECC"/>
    <w:rsid w:val="00FB2E57"/>
    <w:rsid w:val="00FB33DB"/>
    <w:rsid w:val="00FB394E"/>
    <w:rsid w:val="00FB3990"/>
    <w:rsid w:val="00FB5E33"/>
    <w:rsid w:val="00FB6373"/>
    <w:rsid w:val="00FB67A8"/>
    <w:rsid w:val="00FB6CEF"/>
    <w:rsid w:val="00FB719E"/>
    <w:rsid w:val="00FB7B75"/>
    <w:rsid w:val="00FB7D29"/>
    <w:rsid w:val="00FC0D07"/>
    <w:rsid w:val="00FC0D6C"/>
    <w:rsid w:val="00FC0E4A"/>
    <w:rsid w:val="00FC0EEC"/>
    <w:rsid w:val="00FC1961"/>
    <w:rsid w:val="00FC1AB9"/>
    <w:rsid w:val="00FC1DF8"/>
    <w:rsid w:val="00FC23C1"/>
    <w:rsid w:val="00FC28A9"/>
    <w:rsid w:val="00FC298D"/>
    <w:rsid w:val="00FC2B19"/>
    <w:rsid w:val="00FC2DA8"/>
    <w:rsid w:val="00FC34A4"/>
    <w:rsid w:val="00FC3B61"/>
    <w:rsid w:val="00FC3DF4"/>
    <w:rsid w:val="00FC3FF1"/>
    <w:rsid w:val="00FC58B9"/>
    <w:rsid w:val="00FC5C16"/>
    <w:rsid w:val="00FC75B2"/>
    <w:rsid w:val="00FC77E3"/>
    <w:rsid w:val="00FD155A"/>
    <w:rsid w:val="00FD16FB"/>
    <w:rsid w:val="00FD17DB"/>
    <w:rsid w:val="00FD1815"/>
    <w:rsid w:val="00FD1C87"/>
    <w:rsid w:val="00FD2170"/>
    <w:rsid w:val="00FD2ABD"/>
    <w:rsid w:val="00FD3209"/>
    <w:rsid w:val="00FD3474"/>
    <w:rsid w:val="00FD463A"/>
    <w:rsid w:val="00FD4A5C"/>
    <w:rsid w:val="00FD4F22"/>
    <w:rsid w:val="00FD5533"/>
    <w:rsid w:val="00FD5737"/>
    <w:rsid w:val="00FD587A"/>
    <w:rsid w:val="00FD5D80"/>
    <w:rsid w:val="00FD6764"/>
    <w:rsid w:val="00FD67D5"/>
    <w:rsid w:val="00FD68A0"/>
    <w:rsid w:val="00FD6942"/>
    <w:rsid w:val="00FD6BB5"/>
    <w:rsid w:val="00FD7803"/>
    <w:rsid w:val="00FD7891"/>
    <w:rsid w:val="00FD7C04"/>
    <w:rsid w:val="00FE0079"/>
    <w:rsid w:val="00FE0A91"/>
    <w:rsid w:val="00FE1580"/>
    <w:rsid w:val="00FE161B"/>
    <w:rsid w:val="00FE16CC"/>
    <w:rsid w:val="00FE1B61"/>
    <w:rsid w:val="00FE1FED"/>
    <w:rsid w:val="00FE2401"/>
    <w:rsid w:val="00FE26E3"/>
    <w:rsid w:val="00FE3644"/>
    <w:rsid w:val="00FE45CF"/>
    <w:rsid w:val="00FE4887"/>
    <w:rsid w:val="00FE48CD"/>
    <w:rsid w:val="00FE564E"/>
    <w:rsid w:val="00FE674F"/>
    <w:rsid w:val="00FE6D61"/>
    <w:rsid w:val="00FE7622"/>
    <w:rsid w:val="00FE7981"/>
    <w:rsid w:val="00FF08DB"/>
    <w:rsid w:val="00FF218A"/>
    <w:rsid w:val="00FF23BB"/>
    <w:rsid w:val="00FF2556"/>
    <w:rsid w:val="00FF3E89"/>
    <w:rsid w:val="00FF4139"/>
    <w:rsid w:val="00FF455E"/>
    <w:rsid w:val="00FF4B22"/>
    <w:rsid w:val="00FF4D5E"/>
    <w:rsid w:val="00FF5E12"/>
    <w:rsid w:val="00FF66A4"/>
    <w:rsid w:val="00FF6D96"/>
    <w:rsid w:val="00FF7F64"/>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A7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pl-PL" w:bidi="pl-P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75"/>
  </w:style>
  <w:style w:type="paragraph" w:styleId="Heading1">
    <w:name w:val="heading 1"/>
    <w:basedOn w:val="Normal"/>
    <w:next w:val="Normal"/>
    <w:link w:val="Heading1Char"/>
    <w:rsid w:val="00930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nhideWhenUsed/>
    <w:qFormat/>
    <w:rsid w:val="00930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930D5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D655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Heading4"/>
    <w:link w:val="Heading5Char"/>
    <w:uiPriority w:val="9"/>
    <w:unhideWhenUsed/>
    <w:qFormat/>
    <w:rsid w:val="00482BC7"/>
    <w:pPr>
      <w:keepNext w:val="0"/>
      <w:keepLines w:val="0"/>
      <w:tabs>
        <w:tab w:val="num" w:pos="1800"/>
      </w:tabs>
      <w:suppressAutoHyphens/>
      <w:autoSpaceDN w:val="0"/>
      <w:spacing w:before="120" w:after="120" w:line="240" w:lineRule="auto"/>
      <w:ind w:left="1800" w:hanging="360"/>
      <w:jc w:val="both"/>
      <w:textAlignment w:val="baseline"/>
      <w:outlineLvl w:val="4"/>
    </w:pPr>
    <w:rPr>
      <w:rFonts w:ascii="Calibri" w:eastAsia="MS Mincho" w:hAnsi="Calibri" w:cs="Calibri"/>
      <w:i w:val="0"/>
      <w:iCs w:val="0"/>
      <w:color w:val="auto"/>
    </w:rPr>
  </w:style>
  <w:style w:type="paragraph" w:styleId="Heading6">
    <w:name w:val="heading 6"/>
    <w:basedOn w:val="Heading5"/>
    <w:next w:val="Normal"/>
    <w:link w:val="Heading6Char"/>
    <w:uiPriority w:val="9"/>
    <w:unhideWhenUsed/>
    <w:qFormat/>
    <w:rsid w:val="00482BC7"/>
    <w:pPr>
      <w:tabs>
        <w:tab w:val="clear" w:pos="1800"/>
        <w:tab w:val="num" w:pos="2160"/>
      </w:tabs>
      <w:ind w:left="2160"/>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0D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30D5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930D5E"/>
    <w:rPr>
      <w:rFonts w:asciiTheme="majorHAnsi" w:eastAsiaTheme="majorEastAsia" w:hAnsiTheme="majorHAnsi" w:cstheme="majorBidi"/>
      <w:color w:val="1F4D78" w:themeColor="accent1" w:themeShade="7F"/>
      <w:sz w:val="24"/>
      <w:szCs w:val="24"/>
    </w:rPr>
  </w:style>
  <w:style w:type="paragraph" w:customStyle="1" w:styleId="ProductList-Body">
    <w:name w:val="Product List - Body"/>
    <w:basedOn w:val="Normal"/>
    <w:link w:val="ProductList-BodyChar"/>
    <w:uiPriority w:val="1"/>
    <w:qFormat/>
    <w:rsid w:val="006D4483"/>
    <w:pPr>
      <w:tabs>
        <w:tab w:val="left" w:pos="360"/>
        <w:tab w:val="left" w:pos="720"/>
        <w:tab w:val="left" w:pos="1080"/>
      </w:tabs>
      <w:spacing w:after="0" w:line="240" w:lineRule="auto"/>
    </w:pPr>
    <w:rPr>
      <w:sz w:val="18"/>
    </w:rPr>
  </w:style>
  <w:style w:type="character" w:customStyle="1" w:styleId="ProductList-BodyChar">
    <w:name w:val="Product List - Body Char"/>
    <w:basedOn w:val="DefaultParagraphFont"/>
    <w:link w:val="ProductList-Body"/>
    <w:uiPriority w:val="1"/>
    <w:rsid w:val="006D4483"/>
    <w:rPr>
      <w:sz w:val="18"/>
    </w:rPr>
  </w:style>
  <w:style w:type="paragraph" w:customStyle="1" w:styleId="ProductList-SectionHeading">
    <w:name w:val="Product List - Section Heading"/>
    <w:basedOn w:val="ProductList-Body"/>
    <w:next w:val="ProductList-Body"/>
    <w:link w:val="ProductList-SectionHeadingChar"/>
    <w:qFormat/>
    <w:rsid w:val="00407E60"/>
    <w:pPr>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sz w:val="40"/>
    </w:rPr>
  </w:style>
  <w:style w:type="paragraph" w:customStyle="1" w:styleId="ProductList-OfferingGroupHeading">
    <w:name w:val="Product List - Offering Group Heading"/>
    <w:basedOn w:val="ProductList-Body"/>
    <w:link w:val="ProductList-OfferingGroupHeadingChar"/>
    <w:qFormat/>
    <w:rsid w:val="00512D78"/>
    <w:pPr>
      <w:pBdr>
        <w:bottom w:val="single" w:sz="24" w:space="1" w:color="595959" w:themeColor="text1" w:themeTint="A6"/>
      </w:pBdr>
      <w:spacing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sz w:val="16"/>
    </w:rPr>
  </w:style>
  <w:style w:type="paragraph" w:customStyle="1" w:styleId="ProductList-OfferingBody">
    <w:name w:val="Product List - Offering Body"/>
    <w:basedOn w:val="ProductList-Body"/>
    <w:next w:val="ProductList-Body"/>
    <w:link w:val="ProductList-OfferingBodyChar"/>
    <w:uiPriority w:val="1"/>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uiPriority w:val="1"/>
    <w:rsid w:val="00287117"/>
    <w:rPr>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6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styleId="Header">
    <w:name w:val="header"/>
    <w:basedOn w:val="Normal"/>
    <w:link w:val="HeaderChar"/>
    <w:uiPriority w:val="99"/>
    <w:unhideWhenUsed/>
    <w:rsid w:val="009A5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73F"/>
  </w:style>
  <w:style w:type="paragraph" w:styleId="Footer">
    <w:name w:val="footer"/>
    <w:basedOn w:val="Normal"/>
    <w:link w:val="FooterChar"/>
    <w:uiPriority w:val="99"/>
    <w:unhideWhenUsed/>
    <w:rsid w:val="009A5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73F"/>
  </w:style>
  <w:style w:type="table" w:styleId="TableGrid">
    <w:name w:val="Table Grid"/>
    <w:basedOn w:val="TableNormal"/>
    <w:uiPriority w:val="39"/>
    <w:rsid w:val="00C76D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B3D69"/>
    <w:rPr>
      <w:color w:val="0563C1" w:themeColor="hyperlink"/>
      <w:u w:val="single"/>
    </w:rPr>
  </w:style>
  <w:style w:type="paragraph" w:styleId="BalloonText">
    <w:name w:val="Balloon Text"/>
    <w:basedOn w:val="Normal"/>
    <w:link w:val="BalloonTextChar"/>
    <w:uiPriority w:val="99"/>
    <w:semiHidden/>
    <w:unhideWhenUsed/>
    <w:rsid w:val="00E377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770D"/>
    <w:rPr>
      <w:rFonts w:ascii="Segoe UI" w:hAnsi="Segoe UI" w:cs="Segoe UI"/>
      <w:sz w:val="18"/>
      <w:szCs w:val="18"/>
    </w:rPr>
  </w:style>
  <w:style w:type="paragraph" w:customStyle="1" w:styleId="ProductList-Offering2Heading">
    <w:name w:val="Product List - Offering 2 Heading"/>
    <w:basedOn w:val="ProductList-Offering1Heading"/>
    <w:next w:val="ProductList-Body"/>
    <w:link w:val="ProductList-Offering2HeadingChar"/>
    <w:qFormat/>
    <w:rsid w:val="00512D78"/>
    <w:pPr>
      <w:tabs>
        <w:tab w:val="clear" w:pos="187"/>
      </w:tabs>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styleId="TOC1">
    <w:name w:val="toc 1"/>
    <w:basedOn w:val="Normal"/>
    <w:next w:val="Normal"/>
    <w:autoRedefine/>
    <w:uiPriority w:val="39"/>
    <w:unhideWhenUsed/>
    <w:qFormat/>
    <w:rsid w:val="00F240D4"/>
    <w:pPr>
      <w:tabs>
        <w:tab w:val="right" w:leader="dot" w:pos="5030"/>
      </w:tabs>
      <w:spacing w:before="60" w:after="60" w:line="252" w:lineRule="auto"/>
    </w:pPr>
    <w:rPr>
      <w:b/>
      <w:caps/>
      <w:sz w:val="18"/>
    </w:rPr>
  </w:style>
  <w:style w:type="paragraph" w:styleId="TOC2">
    <w:name w:val="toc 2"/>
    <w:basedOn w:val="Normal"/>
    <w:next w:val="Normal"/>
    <w:autoRedefine/>
    <w:uiPriority w:val="39"/>
    <w:unhideWhenUsed/>
    <w:rsid w:val="003C75FF"/>
    <w:pPr>
      <w:spacing w:after="0" w:line="252" w:lineRule="auto"/>
      <w:ind w:left="158"/>
    </w:pPr>
    <w:rPr>
      <w:b/>
      <w:smallCaps/>
      <w:sz w:val="18"/>
    </w:rPr>
  </w:style>
  <w:style w:type="paragraph" w:styleId="TOC3">
    <w:name w:val="toc 3"/>
    <w:basedOn w:val="Normal"/>
    <w:next w:val="Normal"/>
    <w:autoRedefine/>
    <w:uiPriority w:val="39"/>
    <w:unhideWhenUsed/>
    <w:rsid w:val="003C75FF"/>
    <w:pPr>
      <w:spacing w:after="0" w:line="252" w:lineRule="auto"/>
      <w:ind w:left="158"/>
    </w:pPr>
    <w:rPr>
      <w:smallCaps/>
      <w:sz w:val="18"/>
    </w:rPr>
  </w:style>
  <w:style w:type="paragraph" w:styleId="TOC4">
    <w:name w:val="toc 4"/>
    <w:basedOn w:val="Normal"/>
    <w:next w:val="Normal"/>
    <w:autoRedefine/>
    <w:uiPriority w:val="39"/>
    <w:unhideWhenUsed/>
    <w:rsid w:val="00B93F87"/>
    <w:pPr>
      <w:tabs>
        <w:tab w:val="right" w:leader="dot" w:pos="5030"/>
      </w:tabs>
      <w:spacing w:after="0" w:line="252" w:lineRule="auto"/>
      <w:ind w:left="317"/>
    </w:pPr>
    <w:rPr>
      <w:smallCaps/>
      <w:sz w:val="18"/>
    </w:rPr>
  </w:style>
  <w:style w:type="paragraph" w:styleId="TOC5">
    <w:name w:val="toc 5"/>
    <w:basedOn w:val="Normal"/>
    <w:next w:val="Normal"/>
    <w:autoRedefine/>
    <w:uiPriority w:val="39"/>
    <w:unhideWhenUsed/>
    <w:rsid w:val="00462C59"/>
    <w:pPr>
      <w:spacing w:after="0" w:line="252" w:lineRule="auto"/>
      <w:ind w:left="317"/>
    </w:pPr>
    <w:rPr>
      <w:sz w:val="16"/>
    </w:rPr>
  </w:style>
  <w:style w:type="paragraph" w:styleId="TOC6">
    <w:name w:val="toc 6"/>
    <w:basedOn w:val="Normal"/>
    <w:next w:val="Normal"/>
    <w:autoRedefine/>
    <w:uiPriority w:val="39"/>
    <w:unhideWhenUsed/>
    <w:rsid w:val="00462C59"/>
    <w:pPr>
      <w:spacing w:after="0" w:line="252" w:lineRule="auto"/>
      <w:ind w:left="475"/>
    </w:pPr>
    <w:rPr>
      <w:sz w:val="16"/>
    </w:rPr>
  </w:style>
  <w:style w:type="character" w:styleId="FollowedHyperlink">
    <w:name w:val="FollowedHyperlink"/>
    <w:basedOn w:val="DefaultParagraphFont"/>
    <w:uiPriority w:val="99"/>
    <w:semiHidden/>
    <w:unhideWhenUsed/>
    <w:rsid w:val="001602AC"/>
    <w:rPr>
      <w:color w:val="954F72" w:themeColor="followedHyperlink"/>
      <w:u w:val="single"/>
    </w:rPr>
  </w:style>
  <w:style w:type="paragraph" w:styleId="CommentText">
    <w:name w:val="annotation text"/>
    <w:basedOn w:val="Normal"/>
    <w:link w:val="CommentTextChar"/>
    <w:uiPriority w:val="99"/>
    <w:unhideWhenUsed/>
    <w:rsid w:val="00ED3A2C"/>
    <w:pPr>
      <w:spacing w:line="240" w:lineRule="auto"/>
    </w:pPr>
    <w:rPr>
      <w:sz w:val="20"/>
      <w:szCs w:val="20"/>
    </w:rPr>
  </w:style>
  <w:style w:type="character" w:customStyle="1" w:styleId="CommentTextChar">
    <w:name w:val="Comment Text Char"/>
    <w:basedOn w:val="DefaultParagraphFont"/>
    <w:link w:val="CommentText"/>
    <w:uiPriority w:val="99"/>
    <w:rsid w:val="00ED3A2C"/>
    <w:rPr>
      <w:sz w:val="20"/>
      <w:szCs w:val="20"/>
    </w:rPr>
  </w:style>
  <w:style w:type="character" w:styleId="CommentReference">
    <w:name w:val="annotation reference"/>
    <w:uiPriority w:val="99"/>
    <w:rsid w:val="00A41808"/>
    <w:rPr>
      <w:rFonts w:cs="Times New Roman"/>
      <w:sz w:val="16"/>
      <w:szCs w:val="16"/>
    </w:rPr>
  </w:style>
  <w:style w:type="paragraph" w:styleId="CommentSubject">
    <w:name w:val="annotation subject"/>
    <w:basedOn w:val="CommentText"/>
    <w:next w:val="CommentText"/>
    <w:link w:val="CommentSubjectChar"/>
    <w:uiPriority w:val="99"/>
    <w:semiHidden/>
    <w:unhideWhenUsed/>
    <w:rsid w:val="00ED3A2C"/>
    <w:rPr>
      <w:b/>
      <w:bCs/>
    </w:rPr>
  </w:style>
  <w:style w:type="character" w:customStyle="1" w:styleId="CommentSubjectChar">
    <w:name w:val="Comment Subject Char"/>
    <w:basedOn w:val="CommentTextChar"/>
    <w:link w:val="CommentSubject"/>
    <w:uiPriority w:val="99"/>
    <w:semiHidden/>
    <w:rsid w:val="00ED3A2C"/>
    <w:rPr>
      <w:b/>
      <w:bCs/>
      <w:sz w:val="20"/>
      <w:szCs w:val="20"/>
    </w:rPr>
  </w:style>
  <w:style w:type="paragraph" w:styleId="TOC7">
    <w:name w:val="toc 7"/>
    <w:basedOn w:val="Normal"/>
    <w:next w:val="Normal"/>
    <w:autoRedefine/>
    <w:uiPriority w:val="39"/>
    <w:unhideWhenUsed/>
    <w:rsid w:val="00CE0C80"/>
    <w:pPr>
      <w:spacing w:after="100"/>
      <w:ind w:left="1320"/>
    </w:pPr>
    <w:rPr>
      <w:rFonts w:eastAsiaTheme="minorEastAsia"/>
    </w:rPr>
  </w:style>
  <w:style w:type="paragraph" w:styleId="TOC8">
    <w:name w:val="toc 8"/>
    <w:basedOn w:val="Normal"/>
    <w:next w:val="Normal"/>
    <w:autoRedefine/>
    <w:uiPriority w:val="39"/>
    <w:unhideWhenUsed/>
    <w:rsid w:val="00CE0C80"/>
    <w:pPr>
      <w:spacing w:after="100"/>
      <w:ind w:left="1540"/>
    </w:pPr>
    <w:rPr>
      <w:rFonts w:eastAsiaTheme="minorEastAsia"/>
    </w:rPr>
  </w:style>
  <w:style w:type="paragraph" w:styleId="TOC9">
    <w:name w:val="toc 9"/>
    <w:basedOn w:val="Normal"/>
    <w:next w:val="Normal"/>
    <w:autoRedefine/>
    <w:uiPriority w:val="39"/>
    <w:unhideWhenUsed/>
    <w:rsid w:val="00CE0C80"/>
    <w:pPr>
      <w:spacing w:after="100"/>
      <w:ind w:left="1760"/>
    </w:pPr>
    <w:rPr>
      <w:rFonts w:eastAsiaTheme="minorEastAsia"/>
    </w:rPr>
  </w:style>
  <w:style w:type="paragraph" w:styleId="Revision">
    <w:name w:val="Revision"/>
    <w:hidden/>
    <w:uiPriority w:val="99"/>
    <w:semiHidden/>
    <w:rsid w:val="00780D45"/>
    <w:pPr>
      <w:spacing w:after="0" w:line="240" w:lineRule="auto"/>
    </w:pPr>
  </w:style>
  <w:style w:type="paragraph" w:styleId="Index1">
    <w:name w:val="index 1"/>
    <w:basedOn w:val="Normal"/>
    <w:next w:val="Normal"/>
    <w:autoRedefine/>
    <w:uiPriority w:val="99"/>
    <w:unhideWhenUsed/>
    <w:rsid w:val="00F72194"/>
    <w:pPr>
      <w:spacing w:after="0" w:line="240" w:lineRule="auto"/>
      <w:ind w:left="220" w:hanging="220"/>
    </w:pPr>
    <w:rPr>
      <w:sz w:val="16"/>
    </w:rPr>
  </w:style>
  <w:style w:type="paragraph" w:styleId="ListParagraph">
    <w:name w:val="List Paragraph"/>
    <w:aliases w:val="Bullet List,numbered,FooterText"/>
    <w:basedOn w:val="Normal"/>
    <w:link w:val="ListParagraphChar"/>
    <w:uiPriority w:val="34"/>
    <w:qFormat/>
    <w:rsid w:val="00677274"/>
    <w:pPr>
      <w:ind w:left="720"/>
      <w:contextualSpacing/>
    </w:pPr>
  </w:style>
  <w:style w:type="character" w:customStyle="1" w:styleId="ListParagraphChar">
    <w:name w:val="List Paragraph Char"/>
    <w:aliases w:val="Bullet List Char,numbered Char,FooterText Char"/>
    <w:basedOn w:val="DefaultParagraphFont"/>
    <w:link w:val="ListParagraph"/>
    <w:uiPriority w:val="34"/>
    <w:locked/>
    <w:rsid w:val="009472AC"/>
  </w:style>
  <w:style w:type="table" w:customStyle="1" w:styleId="TableGrid1">
    <w:name w:val="Table Grid1"/>
    <w:basedOn w:val="TableNormal"/>
    <w:next w:val="TableGrid"/>
    <w:uiPriority w:val="39"/>
    <w:rsid w:val="00B942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sz w:val="28"/>
    </w:rPr>
  </w:style>
  <w:style w:type="paragraph" w:styleId="FootnoteText">
    <w:name w:val="footnote text"/>
    <w:basedOn w:val="Normal"/>
    <w:link w:val="FootnoteTextChar"/>
    <w:uiPriority w:val="99"/>
    <w:semiHidden/>
    <w:unhideWhenUsed/>
    <w:rsid w:val="009657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5718"/>
    <w:rPr>
      <w:sz w:val="20"/>
      <w:szCs w:val="20"/>
    </w:rPr>
  </w:style>
  <w:style w:type="character" w:styleId="FootnoteReference">
    <w:name w:val="footnote reference"/>
    <w:basedOn w:val="DefaultParagraphFont"/>
    <w:uiPriority w:val="99"/>
    <w:semiHidden/>
    <w:unhideWhenUsed/>
    <w:rsid w:val="00965718"/>
    <w:rPr>
      <w:vertAlign w:val="superscript"/>
    </w:rPr>
  </w:style>
  <w:style w:type="character" w:styleId="HTMLCite">
    <w:name w:val="HTML Cite"/>
    <w:basedOn w:val="DefaultParagraphFont"/>
    <w:uiPriority w:val="99"/>
    <w:semiHidden/>
    <w:unhideWhenUsed/>
    <w:rsid w:val="0003269D"/>
    <w:rPr>
      <w:i w:val="0"/>
      <w:iCs w:val="0"/>
      <w:color w:val="009030"/>
    </w:rPr>
  </w:style>
  <w:style w:type="character" w:styleId="Strong">
    <w:name w:val="Strong"/>
    <w:basedOn w:val="DefaultParagraphFont"/>
    <w:uiPriority w:val="22"/>
    <w:qFormat/>
    <w:rsid w:val="0003269D"/>
    <w:rPr>
      <w:b/>
      <w:bCs/>
    </w:rPr>
  </w:style>
  <w:style w:type="paragraph" w:customStyle="1" w:styleId="ProductList-Offering1SubSection">
    <w:name w:val="Product List - Offering 1 SubSection"/>
    <w:basedOn w:val="ProductList-Body"/>
    <w:qFormat/>
    <w:rsid w:val="007A1DD7"/>
    <w:pPr>
      <w:pBdr>
        <w:top w:val="single" w:sz="4" w:space="1" w:color="595959" w:themeColor="text1" w:themeTint="A6"/>
      </w:pBdr>
      <w:tabs>
        <w:tab w:val="clear" w:pos="360"/>
        <w:tab w:val="clear" w:pos="720"/>
        <w:tab w:val="clear" w:pos="1080"/>
      </w:tabs>
      <w:spacing w:before="240" w:after="20"/>
    </w:pPr>
    <w:rPr>
      <w:b/>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sz w:val="16"/>
    </w:rPr>
  </w:style>
  <w:style w:type="paragraph" w:customStyle="1" w:styleId="ProductList-ClauseHeading">
    <w:name w:val="Product List - Clause Heading"/>
    <w:basedOn w:val="ProductList-Body"/>
    <w:next w:val="ProductList-Body"/>
    <w:qFormat/>
    <w:rsid w:val="006D4483"/>
    <w:rPr>
      <w:b/>
      <w:color w:val="00188F"/>
    </w:rPr>
  </w:style>
  <w:style w:type="paragraph" w:customStyle="1" w:styleId="ProductList-SubClauseHeading">
    <w:name w:val="Product List - SubClause Heading"/>
    <w:basedOn w:val="ProductList-Body"/>
    <w:next w:val="ProductList-Body"/>
    <w:qFormat/>
    <w:rsid w:val="006D4483"/>
    <w:pPr>
      <w:ind w:left="360"/>
    </w:pPr>
    <w:rPr>
      <w:b/>
      <w:color w:val="0072C6"/>
    </w:rPr>
  </w:style>
  <w:style w:type="paragraph" w:customStyle="1" w:styleId="ProductList-SubSubClauseHeading">
    <w:name w:val="Product List - SubSubClause Heading"/>
    <w:basedOn w:val="ProductList-Body"/>
    <w:next w:val="ProductList-Body"/>
    <w:qFormat/>
    <w:rsid w:val="00CC0487"/>
    <w:pPr>
      <w:tabs>
        <w:tab w:val="clear" w:pos="360"/>
      </w:tabs>
      <w:ind w:left="720"/>
    </w:pPr>
    <w:rPr>
      <w:b/>
      <w:color w:val="4668C5"/>
    </w:rPr>
  </w:style>
  <w:style w:type="paragraph" w:customStyle="1" w:styleId="Default">
    <w:name w:val="Default"/>
    <w:rsid w:val="00873545"/>
    <w:pPr>
      <w:autoSpaceDE w:val="0"/>
      <w:autoSpaceDN w:val="0"/>
      <w:adjustRightInd w:val="0"/>
      <w:spacing w:after="0" w:line="240" w:lineRule="auto"/>
    </w:pPr>
    <w:rPr>
      <w:rFonts w:ascii="Segoe UI" w:hAnsi="Segoe UI" w:cs="Segoe UI"/>
      <w:color w:val="000000"/>
      <w:sz w:val="24"/>
      <w:szCs w:val="24"/>
    </w:rPr>
  </w:style>
  <w:style w:type="character" w:customStyle="1" w:styleId="PURBody-IndentedChar">
    <w:name w:val="PUR Body - Indented Char"/>
    <w:basedOn w:val="DefaultParagraphFont"/>
    <w:link w:val="PURBody-Indented"/>
    <w:uiPriority w:val="3"/>
    <w:locked/>
    <w:rsid w:val="00CC5137"/>
  </w:style>
  <w:style w:type="paragraph" w:customStyle="1" w:styleId="PURBody-Indented">
    <w:name w:val="PUR Body - Indented"/>
    <w:basedOn w:val="Normal"/>
    <w:link w:val="PURBody-IndentedChar"/>
    <w:uiPriority w:val="3"/>
    <w:qFormat/>
    <w:rsid w:val="00CC5137"/>
    <w:pPr>
      <w:spacing w:after="120" w:line="240" w:lineRule="auto"/>
      <w:ind w:left="270"/>
    </w:pPr>
  </w:style>
  <w:style w:type="character" w:customStyle="1" w:styleId="Heading4Char">
    <w:name w:val="Heading 4 Char"/>
    <w:basedOn w:val="DefaultParagraphFont"/>
    <w:link w:val="Heading4"/>
    <w:uiPriority w:val="9"/>
    <w:rsid w:val="004D6553"/>
    <w:rPr>
      <w:rFonts w:asciiTheme="majorHAnsi" w:eastAsiaTheme="majorEastAsia" w:hAnsiTheme="majorHAnsi" w:cstheme="majorBidi"/>
      <w:i/>
      <w:iCs/>
      <w:color w:val="2E74B5" w:themeColor="accent1" w:themeShade="BF"/>
    </w:rPr>
  </w:style>
  <w:style w:type="paragraph" w:customStyle="1" w:styleId="ToC-Service">
    <w:name w:val="ToC-Service"/>
    <w:basedOn w:val="ProductList-Body"/>
    <w:next w:val="ProductList-Body"/>
    <w:link w:val="ToC-ServiceChar"/>
    <w:qFormat/>
    <w:rsid w:val="001E0407"/>
    <w:pPr>
      <w:pBdr>
        <w:bottom w:val="single" w:sz="4" w:space="1" w:color="BFBFBF" w:themeColor="background1" w:themeShade="BF"/>
      </w:pBdr>
      <w:tabs>
        <w:tab w:val="clear" w:pos="360"/>
        <w:tab w:val="clear" w:pos="720"/>
        <w:tab w:val="clear" w:pos="1080"/>
        <w:tab w:val="left" w:pos="158"/>
        <w:tab w:val="left" w:pos="187"/>
      </w:tabs>
      <w:spacing w:before="60" w:after="60"/>
    </w:pPr>
    <w:rPr>
      <w:rFonts w:asciiTheme="majorHAnsi" w:hAnsiTheme="majorHAnsi"/>
      <w:b/>
      <w:sz w:val="28"/>
    </w:rPr>
  </w:style>
  <w:style w:type="character" w:customStyle="1" w:styleId="ToC-ServiceChar">
    <w:name w:val="ToC-Service Char"/>
    <w:basedOn w:val="ProductList-BodyChar"/>
    <w:link w:val="ToC-Service"/>
    <w:rsid w:val="001E0407"/>
    <w:rPr>
      <w:rFonts w:asciiTheme="majorHAnsi" w:hAnsiTheme="majorHAnsi"/>
      <w:b/>
      <w:sz w:val="28"/>
    </w:rPr>
  </w:style>
  <w:style w:type="paragraph" w:styleId="NormalWeb">
    <w:name w:val="Normal (Web)"/>
    <w:basedOn w:val="Normal"/>
    <w:uiPriority w:val="99"/>
    <w:unhideWhenUsed/>
    <w:rsid w:val="001E0407"/>
    <w:pPr>
      <w:spacing w:before="100" w:beforeAutospacing="1" w:after="100" w:afterAutospacing="1" w:line="240" w:lineRule="auto"/>
    </w:pPr>
    <w:rPr>
      <w:rFonts w:ascii="Times New Roman" w:eastAsia="PMingLiU" w:hAnsi="Times New Roman" w:cs="Times New Roman"/>
      <w:sz w:val="24"/>
      <w:szCs w:val="24"/>
    </w:rPr>
  </w:style>
  <w:style w:type="character" w:customStyle="1" w:styleId="Heading5Char">
    <w:name w:val="Heading 5 Char"/>
    <w:basedOn w:val="DefaultParagraphFont"/>
    <w:link w:val="Heading5"/>
    <w:uiPriority w:val="9"/>
    <w:rsid w:val="00482BC7"/>
    <w:rPr>
      <w:rFonts w:ascii="Calibri" w:eastAsia="MS Mincho" w:hAnsi="Calibri" w:cs="Calibri"/>
    </w:rPr>
  </w:style>
  <w:style w:type="character" w:customStyle="1" w:styleId="Heading6Char">
    <w:name w:val="Heading 6 Char"/>
    <w:basedOn w:val="DefaultParagraphFont"/>
    <w:link w:val="Heading6"/>
    <w:uiPriority w:val="9"/>
    <w:rsid w:val="00482BC7"/>
    <w:rPr>
      <w:rFonts w:ascii="Calibri" w:eastAsia="MS Mincho" w:hAnsi="Calibri" w:cs="Calibri"/>
    </w:rPr>
  </w:style>
  <w:style w:type="paragraph" w:customStyle="1" w:styleId="subhead">
    <w:name w:val="subhead"/>
    <w:basedOn w:val="Normal"/>
    <w:rsid w:val="00482BC7"/>
    <w:pPr>
      <w:suppressAutoHyphens/>
      <w:autoSpaceDN w:val="0"/>
      <w:spacing w:before="120" w:after="80" w:line="240" w:lineRule="auto"/>
      <w:textAlignment w:val="baseline"/>
    </w:pPr>
    <w:rPr>
      <w:rFonts w:ascii="Trebuchet MS" w:eastAsia="MS Mincho" w:hAnsi="Trebuchet MS" w:cs="Tahoma"/>
      <w:b/>
      <w:color w:val="FFFFFF"/>
      <w:sz w:val="20"/>
      <w:szCs w:val="20"/>
    </w:rPr>
  </w:style>
  <w:style w:type="character" w:customStyle="1" w:styleId="Mention1">
    <w:name w:val="Mention1"/>
    <w:basedOn w:val="DefaultParagraphFont"/>
    <w:uiPriority w:val="99"/>
    <w:semiHidden/>
    <w:unhideWhenUsed/>
    <w:rsid w:val="00871922"/>
    <w:rPr>
      <w:color w:val="2B579A"/>
      <w:shd w:val="clear" w:color="auto" w:fill="E6E6E6"/>
    </w:rPr>
  </w:style>
  <w:style w:type="character" w:customStyle="1" w:styleId="UnresolvedMention1">
    <w:name w:val="Unresolved Mention1"/>
    <w:basedOn w:val="DefaultParagraphFont"/>
    <w:uiPriority w:val="99"/>
    <w:semiHidden/>
    <w:unhideWhenUsed/>
    <w:rsid w:val="00C54E9C"/>
    <w:rPr>
      <w:color w:val="808080"/>
      <w:shd w:val="clear" w:color="auto" w:fill="E6E6E6"/>
    </w:rPr>
  </w:style>
  <w:style w:type="table" w:styleId="ListTable6Colorful">
    <w:name w:val="List Table 6 Colorful"/>
    <w:basedOn w:val="TableNormal"/>
    <w:uiPriority w:val="51"/>
    <w:rsid w:val="00F6521D"/>
    <w:pPr>
      <w:spacing w:after="0" w:line="240" w:lineRule="auto"/>
    </w:pPr>
    <w:rPr>
      <w:rFonts w:eastAsiaTheme="minorEastAsia"/>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1">
    <w:name w:val="List Table 3 Accent 1"/>
    <w:basedOn w:val="TableNormal"/>
    <w:uiPriority w:val="48"/>
    <w:rsid w:val="00FB67A8"/>
    <w:pPr>
      <w:spacing w:after="0" w:line="240" w:lineRule="auto"/>
    </w:pPr>
    <w:rPr>
      <w:rFonts w:eastAsiaTheme="minorEastAsia"/>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paragraph">
    <w:name w:val="paragraph"/>
    <w:basedOn w:val="Normal"/>
    <w:rsid w:val="00BC2A9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listparagraph">
    <w:name w:val="x_msolistparagraph"/>
    <w:basedOn w:val="Normal"/>
    <w:rsid w:val="00B201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50152D"/>
  </w:style>
  <w:style w:type="character" w:customStyle="1" w:styleId="eop">
    <w:name w:val="eop"/>
    <w:basedOn w:val="DefaultParagraphFont"/>
    <w:rsid w:val="0050152D"/>
  </w:style>
  <w:style w:type="character" w:customStyle="1" w:styleId="LogoportDoNotTranslate">
    <w:name w:val="LogoportDoNotTranslate"/>
    <w:rsid w:val="00F215C9"/>
    <w:rPr>
      <w:rFonts w:ascii="Courier New" w:hAnsi="Courier New" w:cs="Courier New"/>
      <w:noProof/>
      <w:color w:val="808080"/>
    </w:rPr>
  </w:style>
  <w:style w:type="character" w:styleId="UnresolvedMention">
    <w:name w:val="Unresolved Mention"/>
    <w:basedOn w:val="DefaultParagraphFont"/>
    <w:uiPriority w:val="99"/>
    <w:semiHidden/>
    <w:unhideWhenUsed/>
    <w:rsid w:val="001A3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7538">
      <w:bodyDiv w:val="1"/>
      <w:marLeft w:val="0"/>
      <w:marRight w:val="0"/>
      <w:marTop w:val="0"/>
      <w:marBottom w:val="0"/>
      <w:divBdr>
        <w:top w:val="none" w:sz="0" w:space="0" w:color="auto"/>
        <w:left w:val="none" w:sz="0" w:space="0" w:color="auto"/>
        <w:bottom w:val="none" w:sz="0" w:space="0" w:color="auto"/>
        <w:right w:val="none" w:sz="0" w:space="0" w:color="auto"/>
      </w:divBdr>
    </w:div>
    <w:div w:id="124128869">
      <w:bodyDiv w:val="1"/>
      <w:marLeft w:val="0"/>
      <w:marRight w:val="0"/>
      <w:marTop w:val="0"/>
      <w:marBottom w:val="0"/>
      <w:divBdr>
        <w:top w:val="none" w:sz="0" w:space="0" w:color="auto"/>
        <w:left w:val="none" w:sz="0" w:space="0" w:color="auto"/>
        <w:bottom w:val="none" w:sz="0" w:space="0" w:color="auto"/>
        <w:right w:val="none" w:sz="0" w:space="0" w:color="auto"/>
      </w:divBdr>
    </w:div>
    <w:div w:id="129905692">
      <w:bodyDiv w:val="1"/>
      <w:marLeft w:val="0"/>
      <w:marRight w:val="0"/>
      <w:marTop w:val="0"/>
      <w:marBottom w:val="0"/>
      <w:divBdr>
        <w:top w:val="none" w:sz="0" w:space="0" w:color="auto"/>
        <w:left w:val="none" w:sz="0" w:space="0" w:color="auto"/>
        <w:bottom w:val="none" w:sz="0" w:space="0" w:color="auto"/>
        <w:right w:val="none" w:sz="0" w:space="0" w:color="auto"/>
      </w:divBdr>
    </w:div>
    <w:div w:id="156120478">
      <w:bodyDiv w:val="1"/>
      <w:marLeft w:val="0"/>
      <w:marRight w:val="0"/>
      <w:marTop w:val="0"/>
      <w:marBottom w:val="0"/>
      <w:divBdr>
        <w:top w:val="none" w:sz="0" w:space="0" w:color="auto"/>
        <w:left w:val="none" w:sz="0" w:space="0" w:color="auto"/>
        <w:bottom w:val="none" w:sz="0" w:space="0" w:color="auto"/>
        <w:right w:val="none" w:sz="0" w:space="0" w:color="auto"/>
      </w:divBdr>
    </w:div>
    <w:div w:id="158161218">
      <w:bodyDiv w:val="1"/>
      <w:marLeft w:val="0"/>
      <w:marRight w:val="0"/>
      <w:marTop w:val="0"/>
      <w:marBottom w:val="0"/>
      <w:divBdr>
        <w:top w:val="none" w:sz="0" w:space="0" w:color="auto"/>
        <w:left w:val="none" w:sz="0" w:space="0" w:color="auto"/>
        <w:bottom w:val="none" w:sz="0" w:space="0" w:color="auto"/>
        <w:right w:val="none" w:sz="0" w:space="0" w:color="auto"/>
      </w:divBdr>
    </w:div>
    <w:div w:id="257299054">
      <w:bodyDiv w:val="1"/>
      <w:marLeft w:val="0"/>
      <w:marRight w:val="0"/>
      <w:marTop w:val="0"/>
      <w:marBottom w:val="0"/>
      <w:divBdr>
        <w:top w:val="none" w:sz="0" w:space="0" w:color="auto"/>
        <w:left w:val="none" w:sz="0" w:space="0" w:color="auto"/>
        <w:bottom w:val="none" w:sz="0" w:space="0" w:color="auto"/>
        <w:right w:val="none" w:sz="0" w:space="0" w:color="auto"/>
      </w:divBdr>
    </w:div>
    <w:div w:id="265114364">
      <w:bodyDiv w:val="1"/>
      <w:marLeft w:val="0"/>
      <w:marRight w:val="0"/>
      <w:marTop w:val="0"/>
      <w:marBottom w:val="0"/>
      <w:divBdr>
        <w:top w:val="none" w:sz="0" w:space="0" w:color="auto"/>
        <w:left w:val="none" w:sz="0" w:space="0" w:color="auto"/>
        <w:bottom w:val="none" w:sz="0" w:space="0" w:color="auto"/>
        <w:right w:val="none" w:sz="0" w:space="0" w:color="auto"/>
      </w:divBdr>
    </w:div>
    <w:div w:id="285352986">
      <w:bodyDiv w:val="1"/>
      <w:marLeft w:val="0"/>
      <w:marRight w:val="0"/>
      <w:marTop w:val="0"/>
      <w:marBottom w:val="0"/>
      <w:divBdr>
        <w:top w:val="none" w:sz="0" w:space="0" w:color="auto"/>
        <w:left w:val="none" w:sz="0" w:space="0" w:color="auto"/>
        <w:bottom w:val="none" w:sz="0" w:space="0" w:color="auto"/>
        <w:right w:val="none" w:sz="0" w:space="0" w:color="auto"/>
      </w:divBdr>
    </w:div>
    <w:div w:id="300577504">
      <w:bodyDiv w:val="1"/>
      <w:marLeft w:val="0"/>
      <w:marRight w:val="0"/>
      <w:marTop w:val="0"/>
      <w:marBottom w:val="0"/>
      <w:divBdr>
        <w:top w:val="none" w:sz="0" w:space="0" w:color="auto"/>
        <w:left w:val="none" w:sz="0" w:space="0" w:color="auto"/>
        <w:bottom w:val="none" w:sz="0" w:space="0" w:color="auto"/>
        <w:right w:val="none" w:sz="0" w:space="0" w:color="auto"/>
      </w:divBdr>
    </w:div>
    <w:div w:id="389813948">
      <w:bodyDiv w:val="1"/>
      <w:marLeft w:val="0"/>
      <w:marRight w:val="0"/>
      <w:marTop w:val="0"/>
      <w:marBottom w:val="0"/>
      <w:divBdr>
        <w:top w:val="none" w:sz="0" w:space="0" w:color="auto"/>
        <w:left w:val="none" w:sz="0" w:space="0" w:color="auto"/>
        <w:bottom w:val="none" w:sz="0" w:space="0" w:color="auto"/>
        <w:right w:val="none" w:sz="0" w:space="0" w:color="auto"/>
      </w:divBdr>
    </w:div>
    <w:div w:id="439030961">
      <w:bodyDiv w:val="1"/>
      <w:marLeft w:val="0"/>
      <w:marRight w:val="0"/>
      <w:marTop w:val="0"/>
      <w:marBottom w:val="0"/>
      <w:divBdr>
        <w:top w:val="none" w:sz="0" w:space="0" w:color="auto"/>
        <w:left w:val="none" w:sz="0" w:space="0" w:color="auto"/>
        <w:bottom w:val="none" w:sz="0" w:space="0" w:color="auto"/>
        <w:right w:val="none" w:sz="0" w:space="0" w:color="auto"/>
      </w:divBdr>
    </w:div>
    <w:div w:id="553543264">
      <w:bodyDiv w:val="1"/>
      <w:marLeft w:val="0"/>
      <w:marRight w:val="0"/>
      <w:marTop w:val="0"/>
      <w:marBottom w:val="0"/>
      <w:divBdr>
        <w:top w:val="none" w:sz="0" w:space="0" w:color="auto"/>
        <w:left w:val="none" w:sz="0" w:space="0" w:color="auto"/>
        <w:bottom w:val="none" w:sz="0" w:space="0" w:color="auto"/>
        <w:right w:val="none" w:sz="0" w:space="0" w:color="auto"/>
      </w:divBdr>
    </w:div>
    <w:div w:id="603853407">
      <w:bodyDiv w:val="1"/>
      <w:marLeft w:val="0"/>
      <w:marRight w:val="0"/>
      <w:marTop w:val="0"/>
      <w:marBottom w:val="0"/>
      <w:divBdr>
        <w:top w:val="none" w:sz="0" w:space="0" w:color="auto"/>
        <w:left w:val="none" w:sz="0" w:space="0" w:color="auto"/>
        <w:bottom w:val="none" w:sz="0" w:space="0" w:color="auto"/>
        <w:right w:val="none" w:sz="0" w:space="0" w:color="auto"/>
      </w:divBdr>
    </w:div>
    <w:div w:id="611060148">
      <w:bodyDiv w:val="1"/>
      <w:marLeft w:val="0"/>
      <w:marRight w:val="0"/>
      <w:marTop w:val="0"/>
      <w:marBottom w:val="0"/>
      <w:divBdr>
        <w:top w:val="none" w:sz="0" w:space="0" w:color="auto"/>
        <w:left w:val="none" w:sz="0" w:space="0" w:color="auto"/>
        <w:bottom w:val="none" w:sz="0" w:space="0" w:color="auto"/>
        <w:right w:val="none" w:sz="0" w:space="0" w:color="auto"/>
      </w:divBdr>
    </w:div>
    <w:div w:id="678628067">
      <w:bodyDiv w:val="1"/>
      <w:marLeft w:val="0"/>
      <w:marRight w:val="0"/>
      <w:marTop w:val="0"/>
      <w:marBottom w:val="0"/>
      <w:divBdr>
        <w:top w:val="none" w:sz="0" w:space="0" w:color="auto"/>
        <w:left w:val="none" w:sz="0" w:space="0" w:color="auto"/>
        <w:bottom w:val="none" w:sz="0" w:space="0" w:color="auto"/>
        <w:right w:val="none" w:sz="0" w:space="0" w:color="auto"/>
      </w:divBdr>
    </w:div>
    <w:div w:id="712537712">
      <w:bodyDiv w:val="1"/>
      <w:marLeft w:val="0"/>
      <w:marRight w:val="0"/>
      <w:marTop w:val="0"/>
      <w:marBottom w:val="0"/>
      <w:divBdr>
        <w:top w:val="none" w:sz="0" w:space="0" w:color="auto"/>
        <w:left w:val="none" w:sz="0" w:space="0" w:color="auto"/>
        <w:bottom w:val="none" w:sz="0" w:space="0" w:color="auto"/>
        <w:right w:val="none" w:sz="0" w:space="0" w:color="auto"/>
      </w:divBdr>
    </w:div>
    <w:div w:id="740177743">
      <w:bodyDiv w:val="1"/>
      <w:marLeft w:val="0"/>
      <w:marRight w:val="0"/>
      <w:marTop w:val="0"/>
      <w:marBottom w:val="0"/>
      <w:divBdr>
        <w:top w:val="none" w:sz="0" w:space="0" w:color="auto"/>
        <w:left w:val="none" w:sz="0" w:space="0" w:color="auto"/>
        <w:bottom w:val="none" w:sz="0" w:space="0" w:color="auto"/>
        <w:right w:val="none" w:sz="0" w:space="0" w:color="auto"/>
      </w:divBdr>
    </w:div>
    <w:div w:id="757144005">
      <w:bodyDiv w:val="1"/>
      <w:marLeft w:val="0"/>
      <w:marRight w:val="0"/>
      <w:marTop w:val="0"/>
      <w:marBottom w:val="0"/>
      <w:divBdr>
        <w:top w:val="none" w:sz="0" w:space="0" w:color="auto"/>
        <w:left w:val="none" w:sz="0" w:space="0" w:color="auto"/>
        <w:bottom w:val="none" w:sz="0" w:space="0" w:color="auto"/>
        <w:right w:val="none" w:sz="0" w:space="0" w:color="auto"/>
      </w:divBdr>
    </w:div>
    <w:div w:id="915821822">
      <w:bodyDiv w:val="1"/>
      <w:marLeft w:val="0"/>
      <w:marRight w:val="0"/>
      <w:marTop w:val="0"/>
      <w:marBottom w:val="0"/>
      <w:divBdr>
        <w:top w:val="none" w:sz="0" w:space="0" w:color="auto"/>
        <w:left w:val="none" w:sz="0" w:space="0" w:color="auto"/>
        <w:bottom w:val="none" w:sz="0" w:space="0" w:color="auto"/>
        <w:right w:val="none" w:sz="0" w:space="0" w:color="auto"/>
      </w:divBdr>
    </w:div>
    <w:div w:id="1016351504">
      <w:bodyDiv w:val="1"/>
      <w:marLeft w:val="0"/>
      <w:marRight w:val="0"/>
      <w:marTop w:val="0"/>
      <w:marBottom w:val="0"/>
      <w:divBdr>
        <w:top w:val="none" w:sz="0" w:space="0" w:color="auto"/>
        <w:left w:val="none" w:sz="0" w:space="0" w:color="auto"/>
        <w:bottom w:val="none" w:sz="0" w:space="0" w:color="auto"/>
        <w:right w:val="none" w:sz="0" w:space="0" w:color="auto"/>
      </w:divBdr>
    </w:div>
    <w:div w:id="1058406783">
      <w:bodyDiv w:val="1"/>
      <w:marLeft w:val="0"/>
      <w:marRight w:val="0"/>
      <w:marTop w:val="0"/>
      <w:marBottom w:val="0"/>
      <w:divBdr>
        <w:top w:val="none" w:sz="0" w:space="0" w:color="auto"/>
        <w:left w:val="none" w:sz="0" w:space="0" w:color="auto"/>
        <w:bottom w:val="none" w:sz="0" w:space="0" w:color="auto"/>
        <w:right w:val="none" w:sz="0" w:space="0" w:color="auto"/>
      </w:divBdr>
      <w:divsChild>
        <w:div w:id="115562257">
          <w:marLeft w:val="0"/>
          <w:marRight w:val="0"/>
          <w:marTop w:val="0"/>
          <w:marBottom w:val="0"/>
          <w:divBdr>
            <w:top w:val="none" w:sz="0" w:space="0" w:color="auto"/>
            <w:left w:val="none" w:sz="0" w:space="0" w:color="auto"/>
            <w:bottom w:val="none" w:sz="0" w:space="0" w:color="auto"/>
            <w:right w:val="none" w:sz="0" w:space="0" w:color="auto"/>
          </w:divBdr>
          <w:divsChild>
            <w:div w:id="1845657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11172">
      <w:bodyDiv w:val="1"/>
      <w:marLeft w:val="0"/>
      <w:marRight w:val="0"/>
      <w:marTop w:val="0"/>
      <w:marBottom w:val="0"/>
      <w:divBdr>
        <w:top w:val="none" w:sz="0" w:space="0" w:color="auto"/>
        <w:left w:val="none" w:sz="0" w:space="0" w:color="auto"/>
        <w:bottom w:val="none" w:sz="0" w:space="0" w:color="auto"/>
        <w:right w:val="none" w:sz="0" w:space="0" w:color="auto"/>
      </w:divBdr>
    </w:div>
    <w:div w:id="1233808921">
      <w:bodyDiv w:val="1"/>
      <w:marLeft w:val="0"/>
      <w:marRight w:val="0"/>
      <w:marTop w:val="0"/>
      <w:marBottom w:val="0"/>
      <w:divBdr>
        <w:top w:val="none" w:sz="0" w:space="0" w:color="auto"/>
        <w:left w:val="none" w:sz="0" w:space="0" w:color="auto"/>
        <w:bottom w:val="none" w:sz="0" w:space="0" w:color="auto"/>
        <w:right w:val="none" w:sz="0" w:space="0" w:color="auto"/>
      </w:divBdr>
    </w:div>
    <w:div w:id="1326591004">
      <w:bodyDiv w:val="1"/>
      <w:marLeft w:val="0"/>
      <w:marRight w:val="0"/>
      <w:marTop w:val="0"/>
      <w:marBottom w:val="0"/>
      <w:divBdr>
        <w:top w:val="none" w:sz="0" w:space="0" w:color="auto"/>
        <w:left w:val="none" w:sz="0" w:space="0" w:color="auto"/>
        <w:bottom w:val="none" w:sz="0" w:space="0" w:color="auto"/>
        <w:right w:val="none" w:sz="0" w:space="0" w:color="auto"/>
      </w:divBdr>
    </w:div>
    <w:div w:id="1395930275">
      <w:bodyDiv w:val="1"/>
      <w:marLeft w:val="0"/>
      <w:marRight w:val="0"/>
      <w:marTop w:val="0"/>
      <w:marBottom w:val="0"/>
      <w:divBdr>
        <w:top w:val="none" w:sz="0" w:space="0" w:color="auto"/>
        <w:left w:val="none" w:sz="0" w:space="0" w:color="auto"/>
        <w:bottom w:val="none" w:sz="0" w:space="0" w:color="auto"/>
        <w:right w:val="none" w:sz="0" w:space="0" w:color="auto"/>
      </w:divBdr>
    </w:div>
    <w:div w:id="1439527216">
      <w:bodyDiv w:val="1"/>
      <w:marLeft w:val="0"/>
      <w:marRight w:val="0"/>
      <w:marTop w:val="0"/>
      <w:marBottom w:val="0"/>
      <w:divBdr>
        <w:top w:val="none" w:sz="0" w:space="0" w:color="auto"/>
        <w:left w:val="none" w:sz="0" w:space="0" w:color="auto"/>
        <w:bottom w:val="none" w:sz="0" w:space="0" w:color="auto"/>
        <w:right w:val="none" w:sz="0" w:space="0" w:color="auto"/>
      </w:divBdr>
      <w:divsChild>
        <w:div w:id="281502612">
          <w:marLeft w:val="0"/>
          <w:marRight w:val="0"/>
          <w:marTop w:val="0"/>
          <w:marBottom w:val="0"/>
          <w:divBdr>
            <w:top w:val="none" w:sz="0" w:space="0" w:color="auto"/>
            <w:left w:val="none" w:sz="0" w:space="0" w:color="auto"/>
            <w:bottom w:val="none" w:sz="0" w:space="0" w:color="auto"/>
            <w:right w:val="none" w:sz="0" w:space="0" w:color="auto"/>
          </w:divBdr>
          <w:divsChild>
            <w:div w:id="132235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678064">
      <w:bodyDiv w:val="1"/>
      <w:marLeft w:val="0"/>
      <w:marRight w:val="0"/>
      <w:marTop w:val="0"/>
      <w:marBottom w:val="0"/>
      <w:divBdr>
        <w:top w:val="none" w:sz="0" w:space="0" w:color="auto"/>
        <w:left w:val="none" w:sz="0" w:space="0" w:color="auto"/>
        <w:bottom w:val="none" w:sz="0" w:space="0" w:color="auto"/>
        <w:right w:val="none" w:sz="0" w:space="0" w:color="auto"/>
      </w:divBdr>
    </w:div>
    <w:div w:id="1461533672">
      <w:bodyDiv w:val="1"/>
      <w:marLeft w:val="0"/>
      <w:marRight w:val="0"/>
      <w:marTop w:val="0"/>
      <w:marBottom w:val="0"/>
      <w:divBdr>
        <w:top w:val="none" w:sz="0" w:space="0" w:color="auto"/>
        <w:left w:val="none" w:sz="0" w:space="0" w:color="auto"/>
        <w:bottom w:val="none" w:sz="0" w:space="0" w:color="auto"/>
        <w:right w:val="none" w:sz="0" w:space="0" w:color="auto"/>
      </w:divBdr>
    </w:div>
    <w:div w:id="1506943770">
      <w:bodyDiv w:val="1"/>
      <w:marLeft w:val="0"/>
      <w:marRight w:val="0"/>
      <w:marTop w:val="0"/>
      <w:marBottom w:val="0"/>
      <w:divBdr>
        <w:top w:val="none" w:sz="0" w:space="0" w:color="auto"/>
        <w:left w:val="none" w:sz="0" w:space="0" w:color="auto"/>
        <w:bottom w:val="none" w:sz="0" w:space="0" w:color="auto"/>
        <w:right w:val="none" w:sz="0" w:space="0" w:color="auto"/>
      </w:divBdr>
    </w:div>
    <w:div w:id="1539928474">
      <w:bodyDiv w:val="1"/>
      <w:marLeft w:val="0"/>
      <w:marRight w:val="0"/>
      <w:marTop w:val="0"/>
      <w:marBottom w:val="0"/>
      <w:divBdr>
        <w:top w:val="none" w:sz="0" w:space="0" w:color="auto"/>
        <w:left w:val="none" w:sz="0" w:space="0" w:color="auto"/>
        <w:bottom w:val="none" w:sz="0" w:space="0" w:color="auto"/>
        <w:right w:val="none" w:sz="0" w:space="0" w:color="auto"/>
      </w:divBdr>
    </w:div>
    <w:div w:id="1617329151">
      <w:bodyDiv w:val="1"/>
      <w:marLeft w:val="0"/>
      <w:marRight w:val="0"/>
      <w:marTop w:val="0"/>
      <w:marBottom w:val="0"/>
      <w:divBdr>
        <w:top w:val="none" w:sz="0" w:space="0" w:color="auto"/>
        <w:left w:val="none" w:sz="0" w:space="0" w:color="auto"/>
        <w:bottom w:val="none" w:sz="0" w:space="0" w:color="auto"/>
        <w:right w:val="none" w:sz="0" w:space="0" w:color="auto"/>
      </w:divBdr>
    </w:div>
    <w:div w:id="1703939401">
      <w:bodyDiv w:val="1"/>
      <w:marLeft w:val="0"/>
      <w:marRight w:val="0"/>
      <w:marTop w:val="0"/>
      <w:marBottom w:val="0"/>
      <w:divBdr>
        <w:top w:val="none" w:sz="0" w:space="0" w:color="auto"/>
        <w:left w:val="none" w:sz="0" w:space="0" w:color="auto"/>
        <w:bottom w:val="none" w:sz="0" w:space="0" w:color="auto"/>
        <w:right w:val="none" w:sz="0" w:space="0" w:color="auto"/>
      </w:divBdr>
    </w:div>
    <w:div w:id="1765493305">
      <w:bodyDiv w:val="1"/>
      <w:marLeft w:val="0"/>
      <w:marRight w:val="0"/>
      <w:marTop w:val="0"/>
      <w:marBottom w:val="0"/>
      <w:divBdr>
        <w:top w:val="none" w:sz="0" w:space="0" w:color="auto"/>
        <w:left w:val="none" w:sz="0" w:space="0" w:color="auto"/>
        <w:bottom w:val="none" w:sz="0" w:space="0" w:color="auto"/>
        <w:right w:val="none" w:sz="0" w:space="0" w:color="auto"/>
      </w:divBdr>
    </w:div>
    <w:div w:id="1789203074">
      <w:bodyDiv w:val="1"/>
      <w:marLeft w:val="0"/>
      <w:marRight w:val="0"/>
      <w:marTop w:val="0"/>
      <w:marBottom w:val="0"/>
      <w:divBdr>
        <w:top w:val="none" w:sz="0" w:space="0" w:color="auto"/>
        <w:left w:val="none" w:sz="0" w:space="0" w:color="auto"/>
        <w:bottom w:val="none" w:sz="0" w:space="0" w:color="auto"/>
        <w:right w:val="none" w:sz="0" w:space="0" w:color="auto"/>
      </w:divBdr>
    </w:div>
    <w:div w:id="1835366481">
      <w:bodyDiv w:val="1"/>
      <w:marLeft w:val="0"/>
      <w:marRight w:val="0"/>
      <w:marTop w:val="0"/>
      <w:marBottom w:val="0"/>
      <w:divBdr>
        <w:top w:val="none" w:sz="0" w:space="0" w:color="auto"/>
        <w:left w:val="none" w:sz="0" w:space="0" w:color="auto"/>
        <w:bottom w:val="none" w:sz="0" w:space="0" w:color="auto"/>
        <w:right w:val="none" w:sz="0" w:space="0" w:color="auto"/>
      </w:divBdr>
    </w:div>
    <w:div w:id="1924489682">
      <w:bodyDiv w:val="1"/>
      <w:marLeft w:val="0"/>
      <w:marRight w:val="0"/>
      <w:marTop w:val="0"/>
      <w:marBottom w:val="0"/>
      <w:divBdr>
        <w:top w:val="none" w:sz="0" w:space="0" w:color="auto"/>
        <w:left w:val="none" w:sz="0" w:space="0" w:color="auto"/>
        <w:bottom w:val="none" w:sz="0" w:space="0" w:color="auto"/>
        <w:right w:val="none" w:sz="0" w:space="0" w:color="auto"/>
      </w:divBdr>
    </w:div>
    <w:div w:id="2002418692">
      <w:bodyDiv w:val="1"/>
      <w:marLeft w:val="0"/>
      <w:marRight w:val="0"/>
      <w:marTop w:val="0"/>
      <w:marBottom w:val="0"/>
      <w:divBdr>
        <w:top w:val="none" w:sz="0" w:space="0" w:color="auto"/>
        <w:left w:val="none" w:sz="0" w:space="0" w:color="auto"/>
        <w:bottom w:val="none" w:sz="0" w:space="0" w:color="auto"/>
        <w:right w:val="none" w:sz="0" w:space="0" w:color="auto"/>
      </w:divBdr>
    </w:div>
    <w:div w:id="2027174856">
      <w:bodyDiv w:val="1"/>
      <w:marLeft w:val="0"/>
      <w:marRight w:val="0"/>
      <w:marTop w:val="0"/>
      <w:marBottom w:val="0"/>
      <w:divBdr>
        <w:top w:val="none" w:sz="0" w:space="0" w:color="auto"/>
        <w:left w:val="none" w:sz="0" w:space="0" w:color="auto"/>
        <w:bottom w:val="none" w:sz="0" w:space="0" w:color="auto"/>
        <w:right w:val="none" w:sz="0" w:space="0" w:color="auto"/>
      </w:divBdr>
    </w:div>
    <w:div w:id="208896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microsoftvolumelicensing.com/" TargetMode="External"/><Relationship Id="rId26" Type="http://schemas.openxmlformats.org/officeDocument/2006/relationships/hyperlink" Target="https://docs.microsoft.com/en-us/azure/virtual-machines/capacity-reservation-overview" TargetMode="External"/><Relationship Id="rId3" Type="http://schemas.openxmlformats.org/officeDocument/2006/relationships/customXml" Target="../customXml/item3.xml"/><Relationship Id="rId21" Type="http://schemas.openxmlformats.org/officeDocument/2006/relationships/hyperlink" Target="https://protect.checkpoint.com/v2/r01/___https://microsoft-my.sharepoint.com/personal/rghosalkar_microsoft_com/Documents/Recordings/SLA%20discussion%20-%20Capacity%20Blocks-20260501_113805-Meeting%20Recording.mp4___.YzJ1Omxpb25icmlkZ2U6YzpvZmZpY2UzNjVfZW1haWxzX2F0dGFjaG1lbnQ6MGE2ZDdjMjhlMTkwNjIyNDRlMjc3YWNjMzY3NWQ5Y2U6NzpiZjU0OjUwYzE2ZWM5YjY1ZDMyNDc4NzVlYzc3ODlkZWEyY2FhNDhjMzdmMWExNDYxNzBlMTdkOTIzMTE4YTAyN2MyYmY6cDpUOk4"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aka.ms/CSLA" TargetMode="External"/><Relationship Id="rId25" Type="http://schemas.openxmlformats.org/officeDocument/2006/relationships/hyperlink" Target="https://learn.microsoft.com/en-us/azure/virtual-machines/capacity-reservation-overview?tabs=cli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aka.ms/DSLARegionLin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rotect.checkpoint.com/v2/___https://learn.microsoft.com/fabric/enterprise/licenses___.YzJ1Omxpb25icmlkZ2U6YzpvOjUwYzgxNzZmMDQ2MTk1YmYxOWVlMzc4MWFiNTI2YzMwOjY6YThiNDo2Y2Y2OWM3M2UxZWFlZjViMWZlNjc0ODMyODM4YWNiMTFmNjY2ZWQzOWY0ZWZkMjA4YjI1MmQxNzQyZTkwOGZhOnA6VA"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protect.checkpoint.com/v2/___https://learn.microsoft.com/en-us/fabric/enterprise/licenses___.YzJ1Omxpb25icmlkZ2U6YzpvOjUwYzgxNzZmMDQ2MTk1YmYxOWVlMzc4MWFiNTI2YzMwOjY6MDUzMzplNGRiYzlmODk2ZTFmYzg5OTFkNTVkODhkNWI0OGVjNGMzODdkNWQ3ZWMxN2Q1YzI5NWQwNDM1OTI3NGVkYTg1OnA6VA" TargetMode="External"/><Relationship Id="rId28" Type="http://schemas.openxmlformats.org/officeDocument/2006/relationships/hyperlink" Target="https://docs.vmware.com/en/VMware-vSphere/6.7/vsan-671-administration-guide.pdf"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learn.microsoft.com/en-us/azure/databricks/" TargetMode="External"/><Relationship Id="rId27" Type="http://schemas.openxmlformats.org/officeDocument/2006/relationships/hyperlink" Target="https://protect.checkpoint.com/v2/___https://techdocs.broadcom.com/us/en/vmware-cis/vsan/vsan/8-0/vsan-planning/designing-and-sizing-a-virtual-san-cluster/sizing-a-virtual-san-datastore.html___.YzJ1Omxpb25icmlkZ2U6YzpvOmI5ZjFhYzVkMDJjMzk2NGIyODkxNjkwNzc0ZjhiZDNmOjY6YjY0NTpmMzJjYzJjNjVlYmI1NmJjNzI4NzcwNTA5ZjU1Y2M5MWM3OWY0NmQ1ODJlZjhkNzg1NDE4OTNiNzY3NjNmY2JjOnA6VDpO" TargetMode="External"/><Relationship Id="rId30" Type="http://schemas.openxmlformats.org/officeDocument/2006/relationships/footer" Target="foot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4F5BC03CBE0C34D9CB54ED5A08DA3F5" ma:contentTypeVersion="26" ma:contentTypeDescription="Create a new document." ma:contentTypeScope="" ma:versionID="b9e6fa8fbe739edaeb4e90b9b0ca4d0f">
  <xsd:schema xmlns:xsd="http://www.w3.org/2001/XMLSchema" xmlns:xs="http://www.w3.org/2001/XMLSchema" xmlns:p="http://schemas.microsoft.com/office/2006/metadata/properties" xmlns:ns1="http://schemas.microsoft.com/sharepoint/v3" xmlns:ns2="eebf34e1-3ce1-444e-acc4-010185dd52a4" xmlns:ns3="46c117c8-efaa-4cbc-ab65-8fb13803fb07" xmlns:ns4="230e9df3-be65-4c73-a93b-d1236ebd677e" targetNamespace="http://schemas.microsoft.com/office/2006/metadata/properties" ma:root="true" ma:fieldsID="0a04eb53677755637a53386320cc3d80" ns1:_="" ns2:_="" ns3:_="" ns4:_="">
    <xsd:import namespace="http://schemas.microsoft.com/sharepoint/v3"/>
    <xsd:import namespace="eebf34e1-3ce1-444e-acc4-010185dd52a4"/>
    <xsd:import namespace="46c117c8-efaa-4cbc-ab65-8fb13803fb07"/>
    <xsd:import namespace="230e9df3-be65-4c73-a93b-d1236ebd677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4:TaxCatchAll" minOccurs="0"/>
                <xsd:element ref="ns1:_ip_UnifiedCompliancePolicyProperties" minOccurs="0"/>
                <xsd:element ref="ns1:_ip_UnifiedCompliancePolicyUIAction" minOccurs="0"/>
                <xsd:element ref="ns2:MediaServiceSearchProperties" minOccurs="0"/>
                <xsd:element ref="ns2:MediaServiceObjectDetectorVersions" minOccurs="0"/>
                <xsd:element ref="ns2:Notes" minOccurs="0"/>
                <xsd:element ref="ns2:Included"/>
                <xsd:element ref="ns2:Include" minOccurs="0"/>
                <xsd:element ref="ns2:MediaServiceGenerationTime" minOccurs="0"/>
                <xsd:element ref="ns2:MediaServiceEventHashCode"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bf34e1-3ce1-444e-acc4-010185dd5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Notes" ma:index="23" nillable="true" ma:displayName="Notes" ma:format="Dropdown" ma:internalName="Notes">
      <xsd:simpleType>
        <xsd:restriction base="dms:Text">
          <xsd:maxLength value="255"/>
        </xsd:restriction>
      </xsd:simpleType>
    </xsd:element>
    <xsd:element name="Included" ma:index="24" ma:displayName="Included" ma:default="0" ma:format="Dropdown" ma:internalName="Included">
      <xsd:simpleType>
        <xsd:restriction base="dms:Boolean"/>
      </xsd:simpleType>
    </xsd:element>
    <xsd:element name="Include" ma:index="25" nillable="true" ma:displayName="Include" ma:default="0" ma:format="Dropdown" ma:internalName="Include">
      <xsd:simpleType>
        <xsd:restriction base="dms:Text">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Location" ma:index="28" nillable="true" ma:displayName="Location" ma:indexed="true" ma:internalName="MediaServiceLocation"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c117c8-efaa-4cbc-ab65-8fb13803fb0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510acf9-039c-4a5b-9384-02d0726b896a}" ma:internalName="TaxCatchAll" ma:showField="CatchAllData" ma:web="46c117c8-efaa-4cbc-ab65-8fb13803f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eebf34e1-3ce1-444e-acc4-010185dd52a4">
      <Terms xmlns="http://schemas.microsoft.com/office/infopath/2007/PartnerControls"/>
    </lcf76f155ced4ddcb4097134ff3c332f>
    <_ip_UnifiedCompliancePolicyProperties xmlns="http://schemas.microsoft.com/sharepoint/v3" xsi:nil="true"/>
    <TaxCatchAll xmlns="230e9df3-be65-4c73-a93b-d1236ebd677e" xsi:nil="true"/>
    <Notes xmlns="eebf34e1-3ce1-444e-acc4-010185dd52a4" xsi:nil="true"/>
    <Included xmlns="eebf34e1-3ce1-444e-acc4-010185dd52a4">false</Included>
    <Include xmlns="eebf34e1-3ce1-444e-acc4-010185dd52a4">0</Include>
  </documentManagement>
</p:properties>
</file>

<file path=customXml/itemProps1.xml><?xml version="1.0" encoding="utf-8"?>
<ds:datastoreItem xmlns:ds="http://schemas.openxmlformats.org/officeDocument/2006/customXml" ds:itemID="{F0459D25-B3DF-46DC-B45E-1AB5AD62D246}">
  <ds:schemaRefs>
    <ds:schemaRef ds:uri="http://schemas.microsoft.com/sharepoint/v3/contenttype/forms"/>
  </ds:schemaRefs>
</ds:datastoreItem>
</file>

<file path=customXml/itemProps2.xml><?xml version="1.0" encoding="utf-8"?>
<ds:datastoreItem xmlns:ds="http://schemas.openxmlformats.org/officeDocument/2006/customXml" ds:itemID="{1920C873-DAC7-469A-B2B1-4716023DB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ebf34e1-3ce1-444e-acc4-010185dd52a4"/>
    <ds:schemaRef ds:uri="46c117c8-efaa-4cbc-ab65-8fb13803fb07"/>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A38E68-39FB-4B52-B154-A1BD12E90119}">
  <ds:schemaRefs>
    <ds:schemaRef ds:uri="http://schemas.openxmlformats.org/officeDocument/2006/bibliography"/>
  </ds:schemaRefs>
</ds:datastoreItem>
</file>

<file path=customXml/itemProps4.xml><?xml version="1.0" encoding="utf-8"?>
<ds:datastoreItem xmlns:ds="http://schemas.openxmlformats.org/officeDocument/2006/customXml" ds:itemID="{1E3F1A7F-C31B-44F0-94F1-6B0F5AA258D4}">
  <ds:schemaRefs>
    <ds:schemaRef ds:uri="http://schemas.microsoft.com/office/2006/metadata/properties"/>
    <ds:schemaRef ds:uri="http://schemas.microsoft.com/office/infopath/2007/PartnerControls"/>
    <ds:schemaRef ds:uri="http://schemas.microsoft.com/sharepoint/v3"/>
    <ds:schemaRef ds:uri="eebf34e1-3ce1-444e-acc4-010185dd52a4"/>
    <ds:schemaRef ds:uri="230e9df3-be65-4c73-a93b-d1236ebd677e"/>
  </ds:schemaRefs>
</ds:datastoreItem>
</file>

<file path=docMetadata/LabelInfo.xml><?xml version="1.0" encoding="utf-8"?>
<clbl:labelList xmlns:clbl="http://schemas.microsoft.com/office/2020/mipLabelMetadata">
  <clbl:label id="{f42aa342-8706-4288-bd11-ebb85995028c}"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67640</Words>
  <Characters>385549</Characters>
  <Application>Microsoft Office Word</Application>
  <DocSecurity>8</DocSecurity>
  <Lines>3212</Lines>
  <Paragraphs>904</Paragraphs>
  <ScaleCrop>false</ScaleCrop>
  <Company/>
  <LinksUpToDate>false</LinksUpToDate>
  <CharactersWithSpaces>452285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2024-01-08T23:40:00Z</dcterms:created>
  <dcterms:modified xsi:type="dcterms:W3CDTF">2026-09-02T19:11:00Z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0x01010054F5BC03CBE0C34D9CB54ED5A08DA3F5</vt:lpwstr>
  </property>
  <property fmtid="{D5CDD505-2E9C-101B-9397-08002B2CF9AE}" pid="3" name="MediaServiceImageTags">
    <vt:lpwstr/>
  </property>
  <property fmtid="{D5CDD505-2E9C-101B-9397-08002B2CF9AE}" pid="4" name="MSIP_Label_4f1eb69c-1f4c-4df4-a01b-922f0787bf11_Enabled">
    <vt:lpwstr>true</vt:lpwstr>
  </property>
  <property fmtid="{D5CDD505-2E9C-101B-9397-08002B2CF9AE}" pid="5" name="MSIP_Label_4f1eb69c-1f4c-4df4-a01b-922f0787bf11_SetDate">
    <vt:lpwstr>2024-12-19T20:57:33Z</vt:lpwstr>
  </property>
  <property fmtid="{D5CDD505-2E9C-101B-9397-08002B2CF9AE}" pid="6" name="MSIP_Label_4f1eb69c-1f4c-4df4-a01b-922f0787bf11_Method">
    <vt:lpwstr>Standard</vt:lpwstr>
  </property>
  <property fmtid="{D5CDD505-2E9C-101B-9397-08002B2CF9AE}" pid="7" name="MSIP_Label_4f1eb69c-1f4c-4df4-a01b-922f0787bf11_Name">
    <vt:lpwstr>4f1eb69c-1f4c-4df4-a01b-922f0787bf11</vt:lpwstr>
  </property>
  <property fmtid="{D5CDD505-2E9C-101B-9397-08002B2CF9AE}" pid="8" name="MSIP_Label_4f1eb69c-1f4c-4df4-a01b-922f0787bf11_SiteId">
    <vt:lpwstr>4eb0a005-16a5-41b4-ade9-b283ab85b4fa</vt:lpwstr>
  </property>
  <property fmtid="{D5CDD505-2E9C-101B-9397-08002B2CF9AE}" pid="9" name="MSIP_Label_4f1eb69c-1f4c-4df4-a01b-922f0787bf11_ActionId">
    <vt:lpwstr>775593ff-a36f-4051-a5c9-e1407a7e5702</vt:lpwstr>
  </property>
  <property fmtid="{D5CDD505-2E9C-101B-9397-08002B2CF9AE}" pid="10" name="MSIP_Label_4f1eb69c-1f4c-4df4-a01b-922f0787bf11_ContentBits">
    <vt:lpwstr>0</vt:lpwstr>
  </property>
</Properties>
</file>