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D1554" w14:textId="26BB6919" w:rsidR="00364EEB" w:rsidRPr="00B64EAD" w:rsidRDefault="00364EEB" w:rsidP="00364EEB">
      <w:pPr>
        <w:pStyle w:val="ProductList-Body"/>
        <w:tabs>
          <w:tab w:val="clear" w:pos="360"/>
          <w:tab w:val="clear" w:pos="720"/>
          <w:tab w:val="clear" w:pos="1080"/>
        </w:tabs>
        <w:ind w:left="360"/>
        <w:rPr>
          <w:rFonts w:asciiTheme="majorHAnsi" w:hAnsiTheme="majorHAnsi"/>
          <w:color w:val="FFFFFF" w:themeColor="background1"/>
          <w:sz w:val="6"/>
          <w:szCs w:val="6"/>
        </w:rPr>
      </w:pPr>
      <w:permStart w:id="1324893890" w:edGrp="everyone"/>
      <w:r w:rsidRPr="00364EEB">
        <w:rPr>
          <w:noProof/>
          <w:lang w:val="en-US" w:eastAsia="zh-CN" w:bidi="ar-SA"/>
        </w:rPr>
        <w:drawing>
          <wp:anchor distT="0" distB="0" distL="114300" distR="114300" simplePos="0" relativeHeight="251658240" behindDoc="1" locked="0" layoutInCell="1" allowOverlap="1" wp14:anchorId="4CB44617" wp14:editId="16138987">
            <wp:simplePos x="0" y="0"/>
            <wp:positionH relativeFrom="page">
              <wp:posOffset>415125</wp:posOffset>
            </wp:positionH>
            <wp:positionV relativeFrom="paragraph">
              <wp:posOffset>-72928</wp:posOffset>
            </wp:positionV>
            <wp:extent cx="5890307" cy="4663030"/>
            <wp:effectExtent l="0" t="0" r="0" b="4445"/>
            <wp:wrapNone/>
            <wp:docPr id="1" name="Picture 1" descr="E:\G\Aug\26.08.2023\1\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E:\G\Aug\26.08.2023\1\1.png"/>
                    <pic:cNvPicPr>
                      <a:picLocks noChangeAspect="1" noChangeArrowheads="1"/>
                    </pic:cNvPicPr>
                  </pic:nvPicPr>
                  <pic:blipFill rotWithShape="1">
                    <a:blip r:embed="rId11">
                      <a:extLst>
                        <a:ext uri="{28A0092B-C50C-407E-A947-70E740481C1C}">
                          <a14:useLocalDpi xmlns:a14="http://schemas.microsoft.com/office/drawing/2010/main" val="0"/>
                        </a:ext>
                      </a:extLst>
                    </a:blip>
                    <a:srcRect l="5269" t="8345" r="20266" b="45315"/>
                    <a:stretch/>
                  </pic:blipFill>
                  <pic:spPr bwMode="auto">
                    <a:xfrm>
                      <a:off x="0" y="0"/>
                      <a:ext cx="5895838" cy="466740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ermEnd w:id="1324893890"/>
    </w:p>
    <w:p w14:paraId="245C5C1C" w14:textId="6C36FD31" w:rsidR="00807C36" w:rsidRPr="000C3ADD" w:rsidRDefault="00807C36" w:rsidP="000C3ADD">
      <w:pPr>
        <w:pStyle w:val="ProductList-Body"/>
        <w:tabs>
          <w:tab w:val="clear" w:pos="360"/>
          <w:tab w:val="clear" w:pos="720"/>
          <w:tab w:val="clear" w:pos="1080"/>
        </w:tabs>
        <w:ind w:left="360"/>
        <w:jc w:val="both"/>
        <w:rPr>
          <w:rFonts w:asciiTheme="majorHAnsi" w:hAnsiTheme="majorHAnsi"/>
          <w:color w:val="FFFFFF" w:themeColor="background1"/>
          <w:spacing w:val="-4"/>
          <w:sz w:val="32"/>
          <w:szCs w:val="32"/>
        </w:rPr>
      </w:pPr>
      <w:bookmarkStart w:id="0" w:name="CoverPage"/>
      <w:r w:rsidRPr="000C3ADD">
        <w:rPr>
          <w:rFonts w:asciiTheme="majorHAnsi" w:hAnsiTheme="majorHAnsi"/>
          <w:color w:val="FFFFFF" w:themeColor="background1"/>
          <w:spacing w:val="-4"/>
          <w:sz w:val="32"/>
          <w:szCs w:val="32"/>
        </w:rPr>
        <w:t>Volumenlizenz</w:t>
      </w:r>
      <w:bookmarkEnd w:id="0"/>
    </w:p>
    <w:p w14:paraId="06465CAA" w14:textId="04719F15" w:rsidR="00807C36" w:rsidRPr="00EF7CF9" w:rsidRDefault="00807C36" w:rsidP="00364EEB">
      <w:pPr>
        <w:pStyle w:val="ProductList-Body"/>
        <w:tabs>
          <w:tab w:val="clear" w:pos="360"/>
          <w:tab w:val="clear" w:pos="720"/>
          <w:tab w:val="clear" w:pos="1080"/>
        </w:tabs>
        <w:ind w:left="360"/>
        <w:rPr>
          <w:color w:val="FFFFFF" w:themeColor="background1"/>
        </w:rPr>
      </w:pPr>
    </w:p>
    <w:p w14:paraId="545DABF7" w14:textId="255C0510" w:rsidR="00807C36" w:rsidRPr="00EF7CF9" w:rsidRDefault="00807C36" w:rsidP="00364EEB">
      <w:pPr>
        <w:pStyle w:val="ProductList-Body"/>
        <w:tabs>
          <w:tab w:val="clear" w:pos="360"/>
          <w:tab w:val="clear" w:pos="720"/>
          <w:tab w:val="clear" w:pos="1080"/>
        </w:tabs>
        <w:ind w:left="360"/>
        <w:rPr>
          <w:rFonts w:asciiTheme="majorHAnsi" w:hAnsiTheme="majorHAnsi"/>
          <w:color w:val="FFFFFF" w:themeColor="background1"/>
          <w:sz w:val="72"/>
          <w:szCs w:val="72"/>
        </w:rPr>
      </w:pPr>
    </w:p>
    <w:p w14:paraId="289B0424" w14:textId="5C588A2A" w:rsidR="00807C36" w:rsidRPr="00364EEB" w:rsidRDefault="00807C36" w:rsidP="00364EEB">
      <w:pPr>
        <w:pStyle w:val="ProductList-Body"/>
        <w:tabs>
          <w:tab w:val="clear" w:pos="360"/>
          <w:tab w:val="clear" w:pos="720"/>
          <w:tab w:val="clear" w:pos="1080"/>
        </w:tabs>
        <w:ind w:left="360"/>
        <w:rPr>
          <w:rFonts w:asciiTheme="majorHAnsi" w:hAnsiTheme="majorHAnsi"/>
          <w:color w:val="FFFFFF" w:themeColor="background1"/>
          <w:sz w:val="58"/>
          <w:szCs w:val="72"/>
        </w:rPr>
      </w:pPr>
    </w:p>
    <w:p w14:paraId="65743496" w14:textId="77777777" w:rsidR="00364EEB" w:rsidRPr="00364EEB" w:rsidRDefault="00364EEB" w:rsidP="00364EEB">
      <w:pPr>
        <w:pStyle w:val="ProductList-Body"/>
        <w:tabs>
          <w:tab w:val="clear" w:pos="360"/>
          <w:tab w:val="clear" w:pos="720"/>
          <w:tab w:val="clear" w:pos="1080"/>
        </w:tabs>
        <w:ind w:left="360"/>
        <w:rPr>
          <w:rFonts w:asciiTheme="majorHAnsi" w:hAnsiTheme="majorHAnsi"/>
          <w:color w:val="FFFFFF" w:themeColor="background1"/>
          <w:sz w:val="48"/>
          <w:szCs w:val="72"/>
        </w:rPr>
      </w:pPr>
    </w:p>
    <w:p w14:paraId="5DFA91A6" w14:textId="155831DC" w:rsidR="00807C36" w:rsidRPr="00EF7CF9" w:rsidRDefault="00FD4A5C" w:rsidP="00364EEB">
      <w:pPr>
        <w:pStyle w:val="ProductList-Body"/>
        <w:tabs>
          <w:tab w:val="clear" w:pos="360"/>
          <w:tab w:val="clear" w:pos="720"/>
          <w:tab w:val="clear" w:pos="1080"/>
        </w:tabs>
        <w:ind w:left="360" w:right="1755"/>
        <w:rPr>
          <w:rFonts w:asciiTheme="majorHAnsi" w:hAnsiTheme="majorHAnsi"/>
          <w:color w:val="FFFFFF" w:themeColor="background1"/>
          <w:sz w:val="72"/>
          <w:szCs w:val="72"/>
        </w:rPr>
      </w:pPr>
      <w:r>
        <w:rPr>
          <w:rFonts w:asciiTheme="majorHAnsi" w:hAnsiTheme="majorHAnsi"/>
          <w:color w:val="FFFFFF" w:themeColor="background1"/>
          <w:sz w:val="72"/>
          <w:szCs w:val="72"/>
        </w:rPr>
        <w:t>Vereinbarung zum Service</w:t>
      </w:r>
      <w:r w:rsidR="00364EEB">
        <w:rPr>
          <w:rFonts w:asciiTheme="majorHAnsi" w:hAnsiTheme="majorHAnsi"/>
          <w:color w:val="FFFFFF" w:themeColor="background1"/>
          <w:sz w:val="72"/>
          <w:szCs w:val="72"/>
        </w:rPr>
        <w:noBreakHyphen/>
      </w:r>
      <w:r>
        <w:rPr>
          <w:rFonts w:asciiTheme="majorHAnsi" w:hAnsiTheme="majorHAnsi"/>
          <w:color w:val="FFFFFF" w:themeColor="background1"/>
          <w:sz w:val="72"/>
          <w:szCs w:val="72"/>
        </w:rPr>
        <w:t>Level für Microsoft</w:t>
      </w:r>
      <w:r w:rsidR="00364EEB">
        <w:rPr>
          <w:rFonts w:asciiTheme="majorHAnsi" w:hAnsiTheme="majorHAnsi"/>
          <w:color w:val="FFFFFF" w:themeColor="background1"/>
          <w:sz w:val="72"/>
          <w:szCs w:val="72"/>
        </w:rPr>
        <w:t> </w:t>
      </w:r>
      <w:r>
        <w:rPr>
          <w:rFonts w:asciiTheme="majorHAnsi" w:hAnsiTheme="majorHAnsi"/>
          <w:color w:val="FFFFFF" w:themeColor="background1"/>
          <w:sz w:val="72"/>
          <w:szCs w:val="72"/>
        </w:rPr>
        <w:t>Onlinedienste</w:t>
      </w:r>
    </w:p>
    <w:p w14:paraId="7D4DDC18" w14:textId="2AF89D7B" w:rsidR="003F492B" w:rsidRPr="000B226F" w:rsidRDefault="0061319D" w:rsidP="003F492B">
      <w:pPr>
        <w:pStyle w:val="ProductList-Body"/>
        <w:shd w:val="clear" w:color="auto" w:fill="0072C6"/>
        <w:tabs>
          <w:tab w:val="clear" w:pos="360"/>
          <w:tab w:val="clear" w:pos="720"/>
          <w:tab w:val="clear" w:pos="1080"/>
        </w:tabs>
        <w:ind w:right="1800" w:firstLine="360"/>
        <w:rPr>
          <w:rFonts w:ascii="Calibri Light" w:hAnsi="Calibri Light" w:cs="Calibri Light"/>
          <w:color w:val="FFFFFF" w:themeColor="background1"/>
          <w:sz w:val="72"/>
          <w:szCs w:val="72"/>
        </w:rPr>
      </w:pPr>
      <w:r>
        <w:rPr>
          <w:rFonts w:ascii="Calibri Light" w:hAnsi="Calibri Light" w:cs="Calibri Light"/>
          <w:color w:val="FFFFFF" w:themeColor="background1"/>
          <w:sz w:val="72"/>
          <w:szCs w:val="72"/>
        </w:rPr>
        <w:t xml:space="preserve">10. August </w:t>
      </w:r>
      <w:r w:rsidR="003F492B">
        <w:rPr>
          <w:rFonts w:ascii="Calibri Light" w:hAnsi="Calibri Light" w:cs="Calibri Light"/>
          <w:color w:val="FFFFFF" w:themeColor="background1"/>
          <w:sz w:val="72"/>
          <w:szCs w:val="72"/>
        </w:rPr>
        <w:t>202</w:t>
      </w:r>
      <w:r w:rsidR="00C7155F">
        <w:rPr>
          <w:rFonts w:ascii="Calibri Light" w:hAnsi="Calibri Light" w:cs="Calibri Light"/>
          <w:color w:val="FFFFFF" w:themeColor="background1"/>
          <w:sz w:val="72"/>
          <w:szCs w:val="72"/>
        </w:rPr>
        <w:t>6</w:t>
      </w:r>
    </w:p>
    <w:p w14:paraId="07F7DEEF" w14:textId="3FEB413B" w:rsidR="00807C36" w:rsidRPr="00EF7CF9" w:rsidRDefault="00807C36" w:rsidP="00364EEB">
      <w:pPr>
        <w:pStyle w:val="ProductList-Body"/>
        <w:tabs>
          <w:tab w:val="clear" w:pos="360"/>
          <w:tab w:val="clear" w:pos="720"/>
          <w:tab w:val="clear" w:pos="1080"/>
        </w:tabs>
        <w:ind w:left="360"/>
        <w:rPr>
          <w:rFonts w:asciiTheme="majorHAnsi" w:hAnsiTheme="majorHAnsi"/>
          <w:color w:val="FFFFFF" w:themeColor="background1"/>
          <w:sz w:val="48"/>
          <w:szCs w:val="48"/>
        </w:rPr>
      </w:pPr>
    </w:p>
    <w:p w14:paraId="4B30383C" w14:textId="40A1DE84" w:rsidR="00807C36" w:rsidRPr="00EF7CF9" w:rsidRDefault="00807C36" w:rsidP="002024BF">
      <w:pPr>
        <w:pStyle w:val="ProductList-Body"/>
        <w:tabs>
          <w:tab w:val="clear" w:pos="360"/>
          <w:tab w:val="clear" w:pos="720"/>
          <w:tab w:val="clear" w:pos="1080"/>
        </w:tabs>
      </w:pPr>
    </w:p>
    <w:p w14:paraId="60B096E1" w14:textId="6F3E18F8" w:rsidR="004D0EF2" w:rsidRPr="004D0EF2" w:rsidRDefault="004D0EF2" w:rsidP="00544654">
      <w:pPr>
        <w:tabs>
          <w:tab w:val="left" w:pos="3840"/>
        </w:tabs>
        <w:rPr>
          <w:sz w:val="18"/>
          <w:szCs w:val="18"/>
        </w:rPr>
        <w:sectPr w:rsidR="004D0EF2" w:rsidRPr="004D0EF2" w:rsidSect="008817C8">
          <w:headerReference w:type="default" r:id="rId12"/>
          <w:footerReference w:type="first" r:id="rId13"/>
          <w:type w:val="continuous"/>
          <w:pgSz w:w="12240" w:h="15840"/>
          <w:pgMar w:top="1440" w:right="720" w:bottom="1440" w:left="720" w:header="720" w:footer="720" w:gutter="0"/>
          <w:cols w:space="720"/>
          <w:titlePg/>
          <w:docGrid w:linePitch="360"/>
        </w:sectPr>
      </w:pPr>
    </w:p>
    <w:p w14:paraId="517A1A8C" w14:textId="77777777" w:rsidR="00E03E25" w:rsidRPr="00EF7CF9" w:rsidRDefault="00E03E25" w:rsidP="005C601C">
      <w:pPr>
        <w:pStyle w:val="ProductList-SectionHeading"/>
        <w:tabs>
          <w:tab w:val="clear" w:pos="360"/>
          <w:tab w:val="clear" w:pos="720"/>
          <w:tab w:val="clear" w:pos="1080"/>
        </w:tabs>
        <w:spacing w:after="60"/>
        <w:outlineLvl w:val="0"/>
        <w:sectPr w:rsidR="00E03E25" w:rsidRPr="00EF7CF9" w:rsidSect="008817C8">
          <w:headerReference w:type="first" r:id="rId14"/>
          <w:footerReference w:type="first" r:id="rId15"/>
          <w:pgSz w:w="12240" w:h="15840"/>
          <w:pgMar w:top="1440" w:right="720" w:bottom="1440" w:left="720" w:header="720" w:footer="720" w:gutter="0"/>
          <w:cols w:space="720"/>
          <w:titlePg/>
          <w:docGrid w:linePitch="360"/>
        </w:sectPr>
      </w:pPr>
      <w:bookmarkStart w:id="1" w:name="TOC"/>
      <w:bookmarkStart w:id="2" w:name="_Toc457821499"/>
      <w:bookmarkStart w:id="3" w:name="_Toc464226260"/>
      <w:bookmarkStart w:id="4" w:name="_Toc465333681"/>
      <w:bookmarkStart w:id="5" w:name="_Toc195543056"/>
      <w:bookmarkStart w:id="6" w:name="_Toc237448909"/>
      <w:r>
        <w:lastRenderedPageBreak/>
        <w:t>Inhalt</w:t>
      </w:r>
      <w:bookmarkEnd w:id="1"/>
      <w:bookmarkEnd w:id="2"/>
      <w:bookmarkEnd w:id="3"/>
      <w:bookmarkEnd w:id="4"/>
      <w:bookmarkEnd w:id="5"/>
      <w:bookmarkEnd w:id="6"/>
    </w:p>
    <w:p w14:paraId="2648245A" w14:textId="6C228634" w:rsidR="0030005B" w:rsidRDefault="00151323">
      <w:pPr>
        <w:pStyle w:val="TOC1"/>
        <w:rPr>
          <w:rFonts w:eastAsiaTheme="minorEastAsia"/>
          <w:b w:val="0"/>
          <w:caps w:val="0"/>
          <w:noProof/>
          <w:kern w:val="2"/>
          <w:sz w:val="24"/>
          <w:szCs w:val="24"/>
          <w:lang w:val="en-US" w:eastAsia="zh-CN" w:bidi="he-IL"/>
          <w14:ligatures w14:val="standardContextual"/>
        </w:rPr>
      </w:pPr>
      <w:r>
        <w:rPr>
          <w:b w:val="0"/>
          <w:caps w:val="0"/>
        </w:rPr>
        <w:fldChar w:fldCharType="begin"/>
      </w:r>
      <w:r>
        <w:rPr>
          <w:b w:val="0"/>
          <w:caps w:val="0"/>
        </w:rPr>
        <w:instrText xml:space="preserve"> TOC \h \z \t "Product List - Section Heading,1,Product List - Offering Group Heading,2,Product List - Offering 1,5,Product List - Offering 1 Heading,3,Product List - Offering 2 Heading,4,Product List - Offering 2,6,Product List - SubSubSection Heading,5" </w:instrText>
      </w:r>
      <w:r>
        <w:rPr>
          <w:b w:val="0"/>
          <w:caps w:val="0"/>
        </w:rPr>
        <w:fldChar w:fldCharType="separate"/>
      </w:r>
      <w:hyperlink w:anchor="_Toc237448909" w:history="1">
        <w:r w:rsidR="0030005B" w:rsidRPr="00363646">
          <w:rPr>
            <w:rStyle w:val="Hyperlink"/>
            <w:noProof/>
          </w:rPr>
          <w:t>Inhalt</w:t>
        </w:r>
        <w:r w:rsidR="0030005B">
          <w:rPr>
            <w:noProof/>
            <w:webHidden/>
          </w:rPr>
          <w:tab/>
        </w:r>
        <w:r w:rsidR="0030005B">
          <w:rPr>
            <w:noProof/>
            <w:webHidden/>
          </w:rPr>
          <w:fldChar w:fldCharType="begin"/>
        </w:r>
        <w:r w:rsidR="0030005B">
          <w:rPr>
            <w:noProof/>
            <w:webHidden/>
          </w:rPr>
          <w:instrText xml:space="preserve"> PAGEREF _Toc237448909 \h </w:instrText>
        </w:r>
        <w:r w:rsidR="0030005B">
          <w:rPr>
            <w:noProof/>
            <w:webHidden/>
          </w:rPr>
        </w:r>
        <w:r w:rsidR="0030005B">
          <w:rPr>
            <w:noProof/>
            <w:webHidden/>
          </w:rPr>
          <w:fldChar w:fldCharType="separate"/>
        </w:r>
        <w:r w:rsidR="0030005B">
          <w:rPr>
            <w:noProof/>
            <w:webHidden/>
          </w:rPr>
          <w:t>2</w:t>
        </w:r>
        <w:r w:rsidR="0030005B">
          <w:rPr>
            <w:noProof/>
            <w:webHidden/>
          </w:rPr>
          <w:fldChar w:fldCharType="end"/>
        </w:r>
      </w:hyperlink>
    </w:p>
    <w:p w14:paraId="38A7575A" w14:textId="6350FBEA" w:rsidR="0030005B" w:rsidRDefault="0030005B">
      <w:pPr>
        <w:pStyle w:val="TOC1"/>
        <w:rPr>
          <w:rFonts w:eastAsiaTheme="minorEastAsia"/>
          <w:b w:val="0"/>
          <w:caps w:val="0"/>
          <w:noProof/>
          <w:kern w:val="2"/>
          <w:sz w:val="24"/>
          <w:szCs w:val="24"/>
          <w:lang w:val="en-US" w:eastAsia="zh-CN" w:bidi="he-IL"/>
          <w14:ligatures w14:val="standardContextual"/>
        </w:rPr>
      </w:pPr>
      <w:hyperlink w:anchor="_Toc237448910" w:history="1">
        <w:r w:rsidRPr="00363646">
          <w:rPr>
            <w:rStyle w:val="Hyperlink"/>
            <w:noProof/>
          </w:rPr>
          <w:t>Einführung</w:t>
        </w:r>
        <w:r>
          <w:rPr>
            <w:noProof/>
            <w:webHidden/>
          </w:rPr>
          <w:tab/>
        </w:r>
        <w:r>
          <w:rPr>
            <w:noProof/>
            <w:webHidden/>
          </w:rPr>
          <w:fldChar w:fldCharType="begin"/>
        </w:r>
        <w:r>
          <w:rPr>
            <w:noProof/>
            <w:webHidden/>
          </w:rPr>
          <w:instrText xml:space="preserve"> PAGEREF _Toc237448910 \h </w:instrText>
        </w:r>
        <w:r>
          <w:rPr>
            <w:noProof/>
            <w:webHidden/>
          </w:rPr>
        </w:r>
        <w:r>
          <w:rPr>
            <w:noProof/>
            <w:webHidden/>
          </w:rPr>
          <w:fldChar w:fldCharType="separate"/>
        </w:r>
        <w:r>
          <w:rPr>
            <w:noProof/>
            <w:webHidden/>
          </w:rPr>
          <w:t>4</w:t>
        </w:r>
        <w:r>
          <w:rPr>
            <w:noProof/>
            <w:webHidden/>
          </w:rPr>
          <w:fldChar w:fldCharType="end"/>
        </w:r>
      </w:hyperlink>
    </w:p>
    <w:p w14:paraId="06CEFC8D" w14:textId="25D2D65A" w:rsidR="0030005B" w:rsidRDefault="0030005B">
      <w:pPr>
        <w:pStyle w:val="TOC1"/>
        <w:rPr>
          <w:rFonts w:eastAsiaTheme="minorEastAsia"/>
          <w:b w:val="0"/>
          <w:caps w:val="0"/>
          <w:noProof/>
          <w:kern w:val="2"/>
          <w:sz w:val="24"/>
          <w:szCs w:val="24"/>
          <w:lang w:val="en-US" w:eastAsia="zh-CN" w:bidi="he-IL"/>
          <w14:ligatures w14:val="standardContextual"/>
        </w:rPr>
      </w:pPr>
      <w:hyperlink w:anchor="_Toc237448911" w:history="1">
        <w:r w:rsidRPr="00363646">
          <w:rPr>
            <w:rStyle w:val="Hyperlink"/>
            <w:noProof/>
          </w:rPr>
          <w:t>Allgemeine Bestimmungen</w:t>
        </w:r>
        <w:r>
          <w:rPr>
            <w:noProof/>
            <w:webHidden/>
          </w:rPr>
          <w:tab/>
        </w:r>
        <w:r>
          <w:rPr>
            <w:noProof/>
            <w:webHidden/>
          </w:rPr>
          <w:fldChar w:fldCharType="begin"/>
        </w:r>
        <w:r>
          <w:rPr>
            <w:noProof/>
            <w:webHidden/>
          </w:rPr>
          <w:instrText xml:space="preserve"> PAGEREF _Toc237448911 \h </w:instrText>
        </w:r>
        <w:r>
          <w:rPr>
            <w:noProof/>
            <w:webHidden/>
          </w:rPr>
        </w:r>
        <w:r>
          <w:rPr>
            <w:noProof/>
            <w:webHidden/>
          </w:rPr>
          <w:fldChar w:fldCharType="separate"/>
        </w:r>
        <w:r>
          <w:rPr>
            <w:noProof/>
            <w:webHidden/>
          </w:rPr>
          <w:t>5</w:t>
        </w:r>
        <w:r>
          <w:rPr>
            <w:noProof/>
            <w:webHidden/>
          </w:rPr>
          <w:fldChar w:fldCharType="end"/>
        </w:r>
      </w:hyperlink>
    </w:p>
    <w:p w14:paraId="4DBB736E" w14:textId="6010082C" w:rsidR="0030005B" w:rsidRDefault="0030005B">
      <w:pPr>
        <w:pStyle w:val="TOC1"/>
        <w:rPr>
          <w:rFonts w:eastAsiaTheme="minorEastAsia"/>
          <w:b w:val="0"/>
          <w:caps w:val="0"/>
          <w:noProof/>
          <w:kern w:val="2"/>
          <w:sz w:val="24"/>
          <w:szCs w:val="24"/>
          <w:lang w:val="en-US" w:eastAsia="zh-CN" w:bidi="he-IL"/>
          <w14:ligatures w14:val="standardContextual"/>
        </w:rPr>
      </w:pPr>
      <w:hyperlink w:anchor="_Toc237448912" w:history="1">
        <w:r w:rsidRPr="00363646">
          <w:rPr>
            <w:rStyle w:val="Hyperlink"/>
            <w:noProof/>
          </w:rPr>
          <w:t>Servicespezifische Bedingungen</w:t>
        </w:r>
        <w:r>
          <w:rPr>
            <w:noProof/>
            <w:webHidden/>
          </w:rPr>
          <w:tab/>
        </w:r>
        <w:r>
          <w:rPr>
            <w:noProof/>
            <w:webHidden/>
          </w:rPr>
          <w:fldChar w:fldCharType="begin"/>
        </w:r>
        <w:r>
          <w:rPr>
            <w:noProof/>
            <w:webHidden/>
          </w:rPr>
          <w:instrText xml:space="preserve"> PAGEREF _Toc237448912 \h </w:instrText>
        </w:r>
        <w:r>
          <w:rPr>
            <w:noProof/>
            <w:webHidden/>
          </w:rPr>
        </w:r>
        <w:r>
          <w:rPr>
            <w:noProof/>
            <w:webHidden/>
          </w:rPr>
          <w:fldChar w:fldCharType="separate"/>
        </w:r>
        <w:r>
          <w:rPr>
            <w:noProof/>
            <w:webHidden/>
          </w:rPr>
          <w:t>7</w:t>
        </w:r>
        <w:r>
          <w:rPr>
            <w:noProof/>
            <w:webHidden/>
          </w:rPr>
          <w:fldChar w:fldCharType="end"/>
        </w:r>
      </w:hyperlink>
    </w:p>
    <w:p w14:paraId="2B48245F" w14:textId="13B3A973" w:rsidR="0030005B" w:rsidRDefault="0030005B">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7448913" w:history="1">
        <w:r w:rsidRPr="00363646">
          <w:rPr>
            <w:rStyle w:val="Hyperlink"/>
            <w:noProof/>
          </w:rPr>
          <w:t>Microsoft Dynamics 365</w:t>
        </w:r>
        <w:r>
          <w:rPr>
            <w:noProof/>
            <w:webHidden/>
          </w:rPr>
          <w:tab/>
        </w:r>
        <w:r>
          <w:rPr>
            <w:noProof/>
            <w:webHidden/>
          </w:rPr>
          <w:fldChar w:fldCharType="begin"/>
        </w:r>
        <w:r>
          <w:rPr>
            <w:noProof/>
            <w:webHidden/>
          </w:rPr>
          <w:instrText xml:space="preserve"> PAGEREF _Toc237448913 \h </w:instrText>
        </w:r>
        <w:r>
          <w:rPr>
            <w:noProof/>
            <w:webHidden/>
          </w:rPr>
        </w:r>
        <w:r>
          <w:rPr>
            <w:noProof/>
            <w:webHidden/>
          </w:rPr>
          <w:fldChar w:fldCharType="separate"/>
        </w:r>
        <w:r>
          <w:rPr>
            <w:noProof/>
            <w:webHidden/>
          </w:rPr>
          <w:t>7</w:t>
        </w:r>
        <w:r>
          <w:rPr>
            <w:noProof/>
            <w:webHidden/>
          </w:rPr>
          <w:fldChar w:fldCharType="end"/>
        </w:r>
      </w:hyperlink>
    </w:p>
    <w:p w14:paraId="09A80916" w14:textId="1AB7E29B" w:rsidR="0030005B" w:rsidRDefault="0030005B">
      <w:pPr>
        <w:pStyle w:val="TOC4"/>
        <w:rPr>
          <w:rFonts w:eastAsiaTheme="minorEastAsia"/>
          <w:smallCaps w:val="0"/>
          <w:noProof/>
          <w:kern w:val="2"/>
          <w:sz w:val="24"/>
          <w:szCs w:val="24"/>
          <w:lang w:val="en-US" w:eastAsia="zh-CN" w:bidi="he-IL"/>
          <w14:ligatures w14:val="standardContextual"/>
        </w:rPr>
      </w:pPr>
      <w:hyperlink w:anchor="_Toc237448914" w:history="1">
        <w:r w:rsidRPr="00363646">
          <w:rPr>
            <w:rStyle w:val="Hyperlink"/>
            <w:noProof/>
          </w:rPr>
          <w:t>Dynamics 365 Business Central</w:t>
        </w:r>
        <w:r>
          <w:rPr>
            <w:noProof/>
            <w:webHidden/>
          </w:rPr>
          <w:tab/>
        </w:r>
        <w:r>
          <w:rPr>
            <w:noProof/>
            <w:webHidden/>
          </w:rPr>
          <w:fldChar w:fldCharType="begin"/>
        </w:r>
        <w:r>
          <w:rPr>
            <w:noProof/>
            <w:webHidden/>
          </w:rPr>
          <w:instrText xml:space="preserve"> PAGEREF _Toc237448914 \h </w:instrText>
        </w:r>
        <w:r>
          <w:rPr>
            <w:noProof/>
            <w:webHidden/>
          </w:rPr>
        </w:r>
        <w:r>
          <w:rPr>
            <w:noProof/>
            <w:webHidden/>
          </w:rPr>
          <w:fldChar w:fldCharType="separate"/>
        </w:r>
        <w:r>
          <w:rPr>
            <w:noProof/>
            <w:webHidden/>
          </w:rPr>
          <w:t>7</w:t>
        </w:r>
        <w:r>
          <w:rPr>
            <w:noProof/>
            <w:webHidden/>
          </w:rPr>
          <w:fldChar w:fldCharType="end"/>
        </w:r>
      </w:hyperlink>
    </w:p>
    <w:p w14:paraId="0E7149CB" w14:textId="2763F2E6" w:rsidR="0030005B" w:rsidRDefault="0030005B">
      <w:pPr>
        <w:pStyle w:val="TOC4"/>
        <w:rPr>
          <w:rFonts w:eastAsiaTheme="minorEastAsia"/>
          <w:smallCaps w:val="0"/>
          <w:noProof/>
          <w:kern w:val="2"/>
          <w:sz w:val="24"/>
          <w:szCs w:val="24"/>
          <w:lang w:val="en-US" w:eastAsia="zh-CN" w:bidi="he-IL"/>
          <w14:ligatures w14:val="standardContextual"/>
        </w:rPr>
      </w:pPr>
      <w:hyperlink w:anchor="_Toc237448915" w:history="1">
        <w:r w:rsidRPr="00363646">
          <w:rPr>
            <w:rStyle w:val="Hyperlink"/>
            <w:noProof/>
          </w:rPr>
          <w:t>Dynamics 365 Commerce</w:t>
        </w:r>
        <w:r>
          <w:rPr>
            <w:noProof/>
            <w:webHidden/>
          </w:rPr>
          <w:tab/>
        </w:r>
        <w:r>
          <w:rPr>
            <w:noProof/>
            <w:webHidden/>
          </w:rPr>
          <w:fldChar w:fldCharType="begin"/>
        </w:r>
        <w:r>
          <w:rPr>
            <w:noProof/>
            <w:webHidden/>
          </w:rPr>
          <w:instrText xml:space="preserve"> PAGEREF _Toc237448915 \h </w:instrText>
        </w:r>
        <w:r>
          <w:rPr>
            <w:noProof/>
            <w:webHidden/>
          </w:rPr>
        </w:r>
        <w:r>
          <w:rPr>
            <w:noProof/>
            <w:webHidden/>
          </w:rPr>
          <w:fldChar w:fldCharType="separate"/>
        </w:r>
        <w:r>
          <w:rPr>
            <w:noProof/>
            <w:webHidden/>
          </w:rPr>
          <w:t>7</w:t>
        </w:r>
        <w:r>
          <w:rPr>
            <w:noProof/>
            <w:webHidden/>
          </w:rPr>
          <w:fldChar w:fldCharType="end"/>
        </w:r>
      </w:hyperlink>
    </w:p>
    <w:p w14:paraId="2B289816" w14:textId="44A3B850" w:rsidR="0030005B" w:rsidRDefault="0030005B">
      <w:pPr>
        <w:pStyle w:val="TOC4"/>
        <w:rPr>
          <w:rFonts w:eastAsiaTheme="minorEastAsia"/>
          <w:smallCaps w:val="0"/>
          <w:noProof/>
          <w:kern w:val="2"/>
          <w:sz w:val="24"/>
          <w:szCs w:val="24"/>
          <w:lang w:val="en-US" w:eastAsia="zh-CN" w:bidi="he-IL"/>
          <w14:ligatures w14:val="standardContextual"/>
        </w:rPr>
      </w:pPr>
      <w:hyperlink w:anchor="_Toc237448916" w:history="1">
        <w:r w:rsidRPr="00363646">
          <w:rPr>
            <w:rStyle w:val="Hyperlink"/>
            <w:noProof/>
          </w:rPr>
          <w:t>Dynamics 365-Kontaktcenter</w:t>
        </w:r>
        <w:r>
          <w:rPr>
            <w:noProof/>
            <w:webHidden/>
          </w:rPr>
          <w:tab/>
        </w:r>
        <w:r>
          <w:rPr>
            <w:noProof/>
            <w:webHidden/>
          </w:rPr>
          <w:fldChar w:fldCharType="begin"/>
        </w:r>
        <w:r>
          <w:rPr>
            <w:noProof/>
            <w:webHidden/>
          </w:rPr>
          <w:instrText xml:space="preserve"> PAGEREF _Toc237448916 \h </w:instrText>
        </w:r>
        <w:r>
          <w:rPr>
            <w:noProof/>
            <w:webHidden/>
          </w:rPr>
        </w:r>
        <w:r>
          <w:rPr>
            <w:noProof/>
            <w:webHidden/>
          </w:rPr>
          <w:fldChar w:fldCharType="separate"/>
        </w:r>
        <w:r>
          <w:rPr>
            <w:noProof/>
            <w:webHidden/>
          </w:rPr>
          <w:t>8</w:t>
        </w:r>
        <w:r>
          <w:rPr>
            <w:noProof/>
            <w:webHidden/>
          </w:rPr>
          <w:fldChar w:fldCharType="end"/>
        </w:r>
      </w:hyperlink>
    </w:p>
    <w:p w14:paraId="4F5F4554" w14:textId="309B8BBA" w:rsidR="0030005B" w:rsidRDefault="0030005B">
      <w:pPr>
        <w:pStyle w:val="TOC4"/>
        <w:rPr>
          <w:rFonts w:eastAsiaTheme="minorEastAsia"/>
          <w:smallCaps w:val="0"/>
          <w:noProof/>
          <w:kern w:val="2"/>
          <w:sz w:val="24"/>
          <w:szCs w:val="24"/>
          <w:lang w:val="en-US" w:eastAsia="zh-CN" w:bidi="he-IL"/>
          <w14:ligatures w14:val="standardContextual"/>
        </w:rPr>
      </w:pPr>
      <w:hyperlink w:anchor="_Toc237448917" w:history="1">
        <w:r w:rsidRPr="00363646">
          <w:rPr>
            <w:rStyle w:val="Hyperlink"/>
            <w:noProof/>
          </w:rPr>
          <w:t>Dynamics 365 Customer Insights</w:t>
        </w:r>
        <w:r>
          <w:rPr>
            <w:noProof/>
            <w:webHidden/>
          </w:rPr>
          <w:tab/>
        </w:r>
        <w:r>
          <w:rPr>
            <w:noProof/>
            <w:webHidden/>
          </w:rPr>
          <w:fldChar w:fldCharType="begin"/>
        </w:r>
        <w:r>
          <w:rPr>
            <w:noProof/>
            <w:webHidden/>
          </w:rPr>
          <w:instrText xml:space="preserve"> PAGEREF _Toc237448917 \h </w:instrText>
        </w:r>
        <w:r>
          <w:rPr>
            <w:noProof/>
            <w:webHidden/>
          </w:rPr>
        </w:r>
        <w:r>
          <w:rPr>
            <w:noProof/>
            <w:webHidden/>
          </w:rPr>
          <w:fldChar w:fldCharType="separate"/>
        </w:r>
        <w:r>
          <w:rPr>
            <w:noProof/>
            <w:webHidden/>
          </w:rPr>
          <w:t>8</w:t>
        </w:r>
        <w:r>
          <w:rPr>
            <w:noProof/>
            <w:webHidden/>
          </w:rPr>
          <w:fldChar w:fldCharType="end"/>
        </w:r>
      </w:hyperlink>
    </w:p>
    <w:p w14:paraId="14F39058" w14:textId="3642C6AB" w:rsidR="0030005B" w:rsidRDefault="0030005B">
      <w:pPr>
        <w:pStyle w:val="TOC4"/>
        <w:rPr>
          <w:rFonts w:eastAsiaTheme="minorEastAsia"/>
          <w:smallCaps w:val="0"/>
          <w:noProof/>
          <w:kern w:val="2"/>
          <w:sz w:val="24"/>
          <w:szCs w:val="24"/>
          <w:lang w:val="en-US" w:eastAsia="zh-CN" w:bidi="he-IL"/>
          <w14:ligatures w14:val="standardContextual"/>
        </w:rPr>
      </w:pPr>
      <w:hyperlink w:anchor="_Toc237448918" w:history="1">
        <w:r w:rsidRPr="00363646">
          <w:rPr>
            <w:rStyle w:val="Hyperlink"/>
            <w:noProof/>
            <w:lang w:val="en-US"/>
          </w:rPr>
          <w:t>Dynamics 365 Customer Service Enterprise, Dynamics 365 Customer Service Professional, Dynamics 365 Customer Service Insights, Dynamics 365 Field Service, Dynamics 365 Marketing</w:t>
        </w:r>
        <w:r>
          <w:rPr>
            <w:noProof/>
            <w:webHidden/>
          </w:rPr>
          <w:tab/>
        </w:r>
        <w:r>
          <w:rPr>
            <w:noProof/>
            <w:webHidden/>
          </w:rPr>
          <w:fldChar w:fldCharType="begin"/>
        </w:r>
        <w:r>
          <w:rPr>
            <w:noProof/>
            <w:webHidden/>
          </w:rPr>
          <w:instrText xml:space="preserve"> PAGEREF _Toc237448918 \h </w:instrText>
        </w:r>
        <w:r>
          <w:rPr>
            <w:noProof/>
            <w:webHidden/>
          </w:rPr>
        </w:r>
        <w:r>
          <w:rPr>
            <w:noProof/>
            <w:webHidden/>
          </w:rPr>
          <w:fldChar w:fldCharType="separate"/>
        </w:r>
        <w:r>
          <w:rPr>
            <w:noProof/>
            <w:webHidden/>
          </w:rPr>
          <w:t>9</w:t>
        </w:r>
        <w:r>
          <w:rPr>
            <w:noProof/>
            <w:webHidden/>
          </w:rPr>
          <w:fldChar w:fldCharType="end"/>
        </w:r>
      </w:hyperlink>
    </w:p>
    <w:p w14:paraId="5EF537DD" w14:textId="4A8FCA26" w:rsidR="0030005B" w:rsidRDefault="0030005B">
      <w:pPr>
        <w:pStyle w:val="TOC4"/>
        <w:rPr>
          <w:rFonts w:eastAsiaTheme="minorEastAsia"/>
          <w:smallCaps w:val="0"/>
          <w:noProof/>
          <w:kern w:val="2"/>
          <w:sz w:val="24"/>
          <w:szCs w:val="24"/>
          <w:lang w:val="en-US" w:eastAsia="zh-CN" w:bidi="he-IL"/>
          <w14:ligatures w14:val="standardContextual"/>
        </w:rPr>
      </w:pPr>
      <w:hyperlink w:anchor="_Toc237448919" w:history="1">
        <w:r w:rsidRPr="00363646">
          <w:rPr>
            <w:rStyle w:val="Hyperlink"/>
            <w:noProof/>
          </w:rPr>
          <w:t>Dynamics 365 Guides</w:t>
        </w:r>
        <w:r>
          <w:rPr>
            <w:noProof/>
            <w:webHidden/>
          </w:rPr>
          <w:tab/>
        </w:r>
        <w:r>
          <w:rPr>
            <w:noProof/>
            <w:webHidden/>
          </w:rPr>
          <w:fldChar w:fldCharType="begin"/>
        </w:r>
        <w:r>
          <w:rPr>
            <w:noProof/>
            <w:webHidden/>
          </w:rPr>
          <w:instrText xml:space="preserve"> PAGEREF _Toc237448919 \h </w:instrText>
        </w:r>
        <w:r>
          <w:rPr>
            <w:noProof/>
            <w:webHidden/>
          </w:rPr>
        </w:r>
        <w:r>
          <w:rPr>
            <w:noProof/>
            <w:webHidden/>
          </w:rPr>
          <w:fldChar w:fldCharType="separate"/>
        </w:r>
        <w:r>
          <w:rPr>
            <w:noProof/>
            <w:webHidden/>
          </w:rPr>
          <w:t>9</w:t>
        </w:r>
        <w:r>
          <w:rPr>
            <w:noProof/>
            <w:webHidden/>
          </w:rPr>
          <w:fldChar w:fldCharType="end"/>
        </w:r>
      </w:hyperlink>
    </w:p>
    <w:p w14:paraId="006D0676" w14:textId="1A40E7FA" w:rsidR="0030005B" w:rsidRDefault="0030005B">
      <w:pPr>
        <w:pStyle w:val="TOC4"/>
        <w:rPr>
          <w:rFonts w:eastAsiaTheme="minorEastAsia"/>
          <w:smallCaps w:val="0"/>
          <w:noProof/>
          <w:kern w:val="2"/>
          <w:sz w:val="24"/>
          <w:szCs w:val="24"/>
          <w:lang w:val="en-US" w:eastAsia="zh-CN" w:bidi="he-IL"/>
          <w14:ligatures w14:val="standardContextual"/>
        </w:rPr>
      </w:pPr>
      <w:hyperlink w:anchor="_Toc237448920" w:history="1">
        <w:r w:rsidRPr="00363646">
          <w:rPr>
            <w:rStyle w:val="Hyperlink"/>
            <w:noProof/>
          </w:rPr>
          <w:t>Dynamics 365 Human Resources</w:t>
        </w:r>
        <w:r>
          <w:rPr>
            <w:noProof/>
            <w:webHidden/>
          </w:rPr>
          <w:tab/>
        </w:r>
        <w:r>
          <w:rPr>
            <w:noProof/>
            <w:webHidden/>
          </w:rPr>
          <w:fldChar w:fldCharType="begin"/>
        </w:r>
        <w:r>
          <w:rPr>
            <w:noProof/>
            <w:webHidden/>
          </w:rPr>
          <w:instrText xml:space="preserve"> PAGEREF _Toc237448920 \h </w:instrText>
        </w:r>
        <w:r>
          <w:rPr>
            <w:noProof/>
            <w:webHidden/>
          </w:rPr>
        </w:r>
        <w:r>
          <w:rPr>
            <w:noProof/>
            <w:webHidden/>
          </w:rPr>
          <w:fldChar w:fldCharType="separate"/>
        </w:r>
        <w:r>
          <w:rPr>
            <w:noProof/>
            <w:webHidden/>
          </w:rPr>
          <w:t>9</w:t>
        </w:r>
        <w:r>
          <w:rPr>
            <w:noProof/>
            <w:webHidden/>
          </w:rPr>
          <w:fldChar w:fldCharType="end"/>
        </w:r>
      </w:hyperlink>
    </w:p>
    <w:p w14:paraId="719D82EE" w14:textId="538BA28D" w:rsidR="0030005B" w:rsidRDefault="0030005B">
      <w:pPr>
        <w:pStyle w:val="TOC4"/>
        <w:rPr>
          <w:rFonts w:eastAsiaTheme="minorEastAsia"/>
          <w:smallCaps w:val="0"/>
          <w:noProof/>
          <w:kern w:val="2"/>
          <w:sz w:val="24"/>
          <w:szCs w:val="24"/>
          <w:lang w:val="en-US" w:eastAsia="zh-CN" w:bidi="he-IL"/>
          <w14:ligatures w14:val="standardContextual"/>
        </w:rPr>
      </w:pPr>
      <w:hyperlink w:anchor="_Toc237448921" w:history="1">
        <w:r w:rsidRPr="00363646">
          <w:rPr>
            <w:rStyle w:val="Hyperlink"/>
            <w:noProof/>
          </w:rPr>
          <w:t>Dynamics 365 Intelligente Auftragsverwaltung</w:t>
        </w:r>
        <w:r>
          <w:rPr>
            <w:noProof/>
            <w:webHidden/>
          </w:rPr>
          <w:tab/>
        </w:r>
        <w:r>
          <w:rPr>
            <w:noProof/>
            <w:webHidden/>
          </w:rPr>
          <w:fldChar w:fldCharType="begin"/>
        </w:r>
        <w:r>
          <w:rPr>
            <w:noProof/>
            <w:webHidden/>
          </w:rPr>
          <w:instrText xml:space="preserve"> PAGEREF _Toc237448921 \h </w:instrText>
        </w:r>
        <w:r>
          <w:rPr>
            <w:noProof/>
            <w:webHidden/>
          </w:rPr>
        </w:r>
        <w:r>
          <w:rPr>
            <w:noProof/>
            <w:webHidden/>
          </w:rPr>
          <w:fldChar w:fldCharType="separate"/>
        </w:r>
        <w:r>
          <w:rPr>
            <w:noProof/>
            <w:webHidden/>
          </w:rPr>
          <w:t>10</w:t>
        </w:r>
        <w:r>
          <w:rPr>
            <w:noProof/>
            <w:webHidden/>
          </w:rPr>
          <w:fldChar w:fldCharType="end"/>
        </w:r>
      </w:hyperlink>
    </w:p>
    <w:p w14:paraId="42B4C8CB" w14:textId="0F025732" w:rsidR="0030005B" w:rsidRDefault="0030005B">
      <w:pPr>
        <w:pStyle w:val="TOC4"/>
        <w:rPr>
          <w:rFonts w:eastAsiaTheme="minorEastAsia"/>
          <w:smallCaps w:val="0"/>
          <w:noProof/>
          <w:kern w:val="2"/>
          <w:sz w:val="24"/>
          <w:szCs w:val="24"/>
          <w:lang w:val="en-US" w:eastAsia="zh-CN" w:bidi="he-IL"/>
          <w14:ligatures w14:val="standardContextual"/>
        </w:rPr>
      </w:pPr>
      <w:hyperlink w:anchor="_Toc237448922" w:history="1">
        <w:r w:rsidRPr="00363646">
          <w:rPr>
            <w:rStyle w:val="Hyperlink"/>
            <w:noProof/>
          </w:rPr>
          <w:t>Dynamics 365 Remote Assist</w:t>
        </w:r>
        <w:r>
          <w:rPr>
            <w:noProof/>
            <w:webHidden/>
          </w:rPr>
          <w:tab/>
        </w:r>
        <w:r>
          <w:rPr>
            <w:noProof/>
            <w:webHidden/>
          </w:rPr>
          <w:fldChar w:fldCharType="begin"/>
        </w:r>
        <w:r>
          <w:rPr>
            <w:noProof/>
            <w:webHidden/>
          </w:rPr>
          <w:instrText xml:space="preserve"> PAGEREF _Toc237448922 \h </w:instrText>
        </w:r>
        <w:r>
          <w:rPr>
            <w:noProof/>
            <w:webHidden/>
          </w:rPr>
        </w:r>
        <w:r>
          <w:rPr>
            <w:noProof/>
            <w:webHidden/>
          </w:rPr>
          <w:fldChar w:fldCharType="separate"/>
        </w:r>
        <w:r>
          <w:rPr>
            <w:noProof/>
            <w:webHidden/>
          </w:rPr>
          <w:t>10</w:t>
        </w:r>
        <w:r>
          <w:rPr>
            <w:noProof/>
            <w:webHidden/>
          </w:rPr>
          <w:fldChar w:fldCharType="end"/>
        </w:r>
      </w:hyperlink>
    </w:p>
    <w:p w14:paraId="2C87DB27" w14:textId="5C5406F0" w:rsidR="0030005B" w:rsidRDefault="0030005B">
      <w:pPr>
        <w:pStyle w:val="TOC4"/>
        <w:rPr>
          <w:rFonts w:eastAsiaTheme="minorEastAsia"/>
          <w:smallCaps w:val="0"/>
          <w:noProof/>
          <w:kern w:val="2"/>
          <w:sz w:val="24"/>
          <w:szCs w:val="24"/>
          <w:lang w:val="en-US" w:eastAsia="zh-CN" w:bidi="he-IL"/>
          <w14:ligatures w14:val="standardContextual"/>
        </w:rPr>
      </w:pPr>
      <w:hyperlink w:anchor="_Toc237448923" w:history="1">
        <w:r w:rsidRPr="00363646">
          <w:rPr>
            <w:rStyle w:val="Hyperlink"/>
            <w:noProof/>
            <w:lang w:val="en-US"/>
          </w:rPr>
          <w:t>Dynamics 365 Sales Enterprise, Dynamics 365 Sales Professional</w:t>
        </w:r>
        <w:r>
          <w:rPr>
            <w:noProof/>
            <w:webHidden/>
          </w:rPr>
          <w:tab/>
        </w:r>
        <w:r>
          <w:rPr>
            <w:noProof/>
            <w:webHidden/>
          </w:rPr>
          <w:fldChar w:fldCharType="begin"/>
        </w:r>
        <w:r>
          <w:rPr>
            <w:noProof/>
            <w:webHidden/>
          </w:rPr>
          <w:instrText xml:space="preserve"> PAGEREF _Toc237448923 \h </w:instrText>
        </w:r>
        <w:r>
          <w:rPr>
            <w:noProof/>
            <w:webHidden/>
          </w:rPr>
        </w:r>
        <w:r>
          <w:rPr>
            <w:noProof/>
            <w:webHidden/>
          </w:rPr>
          <w:fldChar w:fldCharType="separate"/>
        </w:r>
        <w:r>
          <w:rPr>
            <w:noProof/>
            <w:webHidden/>
          </w:rPr>
          <w:t>10</w:t>
        </w:r>
        <w:r>
          <w:rPr>
            <w:noProof/>
            <w:webHidden/>
          </w:rPr>
          <w:fldChar w:fldCharType="end"/>
        </w:r>
      </w:hyperlink>
    </w:p>
    <w:p w14:paraId="72EF44FA" w14:textId="3F5291E2" w:rsidR="0030005B" w:rsidRDefault="0030005B">
      <w:pPr>
        <w:pStyle w:val="TOC4"/>
        <w:rPr>
          <w:rFonts w:eastAsiaTheme="minorEastAsia"/>
          <w:smallCaps w:val="0"/>
          <w:noProof/>
          <w:kern w:val="2"/>
          <w:sz w:val="24"/>
          <w:szCs w:val="24"/>
          <w:lang w:val="en-US" w:eastAsia="zh-CN" w:bidi="he-IL"/>
          <w14:ligatures w14:val="standardContextual"/>
        </w:rPr>
      </w:pPr>
      <w:hyperlink w:anchor="_Toc237448924" w:history="1">
        <w:r w:rsidRPr="00363646">
          <w:rPr>
            <w:rStyle w:val="Hyperlink"/>
            <w:noProof/>
            <w:lang w:val="en-US"/>
          </w:rPr>
          <w:t>Dynamics 365 Supply Chain Management, Dynamics 365 Finance, Dynamics 365 Project Operations</w:t>
        </w:r>
        <w:r>
          <w:rPr>
            <w:noProof/>
            <w:webHidden/>
          </w:rPr>
          <w:tab/>
        </w:r>
        <w:r>
          <w:rPr>
            <w:noProof/>
            <w:webHidden/>
          </w:rPr>
          <w:fldChar w:fldCharType="begin"/>
        </w:r>
        <w:r>
          <w:rPr>
            <w:noProof/>
            <w:webHidden/>
          </w:rPr>
          <w:instrText xml:space="preserve"> PAGEREF _Toc237448924 \h </w:instrText>
        </w:r>
        <w:r>
          <w:rPr>
            <w:noProof/>
            <w:webHidden/>
          </w:rPr>
        </w:r>
        <w:r>
          <w:rPr>
            <w:noProof/>
            <w:webHidden/>
          </w:rPr>
          <w:fldChar w:fldCharType="separate"/>
        </w:r>
        <w:r>
          <w:rPr>
            <w:noProof/>
            <w:webHidden/>
          </w:rPr>
          <w:t>11</w:t>
        </w:r>
        <w:r>
          <w:rPr>
            <w:noProof/>
            <w:webHidden/>
          </w:rPr>
          <w:fldChar w:fldCharType="end"/>
        </w:r>
      </w:hyperlink>
    </w:p>
    <w:p w14:paraId="6036148B" w14:textId="445158F3" w:rsidR="0030005B" w:rsidRDefault="0030005B">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7448925" w:history="1">
        <w:r w:rsidRPr="00363646">
          <w:rPr>
            <w:rStyle w:val="Hyperlink"/>
            <w:noProof/>
          </w:rPr>
          <w:t>Office 365 Services</w:t>
        </w:r>
        <w:r>
          <w:rPr>
            <w:noProof/>
            <w:webHidden/>
          </w:rPr>
          <w:tab/>
        </w:r>
        <w:r>
          <w:rPr>
            <w:noProof/>
            <w:webHidden/>
          </w:rPr>
          <w:fldChar w:fldCharType="begin"/>
        </w:r>
        <w:r>
          <w:rPr>
            <w:noProof/>
            <w:webHidden/>
          </w:rPr>
          <w:instrText xml:space="preserve"> PAGEREF _Toc237448925 \h </w:instrText>
        </w:r>
        <w:r>
          <w:rPr>
            <w:noProof/>
            <w:webHidden/>
          </w:rPr>
        </w:r>
        <w:r>
          <w:rPr>
            <w:noProof/>
            <w:webHidden/>
          </w:rPr>
          <w:fldChar w:fldCharType="separate"/>
        </w:r>
        <w:r>
          <w:rPr>
            <w:noProof/>
            <w:webHidden/>
          </w:rPr>
          <w:t>12</w:t>
        </w:r>
        <w:r>
          <w:rPr>
            <w:noProof/>
            <w:webHidden/>
          </w:rPr>
          <w:fldChar w:fldCharType="end"/>
        </w:r>
      </w:hyperlink>
    </w:p>
    <w:p w14:paraId="15BEFDBA" w14:textId="2618DA3F" w:rsidR="0030005B" w:rsidRDefault="0030005B">
      <w:pPr>
        <w:pStyle w:val="TOC4"/>
        <w:rPr>
          <w:rFonts w:eastAsiaTheme="minorEastAsia"/>
          <w:smallCaps w:val="0"/>
          <w:noProof/>
          <w:kern w:val="2"/>
          <w:sz w:val="24"/>
          <w:szCs w:val="24"/>
          <w:lang w:val="en-US" w:eastAsia="zh-CN" w:bidi="he-IL"/>
          <w14:ligatures w14:val="standardContextual"/>
        </w:rPr>
      </w:pPr>
      <w:hyperlink w:anchor="_Toc237448926" w:history="1">
        <w:r w:rsidRPr="00363646">
          <w:rPr>
            <w:rStyle w:val="Hyperlink"/>
            <w:noProof/>
          </w:rPr>
          <w:t>Duet Enterprise Online</w:t>
        </w:r>
        <w:r>
          <w:rPr>
            <w:noProof/>
            <w:webHidden/>
          </w:rPr>
          <w:tab/>
        </w:r>
        <w:r>
          <w:rPr>
            <w:noProof/>
            <w:webHidden/>
          </w:rPr>
          <w:fldChar w:fldCharType="begin"/>
        </w:r>
        <w:r>
          <w:rPr>
            <w:noProof/>
            <w:webHidden/>
          </w:rPr>
          <w:instrText xml:space="preserve"> PAGEREF _Toc237448926 \h </w:instrText>
        </w:r>
        <w:r>
          <w:rPr>
            <w:noProof/>
            <w:webHidden/>
          </w:rPr>
        </w:r>
        <w:r>
          <w:rPr>
            <w:noProof/>
            <w:webHidden/>
          </w:rPr>
          <w:fldChar w:fldCharType="separate"/>
        </w:r>
        <w:r>
          <w:rPr>
            <w:noProof/>
            <w:webHidden/>
          </w:rPr>
          <w:t>12</w:t>
        </w:r>
        <w:r>
          <w:rPr>
            <w:noProof/>
            <w:webHidden/>
          </w:rPr>
          <w:fldChar w:fldCharType="end"/>
        </w:r>
      </w:hyperlink>
    </w:p>
    <w:p w14:paraId="5B188B41" w14:textId="24437BD6" w:rsidR="0030005B" w:rsidRDefault="0030005B">
      <w:pPr>
        <w:pStyle w:val="TOC4"/>
        <w:rPr>
          <w:rFonts w:eastAsiaTheme="minorEastAsia"/>
          <w:smallCaps w:val="0"/>
          <w:noProof/>
          <w:kern w:val="2"/>
          <w:sz w:val="24"/>
          <w:szCs w:val="24"/>
          <w:lang w:val="en-US" w:eastAsia="zh-CN" w:bidi="he-IL"/>
          <w14:ligatures w14:val="standardContextual"/>
        </w:rPr>
      </w:pPr>
      <w:hyperlink w:anchor="_Toc237448927" w:history="1">
        <w:r w:rsidRPr="00363646">
          <w:rPr>
            <w:rStyle w:val="Hyperlink"/>
            <w:noProof/>
          </w:rPr>
          <w:t>Exchange Online</w:t>
        </w:r>
        <w:r>
          <w:rPr>
            <w:noProof/>
            <w:webHidden/>
          </w:rPr>
          <w:tab/>
        </w:r>
        <w:r>
          <w:rPr>
            <w:noProof/>
            <w:webHidden/>
          </w:rPr>
          <w:fldChar w:fldCharType="begin"/>
        </w:r>
        <w:r>
          <w:rPr>
            <w:noProof/>
            <w:webHidden/>
          </w:rPr>
          <w:instrText xml:space="preserve"> PAGEREF _Toc237448927 \h </w:instrText>
        </w:r>
        <w:r>
          <w:rPr>
            <w:noProof/>
            <w:webHidden/>
          </w:rPr>
        </w:r>
        <w:r>
          <w:rPr>
            <w:noProof/>
            <w:webHidden/>
          </w:rPr>
          <w:fldChar w:fldCharType="separate"/>
        </w:r>
        <w:r>
          <w:rPr>
            <w:noProof/>
            <w:webHidden/>
          </w:rPr>
          <w:t>12</w:t>
        </w:r>
        <w:r>
          <w:rPr>
            <w:noProof/>
            <w:webHidden/>
          </w:rPr>
          <w:fldChar w:fldCharType="end"/>
        </w:r>
      </w:hyperlink>
    </w:p>
    <w:p w14:paraId="57A32FC7" w14:textId="35045918" w:rsidR="0030005B" w:rsidRDefault="0030005B">
      <w:pPr>
        <w:pStyle w:val="TOC4"/>
        <w:rPr>
          <w:rFonts w:eastAsiaTheme="minorEastAsia"/>
          <w:smallCaps w:val="0"/>
          <w:noProof/>
          <w:kern w:val="2"/>
          <w:sz w:val="24"/>
          <w:szCs w:val="24"/>
          <w:lang w:val="en-US" w:eastAsia="zh-CN" w:bidi="he-IL"/>
          <w14:ligatures w14:val="standardContextual"/>
        </w:rPr>
      </w:pPr>
      <w:hyperlink w:anchor="_Toc237448928" w:history="1">
        <w:r w:rsidRPr="00363646">
          <w:rPr>
            <w:rStyle w:val="Hyperlink"/>
            <w:noProof/>
          </w:rPr>
          <w:t>Exchange Online-Archivierung</w:t>
        </w:r>
        <w:r>
          <w:rPr>
            <w:noProof/>
            <w:webHidden/>
          </w:rPr>
          <w:tab/>
        </w:r>
        <w:r>
          <w:rPr>
            <w:noProof/>
            <w:webHidden/>
          </w:rPr>
          <w:fldChar w:fldCharType="begin"/>
        </w:r>
        <w:r>
          <w:rPr>
            <w:noProof/>
            <w:webHidden/>
          </w:rPr>
          <w:instrText xml:space="preserve"> PAGEREF _Toc237448928 \h </w:instrText>
        </w:r>
        <w:r>
          <w:rPr>
            <w:noProof/>
            <w:webHidden/>
          </w:rPr>
        </w:r>
        <w:r>
          <w:rPr>
            <w:noProof/>
            <w:webHidden/>
          </w:rPr>
          <w:fldChar w:fldCharType="separate"/>
        </w:r>
        <w:r>
          <w:rPr>
            <w:noProof/>
            <w:webHidden/>
          </w:rPr>
          <w:t>14</w:t>
        </w:r>
        <w:r>
          <w:rPr>
            <w:noProof/>
            <w:webHidden/>
          </w:rPr>
          <w:fldChar w:fldCharType="end"/>
        </w:r>
      </w:hyperlink>
    </w:p>
    <w:p w14:paraId="2A6CC61A" w14:textId="1E82867C" w:rsidR="0030005B" w:rsidRDefault="0030005B">
      <w:pPr>
        <w:pStyle w:val="TOC4"/>
        <w:rPr>
          <w:rFonts w:eastAsiaTheme="minorEastAsia"/>
          <w:smallCaps w:val="0"/>
          <w:noProof/>
          <w:kern w:val="2"/>
          <w:sz w:val="24"/>
          <w:szCs w:val="24"/>
          <w:lang w:val="en-US" w:eastAsia="zh-CN" w:bidi="he-IL"/>
          <w14:ligatures w14:val="standardContextual"/>
        </w:rPr>
      </w:pPr>
      <w:hyperlink w:anchor="_Toc237448929" w:history="1">
        <w:r w:rsidRPr="00363646">
          <w:rPr>
            <w:rStyle w:val="Hyperlink"/>
            <w:noProof/>
          </w:rPr>
          <w:t>Exchange Online Protection</w:t>
        </w:r>
        <w:r>
          <w:rPr>
            <w:noProof/>
            <w:webHidden/>
          </w:rPr>
          <w:tab/>
        </w:r>
        <w:r>
          <w:rPr>
            <w:noProof/>
            <w:webHidden/>
          </w:rPr>
          <w:fldChar w:fldCharType="begin"/>
        </w:r>
        <w:r>
          <w:rPr>
            <w:noProof/>
            <w:webHidden/>
          </w:rPr>
          <w:instrText xml:space="preserve"> PAGEREF _Toc237448929 \h </w:instrText>
        </w:r>
        <w:r>
          <w:rPr>
            <w:noProof/>
            <w:webHidden/>
          </w:rPr>
        </w:r>
        <w:r>
          <w:rPr>
            <w:noProof/>
            <w:webHidden/>
          </w:rPr>
          <w:fldChar w:fldCharType="separate"/>
        </w:r>
        <w:r>
          <w:rPr>
            <w:noProof/>
            <w:webHidden/>
          </w:rPr>
          <w:t>15</w:t>
        </w:r>
        <w:r>
          <w:rPr>
            <w:noProof/>
            <w:webHidden/>
          </w:rPr>
          <w:fldChar w:fldCharType="end"/>
        </w:r>
      </w:hyperlink>
    </w:p>
    <w:p w14:paraId="29F8A0FF" w14:textId="68C1F6E2" w:rsidR="0030005B" w:rsidRDefault="0030005B">
      <w:pPr>
        <w:pStyle w:val="TOC4"/>
        <w:rPr>
          <w:rFonts w:eastAsiaTheme="minorEastAsia"/>
          <w:smallCaps w:val="0"/>
          <w:noProof/>
          <w:kern w:val="2"/>
          <w:sz w:val="24"/>
          <w:szCs w:val="24"/>
          <w:lang w:val="en-US" w:eastAsia="zh-CN" w:bidi="he-IL"/>
          <w14:ligatures w14:val="standardContextual"/>
        </w:rPr>
      </w:pPr>
      <w:hyperlink w:anchor="_Toc237448930" w:history="1">
        <w:r w:rsidRPr="00363646">
          <w:rPr>
            <w:rStyle w:val="Hyperlink"/>
            <w:noProof/>
          </w:rPr>
          <w:t>Microsoft MyAnalytics</w:t>
        </w:r>
        <w:r>
          <w:rPr>
            <w:noProof/>
            <w:webHidden/>
          </w:rPr>
          <w:tab/>
        </w:r>
        <w:r>
          <w:rPr>
            <w:noProof/>
            <w:webHidden/>
          </w:rPr>
          <w:fldChar w:fldCharType="begin"/>
        </w:r>
        <w:r>
          <w:rPr>
            <w:noProof/>
            <w:webHidden/>
          </w:rPr>
          <w:instrText xml:space="preserve"> PAGEREF _Toc237448930 \h </w:instrText>
        </w:r>
        <w:r>
          <w:rPr>
            <w:noProof/>
            <w:webHidden/>
          </w:rPr>
        </w:r>
        <w:r>
          <w:rPr>
            <w:noProof/>
            <w:webHidden/>
          </w:rPr>
          <w:fldChar w:fldCharType="separate"/>
        </w:r>
        <w:r>
          <w:rPr>
            <w:noProof/>
            <w:webHidden/>
          </w:rPr>
          <w:t>16</w:t>
        </w:r>
        <w:r>
          <w:rPr>
            <w:noProof/>
            <w:webHidden/>
          </w:rPr>
          <w:fldChar w:fldCharType="end"/>
        </w:r>
      </w:hyperlink>
    </w:p>
    <w:p w14:paraId="42453067" w14:textId="69DF11D4" w:rsidR="0030005B" w:rsidRDefault="0030005B">
      <w:pPr>
        <w:pStyle w:val="TOC4"/>
        <w:rPr>
          <w:rFonts w:eastAsiaTheme="minorEastAsia"/>
          <w:smallCaps w:val="0"/>
          <w:noProof/>
          <w:kern w:val="2"/>
          <w:sz w:val="24"/>
          <w:szCs w:val="24"/>
          <w:lang w:val="en-US" w:eastAsia="zh-CN" w:bidi="he-IL"/>
          <w14:ligatures w14:val="standardContextual"/>
        </w:rPr>
      </w:pPr>
      <w:hyperlink w:anchor="_Toc237448931" w:history="1">
        <w:r w:rsidRPr="00363646">
          <w:rPr>
            <w:rStyle w:val="Hyperlink"/>
            <w:noProof/>
          </w:rPr>
          <w:t>Microsoft Stream (Classic)</w:t>
        </w:r>
        <w:r>
          <w:rPr>
            <w:noProof/>
            <w:webHidden/>
          </w:rPr>
          <w:tab/>
        </w:r>
        <w:r>
          <w:rPr>
            <w:noProof/>
            <w:webHidden/>
          </w:rPr>
          <w:fldChar w:fldCharType="begin"/>
        </w:r>
        <w:r>
          <w:rPr>
            <w:noProof/>
            <w:webHidden/>
          </w:rPr>
          <w:instrText xml:space="preserve"> PAGEREF _Toc237448931 \h </w:instrText>
        </w:r>
        <w:r>
          <w:rPr>
            <w:noProof/>
            <w:webHidden/>
          </w:rPr>
        </w:r>
        <w:r>
          <w:rPr>
            <w:noProof/>
            <w:webHidden/>
          </w:rPr>
          <w:fldChar w:fldCharType="separate"/>
        </w:r>
        <w:r>
          <w:rPr>
            <w:noProof/>
            <w:webHidden/>
          </w:rPr>
          <w:t>16</w:t>
        </w:r>
        <w:r>
          <w:rPr>
            <w:noProof/>
            <w:webHidden/>
          </w:rPr>
          <w:fldChar w:fldCharType="end"/>
        </w:r>
      </w:hyperlink>
    </w:p>
    <w:p w14:paraId="735EAA1E" w14:textId="1CD270D5" w:rsidR="0030005B" w:rsidRDefault="0030005B">
      <w:pPr>
        <w:pStyle w:val="TOC4"/>
        <w:rPr>
          <w:rFonts w:eastAsiaTheme="minorEastAsia"/>
          <w:smallCaps w:val="0"/>
          <w:noProof/>
          <w:kern w:val="2"/>
          <w:sz w:val="24"/>
          <w:szCs w:val="24"/>
          <w:lang w:val="en-US" w:eastAsia="zh-CN" w:bidi="he-IL"/>
          <w14:ligatures w14:val="standardContextual"/>
        </w:rPr>
      </w:pPr>
      <w:hyperlink w:anchor="_Toc237448932" w:history="1">
        <w:r w:rsidRPr="00363646">
          <w:rPr>
            <w:rStyle w:val="Hyperlink"/>
            <w:noProof/>
          </w:rPr>
          <w:t>Microsoft-Teams</w:t>
        </w:r>
        <w:r>
          <w:rPr>
            <w:noProof/>
            <w:webHidden/>
          </w:rPr>
          <w:tab/>
        </w:r>
        <w:r>
          <w:rPr>
            <w:noProof/>
            <w:webHidden/>
          </w:rPr>
          <w:fldChar w:fldCharType="begin"/>
        </w:r>
        <w:r>
          <w:rPr>
            <w:noProof/>
            <w:webHidden/>
          </w:rPr>
          <w:instrText xml:space="preserve"> PAGEREF _Toc237448932 \h </w:instrText>
        </w:r>
        <w:r>
          <w:rPr>
            <w:noProof/>
            <w:webHidden/>
          </w:rPr>
        </w:r>
        <w:r>
          <w:rPr>
            <w:noProof/>
            <w:webHidden/>
          </w:rPr>
          <w:fldChar w:fldCharType="separate"/>
        </w:r>
        <w:r>
          <w:rPr>
            <w:noProof/>
            <w:webHidden/>
          </w:rPr>
          <w:t>16</w:t>
        </w:r>
        <w:r>
          <w:rPr>
            <w:noProof/>
            <w:webHidden/>
          </w:rPr>
          <w:fldChar w:fldCharType="end"/>
        </w:r>
      </w:hyperlink>
    </w:p>
    <w:p w14:paraId="11B144C6" w14:textId="277BFC56" w:rsidR="0030005B" w:rsidRDefault="0030005B">
      <w:pPr>
        <w:pStyle w:val="TOC4"/>
        <w:rPr>
          <w:rFonts w:eastAsiaTheme="minorEastAsia"/>
          <w:smallCaps w:val="0"/>
          <w:noProof/>
          <w:kern w:val="2"/>
          <w:sz w:val="24"/>
          <w:szCs w:val="24"/>
          <w:lang w:val="en-US" w:eastAsia="zh-CN" w:bidi="he-IL"/>
          <w14:ligatures w14:val="standardContextual"/>
        </w:rPr>
      </w:pPr>
      <w:hyperlink w:anchor="_Toc237448933" w:history="1">
        <w:r w:rsidRPr="00363646">
          <w:rPr>
            <w:rStyle w:val="Hyperlink"/>
            <w:noProof/>
          </w:rPr>
          <w:t>Microsoft 365 Apps for Business</w:t>
        </w:r>
        <w:r>
          <w:rPr>
            <w:noProof/>
            <w:webHidden/>
          </w:rPr>
          <w:tab/>
        </w:r>
        <w:r>
          <w:rPr>
            <w:noProof/>
            <w:webHidden/>
          </w:rPr>
          <w:fldChar w:fldCharType="begin"/>
        </w:r>
        <w:r>
          <w:rPr>
            <w:noProof/>
            <w:webHidden/>
          </w:rPr>
          <w:instrText xml:space="preserve"> PAGEREF _Toc237448933 \h </w:instrText>
        </w:r>
        <w:r>
          <w:rPr>
            <w:noProof/>
            <w:webHidden/>
          </w:rPr>
        </w:r>
        <w:r>
          <w:rPr>
            <w:noProof/>
            <w:webHidden/>
          </w:rPr>
          <w:fldChar w:fldCharType="separate"/>
        </w:r>
        <w:r>
          <w:rPr>
            <w:noProof/>
            <w:webHidden/>
          </w:rPr>
          <w:t>17</w:t>
        </w:r>
        <w:r>
          <w:rPr>
            <w:noProof/>
            <w:webHidden/>
          </w:rPr>
          <w:fldChar w:fldCharType="end"/>
        </w:r>
      </w:hyperlink>
    </w:p>
    <w:p w14:paraId="58A82DC7" w14:textId="505E5903" w:rsidR="0030005B" w:rsidRDefault="0030005B">
      <w:pPr>
        <w:pStyle w:val="TOC4"/>
        <w:rPr>
          <w:rFonts w:eastAsiaTheme="minorEastAsia"/>
          <w:smallCaps w:val="0"/>
          <w:noProof/>
          <w:kern w:val="2"/>
          <w:sz w:val="24"/>
          <w:szCs w:val="24"/>
          <w:lang w:val="en-US" w:eastAsia="zh-CN" w:bidi="he-IL"/>
          <w14:ligatures w14:val="standardContextual"/>
        </w:rPr>
      </w:pPr>
      <w:hyperlink w:anchor="_Toc237448934" w:history="1">
        <w:r w:rsidRPr="00363646">
          <w:rPr>
            <w:rStyle w:val="Hyperlink"/>
            <w:noProof/>
          </w:rPr>
          <w:t>Microsoft 365 Apps für Unternehmen</w:t>
        </w:r>
        <w:r>
          <w:rPr>
            <w:noProof/>
            <w:webHidden/>
          </w:rPr>
          <w:tab/>
        </w:r>
        <w:r>
          <w:rPr>
            <w:noProof/>
            <w:webHidden/>
          </w:rPr>
          <w:fldChar w:fldCharType="begin"/>
        </w:r>
        <w:r>
          <w:rPr>
            <w:noProof/>
            <w:webHidden/>
          </w:rPr>
          <w:instrText xml:space="preserve"> PAGEREF _Toc237448934 \h </w:instrText>
        </w:r>
        <w:r>
          <w:rPr>
            <w:noProof/>
            <w:webHidden/>
          </w:rPr>
        </w:r>
        <w:r>
          <w:rPr>
            <w:noProof/>
            <w:webHidden/>
          </w:rPr>
          <w:fldChar w:fldCharType="separate"/>
        </w:r>
        <w:r>
          <w:rPr>
            <w:noProof/>
            <w:webHidden/>
          </w:rPr>
          <w:t>17</w:t>
        </w:r>
        <w:r>
          <w:rPr>
            <w:noProof/>
            <w:webHidden/>
          </w:rPr>
          <w:fldChar w:fldCharType="end"/>
        </w:r>
      </w:hyperlink>
    </w:p>
    <w:p w14:paraId="46F120EE" w14:textId="10248400" w:rsidR="0030005B" w:rsidRDefault="0030005B">
      <w:pPr>
        <w:pStyle w:val="TOC4"/>
        <w:rPr>
          <w:rFonts w:eastAsiaTheme="minorEastAsia"/>
          <w:smallCaps w:val="0"/>
          <w:noProof/>
          <w:kern w:val="2"/>
          <w:sz w:val="24"/>
          <w:szCs w:val="24"/>
          <w:lang w:val="en-US" w:eastAsia="zh-CN" w:bidi="he-IL"/>
          <w14:ligatures w14:val="standardContextual"/>
        </w:rPr>
      </w:pPr>
      <w:hyperlink w:anchor="_Toc237448935" w:history="1">
        <w:r w:rsidRPr="00363646">
          <w:rPr>
            <w:rStyle w:val="Hyperlink"/>
            <w:rFonts w:ascii="Calibri Light" w:hAnsi="Calibri Light" w:cs="Calibri Light"/>
            <w:noProof/>
          </w:rPr>
          <w:t>Microsoft 365 Copilot</w:t>
        </w:r>
        <w:r>
          <w:rPr>
            <w:noProof/>
            <w:webHidden/>
          </w:rPr>
          <w:tab/>
        </w:r>
        <w:r>
          <w:rPr>
            <w:noProof/>
            <w:webHidden/>
          </w:rPr>
          <w:fldChar w:fldCharType="begin"/>
        </w:r>
        <w:r>
          <w:rPr>
            <w:noProof/>
            <w:webHidden/>
          </w:rPr>
          <w:instrText xml:space="preserve"> PAGEREF _Toc237448935 \h </w:instrText>
        </w:r>
        <w:r>
          <w:rPr>
            <w:noProof/>
            <w:webHidden/>
          </w:rPr>
        </w:r>
        <w:r>
          <w:rPr>
            <w:noProof/>
            <w:webHidden/>
          </w:rPr>
          <w:fldChar w:fldCharType="separate"/>
        </w:r>
        <w:r>
          <w:rPr>
            <w:noProof/>
            <w:webHidden/>
          </w:rPr>
          <w:t>17</w:t>
        </w:r>
        <w:r>
          <w:rPr>
            <w:noProof/>
            <w:webHidden/>
          </w:rPr>
          <w:fldChar w:fldCharType="end"/>
        </w:r>
      </w:hyperlink>
    </w:p>
    <w:p w14:paraId="2B892B0C" w14:textId="6F7F0437" w:rsidR="0030005B" w:rsidRDefault="0030005B">
      <w:pPr>
        <w:pStyle w:val="TOC4"/>
        <w:rPr>
          <w:rFonts w:eastAsiaTheme="minorEastAsia"/>
          <w:smallCaps w:val="0"/>
          <w:noProof/>
          <w:kern w:val="2"/>
          <w:sz w:val="24"/>
          <w:szCs w:val="24"/>
          <w:lang w:val="en-US" w:eastAsia="zh-CN" w:bidi="he-IL"/>
          <w14:ligatures w14:val="standardContextual"/>
        </w:rPr>
      </w:pPr>
      <w:hyperlink w:anchor="_Toc237448936" w:history="1">
        <w:r w:rsidRPr="00363646">
          <w:rPr>
            <w:rStyle w:val="Hyperlink"/>
            <w:noProof/>
          </w:rPr>
          <w:t>Office 365 Advanced Compliance</w:t>
        </w:r>
        <w:r>
          <w:rPr>
            <w:noProof/>
            <w:webHidden/>
          </w:rPr>
          <w:tab/>
        </w:r>
        <w:r>
          <w:rPr>
            <w:noProof/>
            <w:webHidden/>
          </w:rPr>
          <w:fldChar w:fldCharType="begin"/>
        </w:r>
        <w:r>
          <w:rPr>
            <w:noProof/>
            <w:webHidden/>
          </w:rPr>
          <w:instrText xml:space="preserve"> PAGEREF _Toc237448936 \h </w:instrText>
        </w:r>
        <w:r>
          <w:rPr>
            <w:noProof/>
            <w:webHidden/>
          </w:rPr>
        </w:r>
        <w:r>
          <w:rPr>
            <w:noProof/>
            <w:webHidden/>
          </w:rPr>
          <w:fldChar w:fldCharType="separate"/>
        </w:r>
        <w:r>
          <w:rPr>
            <w:noProof/>
            <w:webHidden/>
          </w:rPr>
          <w:t>18</w:t>
        </w:r>
        <w:r>
          <w:rPr>
            <w:noProof/>
            <w:webHidden/>
          </w:rPr>
          <w:fldChar w:fldCharType="end"/>
        </w:r>
      </w:hyperlink>
    </w:p>
    <w:p w14:paraId="48452401" w14:textId="61E7B246" w:rsidR="0030005B" w:rsidRDefault="0030005B">
      <w:pPr>
        <w:pStyle w:val="TOC4"/>
        <w:rPr>
          <w:rFonts w:eastAsiaTheme="minorEastAsia"/>
          <w:smallCaps w:val="0"/>
          <w:noProof/>
          <w:kern w:val="2"/>
          <w:sz w:val="24"/>
          <w:szCs w:val="24"/>
          <w:lang w:val="en-US" w:eastAsia="zh-CN" w:bidi="he-IL"/>
          <w14:ligatures w14:val="standardContextual"/>
        </w:rPr>
      </w:pPr>
      <w:hyperlink w:anchor="_Toc237448937" w:history="1">
        <w:r w:rsidRPr="00363646">
          <w:rPr>
            <w:rStyle w:val="Hyperlink"/>
            <w:noProof/>
          </w:rPr>
          <w:t>Office Online</w:t>
        </w:r>
        <w:r>
          <w:rPr>
            <w:noProof/>
            <w:webHidden/>
          </w:rPr>
          <w:tab/>
        </w:r>
        <w:r>
          <w:rPr>
            <w:noProof/>
            <w:webHidden/>
          </w:rPr>
          <w:fldChar w:fldCharType="begin"/>
        </w:r>
        <w:r>
          <w:rPr>
            <w:noProof/>
            <w:webHidden/>
          </w:rPr>
          <w:instrText xml:space="preserve"> PAGEREF _Toc237448937 \h </w:instrText>
        </w:r>
        <w:r>
          <w:rPr>
            <w:noProof/>
            <w:webHidden/>
          </w:rPr>
        </w:r>
        <w:r>
          <w:rPr>
            <w:noProof/>
            <w:webHidden/>
          </w:rPr>
          <w:fldChar w:fldCharType="separate"/>
        </w:r>
        <w:r>
          <w:rPr>
            <w:noProof/>
            <w:webHidden/>
          </w:rPr>
          <w:t>18</w:t>
        </w:r>
        <w:r>
          <w:rPr>
            <w:noProof/>
            <w:webHidden/>
          </w:rPr>
          <w:fldChar w:fldCharType="end"/>
        </w:r>
      </w:hyperlink>
    </w:p>
    <w:p w14:paraId="1F83207E" w14:textId="26577427" w:rsidR="0030005B" w:rsidRDefault="0030005B">
      <w:pPr>
        <w:pStyle w:val="TOC4"/>
        <w:rPr>
          <w:rFonts w:eastAsiaTheme="minorEastAsia"/>
          <w:smallCaps w:val="0"/>
          <w:noProof/>
          <w:kern w:val="2"/>
          <w:sz w:val="24"/>
          <w:szCs w:val="24"/>
          <w:lang w:val="en-US" w:eastAsia="zh-CN" w:bidi="he-IL"/>
          <w14:ligatures w14:val="standardContextual"/>
        </w:rPr>
      </w:pPr>
      <w:hyperlink w:anchor="_Toc237448938" w:history="1">
        <w:r w:rsidRPr="00363646">
          <w:rPr>
            <w:rStyle w:val="Hyperlink"/>
            <w:noProof/>
          </w:rPr>
          <w:t>Office 365 Video</w:t>
        </w:r>
        <w:r>
          <w:rPr>
            <w:noProof/>
            <w:webHidden/>
          </w:rPr>
          <w:tab/>
        </w:r>
        <w:r>
          <w:rPr>
            <w:noProof/>
            <w:webHidden/>
          </w:rPr>
          <w:fldChar w:fldCharType="begin"/>
        </w:r>
        <w:r>
          <w:rPr>
            <w:noProof/>
            <w:webHidden/>
          </w:rPr>
          <w:instrText xml:space="preserve"> PAGEREF _Toc237448938 \h </w:instrText>
        </w:r>
        <w:r>
          <w:rPr>
            <w:noProof/>
            <w:webHidden/>
          </w:rPr>
        </w:r>
        <w:r>
          <w:rPr>
            <w:noProof/>
            <w:webHidden/>
          </w:rPr>
          <w:fldChar w:fldCharType="separate"/>
        </w:r>
        <w:r>
          <w:rPr>
            <w:noProof/>
            <w:webHidden/>
          </w:rPr>
          <w:t>18</w:t>
        </w:r>
        <w:r>
          <w:rPr>
            <w:noProof/>
            <w:webHidden/>
          </w:rPr>
          <w:fldChar w:fldCharType="end"/>
        </w:r>
      </w:hyperlink>
    </w:p>
    <w:p w14:paraId="04824B5B" w14:textId="6AFFC586" w:rsidR="0030005B" w:rsidRDefault="0030005B">
      <w:pPr>
        <w:pStyle w:val="TOC4"/>
        <w:rPr>
          <w:rFonts w:eastAsiaTheme="minorEastAsia"/>
          <w:smallCaps w:val="0"/>
          <w:noProof/>
          <w:kern w:val="2"/>
          <w:sz w:val="24"/>
          <w:szCs w:val="24"/>
          <w:lang w:val="en-US" w:eastAsia="zh-CN" w:bidi="he-IL"/>
          <w14:ligatures w14:val="standardContextual"/>
        </w:rPr>
      </w:pPr>
      <w:hyperlink w:anchor="_Toc237448939" w:history="1">
        <w:r w:rsidRPr="00363646">
          <w:rPr>
            <w:rStyle w:val="Hyperlink"/>
            <w:noProof/>
          </w:rPr>
          <w:t>OneDrive Arbeitsplatz oder die Schule/Universität</w:t>
        </w:r>
        <w:r>
          <w:rPr>
            <w:noProof/>
            <w:webHidden/>
          </w:rPr>
          <w:tab/>
        </w:r>
        <w:r>
          <w:rPr>
            <w:noProof/>
            <w:webHidden/>
          </w:rPr>
          <w:fldChar w:fldCharType="begin"/>
        </w:r>
        <w:r>
          <w:rPr>
            <w:noProof/>
            <w:webHidden/>
          </w:rPr>
          <w:instrText xml:space="preserve"> PAGEREF _Toc237448939 \h </w:instrText>
        </w:r>
        <w:r>
          <w:rPr>
            <w:noProof/>
            <w:webHidden/>
          </w:rPr>
        </w:r>
        <w:r>
          <w:rPr>
            <w:noProof/>
            <w:webHidden/>
          </w:rPr>
          <w:fldChar w:fldCharType="separate"/>
        </w:r>
        <w:r>
          <w:rPr>
            <w:noProof/>
            <w:webHidden/>
          </w:rPr>
          <w:t>19</w:t>
        </w:r>
        <w:r>
          <w:rPr>
            <w:noProof/>
            <w:webHidden/>
          </w:rPr>
          <w:fldChar w:fldCharType="end"/>
        </w:r>
      </w:hyperlink>
    </w:p>
    <w:p w14:paraId="1591A3C6" w14:textId="2C88593C" w:rsidR="0030005B" w:rsidRDefault="0030005B">
      <w:pPr>
        <w:pStyle w:val="TOC4"/>
        <w:rPr>
          <w:rFonts w:eastAsiaTheme="minorEastAsia"/>
          <w:smallCaps w:val="0"/>
          <w:noProof/>
          <w:kern w:val="2"/>
          <w:sz w:val="24"/>
          <w:szCs w:val="24"/>
          <w:lang w:val="en-US" w:eastAsia="zh-CN" w:bidi="he-IL"/>
          <w14:ligatures w14:val="standardContextual"/>
        </w:rPr>
      </w:pPr>
      <w:hyperlink w:anchor="_Toc237448940" w:history="1">
        <w:r w:rsidRPr="00363646">
          <w:rPr>
            <w:rStyle w:val="Hyperlink"/>
            <w:noProof/>
          </w:rPr>
          <w:t>Project</w:t>
        </w:r>
        <w:r>
          <w:rPr>
            <w:noProof/>
            <w:webHidden/>
          </w:rPr>
          <w:tab/>
        </w:r>
        <w:r>
          <w:rPr>
            <w:noProof/>
            <w:webHidden/>
          </w:rPr>
          <w:fldChar w:fldCharType="begin"/>
        </w:r>
        <w:r>
          <w:rPr>
            <w:noProof/>
            <w:webHidden/>
          </w:rPr>
          <w:instrText xml:space="preserve"> PAGEREF _Toc237448940 \h </w:instrText>
        </w:r>
        <w:r>
          <w:rPr>
            <w:noProof/>
            <w:webHidden/>
          </w:rPr>
        </w:r>
        <w:r>
          <w:rPr>
            <w:noProof/>
            <w:webHidden/>
          </w:rPr>
          <w:fldChar w:fldCharType="separate"/>
        </w:r>
        <w:r>
          <w:rPr>
            <w:noProof/>
            <w:webHidden/>
          </w:rPr>
          <w:t>19</w:t>
        </w:r>
        <w:r>
          <w:rPr>
            <w:noProof/>
            <w:webHidden/>
          </w:rPr>
          <w:fldChar w:fldCharType="end"/>
        </w:r>
      </w:hyperlink>
    </w:p>
    <w:p w14:paraId="0F44A1DF" w14:textId="37CCBA5F" w:rsidR="0030005B" w:rsidRDefault="0030005B">
      <w:pPr>
        <w:pStyle w:val="TOC4"/>
        <w:rPr>
          <w:rFonts w:eastAsiaTheme="minorEastAsia"/>
          <w:smallCaps w:val="0"/>
          <w:noProof/>
          <w:kern w:val="2"/>
          <w:sz w:val="24"/>
          <w:szCs w:val="24"/>
          <w:lang w:val="en-US" w:eastAsia="zh-CN" w:bidi="he-IL"/>
          <w14:ligatures w14:val="standardContextual"/>
        </w:rPr>
      </w:pPr>
      <w:hyperlink w:anchor="_Toc237448941" w:history="1">
        <w:r w:rsidRPr="00363646">
          <w:rPr>
            <w:rStyle w:val="Hyperlink"/>
            <w:noProof/>
          </w:rPr>
          <w:t>SharePoint Online</w:t>
        </w:r>
        <w:r>
          <w:rPr>
            <w:noProof/>
            <w:webHidden/>
          </w:rPr>
          <w:tab/>
        </w:r>
        <w:r>
          <w:rPr>
            <w:noProof/>
            <w:webHidden/>
          </w:rPr>
          <w:fldChar w:fldCharType="begin"/>
        </w:r>
        <w:r>
          <w:rPr>
            <w:noProof/>
            <w:webHidden/>
          </w:rPr>
          <w:instrText xml:space="preserve"> PAGEREF _Toc237448941 \h </w:instrText>
        </w:r>
        <w:r>
          <w:rPr>
            <w:noProof/>
            <w:webHidden/>
          </w:rPr>
        </w:r>
        <w:r>
          <w:rPr>
            <w:noProof/>
            <w:webHidden/>
          </w:rPr>
          <w:fldChar w:fldCharType="separate"/>
        </w:r>
        <w:r>
          <w:rPr>
            <w:noProof/>
            <w:webHidden/>
          </w:rPr>
          <w:t>19</w:t>
        </w:r>
        <w:r>
          <w:rPr>
            <w:noProof/>
            <w:webHidden/>
          </w:rPr>
          <w:fldChar w:fldCharType="end"/>
        </w:r>
      </w:hyperlink>
    </w:p>
    <w:p w14:paraId="5702B1AA" w14:textId="31BBB399" w:rsidR="0030005B" w:rsidRDefault="0030005B">
      <w:pPr>
        <w:pStyle w:val="TOC4"/>
        <w:rPr>
          <w:rFonts w:eastAsiaTheme="minorEastAsia"/>
          <w:smallCaps w:val="0"/>
          <w:noProof/>
          <w:kern w:val="2"/>
          <w:sz w:val="24"/>
          <w:szCs w:val="24"/>
          <w:lang w:val="en-US" w:eastAsia="zh-CN" w:bidi="he-IL"/>
          <w14:ligatures w14:val="standardContextual"/>
        </w:rPr>
      </w:pPr>
      <w:hyperlink w:anchor="_Toc237448942" w:history="1">
        <w:r w:rsidRPr="00363646">
          <w:rPr>
            <w:rStyle w:val="Hyperlink"/>
            <w:noProof/>
          </w:rPr>
          <w:t>Microsoft Teams – Anrufpläne, Teams Telefon und Audiokonferenzen</w:t>
        </w:r>
        <w:r>
          <w:rPr>
            <w:noProof/>
            <w:webHidden/>
          </w:rPr>
          <w:tab/>
        </w:r>
        <w:r>
          <w:rPr>
            <w:noProof/>
            <w:webHidden/>
          </w:rPr>
          <w:fldChar w:fldCharType="begin"/>
        </w:r>
        <w:r>
          <w:rPr>
            <w:noProof/>
            <w:webHidden/>
          </w:rPr>
          <w:instrText xml:space="preserve"> PAGEREF _Toc237448942 \h </w:instrText>
        </w:r>
        <w:r>
          <w:rPr>
            <w:noProof/>
            <w:webHidden/>
          </w:rPr>
        </w:r>
        <w:r>
          <w:rPr>
            <w:noProof/>
            <w:webHidden/>
          </w:rPr>
          <w:fldChar w:fldCharType="separate"/>
        </w:r>
        <w:r>
          <w:rPr>
            <w:noProof/>
            <w:webHidden/>
          </w:rPr>
          <w:t>20</w:t>
        </w:r>
        <w:r>
          <w:rPr>
            <w:noProof/>
            <w:webHidden/>
          </w:rPr>
          <w:fldChar w:fldCharType="end"/>
        </w:r>
      </w:hyperlink>
    </w:p>
    <w:p w14:paraId="1D66B5CE" w14:textId="6EF40788" w:rsidR="0030005B" w:rsidRDefault="0030005B">
      <w:pPr>
        <w:pStyle w:val="TOC4"/>
        <w:rPr>
          <w:rFonts w:eastAsiaTheme="minorEastAsia"/>
          <w:smallCaps w:val="0"/>
          <w:noProof/>
          <w:kern w:val="2"/>
          <w:sz w:val="24"/>
          <w:szCs w:val="24"/>
          <w:lang w:val="en-US" w:eastAsia="zh-CN" w:bidi="he-IL"/>
          <w14:ligatures w14:val="standardContextual"/>
        </w:rPr>
      </w:pPr>
      <w:hyperlink w:anchor="_Toc237448943" w:history="1">
        <w:r w:rsidRPr="00363646">
          <w:rPr>
            <w:rStyle w:val="Hyperlink"/>
            <w:noProof/>
          </w:rPr>
          <w:t>Microsoft Teams – Sprachqualität</w:t>
        </w:r>
        <w:r>
          <w:rPr>
            <w:noProof/>
            <w:webHidden/>
          </w:rPr>
          <w:tab/>
        </w:r>
        <w:r>
          <w:rPr>
            <w:noProof/>
            <w:webHidden/>
          </w:rPr>
          <w:fldChar w:fldCharType="begin"/>
        </w:r>
        <w:r>
          <w:rPr>
            <w:noProof/>
            <w:webHidden/>
          </w:rPr>
          <w:instrText xml:space="preserve"> PAGEREF _Toc237448943 \h </w:instrText>
        </w:r>
        <w:r>
          <w:rPr>
            <w:noProof/>
            <w:webHidden/>
          </w:rPr>
        </w:r>
        <w:r>
          <w:rPr>
            <w:noProof/>
            <w:webHidden/>
          </w:rPr>
          <w:fldChar w:fldCharType="separate"/>
        </w:r>
        <w:r>
          <w:rPr>
            <w:noProof/>
            <w:webHidden/>
          </w:rPr>
          <w:t>20</w:t>
        </w:r>
        <w:r>
          <w:rPr>
            <w:noProof/>
            <w:webHidden/>
          </w:rPr>
          <w:fldChar w:fldCharType="end"/>
        </w:r>
      </w:hyperlink>
    </w:p>
    <w:p w14:paraId="08595AA9" w14:textId="66DCD78B" w:rsidR="0030005B" w:rsidRDefault="0030005B">
      <w:pPr>
        <w:pStyle w:val="TOC4"/>
        <w:rPr>
          <w:rFonts w:eastAsiaTheme="minorEastAsia"/>
          <w:smallCaps w:val="0"/>
          <w:noProof/>
          <w:kern w:val="2"/>
          <w:sz w:val="24"/>
          <w:szCs w:val="24"/>
          <w:lang w:val="en-US" w:eastAsia="zh-CN" w:bidi="he-IL"/>
          <w14:ligatures w14:val="standardContextual"/>
        </w:rPr>
      </w:pPr>
      <w:hyperlink w:anchor="_Toc237448944" w:history="1">
        <w:r w:rsidRPr="00363646">
          <w:rPr>
            <w:rStyle w:val="Hyperlink"/>
            <w:noProof/>
          </w:rPr>
          <w:t>Workplace Analytics</w:t>
        </w:r>
        <w:r>
          <w:rPr>
            <w:noProof/>
            <w:webHidden/>
          </w:rPr>
          <w:tab/>
        </w:r>
        <w:r>
          <w:rPr>
            <w:noProof/>
            <w:webHidden/>
          </w:rPr>
          <w:fldChar w:fldCharType="begin"/>
        </w:r>
        <w:r>
          <w:rPr>
            <w:noProof/>
            <w:webHidden/>
          </w:rPr>
          <w:instrText xml:space="preserve"> PAGEREF _Toc237448944 \h </w:instrText>
        </w:r>
        <w:r>
          <w:rPr>
            <w:noProof/>
            <w:webHidden/>
          </w:rPr>
        </w:r>
        <w:r>
          <w:rPr>
            <w:noProof/>
            <w:webHidden/>
          </w:rPr>
          <w:fldChar w:fldCharType="separate"/>
        </w:r>
        <w:r>
          <w:rPr>
            <w:noProof/>
            <w:webHidden/>
          </w:rPr>
          <w:t>21</w:t>
        </w:r>
        <w:r>
          <w:rPr>
            <w:noProof/>
            <w:webHidden/>
          </w:rPr>
          <w:fldChar w:fldCharType="end"/>
        </w:r>
      </w:hyperlink>
    </w:p>
    <w:p w14:paraId="66F7A90F" w14:textId="2F2F840F" w:rsidR="0030005B" w:rsidRDefault="0030005B">
      <w:pPr>
        <w:pStyle w:val="TOC4"/>
        <w:rPr>
          <w:rFonts w:eastAsiaTheme="minorEastAsia"/>
          <w:smallCaps w:val="0"/>
          <w:noProof/>
          <w:kern w:val="2"/>
          <w:sz w:val="24"/>
          <w:szCs w:val="24"/>
          <w:lang w:val="en-US" w:eastAsia="zh-CN" w:bidi="he-IL"/>
          <w14:ligatures w14:val="standardContextual"/>
        </w:rPr>
      </w:pPr>
      <w:hyperlink w:anchor="_Toc237448945" w:history="1">
        <w:r w:rsidRPr="00363646">
          <w:rPr>
            <w:rStyle w:val="Hyperlink"/>
            <w:noProof/>
          </w:rPr>
          <w:t>Viva Engage</w:t>
        </w:r>
        <w:r>
          <w:rPr>
            <w:noProof/>
            <w:webHidden/>
          </w:rPr>
          <w:tab/>
        </w:r>
        <w:r>
          <w:rPr>
            <w:noProof/>
            <w:webHidden/>
          </w:rPr>
          <w:fldChar w:fldCharType="begin"/>
        </w:r>
        <w:r>
          <w:rPr>
            <w:noProof/>
            <w:webHidden/>
          </w:rPr>
          <w:instrText xml:space="preserve"> PAGEREF _Toc237448945 \h </w:instrText>
        </w:r>
        <w:r>
          <w:rPr>
            <w:noProof/>
            <w:webHidden/>
          </w:rPr>
        </w:r>
        <w:r>
          <w:rPr>
            <w:noProof/>
            <w:webHidden/>
          </w:rPr>
          <w:fldChar w:fldCharType="separate"/>
        </w:r>
        <w:r>
          <w:rPr>
            <w:noProof/>
            <w:webHidden/>
          </w:rPr>
          <w:t>21</w:t>
        </w:r>
        <w:r>
          <w:rPr>
            <w:noProof/>
            <w:webHidden/>
          </w:rPr>
          <w:fldChar w:fldCharType="end"/>
        </w:r>
      </w:hyperlink>
    </w:p>
    <w:p w14:paraId="461D8FF9" w14:textId="49184C8C" w:rsidR="0030005B" w:rsidRDefault="0030005B">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7448946" w:history="1">
        <w:r w:rsidRPr="00363646">
          <w:rPr>
            <w:rStyle w:val="Hyperlink"/>
            <w:noProof/>
          </w:rPr>
          <w:t>Microsoft Azure-Dienste und -Pläne</w:t>
        </w:r>
        <w:r>
          <w:rPr>
            <w:noProof/>
            <w:webHidden/>
          </w:rPr>
          <w:tab/>
        </w:r>
        <w:r>
          <w:rPr>
            <w:noProof/>
            <w:webHidden/>
          </w:rPr>
          <w:fldChar w:fldCharType="begin"/>
        </w:r>
        <w:r>
          <w:rPr>
            <w:noProof/>
            <w:webHidden/>
          </w:rPr>
          <w:instrText xml:space="preserve"> PAGEREF _Toc237448946 \h </w:instrText>
        </w:r>
        <w:r>
          <w:rPr>
            <w:noProof/>
            <w:webHidden/>
          </w:rPr>
        </w:r>
        <w:r>
          <w:rPr>
            <w:noProof/>
            <w:webHidden/>
          </w:rPr>
          <w:fldChar w:fldCharType="separate"/>
        </w:r>
        <w:r>
          <w:rPr>
            <w:noProof/>
            <w:webHidden/>
          </w:rPr>
          <w:t>21</w:t>
        </w:r>
        <w:r>
          <w:rPr>
            <w:noProof/>
            <w:webHidden/>
          </w:rPr>
          <w:fldChar w:fldCharType="end"/>
        </w:r>
      </w:hyperlink>
    </w:p>
    <w:p w14:paraId="77291008" w14:textId="04C8ACD0" w:rsidR="0030005B" w:rsidRDefault="0030005B">
      <w:pPr>
        <w:pStyle w:val="TOC4"/>
        <w:rPr>
          <w:rFonts w:eastAsiaTheme="minorEastAsia"/>
          <w:smallCaps w:val="0"/>
          <w:noProof/>
          <w:kern w:val="2"/>
          <w:sz w:val="24"/>
          <w:szCs w:val="24"/>
          <w:lang w:val="en-US" w:eastAsia="zh-CN" w:bidi="he-IL"/>
          <w14:ligatures w14:val="standardContextual"/>
        </w:rPr>
      </w:pPr>
      <w:hyperlink w:anchor="_Toc237448947" w:history="1">
        <w:r w:rsidRPr="00363646">
          <w:rPr>
            <w:rStyle w:val="Hyperlink"/>
            <w:noProof/>
            <w:lang w:val="en-US"/>
          </w:rPr>
          <w:t>Microsoft Entra ID</w:t>
        </w:r>
        <w:r>
          <w:rPr>
            <w:noProof/>
            <w:webHidden/>
          </w:rPr>
          <w:tab/>
        </w:r>
        <w:r>
          <w:rPr>
            <w:noProof/>
            <w:webHidden/>
          </w:rPr>
          <w:fldChar w:fldCharType="begin"/>
        </w:r>
        <w:r>
          <w:rPr>
            <w:noProof/>
            <w:webHidden/>
          </w:rPr>
          <w:instrText xml:space="preserve"> PAGEREF _Toc237448947 \h </w:instrText>
        </w:r>
        <w:r>
          <w:rPr>
            <w:noProof/>
            <w:webHidden/>
          </w:rPr>
        </w:r>
        <w:r>
          <w:rPr>
            <w:noProof/>
            <w:webHidden/>
          </w:rPr>
          <w:fldChar w:fldCharType="separate"/>
        </w:r>
        <w:r>
          <w:rPr>
            <w:noProof/>
            <w:webHidden/>
          </w:rPr>
          <w:t>21</w:t>
        </w:r>
        <w:r>
          <w:rPr>
            <w:noProof/>
            <w:webHidden/>
          </w:rPr>
          <w:fldChar w:fldCharType="end"/>
        </w:r>
      </w:hyperlink>
    </w:p>
    <w:p w14:paraId="7D58F52B" w14:textId="3C246377" w:rsidR="0030005B" w:rsidRDefault="0030005B">
      <w:pPr>
        <w:pStyle w:val="TOC4"/>
        <w:rPr>
          <w:rFonts w:eastAsiaTheme="minorEastAsia"/>
          <w:smallCaps w:val="0"/>
          <w:noProof/>
          <w:kern w:val="2"/>
          <w:sz w:val="24"/>
          <w:szCs w:val="24"/>
          <w:lang w:val="en-US" w:eastAsia="zh-CN" w:bidi="he-IL"/>
          <w14:ligatures w14:val="standardContextual"/>
        </w:rPr>
      </w:pPr>
      <w:hyperlink w:anchor="_Toc237448948" w:history="1">
        <w:r w:rsidRPr="00363646">
          <w:rPr>
            <w:rStyle w:val="Hyperlink"/>
            <w:noProof/>
          </w:rPr>
          <w:t>Azure Active Directory B2C</w:t>
        </w:r>
        <w:r>
          <w:rPr>
            <w:noProof/>
            <w:webHidden/>
          </w:rPr>
          <w:tab/>
        </w:r>
        <w:r>
          <w:rPr>
            <w:noProof/>
            <w:webHidden/>
          </w:rPr>
          <w:fldChar w:fldCharType="begin"/>
        </w:r>
        <w:r>
          <w:rPr>
            <w:noProof/>
            <w:webHidden/>
          </w:rPr>
          <w:instrText xml:space="preserve"> PAGEREF _Toc237448948 \h </w:instrText>
        </w:r>
        <w:r>
          <w:rPr>
            <w:noProof/>
            <w:webHidden/>
          </w:rPr>
        </w:r>
        <w:r>
          <w:rPr>
            <w:noProof/>
            <w:webHidden/>
          </w:rPr>
          <w:fldChar w:fldCharType="separate"/>
        </w:r>
        <w:r>
          <w:rPr>
            <w:noProof/>
            <w:webHidden/>
          </w:rPr>
          <w:t>22</w:t>
        </w:r>
        <w:r>
          <w:rPr>
            <w:noProof/>
            <w:webHidden/>
          </w:rPr>
          <w:fldChar w:fldCharType="end"/>
        </w:r>
      </w:hyperlink>
    </w:p>
    <w:p w14:paraId="58C272F9" w14:textId="7608B002" w:rsidR="0030005B" w:rsidRDefault="0030005B">
      <w:pPr>
        <w:pStyle w:val="TOC4"/>
        <w:rPr>
          <w:rFonts w:eastAsiaTheme="minorEastAsia"/>
          <w:smallCaps w:val="0"/>
          <w:noProof/>
          <w:kern w:val="2"/>
          <w:sz w:val="24"/>
          <w:szCs w:val="24"/>
          <w:lang w:val="en-US" w:eastAsia="zh-CN" w:bidi="he-IL"/>
          <w14:ligatures w14:val="standardContextual"/>
        </w:rPr>
      </w:pPr>
      <w:hyperlink w:anchor="_Toc237448949" w:history="1">
        <w:r w:rsidRPr="00363646">
          <w:rPr>
            <w:rStyle w:val="Hyperlink"/>
            <w:noProof/>
          </w:rPr>
          <w:t>Microsoft Entra Domain Services</w:t>
        </w:r>
        <w:r>
          <w:rPr>
            <w:noProof/>
            <w:webHidden/>
          </w:rPr>
          <w:tab/>
        </w:r>
        <w:r>
          <w:rPr>
            <w:noProof/>
            <w:webHidden/>
          </w:rPr>
          <w:fldChar w:fldCharType="begin"/>
        </w:r>
        <w:r>
          <w:rPr>
            <w:noProof/>
            <w:webHidden/>
          </w:rPr>
          <w:instrText xml:space="preserve"> PAGEREF _Toc237448949 \h </w:instrText>
        </w:r>
        <w:r>
          <w:rPr>
            <w:noProof/>
            <w:webHidden/>
          </w:rPr>
        </w:r>
        <w:r>
          <w:rPr>
            <w:noProof/>
            <w:webHidden/>
          </w:rPr>
          <w:fldChar w:fldCharType="separate"/>
        </w:r>
        <w:r>
          <w:rPr>
            <w:noProof/>
            <w:webHidden/>
          </w:rPr>
          <w:t>22</w:t>
        </w:r>
        <w:r>
          <w:rPr>
            <w:noProof/>
            <w:webHidden/>
          </w:rPr>
          <w:fldChar w:fldCharType="end"/>
        </w:r>
      </w:hyperlink>
    </w:p>
    <w:p w14:paraId="36C19A24" w14:textId="4FFDDD8C" w:rsidR="0030005B" w:rsidRDefault="0030005B">
      <w:pPr>
        <w:pStyle w:val="TOC4"/>
        <w:rPr>
          <w:rFonts w:eastAsiaTheme="minorEastAsia"/>
          <w:smallCaps w:val="0"/>
          <w:noProof/>
          <w:kern w:val="2"/>
          <w:sz w:val="24"/>
          <w:szCs w:val="24"/>
          <w:lang w:val="en-US" w:eastAsia="zh-CN" w:bidi="he-IL"/>
          <w14:ligatures w14:val="standardContextual"/>
        </w:rPr>
      </w:pPr>
      <w:hyperlink w:anchor="_Toc237448950" w:history="1">
        <w:r w:rsidRPr="00363646">
          <w:rPr>
            <w:rStyle w:val="Hyperlink"/>
            <w:noProof/>
          </w:rPr>
          <w:t>Analysis Services</w:t>
        </w:r>
        <w:r>
          <w:rPr>
            <w:noProof/>
            <w:webHidden/>
          </w:rPr>
          <w:tab/>
        </w:r>
        <w:r>
          <w:rPr>
            <w:noProof/>
            <w:webHidden/>
          </w:rPr>
          <w:fldChar w:fldCharType="begin"/>
        </w:r>
        <w:r>
          <w:rPr>
            <w:noProof/>
            <w:webHidden/>
          </w:rPr>
          <w:instrText xml:space="preserve"> PAGEREF _Toc237448950 \h </w:instrText>
        </w:r>
        <w:r>
          <w:rPr>
            <w:noProof/>
            <w:webHidden/>
          </w:rPr>
        </w:r>
        <w:r>
          <w:rPr>
            <w:noProof/>
            <w:webHidden/>
          </w:rPr>
          <w:fldChar w:fldCharType="separate"/>
        </w:r>
        <w:r>
          <w:rPr>
            <w:noProof/>
            <w:webHidden/>
          </w:rPr>
          <w:t>22</w:t>
        </w:r>
        <w:r>
          <w:rPr>
            <w:noProof/>
            <w:webHidden/>
          </w:rPr>
          <w:fldChar w:fldCharType="end"/>
        </w:r>
      </w:hyperlink>
    </w:p>
    <w:p w14:paraId="3C432F32" w14:textId="1BE630DD" w:rsidR="0030005B" w:rsidRDefault="0030005B">
      <w:pPr>
        <w:pStyle w:val="TOC4"/>
        <w:rPr>
          <w:rFonts w:eastAsiaTheme="minorEastAsia"/>
          <w:smallCaps w:val="0"/>
          <w:noProof/>
          <w:kern w:val="2"/>
          <w:sz w:val="24"/>
          <w:szCs w:val="24"/>
          <w:lang w:val="en-US" w:eastAsia="zh-CN" w:bidi="he-IL"/>
          <w14:ligatures w14:val="standardContextual"/>
        </w:rPr>
      </w:pPr>
      <w:hyperlink w:anchor="_Toc237448951" w:history="1">
        <w:r w:rsidRPr="00363646">
          <w:rPr>
            <w:rStyle w:val="Hyperlink"/>
            <w:noProof/>
          </w:rPr>
          <w:t>Azure API für FHIR</w:t>
        </w:r>
        <w:r>
          <w:rPr>
            <w:noProof/>
            <w:webHidden/>
          </w:rPr>
          <w:tab/>
        </w:r>
        <w:r>
          <w:rPr>
            <w:noProof/>
            <w:webHidden/>
          </w:rPr>
          <w:fldChar w:fldCharType="begin"/>
        </w:r>
        <w:r>
          <w:rPr>
            <w:noProof/>
            <w:webHidden/>
          </w:rPr>
          <w:instrText xml:space="preserve"> PAGEREF _Toc237448951 \h </w:instrText>
        </w:r>
        <w:r>
          <w:rPr>
            <w:noProof/>
            <w:webHidden/>
          </w:rPr>
        </w:r>
        <w:r>
          <w:rPr>
            <w:noProof/>
            <w:webHidden/>
          </w:rPr>
          <w:fldChar w:fldCharType="separate"/>
        </w:r>
        <w:r>
          <w:rPr>
            <w:noProof/>
            <w:webHidden/>
          </w:rPr>
          <w:t>23</w:t>
        </w:r>
        <w:r>
          <w:rPr>
            <w:noProof/>
            <w:webHidden/>
          </w:rPr>
          <w:fldChar w:fldCharType="end"/>
        </w:r>
      </w:hyperlink>
    </w:p>
    <w:p w14:paraId="78765C04" w14:textId="7131854F" w:rsidR="0030005B" w:rsidRDefault="0030005B">
      <w:pPr>
        <w:pStyle w:val="TOC4"/>
        <w:rPr>
          <w:rFonts w:eastAsiaTheme="minorEastAsia"/>
          <w:smallCaps w:val="0"/>
          <w:noProof/>
          <w:kern w:val="2"/>
          <w:sz w:val="24"/>
          <w:szCs w:val="24"/>
          <w:lang w:val="en-US" w:eastAsia="zh-CN" w:bidi="he-IL"/>
          <w14:ligatures w14:val="standardContextual"/>
        </w:rPr>
      </w:pPr>
      <w:hyperlink w:anchor="_Toc237448952" w:history="1">
        <w:r w:rsidRPr="00363646">
          <w:rPr>
            <w:rStyle w:val="Hyperlink"/>
            <w:noProof/>
          </w:rPr>
          <w:t>API Center-Dienste</w:t>
        </w:r>
        <w:r>
          <w:rPr>
            <w:noProof/>
            <w:webHidden/>
          </w:rPr>
          <w:tab/>
        </w:r>
        <w:r>
          <w:rPr>
            <w:noProof/>
            <w:webHidden/>
          </w:rPr>
          <w:fldChar w:fldCharType="begin"/>
        </w:r>
        <w:r>
          <w:rPr>
            <w:noProof/>
            <w:webHidden/>
          </w:rPr>
          <w:instrText xml:space="preserve"> PAGEREF _Toc237448952 \h </w:instrText>
        </w:r>
        <w:r>
          <w:rPr>
            <w:noProof/>
            <w:webHidden/>
          </w:rPr>
        </w:r>
        <w:r>
          <w:rPr>
            <w:noProof/>
            <w:webHidden/>
          </w:rPr>
          <w:fldChar w:fldCharType="separate"/>
        </w:r>
        <w:r>
          <w:rPr>
            <w:noProof/>
            <w:webHidden/>
          </w:rPr>
          <w:t>23</w:t>
        </w:r>
        <w:r>
          <w:rPr>
            <w:noProof/>
            <w:webHidden/>
          </w:rPr>
          <w:fldChar w:fldCharType="end"/>
        </w:r>
      </w:hyperlink>
    </w:p>
    <w:p w14:paraId="6FB4F0E6" w14:textId="4DFA3001" w:rsidR="0030005B" w:rsidRDefault="0030005B">
      <w:pPr>
        <w:pStyle w:val="TOC4"/>
        <w:rPr>
          <w:rFonts w:eastAsiaTheme="minorEastAsia"/>
          <w:smallCaps w:val="0"/>
          <w:noProof/>
          <w:kern w:val="2"/>
          <w:sz w:val="24"/>
          <w:szCs w:val="24"/>
          <w:lang w:val="en-US" w:eastAsia="zh-CN" w:bidi="he-IL"/>
          <w14:ligatures w14:val="standardContextual"/>
        </w:rPr>
      </w:pPr>
      <w:hyperlink w:anchor="_Toc237448953" w:history="1">
        <w:r w:rsidRPr="00363646">
          <w:rPr>
            <w:rStyle w:val="Hyperlink"/>
            <w:noProof/>
          </w:rPr>
          <w:t>API-Verwaltungsdienste</w:t>
        </w:r>
        <w:r>
          <w:rPr>
            <w:noProof/>
            <w:webHidden/>
          </w:rPr>
          <w:tab/>
        </w:r>
        <w:r>
          <w:rPr>
            <w:noProof/>
            <w:webHidden/>
          </w:rPr>
          <w:fldChar w:fldCharType="begin"/>
        </w:r>
        <w:r>
          <w:rPr>
            <w:noProof/>
            <w:webHidden/>
          </w:rPr>
          <w:instrText xml:space="preserve"> PAGEREF _Toc237448953 \h </w:instrText>
        </w:r>
        <w:r>
          <w:rPr>
            <w:noProof/>
            <w:webHidden/>
          </w:rPr>
        </w:r>
        <w:r>
          <w:rPr>
            <w:noProof/>
            <w:webHidden/>
          </w:rPr>
          <w:fldChar w:fldCharType="separate"/>
        </w:r>
        <w:r>
          <w:rPr>
            <w:noProof/>
            <w:webHidden/>
          </w:rPr>
          <w:t>24</w:t>
        </w:r>
        <w:r>
          <w:rPr>
            <w:noProof/>
            <w:webHidden/>
          </w:rPr>
          <w:fldChar w:fldCharType="end"/>
        </w:r>
      </w:hyperlink>
    </w:p>
    <w:p w14:paraId="0B8A93AE" w14:textId="1E2E4FBA" w:rsidR="0030005B" w:rsidRDefault="0030005B">
      <w:pPr>
        <w:pStyle w:val="TOC4"/>
        <w:rPr>
          <w:rFonts w:eastAsiaTheme="minorEastAsia"/>
          <w:smallCaps w:val="0"/>
          <w:noProof/>
          <w:kern w:val="2"/>
          <w:sz w:val="24"/>
          <w:szCs w:val="24"/>
          <w:lang w:val="en-US" w:eastAsia="zh-CN" w:bidi="he-IL"/>
          <w14:ligatures w14:val="standardContextual"/>
        </w:rPr>
      </w:pPr>
      <w:hyperlink w:anchor="_Toc237448954" w:history="1">
        <w:r w:rsidRPr="00363646">
          <w:rPr>
            <w:rStyle w:val="Hyperlink"/>
            <w:noProof/>
          </w:rPr>
          <w:t>App Center</w:t>
        </w:r>
        <w:r>
          <w:rPr>
            <w:noProof/>
            <w:webHidden/>
          </w:rPr>
          <w:tab/>
        </w:r>
        <w:r>
          <w:rPr>
            <w:noProof/>
            <w:webHidden/>
          </w:rPr>
          <w:fldChar w:fldCharType="begin"/>
        </w:r>
        <w:r>
          <w:rPr>
            <w:noProof/>
            <w:webHidden/>
          </w:rPr>
          <w:instrText xml:space="preserve"> PAGEREF _Toc237448954 \h </w:instrText>
        </w:r>
        <w:r>
          <w:rPr>
            <w:noProof/>
            <w:webHidden/>
          </w:rPr>
        </w:r>
        <w:r>
          <w:rPr>
            <w:noProof/>
            <w:webHidden/>
          </w:rPr>
          <w:fldChar w:fldCharType="separate"/>
        </w:r>
        <w:r>
          <w:rPr>
            <w:noProof/>
            <w:webHidden/>
          </w:rPr>
          <w:t>24</w:t>
        </w:r>
        <w:r>
          <w:rPr>
            <w:noProof/>
            <w:webHidden/>
          </w:rPr>
          <w:fldChar w:fldCharType="end"/>
        </w:r>
      </w:hyperlink>
    </w:p>
    <w:p w14:paraId="5E5031E2" w14:textId="527DE9D5" w:rsidR="0030005B" w:rsidRDefault="0030005B">
      <w:pPr>
        <w:pStyle w:val="TOC4"/>
        <w:rPr>
          <w:rFonts w:eastAsiaTheme="minorEastAsia"/>
          <w:smallCaps w:val="0"/>
          <w:noProof/>
          <w:kern w:val="2"/>
          <w:sz w:val="24"/>
          <w:szCs w:val="24"/>
          <w:lang w:val="en-US" w:eastAsia="zh-CN" w:bidi="he-IL"/>
          <w14:ligatures w14:val="standardContextual"/>
        </w:rPr>
      </w:pPr>
      <w:hyperlink w:anchor="_Toc237448955" w:history="1">
        <w:r w:rsidRPr="00363646">
          <w:rPr>
            <w:rStyle w:val="Hyperlink"/>
            <w:noProof/>
          </w:rPr>
          <w:t>App-Konfiguration</w:t>
        </w:r>
        <w:r>
          <w:rPr>
            <w:noProof/>
            <w:webHidden/>
          </w:rPr>
          <w:tab/>
        </w:r>
        <w:r>
          <w:rPr>
            <w:noProof/>
            <w:webHidden/>
          </w:rPr>
          <w:fldChar w:fldCharType="begin"/>
        </w:r>
        <w:r>
          <w:rPr>
            <w:noProof/>
            <w:webHidden/>
          </w:rPr>
          <w:instrText xml:space="preserve"> PAGEREF _Toc237448955 \h </w:instrText>
        </w:r>
        <w:r>
          <w:rPr>
            <w:noProof/>
            <w:webHidden/>
          </w:rPr>
        </w:r>
        <w:r>
          <w:rPr>
            <w:noProof/>
            <w:webHidden/>
          </w:rPr>
          <w:fldChar w:fldCharType="separate"/>
        </w:r>
        <w:r>
          <w:rPr>
            <w:noProof/>
            <w:webHidden/>
          </w:rPr>
          <w:t>25</w:t>
        </w:r>
        <w:r>
          <w:rPr>
            <w:noProof/>
            <w:webHidden/>
          </w:rPr>
          <w:fldChar w:fldCharType="end"/>
        </w:r>
      </w:hyperlink>
    </w:p>
    <w:p w14:paraId="4596835E" w14:textId="31692D27" w:rsidR="0030005B" w:rsidRDefault="0030005B">
      <w:pPr>
        <w:pStyle w:val="TOC4"/>
        <w:rPr>
          <w:rFonts w:eastAsiaTheme="minorEastAsia"/>
          <w:smallCaps w:val="0"/>
          <w:noProof/>
          <w:kern w:val="2"/>
          <w:sz w:val="24"/>
          <w:szCs w:val="24"/>
          <w:lang w:val="en-US" w:eastAsia="zh-CN" w:bidi="he-IL"/>
          <w14:ligatures w14:val="standardContextual"/>
        </w:rPr>
      </w:pPr>
      <w:hyperlink w:anchor="_Toc237448956" w:history="1">
        <w:r w:rsidRPr="00363646">
          <w:rPr>
            <w:rStyle w:val="Hyperlink"/>
            <w:noProof/>
          </w:rPr>
          <w:t>App-Dienst</w:t>
        </w:r>
        <w:r>
          <w:rPr>
            <w:noProof/>
            <w:webHidden/>
          </w:rPr>
          <w:tab/>
        </w:r>
        <w:r>
          <w:rPr>
            <w:noProof/>
            <w:webHidden/>
          </w:rPr>
          <w:fldChar w:fldCharType="begin"/>
        </w:r>
        <w:r>
          <w:rPr>
            <w:noProof/>
            <w:webHidden/>
          </w:rPr>
          <w:instrText xml:space="preserve"> PAGEREF _Toc237448956 \h </w:instrText>
        </w:r>
        <w:r>
          <w:rPr>
            <w:noProof/>
            <w:webHidden/>
          </w:rPr>
        </w:r>
        <w:r>
          <w:rPr>
            <w:noProof/>
            <w:webHidden/>
          </w:rPr>
          <w:fldChar w:fldCharType="separate"/>
        </w:r>
        <w:r>
          <w:rPr>
            <w:noProof/>
            <w:webHidden/>
          </w:rPr>
          <w:t>26</w:t>
        </w:r>
        <w:r>
          <w:rPr>
            <w:noProof/>
            <w:webHidden/>
          </w:rPr>
          <w:fldChar w:fldCharType="end"/>
        </w:r>
      </w:hyperlink>
    </w:p>
    <w:p w14:paraId="3A3A85F0" w14:textId="3BDD5FBA" w:rsidR="0030005B" w:rsidRDefault="0030005B">
      <w:pPr>
        <w:pStyle w:val="TOC4"/>
        <w:rPr>
          <w:rFonts w:eastAsiaTheme="minorEastAsia"/>
          <w:smallCaps w:val="0"/>
          <w:noProof/>
          <w:kern w:val="2"/>
          <w:sz w:val="24"/>
          <w:szCs w:val="24"/>
          <w:lang w:val="en-US" w:eastAsia="zh-CN" w:bidi="he-IL"/>
          <w14:ligatures w14:val="standardContextual"/>
        </w:rPr>
      </w:pPr>
      <w:hyperlink w:anchor="_Toc237448957" w:history="1">
        <w:r w:rsidRPr="00363646">
          <w:rPr>
            <w:rStyle w:val="Hyperlink"/>
            <w:noProof/>
          </w:rPr>
          <w:t>Application Gateway</w:t>
        </w:r>
        <w:r>
          <w:rPr>
            <w:noProof/>
            <w:webHidden/>
          </w:rPr>
          <w:tab/>
        </w:r>
        <w:r>
          <w:rPr>
            <w:noProof/>
            <w:webHidden/>
          </w:rPr>
          <w:fldChar w:fldCharType="begin"/>
        </w:r>
        <w:r>
          <w:rPr>
            <w:noProof/>
            <w:webHidden/>
          </w:rPr>
          <w:instrText xml:space="preserve"> PAGEREF _Toc237448957 \h </w:instrText>
        </w:r>
        <w:r>
          <w:rPr>
            <w:noProof/>
            <w:webHidden/>
          </w:rPr>
        </w:r>
        <w:r>
          <w:rPr>
            <w:noProof/>
            <w:webHidden/>
          </w:rPr>
          <w:fldChar w:fldCharType="separate"/>
        </w:r>
        <w:r>
          <w:rPr>
            <w:noProof/>
            <w:webHidden/>
          </w:rPr>
          <w:t>27</w:t>
        </w:r>
        <w:r>
          <w:rPr>
            <w:noProof/>
            <w:webHidden/>
          </w:rPr>
          <w:fldChar w:fldCharType="end"/>
        </w:r>
      </w:hyperlink>
    </w:p>
    <w:p w14:paraId="72312B64" w14:textId="54DD5EFD" w:rsidR="0030005B" w:rsidRDefault="0030005B">
      <w:pPr>
        <w:pStyle w:val="TOC4"/>
        <w:rPr>
          <w:rFonts w:eastAsiaTheme="minorEastAsia"/>
          <w:smallCaps w:val="0"/>
          <w:noProof/>
          <w:kern w:val="2"/>
          <w:sz w:val="24"/>
          <w:szCs w:val="24"/>
          <w:lang w:val="en-US" w:eastAsia="zh-CN" w:bidi="he-IL"/>
          <w14:ligatures w14:val="standardContextual"/>
        </w:rPr>
      </w:pPr>
      <w:hyperlink w:anchor="_Toc237448958" w:history="1">
        <w:r w:rsidRPr="00363646">
          <w:rPr>
            <w:rStyle w:val="Hyperlink"/>
            <w:noProof/>
          </w:rPr>
          <w:t xml:space="preserve">Appplication Gateway </w:t>
        </w:r>
        <w:r w:rsidRPr="00363646">
          <w:rPr>
            <w:rStyle w:val="Hyperlink"/>
            <w:rFonts w:ascii="Calibri Light" w:hAnsi="Calibri Light" w:cs="Calibri Light"/>
            <w:noProof/>
          </w:rPr>
          <w:t>für Container</w:t>
        </w:r>
        <w:r>
          <w:rPr>
            <w:noProof/>
            <w:webHidden/>
          </w:rPr>
          <w:tab/>
        </w:r>
        <w:r>
          <w:rPr>
            <w:noProof/>
            <w:webHidden/>
          </w:rPr>
          <w:fldChar w:fldCharType="begin"/>
        </w:r>
        <w:r>
          <w:rPr>
            <w:noProof/>
            <w:webHidden/>
          </w:rPr>
          <w:instrText xml:space="preserve"> PAGEREF _Toc237448958 \h </w:instrText>
        </w:r>
        <w:r>
          <w:rPr>
            <w:noProof/>
            <w:webHidden/>
          </w:rPr>
        </w:r>
        <w:r>
          <w:rPr>
            <w:noProof/>
            <w:webHidden/>
          </w:rPr>
          <w:fldChar w:fldCharType="separate"/>
        </w:r>
        <w:r>
          <w:rPr>
            <w:noProof/>
            <w:webHidden/>
          </w:rPr>
          <w:t>27</w:t>
        </w:r>
        <w:r>
          <w:rPr>
            <w:noProof/>
            <w:webHidden/>
          </w:rPr>
          <w:fldChar w:fldCharType="end"/>
        </w:r>
      </w:hyperlink>
    </w:p>
    <w:p w14:paraId="635A880C" w14:textId="3964E98A" w:rsidR="0030005B" w:rsidRDefault="0030005B">
      <w:pPr>
        <w:pStyle w:val="TOC4"/>
        <w:rPr>
          <w:rFonts w:eastAsiaTheme="minorEastAsia"/>
          <w:smallCaps w:val="0"/>
          <w:noProof/>
          <w:kern w:val="2"/>
          <w:sz w:val="24"/>
          <w:szCs w:val="24"/>
          <w:lang w:val="en-US" w:eastAsia="zh-CN" w:bidi="he-IL"/>
          <w14:ligatures w14:val="standardContextual"/>
        </w:rPr>
      </w:pPr>
      <w:hyperlink w:anchor="_Toc237448959" w:history="1">
        <w:r w:rsidRPr="00363646">
          <w:rPr>
            <w:rStyle w:val="Hyperlink"/>
            <w:noProof/>
          </w:rPr>
          <w:t>Application Insights</w:t>
        </w:r>
        <w:r>
          <w:rPr>
            <w:noProof/>
            <w:webHidden/>
          </w:rPr>
          <w:tab/>
        </w:r>
        <w:r>
          <w:rPr>
            <w:noProof/>
            <w:webHidden/>
          </w:rPr>
          <w:fldChar w:fldCharType="begin"/>
        </w:r>
        <w:r>
          <w:rPr>
            <w:noProof/>
            <w:webHidden/>
          </w:rPr>
          <w:instrText xml:space="preserve"> PAGEREF _Toc237448959 \h </w:instrText>
        </w:r>
        <w:r>
          <w:rPr>
            <w:noProof/>
            <w:webHidden/>
          </w:rPr>
        </w:r>
        <w:r>
          <w:rPr>
            <w:noProof/>
            <w:webHidden/>
          </w:rPr>
          <w:fldChar w:fldCharType="separate"/>
        </w:r>
        <w:r>
          <w:rPr>
            <w:noProof/>
            <w:webHidden/>
          </w:rPr>
          <w:t>28</w:t>
        </w:r>
        <w:r>
          <w:rPr>
            <w:noProof/>
            <w:webHidden/>
          </w:rPr>
          <w:fldChar w:fldCharType="end"/>
        </w:r>
      </w:hyperlink>
    </w:p>
    <w:p w14:paraId="232223C8" w14:textId="596A89F4" w:rsidR="0030005B" w:rsidRDefault="0030005B">
      <w:pPr>
        <w:pStyle w:val="TOC4"/>
        <w:rPr>
          <w:rFonts w:eastAsiaTheme="minorEastAsia"/>
          <w:smallCaps w:val="0"/>
          <w:noProof/>
          <w:kern w:val="2"/>
          <w:sz w:val="24"/>
          <w:szCs w:val="24"/>
          <w:lang w:val="en-US" w:eastAsia="zh-CN" w:bidi="he-IL"/>
          <w14:ligatures w14:val="standardContextual"/>
        </w:rPr>
      </w:pPr>
      <w:hyperlink w:anchor="_Toc237448960" w:history="1">
        <w:r w:rsidRPr="00363646">
          <w:rPr>
            <w:rStyle w:val="Hyperlink"/>
            <w:noProof/>
          </w:rPr>
          <w:t>Azure Arc</w:t>
        </w:r>
        <w:r>
          <w:rPr>
            <w:noProof/>
            <w:webHidden/>
          </w:rPr>
          <w:tab/>
        </w:r>
        <w:r>
          <w:rPr>
            <w:noProof/>
            <w:webHidden/>
          </w:rPr>
          <w:fldChar w:fldCharType="begin"/>
        </w:r>
        <w:r>
          <w:rPr>
            <w:noProof/>
            <w:webHidden/>
          </w:rPr>
          <w:instrText xml:space="preserve"> PAGEREF _Toc237448960 \h </w:instrText>
        </w:r>
        <w:r>
          <w:rPr>
            <w:noProof/>
            <w:webHidden/>
          </w:rPr>
        </w:r>
        <w:r>
          <w:rPr>
            <w:noProof/>
            <w:webHidden/>
          </w:rPr>
          <w:fldChar w:fldCharType="separate"/>
        </w:r>
        <w:r>
          <w:rPr>
            <w:noProof/>
            <w:webHidden/>
          </w:rPr>
          <w:t>28</w:t>
        </w:r>
        <w:r>
          <w:rPr>
            <w:noProof/>
            <w:webHidden/>
          </w:rPr>
          <w:fldChar w:fldCharType="end"/>
        </w:r>
      </w:hyperlink>
    </w:p>
    <w:p w14:paraId="6FC366F3" w14:textId="65F243D6" w:rsidR="0030005B" w:rsidRDefault="0030005B">
      <w:pPr>
        <w:pStyle w:val="TOC4"/>
        <w:rPr>
          <w:rFonts w:eastAsiaTheme="minorEastAsia"/>
          <w:smallCaps w:val="0"/>
          <w:noProof/>
          <w:kern w:val="2"/>
          <w:sz w:val="24"/>
          <w:szCs w:val="24"/>
          <w:lang w:val="en-US" w:eastAsia="zh-CN" w:bidi="he-IL"/>
          <w14:ligatures w14:val="standardContextual"/>
        </w:rPr>
      </w:pPr>
      <w:hyperlink w:anchor="_Toc237448961" w:history="1">
        <w:r w:rsidRPr="00363646">
          <w:rPr>
            <w:rStyle w:val="Hyperlink"/>
            <w:noProof/>
          </w:rPr>
          <w:t>Automatisierung</w:t>
        </w:r>
        <w:r>
          <w:rPr>
            <w:noProof/>
            <w:webHidden/>
          </w:rPr>
          <w:tab/>
        </w:r>
        <w:r>
          <w:rPr>
            <w:noProof/>
            <w:webHidden/>
          </w:rPr>
          <w:fldChar w:fldCharType="begin"/>
        </w:r>
        <w:r>
          <w:rPr>
            <w:noProof/>
            <w:webHidden/>
          </w:rPr>
          <w:instrText xml:space="preserve"> PAGEREF _Toc237448961 \h </w:instrText>
        </w:r>
        <w:r>
          <w:rPr>
            <w:noProof/>
            <w:webHidden/>
          </w:rPr>
        </w:r>
        <w:r>
          <w:rPr>
            <w:noProof/>
            <w:webHidden/>
          </w:rPr>
          <w:fldChar w:fldCharType="separate"/>
        </w:r>
        <w:r>
          <w:rPr>
            <w:noProof/>
            <w:webHidden/>
          </w:rPr>
          <w:t>28</w:t>
        </w:r>
        <w:r>
          <w:rPr>
            <w:noProof/>
            <w:webHidden/>
          </w:rPr>
          <w:fldChar w:fldCharType="end"/>
        </w:r>
      </w:hyperlink>
    </w:p>
    <w:p w14:paraId="36517A6E" w14:textId="0993D957" w:rsidR="0030005B" w:rsidRDefault="0030005B">
      <w:pPr>
        <w:pStyle w:val="TOC4"/>
        <w:rPr>
          <w:rFonts w:eastAsiaTheme="minorEastAsia"/>
          <w:smallCaps w:val="0"/>
          <w:noProof/>
          <w:kern w:val="2"/>
          <w:sz w:val="24"/>
          <w:szCs w:val="24"/>
          <w:lang w:val="en-US" w:eastAsia="zh-CN" w:bidi="he-IL"/>
          <w14:ligatures w14:val="standardContextual"/>
        </w:rPr>
      </w:pPr>
      <w:hyperlink w:anchor="_Toc237448962" w:history="1">
        <w:r w:rsidRPr="00363646">
          <w:rPr>
            <w:rStyle w:val="Hyperlink"/>
            <w:noProof/>
          </w:rPr>
          <w:t>Azure Backup</w:t>
        </w:r>
        <w:r>
          <w:rPr>
            <w:noProof/>
            <w:webHidden/>
          </w:rPr>
          <w:tab/>
        </w:r>
        <w:r>
          <w:rPr>
            <w:noProof/>
            <w:webHidden/>
          </w:rPr>
          <w:fldChar w:fldCharType="begin"/>
        </w:r>
        <w:r>
          <w:rPr>
            <w:noProof/>
            <w:webHidden/>
          </w:rPr>
          <w:instrText xml:space="preserve"> PAGEREF _Toc237448962 \h </w:instrText>
        </w:r>
        <w:r>
          <w:rPr>
            <w:noProof/>
            <w:webHidden/>
          </w:rPr>
        </w:r>
        <w:r>
          <w:rPr>
            <w:noProof/>
            <w:webHidden/>
          </w:rPr>
          <w:fldChar w:fldCharType="separate"/>
        </w:r>
        <w:r>
          <w:rPr>
            <w:noProof/>
            <w:webHidden/>
          </w:rPr>
          <w:t>29</w:t>
        </w:r>
        <w:r>
          <w:rPr>
            <w:noProof/>
            <w:webHidden/>
          </w:rPr>
          <w:fldChar w:fldCharType="end"/>
        </w:r>
      </w:hyperlink>
    </w:p>
    <w:p w14:paraId="6ED29511" w14:textId="568E9AA6" w:rsidR="0030005B" w:rsidRDefault="0030005B">
      <w:pPr>
        <w:pStyle w:val="TOC4"/>
        <w:rPr>
          <w:rFonts w:eastAsiaTheme="minorEastAsia"/>
          <w:smallCaps w:val="0"/>
          <w:noProof/>
          <w:kern w:val="2"/>
          <w:sz w:val="24"/>
          <w:szCs w:val="24"/>
          <w:lang w:val="en-US" w:eastAsia="zh-CN" w:bidi="he-IL"/>
          <w14:ligatures w14:val="standardContextual"/>
        </w:rPr>
      </w:pPr>
      <w:hyperlink w:anchor="_Toc237448963" w:history="1">
        <w:r w:rsidRPr="00363646">
          <w:rPr>
            <w:rStyle w:val="Hyperlink"/>
            <w:noProof/>
          </w:rPr>
          <w:t>Azure Bastion</w:t>
        </w:r>
        <w:r>
          <w:rPr>
            <w:noProof/>
            <w:webHidden/>
          </w:rPr>
          <w:tab/>
        </w:r>
        <w:r>
          <w:rPr>
            <w:noProof/>
            <w:webHidden/>
          </w:rPr>
          <w:fldChar w:fldCharType="begin"/>
        </w:r>
        <w:r>
          <w:rPr>
            <w:noProof/>
            <w:webHidden/>
          </w:rPr>
          <w:instrText xml:space="preserve"> PAGEREF _Toc237448963 \h </w:instrText>
        </w:r>
        <w:r>
          <w:rPr>
            <w:noProof/>
            <w:webHidden/>
          </w:rPr>
        </w:r>
        <w:r>
          <w:rPr>
            <w:noProof/>
            <w:webHidden/>
          </w:rPr>
          <w:fldChar w:fldCharType="separate"/>
        </w:r>
        <w:r>
          <w:rPr>
            <w:noProof/>
            <w:webHidden/>
          </w:rPr>
          <w:t>30</w:t>
        </w:r>
        <w:r>
          <w:rPr>
            <w:noProof/>
            <w:webHidden/>
          </w:rPr>
          <w:fldChar w:fldCharType="end"/>
        </w:r>
      </w:hyperlink>
    </w:p>
    <w:p w14:paraId="1FAD957A" w14:textId="354B1645" w:rsidR="0030005B" w:rsidRDefault="0030005B">
      <w:pPr>
        <w:pStyle w:val="TOC4"/>
        <w:rPr>
          <w:rFonts w:eastAsiaTheme="minorEastAsia"/>
          <w:smallCaps w:val="0"/>
          <w:noProof/>
          <w:kern w:val="2"/>
          <w:sz w:val="24"/>
          <w:szCs w:val="24"/>
          <w:lang w:val="en-US" w:eastAsia="zh-CN" w:bidi="he-IL"/>
          <w14:ligatures w14:val="standardContextual"/>
        </w:rPr>
      </w:pPr>
      <w:hyperlink w:anchor="_Toc237448964" w:history="1">
        <w:r w:rsidRPr="00363646">
          <w:rPr>
            <w:rStyle w:val="Hyperlink"/>
            <w:noProof/>
          </w:rPr>
          <w:t>Batch</w:t>
        </w:r>
        <w:r>
          <w:rPr>
            <w:noProof/>
            <w:webHidden/>
          </w:rPr>
          <w:tab/>
        </w:r>
        <w:r>
          <w:rPr>
            <w:noProof/>
            <w:webHidden/>
          </w:rPr>
          <w:fldChar w:fldCharType="begin"/>
        </w:r>
        <w:r>
          <w:rPr>
            <w:noProof/>
            <w:webHidden/>
          </w:rPr>
          <w:instrText xml:space="preserve"> PAGEREF _Toc237448964 \h </w:instrText>
        </w:r>
        <w:r>
          <w:rPr>
            <w:noProof/>
            <w:webHidden/>
          </w:rPr>
        </w:r>
        <w:r>
          <w:rPr>
            <w:noProof/>
            <w:webHidden/>
          </w:rPr>
          <w:fldChar w:fldCharType="separate"/>
        </w:r>
        <w:r>
          <w:rPr>
            <w:noProof/>
            <w:webHidden/>
          </w:rPr>
          <w:t>30</w:t>
        </w:r>
        <w:r>
          <w:rPr>
            <w:noProof/>
            <w:webHidden/>
          </w:rPr>
          <w:fldChar w:fldCharType="end"/>
        </w:r>
      </w:hyperlink>
    </w:p>
    <w:p w14:paraId="614C3D2A" w14:textId="12C664C9" w:rsidR="0030005B" w:rsidRDefault="0030005B">
      <w:pPr>
        <w:pStyle w:val="TOC4"/>
        <w:rPr>
          <w:rFonts w:eastAsiaTheme="minorEastAsia"/>
          <w:smallCaps w:val="0"/>
          <w:noProof/>
          <w:kern w:val="2"/>
          <w:sz w:val="24"/>
          <w:szCs w:val="24"/>
          <w:lang w:val="en-US" w:eastAsia="zh-CN" w:bidi="he-IL"/>
          <w14:ligatures w14:val="standardContextual"/>
        </w:rPr>
      </w:pPr>
      <w:hyperlink w:anchor="_Toc237448965" w:history="1">
        <w:r w:rsidRPr="00363646">
          <w:rPr>
            <w:rStyle w:val="Hyperlink"/>
            <w:noProof/>
          </w:rPr>
          <w:t>BizTalk-Dienste</w:t>
        </w:r>
        <w:r>
          <w:rPr>
            <w:noProof/>
            <w:webHidden/>
          </w:rPr>
          <w:tab/>
        </w:r>
        <w:r>
          <w:rPr>
            <w:noProof/>
            <w:webHidden/>
          </w:rPr>
          <w:fldChar w:fldCharType="begin"/>
        </w:r>
        <w:r>
          <w:rPr>
            <w:noProof/>
            <w:webHidden/>
          </w:rPr>
          <w:instrText xml:space="preserve"> PAGEREF _Toc237448965 \h </w:instrText>
        </w:r>
        <w:r>
          <w:rPr>
            <w:noProof/>
            <w:webHidden/>
          </w:rPr>
        </w:r>
        <w:r>
          <w:rPr>
            <w:noProof/>
            <w:webHidden/>
          </w:rPr>
          <w:fldChar w:fldCharType="separate"/>
        </w:r>
        <w:r>
          <w:rPr>
            <w:noProof/>
            <w:webHidden/>
          </w:rPr>
          <w:t>31</w:t>
        </w:r>
        <w:r>
          <w:rPr>
            <w:noProof/>
            <w:webHidden/>
          </w:rPr>
          <w:fldChar w:fldCharType="end"/>
        </w:r>
      </w:hyperlink>
    </w:p>
    <w:p w14:paraId="44D357EA" w14:textId="29F93F34" w:rsidR="0030005B" w:rsidRDefault="0030005B">
      <w:pPr>
        <w:pStyle w:val="TOC4"/>
        <w:rPr>
          <w:rFonts w:eastAsiaTheme="minorEastAsia"/>
          <w:smallCaps w:val="0"/>
          <w:noProof/>
          <w:kern w:val="2"/>
          <w:sz w:val="24"/>
          <w:szCs w:val="24"/>
          <w:lang w:val="en-US" w:eastAsia="zh-CN" w:bidi="he-IL"/>
          <w14:ligatures w14:val="standardContextual"/>
        </w:rPr>
      </w:pPr>
      <w:hyperlink w:anchor="_Toc237448966" w:history="1">
        <w:r w:rsidRPr="00363646">
          <w:rPr>
            <w:rStyle w:val="Hyperlink"/>
            <w:noProof/>
          </w:rPr>
          <w:t>Azure Bot Service</w:t>
        </w:r>
        <w:r>
          <w:rPr>
            <w:noProof/>
            <w:webHidden/>
          </w:rPr>
          <w:tab/>
        </w:r>
        <w:r>
          <w:rPr>
            <w:noProof/>
            <w:webHidden/>
          </w:rPr>
          <w:fldChar w:fldCharType="begin"/>
        </w:r>
        <w:r>
          <w:rPr>
            <w:noProof/>
            <w:webHidden/>
          </w:rPr>
          <w:instrText xml:space="preserve"> PAGEREF _Toc237448966 \h </w:instrText>
        </w:r>
        <w:r>
          <w:rPr>
            <w:noProof/>
            <w:webHidden/>
          </w:rPr>
        </w:r>
        <w:r>
          <w:rPr>
            <w:noProof/>
            <w:webHidden/>
          </w:rPr>
          <w:fldChar w:fldCharType="separate"/>
        </w:r>
        <w:r>
          <w:rPr>
            <w:noProof/>
            <w:webHidden/>
          </w:rPr>
          <w:t>31</w:t>
        </w:r>
        <w:r>
          <w:rPr>
            <w:noProof/>
            <w:webHidden/>
          </w:rPr>
          <w:fldChar w:fldCharType="end"/>
        </w:r>
      </w:hyperlink>
    </w:p>
    <w:p w14:paraId="7AE075CF" w14:textId="76F193BF" w:rsidR="0030005B" w:rsidRDefault="0030005B">
      <w:pPr>
        <w:pStyle w:val="TOC4"/>
        <w:rPr>
          <w:rFonts w:eastAsiaTheme="minorEastAsia"/>
          <w:smallCaps w:val="0"/>
          <w:noProof/>
          <w:kern w:val="2"/>
          <w:sz w:val="24"/>
          <w:szCs w:val="24"/>
          <w:lang w:val="en-US" w:eastAsia="zh-CN" w:bidi="he-IL"/>
          <w14:ligatures w14:val="standardContextual"/>
        </w:rPr>
      </w:pPr>
      <w:hyperlink w:anchor="_Toc237448967" w:history="1">
        <w:r w:rsidRPr="00363646">
          <w:rPr>
            <w:rStyle w:val="Hyperlink"/>
            <w:noProof/>
          </w:rPr>
          <w:t>Azure Cache für Redis</w:t>
        </w:r>
        <w:r>
          <w:rPr>
            <w:noProof/>
            <w:webHidden/>
          </w:rPr>
          <w:tab/>
        </w:r>
        <w:r>
          <w:rPr>
            <w:noProof/>
            <w:webHidden/>
          </w:rPr>
          <w:fldChar w:fldCharType="begin"/>
        </w:r>
        <w:r>
          <w:rPr>
            <w:noProof/>
            <w:webHidden/>
          </w:rPr>
          <w:instrText xml:space="preserve"> PAGEREF _Toc237448967 \h </w:instrText>
        </w:r>
        <w:r>
          <w:rPr>
            <w:noProof/>
            <w:webHidden/>
          </w:rPr>
        </w:r>
        <w:r>
          <w:rPr>
            <w:noProof/>
            <w:webHidden/>
          </w:rPr>
          <w:fldChar w:fldCharType="separate"/>
        </w:r>
        <w:r>
          <w:rPr>
            <w:noProof/>
            <w:webHidden/>
          </w:rPr>
          <w:t>32</w:t>
        </w:r>
        <w:r>
          <w:rPr>
            <w:noProof/>
            <w:webHidden/>
          </w:rPr>
          <w:fldChar w:fldCharType="end"/>
        </w:r>
      </w:hyperlink>
    </w:p>
    <w:p w14:paraId="1014832F" w14:textId="0FF5ED48" w:rsidR="0030005B" w:rsidRDefault="0030005B">
      <w:pPr>
        <w:pStyle w:val="TOC4"/>
        <w:rPr>
          <w:rFonts w:eastAsiaTheme="minorEastAsia"/>
          <w:smallCaps w:val="0"/>
          <w:noProof/>
          <w:kern w:val="2"/>
          <w:sz w:val="24"/>
          <w:szCs w:val="24"/>
          <w:lang w:val="en-US" w:eastAsia="zh-CN" w:bidi="he-IL"/>
          <w14:ligatures w14:val="standardContextual"/>
        </w:rPr>
      </w:pPr>
      <w:hyperlink w:anchor="_Toc237448968" w:history="1">
        <w:r w:rsidRPr="00363646">
          <w:rPr>
            <w:rStyle w:val="Hyperlink"/>
            <w:rFonts w:ascii="Calibri Light" w:hAnsi="Calibri Light" w:cs="Calibri Light"/>
            <w:noProof/>
          </w:rPr>
          <w:t>Kapazitätsblöcke</w:t>
        </w:r>
        <w:r>
          <w:rPr>
            <w:noProof/>
            <w:webHidden/>
          </w:rPr>
          <w:tab/>
        </w:r>
        <w:r>
          <w:rPr>
            <w:noProof/>
            <w:webHidden/>
          </w:rPr>
          <w:fldChar w:fldCharType="begin"/>
        </w:r>
        <w:r>
          <w:rPr>
            <w:noProof/>
            <w:webHidden/>
          </w:rPr>
          <w:instrText xml:space="preserve"> PAGEREF _Toc237448968 \h </w:instrText>
        </w:r>
        <w:r>
          <w:rPr>
            <w:noProof/>
            <w:webHidden/>
          </w:rPr>
        </w:r>
        <w:r>
          <w:rPr>
            <w:noProof/>
            <w:webHidden/>
          </w:rPr>
          <w:fldChar w:fldCharType="separate"/>
        </w:r>
        <w:r>
          <w:rPr>
            <w:noProof/>
            <w:webHidden/>
          </w:rPr>
          <w:t>32</w:t>
        </w:r>
        <w:r>
          <w:rPr>
            <w:noProof/>
            <w:webHidden/>
          </w:rPr>
          <w:fldChar w:fldCharType="end"/>
        </w:r>
      </w:hyperlink>
    </w:p>
    <w:p w14:paraId="7DF954A6" w14:textId="588E0A91" w:rsidR="0030005B" w:rsidRDefault="0030005B">
      <w:pPr>
        <w:pStyle w:val="TOC4"/>
        <w:rPr>
          <w:rFonts w:eastAsiaTheme="minorEastAsia"/>
          <w:smallCaps w:val="0"/>
          <w:noProof/>
          <w:kern w:val="2"/>
          <w:sz w:val="24"/>
          <w:szCs w:val="24"/>
          <w:lang w:val="en-US" w:eastAsia="zh-CN" w:bidi="he-IL"/>
          <w14:ligatures w14:val="standardContextual"/>
        </w:rPr>
      </w:pPr>
      <w:hyperlink w:anchor="_Toc237448969" w:history="1">
        <w:r w:rsidRPr="00363646">
          <w:rPr>
            <w:rStyle w:val="Hyperlink"/>
            <w:noProof/>
          </w:rPr>
          <w:t>Azure Manged Redis</w:t>
        </w:r>
        <w:r>
          <w:rPr>
            <w:noProof/>
            <w:webHidden/>
          </w:rPr>
          <w:tab/>
        </w:r>
        <w:r>
          <w:rPr>
            <w:noProof/>
            <w:webHidden/>
          </w:rPr>
          <w:fldChar w:fldCharType="begin"/>
        </w:r>
        <w:r>
          <w:rPr>
            <w:noProof/>
            <w:webHidden/>
          </w:rPr>
          <w:instrText xml:space="preserve"> PAGEREF _Toc237448969 \h </w:instrText>
        </w:r>
        <w:r>
          <w:rPr>
            <w:noProof/>
            <w:webHidden/>
          </w:rPr>
        </w:r>
        <w:r>
          <w:rPr>
            <w:noProof/>
            <w:webHidden/>
          </w:rPr>
          <w:fldChar w:fldCharType="separate"/>
        </w:r>
        <w:r>
          <w:rPr>
            <w:noProof/>
            <w:webHidden/>
          </w:rPr>
          <w:t>33</w:t>
        </w:r>
        <w:r>
          <w:rPr>
            <w:noProof/>
            <w:webHidden/>
          </w:rPr>
          <w:fldChar w:fldCharType="end"/>
        </w:r>
      </w:hyperlink>
    </w:p>
    <w:p w14:paraId="61315572" w14:textId="773C2D55" w:rsidR="0030005B" w:rsidRDefault="0030005B">
      <w:pPr>
        <w:pStyle w:val="TOC4"/>
        <w:rPr>
          <w:rFonts w:eastAsiaTheme="minorEastAsia"/>
          <w:smallCaps w:val="0"/>
          <w:noProof/>
          <w:kern w:val="2"/>
          <w:sz w:val="24"/>
          <w:szCs w:val="24"/>
          <w:lang w:val="en-US" w:eastAsia="zh-CN" w:bidi="he-IL"/>
          <w14:ligatures w14:val="standardContextual"/>
        </w:rPr>
      </w:pPr>
      <w:hyperlink w:anchor="_Toc237448970" w:history="1">
        <w:r w:rsidRPr="00363646">
          <w:rPr>
            <w:rStyle w:val="Hyperlink"/>
            <w:noProof/>
          </w:rPr>
          <w:t>Azure Chaos Studio</w:t>
        </w:r>
        <w:r>
          <w:rPr>
            <w:noProof/>
            <w:webHidden/>
          </w:rPr>
          <w:tab/>
        </w:r>
        <w:r>
          <w:rPr>
            <w:noProof/>
            <w:webHidden/>
          </w:rPr>
          <w:fldChar w:fldCharType="begin"/>
        </w:r>
        <w:r>
          <w:rPr>
            <w:noProof/>
            <w:webHidden/>
          </w:rPr>
          <w:instrText xml:space="preserve"> PAGEREF _Toc237448970 \h </w:instrText>
        </w:r>
        <w:r>
          <w:rPr>
            <w:noProof/>
            <w:webHidden/>
          </w:rPr>
        </w:r>
        <w:r>
          <w:rPr>
            <w:noProof/>
            <w:webHidden/>
          </w:rPr>
          <w:fldChar w:fldCharType="separate"/>
        </w:r>
        <w:r>
          <w:rPr>
            <w:noProof/>
            <w:webHidden/>
          </w:rPr>
          <w:t>35</w:t>
        </w:r>
        <w:r>
          <w:rPr>
            <w:noProof/>
            <w:webHidden/>
          </w:rPr>
          <w:fldChar w:fldCharType="end"/>
        </w:r>
      </w:hyperlink>
    </w:p>
    <w:p w14:paraId="3CA7DB0B" w14:textId="6323DE7B" w:rsidR="0030005B" w:rsidRDefault="0030005B">
      <w:pPr>
        <w:pStyle w:val="TOC4"/>
        <w:rPr>
          <w:rFonts w:eastAsiaTheme="minorEastAsia"/>
          <w:smallCaps w:val="0"/>
          <w:noProof/>
          <w:kern w:val="2"/>
          <w:sz w:val="24"/>
          <w:szCs w:val="24"/>
          <w:lang w:val="en-US" w:eastAsia="zh-CN" w:bidi="he-IL"/>
          <w14:ligatures w14:val="standardContextual"/>
        </w:rPr>
      </w:pPr>
      <w:hyperlink w:anchor="_Toc237448971" w:history="1">
        <w:r w:rsidRPr="00363646">
          <w:rPr>
            <w:rStyle w:val="Hyperlink"/>
            <w:rFonts w:ascii="Calibri Light" w:hAnsi="Calibri Light" w:cs="Calibri Light"/>
            <w:noProof/>
          </w:rPr>
          <w:t>Azure Cloud HSM</w:t>
        </w:r>
        <w:r>
          <w:rPr>
            <w:noProof/>
            <w:webHidden/>
          </w:rPr>
          <w:tab/>
        </w:r>
        <w:r>
          <w:rPr>
            <w:noProof/>
            <w:webHidden/>
          </w:rPr>
          <w:fldChar w:fldCharType="begin"/>
        </w:r>
        <w:r>
          <w:rPr>
            <w:noProof/>
            <w:webHidden/>
          </w:rPr>
          <w:instrText xml:space="preserve"> PAGEREF _Toc237448971 \h </w:instrText>
        </w:r>
        <w:r>
          <w:rPr>
            <w:noProof/>
            <w:webHidden/>
          </w:rPr>
        </w:r>
        <w:r>
          <w:rPr>
            <w:noProof/>
            <w:webHidden/>
          </w:rPr>
          <w:fldChar w:fldCharType="separate"/>
        </w:r>
        <w:r>
          <w:rPr>
            <w:noProof/>
            <w:webHidden/>
          </w:rPr>
          <w:t>35</w:t>
        </w:r>
        <w:r>
          <w:rPr>
            <w:noProof/>
            <w:webHidden/>
          </w:rPr>
          <w:fldChar w:fldCharType="end"/>
        </w:r>
      </w:hyperlink>
    </w:p>
    <w:p w14:paraId="0E8B0CAA" w14:textId="11C6D39E" w:rsidR="0030005B" w:rsidRDefault="0030005B">
      <w:pPr>
        <w:pStyle w:val="TOC4"/>
        <w:rPr>
          <w:rFonts w:eastAsiaTheme="minorEastAsia"/>
          <w:smallCaps w:val="0"/>
          <w:noProof/>
          <w:kern w:val="2"/>
          <w:sz w:val="24"/>
          <w:szCs w:val="24"/>
          <w:lang w:val="en-US" w:eastAsia="zh-CN" w:bidi="he-IL"/>
          <w14:ligatures w14:val="standardContextual"/>
        </w:rPr>
      </w:pPr>
      <w:hyperlink w:anchor="_Toc237448972" w:history="1">
        <w:r w:rsidRPr="00363646">
          <w:rPr>
            <w:rStyle w:val="Hyperlink"/>
            <w:noProof/>
          </w:rPr>
          <w:t>Cloud-Dienste</w:t>
        </w:r>
        <w:r>
          <w:rPr>
            <w:noProof/>
            <w:webHidden/>
          </w:rPr>
          <w:tab/>
        </w:r>
        <w:r>
          <w:rPr>
            <w:noProof/>
            <w:webHidden/>
          </w:rPr>
          <w:fldChar w:fldCharType="begin"/>
        </w:r>
        <w:r>
          <w:rPr>
            <w:noProof/>
            <w:webHidden/>
          </w:rPr>
          <w:instrText xml:space="preserve"> PAGEREF _Toc237448972 \h </w:instrText>
        </w:r>
        <w:r>
          <w:rPr>
            <w:noProof/>
            <w:webHidden/>
          </w:rPr>
        </w:r>
        <w:r>
          <w:rPr>
            <w:noProof/>
            <w:webHidden/>
          </w:rPr>
          <w:fldChar w:fldCharType="separate"/>
        </w:r>
        <w:r>
          <w:rPr>
            <w:noProof/>
            <w:webHidden/>
          </w:rPr>
          <w:t>35</w:t>
        </w:r>
        <w:r>
          <w:rPr>
            <w:noProof/>
            <w:webHidden/>
          </w:rPr>
          <w:fldChar w:fldCharType="end"/>
        </w:r>
      </w:hyperlink>
    </w:p>
    <w:p w14:paraId="07719D2B" w14:textId="0A6823F7" w:rsidR="0030005B" w:rsidRDefault="0030005B">
      <w:pPr>
        <w:pStyle w:val="TOC4"/>
        <w:rPr>
          <w:rFonts w:eastAsiaTheme="minorEastAsia"/>
          <w:smallCaps w:val="0"/>
          <w:noProof/>
          <w:kern w:val="2"/>
          <w:sz w:val="24"/>
          <w:szCs w:val="24"/>
          <w:lang w:val="en-US" w:eastAsia="zh-CN" w:bidi="he-IL"/>
          <w14:ligatures w14:val="standardContextual"/>
        </w:rPr>
      </w:pPr>
      <w:hyperlink w:anchor="_Toc237448973" w:history="1">
        <w:r w:rsidRPr="00363646">
          <w:rPr>
            <w:rStyle w:val="Hyperlink"/>
            <w:noProof/>
          </w:rPr>
          <w:t>Azure AI Search</w:t>
        </w:r>
        <w:r>
          <w:rPr>
            <w:noProof/>
            <w:webHidden/>
          </w:rPr>
          <w:tab/>
        </w:r>
        <w:r>
          <w:rPr>
            <w:noProof/>
            <w:webHidden/>
          </w:rPr>
          <w:fldChar w:fldCharType="begin"/>
        </w:r>
        <w:r>
          <w:rPr>
            <w:noProof/>
            <w:webHidden/>
          </w:rPr>
          <w:instrText xml:space="preserve"> PAGEREF _Toc237448973 \h </w:instrText>
        </w:r>
        <w:r>
          <w:rPr>
            <w:noProof/>
            <w:webHidden/>
          </w:rPr>
        </w:r>
        <w:r>
          <w:rPr>
            <w:noProof/>
            <w:webHidden/>
          </w:rPr>
          <w:fldChar w:fldCharType="separate"/>
        </w:r>
        <w:r>
          <w:rPr>
            <w:noProof/>
            <w:webHidden/>
          </w:rPr>
          <w:t>36</w:t>
        </w:r>
        <w:r>
          <w:rPr>
            <w:noProof/>
            <w:webHidden/>
          </w:rPr>
          <w:fldChar w:fldCharType="end"/>
        </w:r>
      </w:hyperlink>
    </w:p>
    <w:p w14:paraId="2CA73212" w14:textId="05A9D2CB" w:rsidR="0030005B" w:rsidRDefault="0030005B">
      <w:pPr>
        <w:pStyle w:val="TOC4"/>
        <w:rPr>
          <w:rFonts w:eastAsiaTheme="minorEastAsia"/>
          <w:smallCaps w:val="0"/>
          <w:noProof/>
          <w:kern w:val="2"/>
          <w:sz w:val="24"/>
          <w:szCs w:val="24"/>
          <w:lang w:val="en-US" w:eastAsia="zh-CN" w:bidi="he-IL"/>
          <w14:ligatures w14:val="standardContextual"/>
        </w:rPr>
      </w:pPr>
      <w:hyperlink w:anchor="_Toc237448974" w:history="1">
        <w:r w:rsidRPr="00363646">
          <w:rPr>
            <w:rStyle w:val="Hyperlink"/>
            <w:noProof/>
          </w:rPr>
          <w:t>Azure KI Services</w:t>
        </w:r>
        <w:r>
          <w:rPr>
            <w:noProof/>
            <w:webHidden/>
          </w:rPr>
          <w:tab/>
        </w:r>
        <w:r>
          <w:rPr>
            <w:noProof/>
            <w:webHidden/>
          </w:rPr>
          <w:fldChar w:fldCharType="begin"/>
        </w:r>
        <w:r>
          <w:rPr>
            <w:noProof/>
            <w:webHidden/>
          </w:rPr>
          <w:instrText xml:space="preserve"> PAGEREF _Toc237448974 \h </w:instrText>
        </w:r>
        <w:r>
          <w:rPr>
            <w:noProof/>
            <w:webHidden/>
          </w:rPr>
        </w:r>
        <w:r>
          <w:rPr>
            <w:noProof/>
            <w:webHidden/>
          </w:rPr>
          <w:fldChar w:fldCharType="separate"/>
        </w:r>
        <w:r>
          <w:rPr>
            <w:noProof/>
            <w:webHidden/>
          </w:rPr>
          <w:t>36</w:t>
        </w:r>
        <w:r>
          <w:rPr>
            <w:noProof/>
            <w:webHidden/>
          </w:rPr>
          <w:fldChar w:fldCharType="end"/>
        </w:r>
      </w:hyperlink>
    </w:p>
    <w:p w14:paraId="25389FE7" w14:textId="63712215" w:rsidR="0030005B" w:rsidRDefault="0030005B">
      <w:pPr>
        <w:pStyle w:val="TOC4"/>
        <w:rPr>
          <w:rFonts w:eastAsiaTheme="minorEastAsia"/>
          <w:smallCaps w:val="0"/>
          <w:noProof/>
          <w:kern w:val="2"/>
          <w:sz w:val="24"/>
          <w:szCs w:val="24"/>
          <w:lang w:val="en-US" w:eastAsia="zh-CN" w:bidi="he-IL"/>
          <w14:ligatures w14:val="standardContextual"/>
        </w:rPr>
      </w:pPr>
      <w:hyperlink w:anchor="_Toc237448975" w:history="1">
        <w:r w:rsidRPr="00363646">
          <w:rPr>
            <w:rStyle w:val="Hyperlink"/>
            <w:noProof/>
          </w:rPr>
          <w:t>Azure Communication Gateway</w:t>
        </w:r>
        <w:r>
          <w:rPr>
            <w:noProof/>
            <w:webHidden/>
          </w:rPr>
          <w:tab/>
        </w:r>
        <w:r>
          <w:rPr>
            <w:noProof/>
            <w:webHidden/>
          </w:rPr>
          <w:fldChar w:fldCharType="begin"/>
        </w:r>
        <w:r>
          <w:rPr>
            <w:noProof/>
            <w:webHidden/>
          </w:rPr>
          <w:instrText xml:space="preserve"> PAGEREF _Toc237448975 \h </w:instrText>
        </w:r>
        <w:r>
          <w:rPr>
            <w:noProof/>
            <w:webHidden/>
          </w:rPr>
        </w:r>
        <w:r>
          <w:rPr>
            <w:noProof/>
            <w:webHidden/>
          </w:rPr>
          <w:fldChar w:fldCharType="separate"/>
        </w:r>
        <w:r>
          <w:rPr>
            <w:noProof/>
            <w:webHidden/>
          </w:rPr>
          <w:t>37</w:t>
        </w:r>
        <w:r>
          <w:rPr>
            <w:noProof/>
            <w:webHidden/>
          </w:rPr>
          <w:fldChar w:fldCharType="end"/>
        </w:r>
      </w:hyperlink>
    </w:p>
    <w:p w14:paraId="085B1FB6" w14:textId="47AAA2C8" w:rsidR="0030005B" w:rsidRDefault="0030005B">
      <w:pPr>
        <w:pStyle w:val="TOC4"/>
        <w:rPr>
          <w:rFonts w:eastAsiaTheme="minorEastAsia"/>
          <w:smallCaps w:val="0"/>
          <w:noProof/>
          <w:kern w:val="2"/>
          <w:sz w:val="24"/>
          <w:szCs w:val="24"/>
          <w:lang w:val="en-US" w:eastAsia="zh-CN" w:bidi="he-IL"/>
          <w14:ligatures w14:val="standardContextual"/>
        </w:rPr>
      </w:pPr>
      <w:hyperlink w:anchor="_Toc237448976" w:history="1">
        <w:r w:rsidRPr="00363646">
          <w:rPr>
            <w:rStyle w:val="Hyperlink"/>
            <w:noProof/>
          </w:rPr>
          <w:t>Azure-Kommunikationsdienste</w:t>
        </w:r>
        <w:r>
          <w:rPr>
            <w:noProof/>
            <w:webHidden/>
          </w:rPr>
          <w:tab/>
        </w:r>
        <w:r>
          <w:rPr>
            <w:noProof/>
            <w:webHidden/>
          </w:rPr>
          <w:fldChar w:fldCharType="begin"/>
        </w:r>
        <w:r>
          <w:rPr>
            <w:noProof/>
            <w:webHidden/>
          </w:rPr>
          <w:instrText xml:space="preserve"> PAGEREF _Toc237448976 \h </w:instrText>
        </w:r>
        <w:r>
          <w:rPr>
            <w:noProof/>
            <w:webHidden/>
          </w:rPr>
        </w:r>
        <w:r>
          <w:rPr>
            <w:noProof/>
            <w:webHidden/>
          </w:rPr>
          <w:fldChar w:fldCharType="separate"/>
        </w:r>
        <w:r>
          <w:rPr>
            <w:noProof/>
            <w:webHidden/>
          </w:rPr>
          <w:t>37</w:t>
        </w:r>
        <w:r>
          <w:rPr>
            <w:noProof/>
            <w:webHidden/>
          </w:rPr>
          <w:fldChar w:fldCharType="end"/>
        </w:r>
      </w:hyperlink>
    </w:p>
    <w:p w14:paraId="2ADC44D6" w14:textId="73D47A21" w:rsidR="0030005B" w:rsidRDefault="0030005B">
      <w:pPr>
        <w:pStyle w:val="TOC4"/>
        <w:rPr>
          <w:rFonts w:eastAsiaTheme="minorEastAsia"/>
          <w:smallCaps w:val="0"/>
          <w:noProof/>
          <w:kern w:val="2"/>
          <w:sz w:val="24"/>
          <w:szCs w:val="24"/>
          <w:lang w:val="en-US" w:eastAsia="zh-CN" w:bidi="he-IL"/>
          <w14:ligatures w14:val="standardContextual"/>
        </w:rPr>
      </w:pPr>
      <w:hyperlink w:anchor="_Toc237448977" w:history="1">
        <w:r w:rsidRPr="00363646">
          <w:rPr>
            <w:rStyle w:val="Hyperlink"/>
            <w:noProof/>
          </w:rPr>
          <w:t>Azure Confidential Ledger</w:t>
        </w:r>
        <w:r>
          <w:rPr>
            <w:noProof/>
            <w:webHidden/>
          </w:rPr>
          <w:tab/>
        </w:r>
        <w:r>
          <w:rPr>
            <w:noProof/>
            <w:webHidden/>
          </w:rPr>
          <w:fldChar w:fldCharType="begin"/>
        </w:r>
        <w:r>
          <w:rPr>
            <w:noProof/>
            <w:webHidden/>
          </w:rPr>
          <w:instrText xml:space="preserve"> PAGEREF _Toc237448977 \h </w:instrText>
        </w:r>
        <w:r>
          <w:rPr>
            <w:noProof/>
            <w:webHidden/>
          </w:rPr>
        </w:r>
        <w:r>
          <w:rPr>
            <w:noProof/>
            <w:webHidden/>
          </w:rPr>
          <w:fldChar w:fldCharType="separate"/>
        </w:r>
        <w:r>
          <w:rPr>
            <w:noProof/>
            <w:webHidden/>
          </w:rPr>
          <w:t>38</w:t>
        </w:r>
        <w:r>
          <w:rPr>
            <w:noProof/>
            <w:webHidden/>
          </w:rPr>
          <w:fldChar w:fldCharType="end"/>
        </w:r>
      </w:hyperlink>
    </w:p>
    <w:p w14:paraId="5F4996AA" w14:textId="706ADD8B" w:rsidR="0030005B" w:rsidRDefault="0030005B">
      <w:pPr>
        <w:pStyle w:val="TOC4"/>
        <w:rPr>
          <w:rFonts w:eastAsiaTheme="minorEastAsia"/>
          <w:smallCaps w:val="0"/>
          <w:noProof/>
          <w:kern w:val="2"/>
          <w:sz w:val="24"/>
          <w:szCs w:val="24"/>
          <w:lang w:val="en-US" w:eastAsia="zh-CN" w:bidi="he-IL"/>
          <w14:ligatures w14:val="standardContextual"/>
        </w:rPr>
      </w:pPr>
      <w:hyperlink w:anchor="_Toc237448978" w:history="1">
        <w:r w:rsidRPr="00363646">
          <w:rPr>
            <w:rStyle w:val="Hyperlink"/>
            <w:noProof/>
          </w:rPr>
          <w:t>Azure Container Apps</w:t>
        </w:r>
        <w:r>
          <w:rPr>
            <w:noProof/>
            <w:webHidden/>
          </w:rPr>
          <w:tab/>
        </w:r>
        <w:r>
          <w:rPr>
            <w:noProof/>
            <w:webHidden/>
          </w:rPr>
          <w:fldChar w:fldCharType="begin"/>
        </w:r>
        <w:r>
          <w:rPr>
            <w:noProof/>
            <w:webHidden/>
          </w:rPr>
          <w:instrText xml:space="preserve"> PAGEREF _Toc237448978 \h </w:instrText>
        </w:r>
        <w:r>
          <w:rPr>
            <w:noProof/>
            <w:webHidden/>
          </w:rPr>
        </w:r>
        <w:r>
          <w:rPr>
            <w:noProof/>
            <w:webHidden/>
          </w:rPr>
          <w:fldChar w:fldCharType="separate"/>
        </w:r>
        <w:r>
          <w:rPr>
            <w:noProof/>
            <w:webHidden/>
          </w:rPr>
          <w:t>38</w:t>
        </w:r>
        <w:r>
          <w:rPr>
            <w:noProof/>
            <w:webHidden/>
          </w:rPr>
          <w:fldChar w:fldCharType="end"/>
        </w:r>
      </w:hyperlink>
    </w:p>
    <w:p w14:paraId="2525D831" w14:textId="08F4429A" w:rsidR="0030005B" w:rsidRDefault="0030005B">
      <w:pPr>
        <w:pStyle w:val="TOC4"/>
        <w:rPr>
          <w:rFonts w:eastAsiaTheme="minorEastAsia"/>
          <w:smallCaps w:val="0"/>
          <w:noProof/>
          <w:kern w:val="2"/>
          <w:sz w:val="24"/>
          <w:szCs w:val="24"/>
          <w:lang w:val="en-US" w:eastAsia="zh-CN" w:bidi="he-IL"/>
          <w14:ligatures w14:val="standardContextual"/>
        </w:rPr>
      </w:pPr>
      <w:hyperlink w:anchor="_Toc237448979" w:history="1">
        <w:r w:rsidRPr="00363646">
          <w:rPr>
            <w:rStyle w:val="Hyperlink"/>
            <w:noProof/>
          </w:rPr>
          <w:t>Azure-Containerinstanzen</w:t>
        </w:r>
        <w:r>
          <w:rPr>
            <w:noProof/>
            <w:webHidden/>
          </w:rPr>
          <w:tab/>
        </w:r>
        <w:r>
          <w:rPr>
            <w:noProof/>
            <w:webHidden/>
          </w:rPr>
          <w:fldChar w:fldCharType="begin"/>
        </w:r>
        <w:r>
          <w:rPr>
            <w:noProof/>
            <w:webHidden/>
          </w:rPr>
          <w:instrText xml:space="preserve"> PAGEREF _Toc237448979 \h </w:instrText>
        </w:r>
        <w:r>
          <w:rPr>
            <w:noProof/>
            <w:webHidden/>
          </w:rPr>
        </w:r>
        <w:r>
          <w:rPr>
            <w:noProof/>
            <w:webHidden/>
          </w:rPr>
          <w:fldChar w:fldCharType="separate"/>
        </w:r>
        <w:r>
          <w:rPr>
            <w:noProof/>
            <w:webHidden/>
          </w:rPr>
          <w:t>39</w:t>
        </w:r>
        <w:r>
          <w:rPr>
            <w:noProof/>
            <w:webHidden/>
          </w:rPr>
          <w:fldChar w:fldCharType="end"/>
        </w:r>
      </w:hyperlink>
    </w:p>
    <w:p w14:paraId="37E3A0E0" w14:textId="6130BD84" w:rsidR="0030005B" w:rsidRDefault="0030005B">
      <w:pPr>
        <w:pStyle w:val="TOC4"/>
        <w:rPr>
          <w:rFonts w:eastAsiaTheme="minorEastAsia"/>
          <w:smallCaps w:val="0"/>
          <w:noProof/>
          <w:kern w:val="2"/>
          <w:sz w:val="24"/>
          <w:szCs w:val="24"/>
          <w:lang w:val="en-US" w:eastAsia="zh-CN" w:bidi="he-IL"/>
          <w14:ligatures w14:val="standardContextual"/>
        </w:rPr>
      </w:pPr>
      <w:hyperlink w:anchor="_Toc237448980" w:history="1">
        <w:r w:rsidRPr="00363646">
          <w:rPr>
            <w:rStyle w:val="Hyperlink"/>
            <w:noProof/>
          </w:rPr>
          <w:t>Azure-Containerregistrierung</w:t>
        </w:r>
        <w:r>
          <w:rPr>
            <w:noProof/>
            <w:webHidden/>
          </w:rPr>
          <w:tab/>
        </w:r>
        <w:r>
          <w:rPr>
            <w:noProof/>
            <w:webHidden/>
          </w:rPr>
          <w:fldChar w:fldCharType="begin"/>
        </w:r>
        <w:r>
          <w:rPr>
            <w:noProof/>
            <w:webHidden/>
          </w:rPr>
          <w:instrText xml:space="preserve"> PAGEREF _Toc237448980 \h </w:instrText>
        </w:r>
        <w:r>
          <w:rPr>
            <w:noProof/>
            <w:webHidden/>
          </w:rPr>
        </w:r>
        <w:r>
          <w:rPr>
            <w:noProof/>
            <w:webHidden/>
          </w:rPr>
          <w:fldChar w:fldCharType="separate"/>
        </w:r>
        <w:r>
          <w:rPr>
            <w:noProof/>
            <w:webHidden/>
          </w:rPr>
          <w:t>39</w:t>
        </w:r>
        <w:r>
          <w:rPr>
            <w:noProof/>
            <w:webHidden/>
          </w:rPr>
          <w:fldChar w:fldCharType="end"/>
        </w:r>
      </w:hyperlink>
    </w:p>
    <w:p w14:paraId="329F7962" w14:textId="1F8D5352" w:rsidR="0030005B" w:rsidRDefault="0030005B">
      <w:pPr>
        <w:pStyle w:val="TOC4"/>
        <w:rPr>
          <w:rFonts w:eastAsiaTheme="minorEastAsia"/>
          <w:smallCaps w:val="0"/>
          <w:noProof/>
          <w:kern w:val="2"/>
          <w:sz w:val="24"/>
          <w:szCs w:val="24"/>
          <w:lang w:val="en-US" w:eastAsia="zh-CN" w:bidi="he-IL"/>
          <w14:ligatures w14:val="standardContextual"/>
        </w:rPr>
      </w:pPr>
      <w:hyperlink w:anchor="_Toc237448981" w:history="1">
        <w:r w:rsidRPr="00363646">
          <w:rPr>
            <w:rStyle w:val="Hyperlink"/>
            <w:noProof/>
          </w:rPr>
          <w:t>Content Delivery Network (CDN)</w:t>
        </w:r>
        <w:r>
          <w:rPr>
            <w:noProof/>
            <w:webHidden/>
          </w:rPr>
          <w:tab/>
        </w:r>
        <w:r>
          <w:rPr>
            <w:noProof/>
            <w:webHidden/>
          </w:rPr>
          <w:fldChar w:fldCharType="begin"/>
        </w:r>
        <w:r>
          <w:rPr>
            <w:noProof/>
            <w:webHidden/>
          </w:rPr>
          <w:instrText xml:space="preserve"> PAGEREF _Toc237448981 \h </w:instrText>
        </w:r>
        <w:r>
          <w:rPr>
            <w:noProof/>
            <w:webHidden/>
          </w:rPr>
        </w:r>
        <w:r>
          <w:rPr>
            <w:noProof/>
            <w:webHidden/>
          </w:rPr>
          <w:fldChar w:fldCharType="separate"/>
        </w:r>
        <w:r>
          <w:rPr>
            <w:noProof/>
            <w:webHidden/>
          </w:rPr>
          <w:t>40</w:t>
        </w:r>
        <w:r>
          <w:rPr>
            <w:noProof/>
            <w:webHidden/>
          </w:rPr>
          <w:fldChar w:fldCharType="end"/>
        </w:r>
      </w:hyperlink>
    </w:p>
    <w:p w14:paraId="2B006D6F" w14:textId="34041EB6" w:rsidR="0030005B" w:rsidRDefault="0030005B">
      <w:pPr>
        <w:pStyle w:val="TOC4"/>
        <w:rPr>
          <w:rFonts w:eastAsiaTheme="minorEastAsia"/>
          <w:smallCaps w:val="0"/>
          <w:noProof/>
          <w:kern w:val="2"/>
          <w:sz w:val="24"/>
          <w:szCs w:val="24"/>
          <w:lang w:val="en-US" w:eastAsia="zh-CN" w:bidi="he-IL"/>
          <w14:ligatures w14:val="standardContextual"/>
        </w:rPr>
      </w:pPr>
      <w:hyperlink w:anchor="_Toc237448982" w:history="1">
        <w:r w:rsidRPr="00363646">
          <w:rPr>
            <w:rStyle w:val="Hyperlink"/>
            <w:noProof/>
          </w:rPr>
          <w:t>Azure Cosmos DB</w:t>
        </w:r>
        <w:r>
          <w:rPr>
            <w:noProof/>
            <w:webHidden/>
          </w:rPr>
          <w:tab/>
        </w:r>
        <w:r>
          <w:rPr>
            <w:noProof/>
            <w:webHidden/>
          </w:rPr>
          <w:fldChar w:fldCharType="begin"/>
        </w:r>
        <w:r>
          <w:rPr>
            <w:noProof/>
            <w:webHidden/>
          </w:rPr>
          <w:instrText xml:space="preserve"> PAGEREF _Toc237448982 \h </w:instrText>
        </w:r>
        <w:r>
          <w:rPr>
            <w:noProof/>
            <w:webHidden/>
          </w:rPr>
        </w:r>
        <w:r>
          <w:rPr>
            <w:noProof/>
            <w:webHidden/>
          </w:rPr>
          <w:fldChar w:fldCharType="separate"/>
        </w:r>
        <w:r>
          <w:rPr>
            <w:noProof/>
            <w:webHidden/>
          </w:rPr>
          <w:t>40</w:t>
        </w:r>
        <w:r>
          <w:rPr>
            <w:noProof/>
            <w:webHidden/>
          </w:rPr>
          <w:fldChar w:fldCharType="end"/>
        </w:r>
      </w:hyperlink>
    </w:p>
    <w:p w14:paraId="4A730414" w14:textId="2CE66609" w:rsidR="0030005B" w:rsidRDefault="0030005B">
      <w:pPr>
        <w:pStyle w:val="TOC4"/>
        <w:rPr>
          <w:rFonts w:eastAsiaTheme="minorEastAsia"/>
          <w:smallCaps w:val="0"/>
          <w:noProof/>
          <w:kern w:val="2"/>
          <w:sz w:val="24"/>
          <w:szCs w:val="24"/>
          <w:lang w:val="en-US" w:eastAsia="zh-CN" w:bidi="he-IL"/>
          <w14:ligatures w14:val="standardContextual"/>
        </w:rPr>
      </w:pPr>
      <w:hyperlink w:anchor="_Toc237448983" w:history="1">
        <w:r w:rsidRPr="00363646">
          <w:rPr>
            <w:rStyle w:val="Hyperlink"/>
            <w:noProof/>
          </w:rPr>
          <w:t>Datenkatalog</w:t>
        </w:r>
        <w:r>
          <w:rPr>
            <w:noProof/>
            <w:webHidden/>
          </w:rPr>
          <w:tab/>
        </w:r>
        <w:r>
          <w:rPr>
            <w:noProof/>
            <w:webHidden/>
          </w:rPr>
          <w:fldChar w:fldCharType="begin"/>
        </w:r>
        <w:r>
          <w:rPr>
            <w:noProof/>
            <w:webHidden/>
          </w:rPr>
          <w:instrText xml:space="preserve"> PAGEREF _Toc237448983 \h </w:instrText>
        </w:r>
        <w:r>
          <w:rPr>
            <w:noProof/>
            <w:webHidden/>
          </w:rPr>
        </w:r>
        <w:r>
          <w:rPr>
            <w:noProof/>
            <w:webHidden/>
          </w:rPr>
          <w:fldChar w:fldCharType="separate"/>
        </w:r>
        <w:r>
          <w:rPr>
            <w:noProof/>
            <w:webHidden/>
          </w:rPr>
          <w:t>44</w:t>
        </w:r>
        <w:r>
          <w:rPr>
            <w:noProof/>
            <w:webHidden/>
          </w:rPr>
          <w:fldChar w:fldCharType="end"/>
        </w:r>
      </w:hyperlink>
    </w:p>
    <w:p w14:paraId="39705B6B" w14:textId="7E0B4BD5" w:rsidR="0030005B" w:rsidRDefault="0030005B">
      <w:pPr>
        <w:pStyle w:val="TOC4"/>
        <w:rPr>
          <w:rFonts w:eastAsiaTheme="minorEastAsia"/>
          <w:smallCaps w:val="0"/>
          <w:noProof/>
          <w:kern w:val="2"/>
          <w:sz w:val="24"/>
          <w:szCs w:val="24"/>
          <w:lang w:val="en-US" w:eastAsia="zh-CN" w:bidi="he-IL"/>
          <w14:ligatures w14:val="standardContextual"/>
        </w:rPr>
      </w:pPr>
      <w:hyperlink w:anchor="_Toc237448984" w:history="1">
        <w:r w:rsidRPr="00363646">
          <w:rPr>
            <w:rStyle w:val="Hyperlink"/>
            <w:noProof/>
          </w:rPr>
          <w:t>Azure Data Explorer (Kusto)</w:t>
        </w:r>
        <w:r>
          <w:rPr>
            <w:noProof/>
            <w:webHidden/>
          </w:rPr>
          <w:tab/>
        </w:r>
        <w:r>
          <w:rPr>
            <w:noProof/>
            <w:webHidden/>
          </w:rPr>
          <w:fldChar w:fldCharType="begin"/>
        </w:r>
        <w:r>
          <w:rPr>
            <w:noProof/>
            <w:webHidden/>
          </w:rPr>
          <w:instrText xml:space="preserve"> PAGEREF _Toc237448984 \h </w:instrText>
        </w:r>
        <w:r>
          <w:rPr>
            <w:noProof/>
            <w:webHidden/>
          </w:rPr>
        </w:r>
        <w:r>
          <w:rPr>
            <w:noProof/>
            <w:webHidden/>
          </w:rPr>
          <w:fldChar w:fldCharType="separate"/>
        </w:r>
        <w:r>
          <w:rPr>
            <w:noProof/>
            <w:webHidden/>
          </w:rPr>
          <w:t>44</w:t>
        </w:r>
        <w:r>
          <w:rPr>
            <w:noProof/>
            <w:webHidden/>
          </w:rPr>
          <w:fldChar w:fldCharType="end"/>
        </w:r>
      </w:hyperlink>
    </w:p>
    <w:p w14:paraId="266FDDC8" w14:textId="6842BFE9" w:rsidR="0030005B" w:rsidRDefault="0030005B">
      <w:pPr>
        <w:pStyle w:val="TOC4"/>
        <w:rPr>
          <w:rFonts w:eastAsiaTheme="minorEastAsia"/>
          <w:smallCaps w:val="0"/>
          <w:noProof/>
          <w:kern w:val="2"/>
          <w:sz w:val="24"/>
          <w:szCs w:val="24"/>
          <w:lang w:val="en-US" w:eastAsia="zh-CN" w:bidi="he-IL"/>
          <w14:ligatures w14:val="standardContextual"/>
        </w:rPr>
      </w:pPr>
      <w:hyperlink w:anchor="_Toc237448985" w:history="1">
        <w:r w:rsidRPr="00363646">
          <w:rPr>
            <w:rStyle w:val="Hyperlink"/>
            <w:noProof/>
          </w:rPr>
          <w:t>Azure Data Factory</w:t>
        </w:r>
        <w:r>
          <w:rPr>
            <w:noProof/>
            <w:webHidden/>
          </w:rPr>
          <w:tab/>
        </w:r>
        <w:r>
          <w:rPr>
            <w:noProof/>
            <w:webHidden/>
          </w:rPr>
          <w:fldChar w:fldCharType="begin"/>
        </w:r>
        <w:r>
          <w:rPr>
            <w:noProof/>
            <w:webHidden/>
          </w:rPr>
          <w:instrText xml:space="preserve"> PAGEREF _Toc237448985 \h </w:instrText>
        </w:r>
        <w:r>
          <w:rPr>
            <w:noProof/>
            <w:webHidden/>
          </w:rPr>
        </w:r>
        <w:r>
          <w:rPr>
            <w:noProof/>
            <w:webHidden/>
          </w:rPr>
          <w:fldChar w:fldCharType="separate"/>
        </w:r>
        <w:r>
          <w:rPr>
            <w:noProof/>
            <w:webHidden/>
          </w:rPr>
          <w:t>45</w:t>
        </w:r>
        <w:r>
          <w:rPr>
            <w:noProof/>
            <w:webHidden/>
          </w:rPr>
          <w:fldChar w:fldCharType="end"/>
        </w:r>
      </w:hyperlink>
    </w:p>
    <w:p w14:paraId="2C9C0731" w14:textId="397D94E1" w:rsidR="0030005B" w:rsidRDefault="0030005B">
      <w:pPr>
        <w:pStyle w:val="TOC4"/>
        <w:rPr>
          <w:rFonts w:eastAsiaTheme="minorEastAsia"/>
          <w:smallCaps w:val="0"/>
          <w:noProof/>
          <w:kern w:val="2"/>
          <w:sz w:val="24"/>
          <w:szCs w:val="24"/>
          <w:lang w:val="en-US" w:eastAsia="zh-CN" w:bidi="he-IL"/>
          <w14:ligatures w14:val="standardContextual"/>
        </w:rPr>
      </w:pPr>
      <w:hyperlink w:anchor="_Toc237448986" w:history="1">
        <w:r w:rsidRPr="00363646">
          <w:rPr>
            <w:rStyle w:val="Hyperlink"/>
            <w:noProof/>
          </w:rPr>
          <w:t>Data Lake Analytics</w:t>
        </w:r>
        <w:r>
          <w:rPr>
            <w:noProof/>
            <w:webHidden/>
          </w:rPr>
          <w:tab/>
        </w:r>
        <w:r>
          <w:rPr>
            <w:noProof/>
            <w:webHidden/>
          </w:rPr>
          <w:fldChar w:fldCharType="begin"/>
        </w:r>
        <w:r>
          <w:rPr>
            <w:noProof/>
            <w:webHidden/>
          </w:rPr>
          <w:instrText xml:space="preserve"> PAGEREF _Toc237448986 \h </w:instrText>
        </w:r>
        <w:r>
          <w:rPr>
            <w:noProof/>
            <w:webHidden/>
          </w:rPr>
        </w:r>
        <w:r>
          <w:rPr>
            <w:noProof/>
            <w:webHidden/>
          </w:rPr>
          <w:fldChar w:fldCharType="separate"/>
        </w:r>
        <w:r>
          <w:rPr>
            <w:noProof/>
            <w:webHidden/>
          </w:rPr>
          <w:t>46</w:t>
        </w:r>
        <w:r>
          <w:rPr>
            <w:noProof/>
            <w:webHidden/>
          </w:rPr>
          <w:fldChar w:fldCharType="end"/>
        </w:r>
      </w:hyperlink>
    </w:p>
    <w:p w14:paraId="78CCABDA" w14:textId="2AA1BE3E" w:rsidR="0030005B" w:rsidRDefault="0030005B">
      <w:pPr>
        <w:pStyle w:val="TOC4"/>
        <w:rPr>
          <w:rFonts w:eastAsiaTheme="minorEastAsia"/>
          <w:smallCaps w:val="0"/>
          <w:noProof/>
          <w:kern w:val="2"/>
          <w:sz w:val="24"/>
          <w:szCs w:val="24"/>
          <w:lang w:val="en-US" w:eastAsia="zh-CN" w:bidi="he-IL"/>
          <w14:ligatures w14:val="standardContextual"/>
        </w:rPr>
      </w:pPr>
      <w:hyperlink w:anchor="_Toc237448987" w:history="1">
        <w:r w:rsidRPr="00363646">
          <w:rPr>
            <w:rStyle w:val="Hyperlink"/>
            <w:noProof/>
          </w:rPr>
          <w:t>Data Lake Storage Gen1</w:t>
        </w:r>
        <w:r>
          <w:rPr>
            <w:noProof/>
            <w:webHidden/>
          </w:rPr>
          <w:tab/>
        </w:r>
        <w:r>
          <w:rPr>
            <w:noProof/>
            <w:webHidden/>
          </w:rPr>
          <w:fldChar w:fldCharType="begin"/>
        </w:r>
        <w:r>
          <w:rPr>
            <w:noProof/>
            <w:webHidden/>
          </w:rPr>
          <w:instrText xml:space="preserve"> PAGEREF _Toc237448987 \h </w:instrText>
        </w:r>
        <w:r>
          <w:rPr>
            <w:noProof/>
            <w:webHidden/>
          </w:rPr>
        </w:r>
        <w:r>
          <w:rPr>
            <w:noProof/>
            <w:webHidden/>
          </w:rPr>
          <w:fldChar w:fldCharType="separate"/>
        </w:r>
        <w:r>
          <w:rPr>
            <w:noProof/>
            <w:webHidden/>
          </w:rPr>
          <w:t>46</w:t>
        </w:r>
        <w:r>
          <w:rPr>
            <w:noProof/>
            <w:webHidden/>
          </w:rPr>
          <w:fldChar w:fldCharType="end"/>
        </w:r>
      </w:hyperlink>
    </w:p>
    <w:p w14:paraId="5EE9CE38" w14:textId="5AF0DAF0" w:rsidR="0030005B" w:rsidRDefault="0030005B">
      <w:pPr>
        <w:pStyle w:val="TOC4"/>
        <w:rPr>
          <w:rFonts w:eastAsiaTheme="minorEastAsia"/>
          <w:smallCaps w:val="0"/>
          <w:noProof/>
          <w:kern w:val="2"/>
          <w:sz w:val="24"/>
          <w:szCs w:val="24"/>
          <w:lang w:val="en-US" w:eastAsia="zh-CN" w:bidi="he-IL"/>
          <w14:ligatures w14:val="standardContextual"/>
        </w:rPr>
      </w:pPr>
      <w:hyperlink w:anchor="_Toc237448988" w:history="1">
        <w:r w:rsidRPr="00363646">
          <w:rPr>
            <w:rStyle w:val="Hyperlink"/>
            <w:noProof/>
          </w:rPr>
          <w:t>Azure-Datenbank für MariaDB</w:t>
        </w:r>
        <w:r>
          <w:rPr>
            <w:noProof/>
            <w:webHidden/>
          </w:rPr>
          <w:tab/>
        </w:r>
        <w:r>
          <w:rPr>
            <w:noProof/>
            <w:webHidden/>
          </w:rPr>
          <w:fldChar w:fldCharType="begin"/>
        </w:r>
        <w:r>
          <w:rPr>
            <w:noProof/>
            <w:webHidden/>
          </w:rPr>
          <w:instrText xml:space="preserve"> PAGEREF _Toc237448988 \h </w:instrText>
        </w:r>
        <w:r>
          <w:rPr>
            <w:noProof/>
            <w:webHidden/>
          </w:rPr>
        </w:r>
        <w:r>
          <w:rPr>
            <w:noProof/>
            <w:webHidden/>
          </w:rPr>
          <w:fldChar w:fldCharType="separate"/>
        </w:r>
        <w:r>
          <w:rPr>
            <w:noProof/>
            <w:webHidden/>
          </w:rPr>
          <w:t>46</w:t>
        </w:r>
        <w:r>
          <w:rPr>
            <w:noProof/>
            <w:webHidden/>
          </w:rPr>
          <w:fldChar w:fldCharType="end"/>
        </w:r>
      </w:hyperlink>
    </w:p>
    <w:p w14:paraId="4A991648" w14:textId="1947506F" w:rsidR="0030005B" w:rsidRDefault="0030005B">
      <w:pPr>
        <w:pStyle w:val="TOC4"/>
        <w:rPr>
          <w:rFonts w:eastAsiaTheme="minorEastAsia"/>
          <w:smallCaps w:val="0"/>
          <w:noProof/>
          <w:kern w:val="2"/>
          <w:sz w:val="24"/>
          <w:szCs w:val="24"/>
          <w:lang w:val="en-US" w:eastAsia="zh-CN" w:bidi="he-IL"/>
          <w14:ligatures w14:val="standardContextual"/>
        </w:rPr>
      </w:pPr>
      <w:hyperlink w:anchor="_Toc237448989" w:history="1">
        <w:r w:rsidRPr="00363646">
          <w:rPr>
            <w:rStyle w:val="Hyperlink"/>
            <w:noProof/>
          </w:rPr>
          <w:t>Azure-Datenbank für MySQL</w:t>
        </w:r>
        <w:r>
          <w:rPr>
            <w:noProof/>
            <w:webHidden/>
          </w:rPr>
          <w:tab/>
        </w:r>
        <w:r>
          <w:rPr>
            <w:noProof/>
            <w:webHidden/>
          </w:rPr>
          <w:fldChar w:fldCharType="begin"/>
        </w:r>
        <w:r>
          <w:rPr>
            <w:noProof/>
            <w:webHidden/>
          </w:rPr>
          <w:instrText xml:space="preserve"> PAGEREF _Toc237448989 \h </w:instrText>
        </w:r>
        <w:r>
          <w:rPr>
            <w:noProof/>
            <w:webHidden/>
          </w:rPr>
        </w:r>
        <w:r>
          <w:rPr>
            <w:noProof/>
            <w:webHidden/>
          </w:rPr>
          <w:fldChar w:fldCharType="separate"/>
        </w:r>
        <w:r>
          <w:rPr>
            <w:noProof/>
            <w:webHidden/>
          </w:rPr>
          <w:t>47</w:t>
        </w:r>
        <w:r>
          <w:rPr>
            <w:noProof/>
            <w:webHidden/>
          </w:rPr>
          <w:fldChar w:fldCharType="end"/>
        </w:r>
      </w:hyperlink>
    </w:p>
    <w:p w14:paraId="6DF89D1F" w14:textId="7E935A3C" w:rsidR="0030005B" w:rsidRDefault="0030005B">
      <w:pPr>
        <w:pStyle w:val="TOC4"/>
        <w:rPr>
          <w:rFonts w:eastAsiaTheme="minorEastAsia"/>
          <w:smallCaps w:val="0"/>
          <w:noProof/>
          <w:kern w:val="2"/>
          <w:sz w:val="24"/>
          <w:szCs w:val="24"/>
          <w:lang w:val="en-US" w:eastAsia="zh-CN" w:bidi="he-IL"/>
          <w14:ligatures w14:val="standardContextual"/>
        </w:rPr>
      </w:pPr>
      <w:hyperlink w:anchor="_Toc237448990" w:history="1">
        <w:r w:rsidRPr="00363646">
          <w:rPr>
            <w:rStyle w:val="Hyperlink"/>
            <w:noProof/>
          </w:rPr>
          <w:t>Azure-Datenbank für PostgreSQL</w:t>
        </w:r>
        <w:r>
          <w:rPr>
            <w:noProof/>
            <w:webHidden/>
          </w:rPr>
          <w:tab/>
        </w:r>
        <w:r>
          <w:rPr>
            <w:noProof/>
            <w:webHidden/>
          </w:rPr>
          <w:fldChar w:fldCharType="begin"/>
        </w:r>
        <w:r>
          <w:rPr>
            <w:noProof/>
            <w:webHidden/>
          </w:rPr>
          <w:instrText xml:space="preserve"> PAGEREF _Toc237448990 \h </w:instrText>
        </w:r>
        <w:r>
          <w:rPr>
            <w:noProof/>
            <w:webHidden/>
          </w:rPr>
        </w:r>
        <w:r>
          <w:rPr>
            <w:noProof/>
            <w:webHidden/>
          </w:rPr>
          <w:fldChar w:fldCharType="separate"/>
        </w:r>
        <w:r>
          <w:rPr>
            <w:noProof/>
            <w:webHidden/>
          </w:rPr>
          <w:t>48</w:t>
        </w:r>
        <w:r>
          <w:rPr>
            <w:noProof/>
            <w:webHidden/>
          </w:rPr>
          <w:fldChar w:fldCharType="end"/>
        </w:r>
      </w:hyperlink>
    </w:p>
    <w:p w14:paraId="75B0ADB6" w14:textId="083D9207" w:rsidR="0030005B" w:rsidRDefault="0030005B">
      <w:pPr>
        <w:pStyle w:val="TOC4"/>
        <w:rPr>
          <w:rFonts w:eastAsiaTheme="minorEastAsia"/>
          <w:smallCaps w:val="0"/>
          <w:noProof/>
          <w:kern w:val="2"/>
          <w:sz w:val="24"/>
          <w:szCs w:val="24"/>
          <w:lang w:val="en-US" w:eastAsia="zh-CN" w:bidi="he-IL"/>
          <w14:ligatures w14:val="standardContextual"/>
        </w:rPr>
      </w:pPr>
      <w:hyperlink w:anchor="_Toc237448991" w:history="1">
        <w:r w:rsidRPr="00363646">
          <w:rPr>
            <w:rStyle w:val="Hyperlink"/>
            <w:noProof/>
          </w:rPr>
          <w:t>Azure Databricks</w:t>
        </w:r>
        <w:r>
          <w:rPr>
            <w:noProof/>
            <w:webHidden/>
          </w:rPr>
          <w:tab/>
        </w:r>
        <w:r>
          <w:rPr>
            <w:noProof/>
            <w:webHidden/>
          </w:rPr>
          <w:fldChar w:fldCharType="begin"/>
        </w:r>
        <w:r>
          <w:rPr>
            <w:noProof/>
            <w:webHidden/>
          </w:rPr>
          <w:instrText xml:space="preserve"> PAGEREF _Toc237448991 \h </w:instrText>
        </w:r>
        <w:r>
          <w:rPr>
            <w:noProof/>
            <w:webHidden/>
          </w:rPr>
        </w:r>
        <w:r>
          <w:rPr>
            <w:noProof/>
            <w:webHidden/>
          </w:rPr>
          <w:fldChar w:fldCharType="separate"/>
        </w:r>
        <w:r>
          <w:rPr>
            <w:noProof/>
            <w:webHidden/>
          </w:rPr>
          <w:t>49</w:t>
        </w:r>
        <w:r>
          <w:rPr>
            <w:noProof/>
            <w:webHidden/>
          </w:rPr>
          <w:fldChar w:fldCharType="end"/>
        </w:r>
      </w:hyperlink>
    </w:p>
    <w:p w14:paraId="16051E46" w14:textId="54A27401" w:rsidR="0030005B" w:rsidRDefault="0030005B">
      <w:pPr>
        <w:pStyle w:val="TOC4"/>
        <w:rPr>
          <w:rFonts w:eastAsiaTheme="minorEastAsia"/>
          <w:smallCaps w:val="0"/>
          <w:noProof/>
          <w:kern w:val="2"/>
          <w:sz w:val="24"/>
          <w:szCs w:val="24"/>
          <w:lang w:val="en-US" w:eastAsia="zh-CN" w:bidi="he-IL"/>
          <w14:ligatures w14:val="standardContextual"/>
        </w:rPr>
      </w:pPr>
      <w:hyperlink w:anchor="_Toc237448992" w:history="1">
        <w:r w:rsidRPr="00363646">
          <w:rPr>
            <w:rStyle w:val="Hyperlink"/>
            <w:noProof/>
            <w:lang w:val="en-US"/>
          </w:rPr>
          <w:t>Microsoft Azure Data Manager for Energy</w:t>
        </w:r>
        <w:r>
          <w:rPr>
            <w:noProof/>
            <w:webHidden/>
          </w:rPr>
          <w:tab/>
        </w:r>
        <w:r>
          <w:rPr>
            <w:noProof/>
            <w:webHidden/>
          </w:rPr>
          <w:fldChar w:fldCharType="begin"/>
        </w:r>
        <w:r>
          <w:rPr>
            <w:noProof/>
            <w:webHidden/>
          </w:rPr>
          <w:instrText xml:space="preserve"> PAGEREF _Toc237448992 \h </w:instrText>
        </w:r>
        <w:r>
          <w:rPr>
            <w:noProof/>
            <w:webHidden/>
          </w:rPr>
        </w:r>
        <w:r>
          <w:rPr>
            <w:noProof/>
            <w:webHidden/>
          </w:rPr>
          <w:fldChar w:fldCharType="separate"/>
        </w:r>
        <w:r>
          <w:rPr>
            <w:noProof/>
            <w:webHidden/>
          </w:rPr>
          <w:t>49</w:t>
        </w:r>
        <w:r>
          <w:rPr>
            <w:noProof/>
            <w:webHidden/>
          </w:rPr>
          <w:fldChar w:fldCharType="end"/>
        </w:r>
      </w:hyperlink>
    </w:p>
    <w:p w14:paraId="5D672058" w14:textId="4E65D4E3" w:rsidR="0030005B" w:rsidRDefault="0030005B">
      <w:pPr>
        <w:pStyle w:val="TOC4"/>
        <w:rPr>
          <w:rFonts w:eastAsiaTheme="minorEastAsia"/>
          <w:smallCaps w:val="0"/>
          <w:noProof/>
          <w:kern w:val="2"/>
          <w:sz w:val="24"/>
          <w:szCs w:val="24"/>
          <w:lang w:val="en-US" w:eastAsia="zh-CN" w:bidi="he-IL"/>
          <w14:ligatures w14:val="standardContextual"/>
        </w:rPr>
      </w:pPr>
      <w:hyperlink w:anchor="_Toc237448993" w:history="1">
        <w:r w:rsidRPr="00363646">
          <w:rPr>
            <w:rStyle w:val="Hyperlink"/>
            <w:noProof/>
          </w:rPr>
          <w:t>Azure DDoS-Schutz</w:t>
        </w:r>
        <w:r>
          <w:rPr>
            <w:noProof/>
            <w:webHidden/>
          </w:rPr>
          <w:tab/>
        </w:r>
        <w:r>
          <w:rPr>
            <w:noProof/>
            <w:webHidden/>
          </w:rPr>
          <w:fldChar w:fldCharType="begin"/>
        </w:r>
        <w:r>
          <w:rPr>
            <w:noProof/>
            <w:webHidden/>
          </w:rPr>
          <w:instrText xml:space="preserve"> PAGEREF _Toc237448993 \h </w:instrText>
        </w:r>
        <w:r>
          <w:rPr>
            <w:noProof/>
            <w:webHidden/>
          </w:rPr>
        </w:r>
        <w:r>
          <w:rPr>
            <w:noProof/>
            <w:webHidden/>
          </w:rPr>
          <w:fldChar w:fldCharType="separate"/>
        </w:r>
        <w:r>
          <w:rPr>
            <w:noProof/>
            <w:webHidden/>
          </w:rPr>
          <w:t>50</w:t>
        </w:r>
        <w:r>
          <w:rPr>
            <w:noProof/>
            <w:webHidden/>
          </w:rPr>
          <w:fldChar w:fldCharType="end"/>
        </w:r>
      </w:hyperlink>
    </w:p>
    <w:p w14:paraId="5850C3A8" w14:textId="578A9C02" w:rsidR="0030005B" w:rsidRDefault="0030005B">
      <w:pPr>
        <w:pStyle w:val="TOC4"/>
        <w:rPr>
          <w:rFonts w:eastAsiaTheme="minorEastAsia"/>
          <w:smallCaps w:val="0"/>
          <w:noProof/>
          <w:kern w:val="2"/>
          <w:sz w:val="24"/>
          <w:szCs w:val="24"/>
          <w:lang w:val="en-US" w:eastAsia="zh-CN" w:bidi="he-IL"/>
          <w14:ligatures w14:val="standardContextual"/>
        </w:rPr>
      </w:pPr>
      <w:hyperlink w:anchor="_Toc237448994" w:history="1">
        <w:r w:rsidRPr="00363646">
          <w:rPr>
            <w:rStyle w:val="Hyperlink"/>
            <w:noProof/>
          </w:rPr>
          <w:t>Azure Defender</w:t>
        </w:r>
        <w:r>
          <w:rPr>
            <w:noProof/>
            <w:webHidden/>
          </w:rPr>
          <w:tab/>
        </w:r>
        <w:r>
          <w:rPr>
            <w:noProof/>
            <w:webHidden/>
          </w:rPr>
          <w:fldChar w:fldCharType="begin"/>
        </w:r>
        <w:r>
          <w:rPr>
            <w:noProof/>
            <w:webHidden/>
          </w:rPr>
          <w:instrText xml:space="preserve"> PAGEREF _Toc237448994 \h </w:instrText>
        </w:r>
        <w:r>
          <w:rPr>
            <w:noProof/>
            <w:webHidden/>
          </w:rPr>
        </w:r>
        <w:r>
          <w:rPr>
            <w:noProof/>
            <w:webHidden/>
          </w:rPr>
          <w:fldChar w:fldCharType="separate"/>
        </w:r>
        <w:r>
          <w:rPr>
            <w:noProof/>
            <w:webHidden/>
          </w:rPr>
          <w:t>50</w:t>
        </w:r>
        <w:r>
          <w:rPr>
            <w:noProof/>
            <w:webHidden/>
          </w:rPr>
          <w:fldChar w:fldCharType="end"/>
        </w:r>
      </w:hyperlink>
    </w:p>
    <w:p w14:paraId="2D6EEF41" w14:textId="577C971F" w:rsidR="0030005B" w:rsidRDefault="0030005B">
      <w:pPr>
        <w:pStyle w:val="TOC4"/>
        <w:rPr>
          <w:rFonts w:eastAsiaTheme="minorEastAsia"/>
          <w:smallCaps w:val="0"/>
          <w:noProof/>
          <w:kern w:val="2"/>
          <w:sz w:val="24"/>
          <w:szCs w:val="24"/>
          <w:lang w:val="en-US" w:eastAsia="zh-CN" w:bidi="he-IL"/>
          <w14:ligatures w14:val="standardContextual"/>
        </w:rPr>
      </w:pPr>
      <w:hyperlink w:anchor="_Toc237448995" w:history="1">
        <w:r w:rsidRPr="00363646">
          <w:rPr>
            <w:rStyle w:val="Hyperlink"/>
            <w:noProof/>
          </w:rPr>
          <w:t>Defender – Externe Angriffsflächenverwaltung (EAFV)</w:t>
        </w:r>
        <w:r>
          <w:rPr>
            <w:noProof/>
            <w:webHidden/>
          </w:rPr>
          <w:tab/>
        </w:r>
        <w:r>
          <w:rPr>
            <w:noProof/>
            <w:webHidden/>
          </w:rPr>
          <w:fldChar w:fldCharType="begin"/>
        </w:r>
        <w:r>
          <w:rPr>
            <w:noProof/>
            <w:webHidden/>
          </w:rPr>
          <w:instrText xml:space="preserve"> PAGEREF _Toc237448995 \h </w:instrText>
        </w:r>
        <w:r>
          <w:rPr>
            <w:noProof/>
            <w:webHidden/>
          </w:rPr>
        </w:r>
        <w:r>
          <w:rPr>
            <w:noProof/>
            <w:webHidden/>
          </w:rPr>
          <w:fldChar w:fldCharType="separate"/>
        </w:r>
        <w:r>
          <w:rPr>
            <w:noProof/>
            <w:webHidden/>
          </w:rPr>
          <w:t>51</w:t>
        </w:r>
        <w:r>
          <w:rPr>
            <w:noProof/>
            <w:webHidden/>
          </w:rPr>
          <w:fldChar w:fldCharType="end"/>
        </w:r>
      </w:hyperlink>
    </w:p>
    <w:p w14:paraId="13DD67AF" w14:textId="6236BF37" w:rsidR="0030005B" w:rsidRDefault="0030005B">
      <w:pPr>
        <w:pStyle w:val="TOC4"/>
        <w:rPr>
          <w:rFonts w:eastAsiaTheme="minorEastAsia"/>
          <w:smallCaps w:val="0"/>
          <w:noProof/>
          <w:kern w:val="2"/>
          <w:sz w:val="24"/>
          <w:szCs w:val="24"/>
          <w:lang w:val="en-US" w:eastAsia="zh-CN" w:bidi="he-IL"/>
          <w14:ligatures w14:val="standardContextual"/>
        </w:rPr>
      </w:pPr>
      <w:hyperlink w:anchor="_Toc237448996" w:history="1">
        <w:r w:rsidRPr="00363646">
          <w:rPr>
            <w:rStyle w:val="Hyperlink"/>
            <w:noProof/>
          </w:rPr>
          <w:t>Azure Dev Ops</w:t>
        </w:r>
        <w:r>
          <w:rPr>
            <w:noProof/>
            <w:webHidden/>
          </w:rPr>
          <w:tab/>
        </w:r>
        <w:r>
          <w:rPr>
            <w:noProof/>
            <w:webHidden/>
          </w:rPr>
          <w:fldChar w:fldCharType="begin"/>
        </w:r>
        <w:r>
          <w:rPr>
            <w:noProof/>
            <w:webHidden/>
          </w:rPr>
          <w:instrText xml:space="preserve"> PAGEREF _Toc237448996 \h </w:instrText>
        </w:r>
        <w:r>
          <w:rPr>
            <w:noProof/>
            <w:webHidden/>
          </w:rPr>
        </w:r>
        <w:r>
          <w:rPr>
            <w:noProof/>
            <w:webHidden/>
          </w:rPr>
          <w:fldChar w:fldCharType="separate"/>
        </w:r>
        <w:r>
          <w:rPr>
            <w:noProof/>
            <w:webHidden/>
          </w:rPr>
          <w:t>51</w:t>
        </w:r>
        <w:r>
          <w:rPr>
            <w:noProof/>
            <w:webHidden/>
          </w:rPr>
          <w:fldChar w:fldCharType="end"/>
        </w:r>
      </w:hyperlink>
    </w:p>
    <w:p w14:paraId="2FDF5A99" w14:textId="1D4CCFCF" w:rsidR="0030005B" w:rsidRDefault="0030005B">
      <w:pPr>
        <w:pStyle w:val="TOC4"/>
        <w:rPr>
          <w:rFonts w:eastAsiaTheme="minorEastAsia"/>
          <w:smallCaps w:val="0"/>
          <w:noProof/>
          <w:kern w:val="2"/>
          <w:sz w:val="24"/>
          <w:szCs w:val="24"/>
          <w:lang w:val="en-US" w:eastAsia="zh-CN" w:bidi="he-IL"/>
          <w14:ligatures w14:val="standardContextual"/>
        </w:rPr>
      </w:pPr>
      <w:hyperlink w:anchor="_Toc237448997" w:history="1">
        <w:r w:rsidRPr="00363646">
          <w:rPr>
            <w:rStyle w:val="Hyperlink"/>
            <w:noProof/>
          </w:rPr>
          <w:t>Microsoft Dev Box</w:t>
        </w:r>
        <w:r>
          <w:rPr>
            <w:noProof/>
            <w:webHidden/>
          </w:rPr>
          <w:tab/>
        </w:r>
        <w:r>
          <w:rPr>
            <w:noProof/>
            <w:webHidden/>
          </w:rPr>
          <w:fldChar w:fldCharType="begin"/>
        </w:r>
        <w:r>
          <w:rPr>
            <w:noProof/>
            <w:webHidden/>
          </w:rPr>
          <w:instrText xml:space="preserve"> PAGEREF _Toc237448997 \h </w:instrText>
        </w:r>
        <w:r>
          <w:rPr>
            <w:noProof/>
            <w:webHidden/>
          </w:rPr>
        </w:r>
        <w:r>
          <w:rPr>
            <w:noProof/>
            <w:webHidden/>
          </w:rPr>
          <w:fldChar w:fldCharType="separate"/>
        </w:r>
        <w:r>
          <w:rPr>
            <w:noProof/>
            <w:webHidden/>
          </w:rPr>
          <w:t>52</w:t>
        </w:r>
        <w:r>
          <w:rPr>
            <w:noProof/>
            <w:webHidden/>
          </w:rPr>
          <w:fldChar w:fldCharType="end"/>
        </w:r>
      </w:hyperlink>
    </w:p>
    <w:p w14:paraId="26A37800" w14:textId="1DD924C4" w:rsidR="0030005B" w:rsidRDefault="0030005B">
      <w:pPr>
        <w:pStyle w:val="TOC4"/>
        <w:rPr>
          <w:rFonts w:eastAsiaTheme="minorEastAsia"/>
          <w:smallCaps w:val="0"/>
          <w:noProof/>
          <w:kern w:val="2"/>
          <w:sz w:val="24"/>
          <w:szCs w:val="24"/>
          <w:lang w:val="en-US" w:eastAsia="zh-CN" w:bidi="he-IL"/>
          <w14:ligatures w14:val="standardContextual"/>
        </w:rPr>
      </w:pPr>
      <w:hyperlink w:anchor="_Toc237448998" w:history="1">
        <w:r w:rsidRPr="00363646">
          <w:rPr>
            <w:rStyle w:val="Hyperlink"/>
            <w:noProof/>
          </w:rPr>
          <w:t>Azure Digital Twins</w:t>
        </w:r>
        <w:r>
          <w:rPr>
            <w:noProof/>
            <w:webHidden/>
          </w:rPr>
          <w:tab/>
        </w:r>
        <w:r>
          <w:rPr>
            <w:noProof/>
            <w:webHidden/>
          </w:rPr>
          <w:fldChar w:fldCharType="begin"/>
        </w:r>
        <w:r>
          <w:rPr>
            <w:noProof/>
            <w:webHidden/>
          </w:rPr>
          <w:instrText xml:space="preserve"> PAGEREF _Toc237448998 \h </w:instrText>
        </w:r>
        <w:r>
          <w:rPr>
            <w:noProof/>
            <w:webHidden/>
          </w:rPr>
        </w:r>
        <w:r>
          <w:rPr>
            <w:noProof/>
            <w:webHidden/>
          </w:rPr>
          <w:fldChar w:fldCharType="separate"/>
        </w:r>
        <w:r>
          <w:rPr>
            <w:noProof/>
            <w:webHidden/>
          </w:rPr>
          <w:t>52</w:t>
        </w:r>
        <w:r>
          <w:rPr>
            <w:noProof/>
            <w:webHidden/>
          </w:rPr>
          <w:fldChar w:fldCharType="end"/>
        </w:r>
      </w:hyperlink>
    </w:p>
    <w:p w14:paraId="683F585C" w14:textId="533272A0" w:rsidR="0030005B" w:rsidRDefault="0030005B">
      <w:pPr>
        <w:pStyle w:val="TOC4"/>
        <w:rPr>
          <w:rFonts w:eastAsiaTheme="minorEastAsia"/>
          <w:smallCaps w:val="0"/>
          <w:noProof/>
          <w:kern w:val="2"/>
          <w:sz w:val="24"/>
          <w:szCs w:val="24"/>
          <w:lang w:val="en-US" w:eastAsia="zh-CN" w:bidi="he-IL"/>
          <w14:ligatures w14:val="standardContextual"/>
        </w:rPr>
      </w:pPr>
      <w:hyperlink w:anchor="_Toc237448999" w:history="1">
        <w:r w:rsidRPr="00363646">
          <w:rPr>
            <w:rStyle w:val="Hyperlink"/>
            <w:noProof/>
          </w:rPr>
          <w:t>Azure DNS</w:t>
        </w:r>
        <w:r>
          <w:rPr>
            <w:noProof/>
            <w:webHidden/>
          </w:rPr>
          <w:tab/>
        </w:r>
        <w:r>
          <w:rPr>
            <w:noProof/>
            <w:webHidden/>
          </w:rPr>
          <w:fldChar w:fldCharType="begin"/>
        </w:r>
        <w:r>
          <w:rPr>
            <w:noProof/>
            <w:webHidden/>
          </w:rPr>
          <w:instrText xml:space="preserve"> PAGEREF _Toc237448999 \h </w:instrText>
        </w:r>
        <w:r>
          <w:rPr>
            <w:noProof/>
            <w:webHidden/>
          </w:rPr>
        </w:r>
        <w:r>
          <w:rPr>
            <w:noProof/>
            <w:webHidden/>
          </w:rPr>
          <w:fldChar w:fldCharType="separate"/>
        </w:r>
        <w:r>
          <w:rPr>
            <w:noProof/>
            <w:webHidden/>
          </w:rPr>
          <w:t>53</w:t>
        </w:r>
        <w:r>
          <w:rPr>
            <w:noProof/>
            <w:webHidden/>
          </w:rPr>
          <w:fldChar w:fldCharType="end"/>
        </w:r>
      </w:hyperlink>
    </w:p>
    <w:p w14:paraId="612DC2BF" w14:textId="0C5C8D68" w:rsidR="0030005B" w:rsidRDefault="0030005B">
      <w:pPr>
        <w:pStyle w:val="TOC4"/>
        <w:rPr>
          <w:rFonts w:eastAsiaTheme="minorEastAsia"/>
          <w:smallCaps w:val="0"/>
          <w:noProof/>
          <w:kern w:val="2"/>
          <w:sz w:val="24"/>
          <w:szCs w:val="24"/>
          <w:lang w:val="en-US" w:eastAsia="zh-CN" w:bidi="he-IL"/>
          <w14:ligatures w14:val="standardContextual"/>
        </w:rPr>
      </w:pPr>
      <w:hyperlink w:anchor="_Toc237449000" w:history="1">
        <w:r w:rsidRPr="00363646">
          <w:rPr>
            <w:rStyle w:val="Hyperlink"/>
            <w:noProof/>
          </w:rPr>
          <w:t>Azure DNS Private Resolver</w:t>
        </w:r>
        <w:r>
          <w:rPr>
            <w:noProof/>
            <w:webHidden/>
          </w:rPr>
          <w:tab/>
        </w:r>
        <w:r>
          <w:rPr>
            <w:noProof/>
            <w:webHidden/>
          </w:rPr>
          <w:fldChar w:fldCharType="begin"/>
        </w:r>
        <w:r>
          <w:rPr>
            <w:noProof/>
            <w:webHidden/>
          </w:rPr>
          <w:instrText xml:space="preserve"> PAGEREF _Toc237449000 \h </w:instrText>
        </w:r>
        <w:r>
          <w:rPr>
            <w:noProof/>
            <w:webHidden/>
          </w:rPr>
        </w:r>
        <w:r>
          <w:rPr>
            <w:noProof/>
            <w:webHidden/>
          </w:rPr>
          <w:fldChar w:fldCharType="separate"/>
        </w:r>
        <w:r>
          <w:rPr>
            <w:noProof/>
            <w:webHidden/>
          </w:rPr>
          <w:t>53</w:t>
        </w:r>
        <w:r>
          <w:rPr>
            <w:noProof/>
            <w:webHidden/>
          </w:rPr>
          <w:fldChar w:fldCharType="end"/>
        </w:r>
      </w:hyperlink>
    </w:p>
    <w:p w14:paraId="339506DC" w14:textId="658C11E7" w:rsidR="0030005B" w:rsidRDefault="0030005B">
      <w:pPr>
        <w:pStyle w:val="TOC4"/>
        <w:rPr>
          <w:rFonts w:eastAsiaTheme="minorEastAsia"/>
          <w:smallCaps w:val="0"/>
          <w:noProof/>
          <w:kern w:val="2"/>
          <w:sz w:val="24"/>
          <w:szCs w:val="24"/>
          <w:lang w:val="en-US" w:eastAsia="zh-CN" w:bidi="he-IL"/>
          <w14:ligatures w14:val="standardContextual"/>
        </w:rPr>
      </w:pPr>
      <w:hyperlink w:anchor="_Toc237449001" w:history="1">
        <w:r w:rsidRPr="00363646">
          <w:rPr>
            <w:rStyle w:val="Hyperlink"/>
            <w:noProof/>
          </w:rPr>
          <w:t>Azure DocumentDB (mit MongoDB-Kompatibilität)</w:t>
        </w:r>
        <w:r>
          <w:rPr>
            <w:noProof/>
            <w:webHidden/>
          </w:rPr>
          <w:tab/>
        </w:r>
        <w:r>
          <w:rPr>
            <w:noProof/>
            <w:webHidden/>
          </w:rPr>
          <w:fldChar w:fldCharType="begin"/>
        </w:r>
        <w:r>
          <w:rPr>
            <w:noProof/>
            <w:webHidden/>
          </w:rPr>
          <w:instrText xml:space="preserve"> PAGEREF _Toc237449001 \h </w:instrText>
        </w:r>
        <w:r>
          <w:rPr>
            <w:noProof/>
            <w:webHidden/>
          </w:rPr>
        </w:r>
        <w:r>
          <w:rPr>
            <w:noProof/>
            <w:webHidden/>
          </w:rPr>
          <w:fldChar w:fldCharType="separate"/>
        </w:r>
        <w:r>
          <w:rPr>
            <w:noProof/>
            <w:webHidden/>
          </w:rPr>
          <w:t>54</w:t>
        </w:r>
        <w:r>
          <w:rPr>
            <w:noProof/>
            <w:webHidden/>
          </w:rPr>
          <w:fldChar w:fldCharType="end"/>
        </w:r>
      </w:hyperlink>
    </w:p>
    <w:p w14:paraId="7734E7DB" w14:textId="5B366586" w:rsidR="0030005B" w:rsidRDefault="0030005B">
      <w:pPr>
        <w:pStyle w:val="TOC4"/>
        <w:rPr>
          <w:rFonts w:eastAsiaTheme="minorEastAsia"/>
          <w:smallCaps w:val="0"/>
          <w:noProof/>
          <w:kern w:val="2"/>
          <w:sz w:val="24"/>
          <w:szCs w:val="24"/>
          <w:lang w:val="en-US" w:eastAsia="zh-CN" w:bidi="he-IL"/>
          <w14:ligatures w14:val="standardContextual"/>
        </w:rPr>
      </w:pPr>
      <w:hyperlink w:anchor="_Toc237449002" w:history="1">
        <w:r w:rsidRPr="00363646">
          <w:rPr>
            <w:rStyle w:val="Hyperlink"/>
            <w:noProof/>
          </w:rPr>
          <w:t>Elastic San-SLA</w:t>
        </w:r>
        <w:r>
          <w:rPr>
            <w:noProof/>
            <w:webHidden/>
          </w:rPr>
          <w:tab/>
        </w:r>
        <w:r>
          <w:rPr>
            <w:noProof/>
            <w:webHidden/>
          </w:rPr>
          <w:fldChar w:fldCharType="begin"/>
        </w:r>
        <w:r>
          <w:rPr>
            <w:noProof/>
            <w:webHidden/>
          </w:rPr>
          <w:instrText xml:space="preserve"> PAGEREF _Toc237449002 \h </w:instrText>
        </w:r>
        <w:r>
          <w:rPr>
            <w:noProof/>
            <w:webHidden/>
          </w:rPr>
        </w:r>
        <w:r>
          <w:rPr>
            <w:noProof/>
            <w:webHidden/>
          </w:rPr>
          <w:fldChar w:fldCharType="separate"/>
        </w:r>
        <w:r>
          <w:rPr>
            <w:noProof/>
            <w:webHidden/>
          </w:rPr>
          <w:t>54</w:t>
        </w:r>
        <w:r>
          <w:rPr>
            <w:noProof/>
            <w:webHidden/>
          </w:rPr>
          <w:fldChar w:fldCharType="end"/>
        </w:r>
      </w:hyperlink>
    </w:p>
    <w:p w14:paraId="43AFB6C4" w14:textId="7DAE2096" w:rsidR="0030005B" w:rsidRDefault="0030005B">
      <w:pPr>
        <w:pStyle w:val="TOC4"/>
        <w:rPr>
          <w:rFonts w:eastAsiaTheme="minorEastAsia"/>
          <w:smallCaps w:val="0"/>
          <w:noProof/>
          <w:kern w:val="2"/>
          <w:sz w:val="24"/>
          <w:szCs w:val="24"/>
          <w:lang w:val="en-US" w:eastAsia="zh-CN" w:bidi="he-IL"/>
          <w14:ligatures w14:val="standardContextual"/>
        </w:rPr>
      </w:pPr>
      <w:hyperlink w:anchor="_Toc237449003" w:history="1">
        <w:r w:rsidRPr="00363646">
          <w:rPr>
            <w:rStyle w:val="Hyperlink"/>
            <w:noProof/>
          </w:rPr>
          <w:t>Event Grid</w:t>
        </w:r>
        <w:r>
          <w:rPr>
            <w:noProof/>
            <w:webHidden/>
          </w:rPr>
          <w:tab/>
        </w:r>
        <w:r>
          <w:rPr>
            <w:noProof/>
            <w:webHidden/>
          </w:rPr>
          <w:fldChar w:fldCharType="begin"/>
        </w:r>
        <w:r>
          <w:rPr>
            <w:noProof/>
            <w:webHidden/>
          </w:rPr>
          <w:instrText xml:space="preserve"> PAGEREF _Toc237449003 \h </w:instrText>
        </w:r>
        <w:r>
          <w:rPr>
            <w:noProof/>
            <w:webHidden/>
          </w:rPr>
        </w:r>
        <w:r>
          <w:rPr>
            <w:noProof/>
            <w:webHidden/>
          </w:rPr>
          <w:fldChar w:fldCharType="separate"/>
        </w:r>
        <w:r>
          <w:rPr>
            <w:noProof/>
            <w:webHidden/>
          </w:rPr>
          <w:t>55</w:t>
        </w:r>
        <w:r>
          <w:rPr>
            <w:noProof/>
            <w:webHidden/>
          </w:rPr>
          <w:fldChar w:fldCharType="end"/>
        </w:r>
      </w:hyperlink>
    </w:p>
    <w:p w14:paraId="470360EF" w14:textId="531F9735" w:rsidR="0030005B" w:rsidRDefault="0030005B">
      <w:pPr>
        <w:pStyle w:val="TOC4"/>
        <w:rPr>
          <w:rFonts w:eastAsiaTheme="minorEastAsia"/>
          <w:smallCaps w:val="0"/>
          <w:noProof/>
          <w:kern w:val="2"/>
          <w:sz w:val="24"/>
          <w:szCs w:val="24"/>
          <w:lang w:val="en-US" w:eastAsia="zh-CN" w:bidi="he-IL"/>
          <w14:ligatures w14:val="standardContextual"/>
        </w:rPr>
      </w:pPr>
      <w:hyperlink w:anchor="_Toc237449004" w:history="1">
        <w:r w:rsidRPr="00363646">
          <w:rPr>
            <w:rStyle w:val="Hyperlink"/>
            <w:noProof/>
          </w:rPr>
          <w:t>Geo Redundant Storage (GRS) – Prioritätsreplikation</w:t>
        </w:r>
        <w:r>
          <w:rPr>
            <w:noProof/>
            <w:webHidden/>
          </w:rPr>
          <w:tab/>
        </w:r>
        <w:r>
          <w:rPr>
            <w:noProof/>
            <w:webHidden/>
          </w:rPr>
          <w:fldChar w:fldCharType="begin"/>
        </w:r>
        <w:r>
          <w:rPr>
            <w:noProof/>
            <w:webHidden/>
          </w:rPr>
          <w:instrText xml:space="preserve"> PAGEREF _Toc237449004 \h </w:instrText>
        </w:r>
        <w:r>
          <w:rPr>
            <w:noProof/>
            <w:webHidden/>
          </w:rPr>
        </w:r>
        <w:r>
          <w:rPr>
            <w:noProof/>
            <w:webHidden/>
          </w:rPr>
          <w:fldChar w:fldCharType="separate"/>
        </w:r>
        <w:r>
          <w:rPr>
            <w:noProof/>
            <w:webHidden/>
          </w:rPr>
          <w:t>55</w:t>
        </w:r>
        <w:r>
          <w:rPr>
            <w:noProof/>
            <w:webHidden/>
          </w:rPr>
          <w:fldChar w:fldCharType="end"/>
        </w:r>
      </w:hyperlink>
    </w:p>
    <w:p w14:paraId="67AA8198" w14:textId="49503E23" w:rsidR="0030005B" w:rsidRDefault="0030005B">
      <w:pPr>
        <w:pStyle w:val="TOC4"/>
        <w:rPr>
          <w:rFonts w:eastAsiaTheme="minorEastAsia"/>
          <w:smallCaps w:val="0"/>
          <w:noProof/>
          <w:kern w:val="2"/>
          <w:sz w:val="24"/>
          <w:szCs w:val="24"/>
          <w:lang w:val="en-US" w:eastAsia="zh-CN" w:bidi="he-IL"/>
          <w14:ligatures w14:val="standardContextual"/>
        </w:rPr>
      </w:pPr>
      <w:hyperlink w:anchor="_Toc237449005" w:history="1">
        <w:r w:rsidRPr="00363646">
          <w:rPr>
            <w:rStyle w:val="Hyperlink"/>
            <w:noProof/>
          </w:rPr>
          <w:t>Event Hubs</w:t>
        </w:r>
        <w:r>
          <w:rPr>
            <w:noProof/>
            <w:webHidden/>
          </w:rPr>
          <w:tab/>
        </w:r>
        <w:r>
          <w:rPr>
            <w:noProof/>
            <w:webHidden/>
          </w:rPr>
          <w:fldChar w:fldCharType="begin"/>
        </w:r>
        <w:r>
          <w:rPr>
            <w:noProof/>
            <w:webHidden/>
          </w:rPr>
          <w:instrText xml:space="preserve"> PAGEREF _Toc237449005 \h </w:instrText>
        </w:r>
        <w:r>
          <w:rPr>
            <w:noProof/>
            <w:webHidden/>
          </w:rPr>
        </w:r>
        <w:r>
          <w:rPr>
            <w:noProof/>
            <w:webHidden/>
          </w:rPr>
          <w:fldChar w:fldCharType="separate"/>
        </w:r>
        <w:r>
          <w:rPr>
            <w:noProof/>
            <w:webHidden/>
          </w:rPr>
          <w:t>56</w:t>
        </w:r>
        <w:r>
          <w:rPr>
            <w:noProof/>
            <w:webHidden/>
          </w:rPr>
          <w:fldChar w:fldCharType="end"/>
        </w:r>
      </w:hyperlink>
    </w:p>
    <w:p w14:paraId="133A9D15" w14:textId="3119B31A" w:rsidR="0030005B" w:rsidRDefault="0030005B">
      <w:pPr>
        <w:pStyle w:val="TOC4"/>
        <w:rPr>
          <w:rFonts w:eastAsiaTheme="minorEastAsia"/>
          <w:smallCaps w:val="0"/>
          <w:noProof/>
          <w:kern w:val="2"/>
          <w:sz w:val="24"/>
          <w:szCs w:val="24"/>
          <w:lang w:val="en-US" w:eastAsia="zh-CN" w:bidi="he-IL"/>
          <w14:ligatures w14:val="standardContextual"/>
        </w:rPr>
      </w:pPr>
      <w:hyperlink w:anchor="_Toc237449006" w:history="1">
        <w:r w:rsidRPr="00363646">
          <w:rPr>
            <w:rStyle w:val="Hyperlink"/>
            <w:noProof/>
          </w:rPr>
          <w:t>Azure ExpressRoute</w:t>
        </w:r>
        <w:r>
          <w:rPr>
            <w:noProof/>
            <w:webHidden/>
          </w:rPr>
          <w:tab/>
        </w:r>
        <w:r>
          <w:rPr>
            <w:noProof/>
            <w:webHidden/>
          </w:rPr>
          <w:fldChar w:fldCharType="begin"/>
        </w:r>
        <w:r>
          <w:rPr>
            <w:noProof/>
            <w:webHidden/>
          </w:rPr>
          <w:instrText xml:space="preserve"> PAGEREF _Toc237449006 \h </w:instrText>
        </w:r>
        <w:r>
          <w:rPr>
            <w:noProof/>
            <w:webHidden/>
          </w:rPr>
        </w:r>
        <w:r>
          <w:rPr>
            <w:noProof/>
            <w:webHidden/>
          </w:rPr>
          <w:fldChar w:fldCharType="separate"/>
        </w:r>
        <w:r>
          <w:rPr>
            <w:noProof/>
            <w:webHidden/>
          </w:rPr>
          <w:t>57</w:t>
        </w:r>
        <w:r>
          <w:rPr>
            <w:noProof/>
            <w:webHidden/>
          </w:rPr>
          <w:fldChar w:fldCharType="end"/>
        </w:r>
      </w:hyperlink>
    </w:p>
    <w:p w14:paraId="4AA8E194" w14:textId="7F3AB76E" w:rsidR="0030005B" w:rsidRDefault="0030005B">
      <w:pPr>
        <w:pStyle w:val="TOC4"/>
        <w:rPr>
          <w:rFonts w:eastAsiaTheme="minorEastAsia"/>
          <w:smallCaps w:val="0"/>
          <w:noProof/>
          <w:kern w:val="2"/>
          <w:sz w:val="24"/>
          <w:szCs w:val="24"/>
          <w:lang w:val="en-US" w:eastAsia="zh-CN" w:bidi="he-IL"/>
          <w14:ligatures w14:val="standardContextual"/>
        </w:rPr>
      </w:pPr>
      <w:hyperlink w:anchor="_Toc237449007" w:history="1">
        <w:r w:rsidRPr="00363646">
          <w:rPr>
            <w:rStyle w:val="Hyperlink"/>
            <w:noProof/>
          </w:rPr>
          <w:t>Azure ExpressRoute Traffic Collector</w:t>
        </w:r>
        <w:r>
          <w:rPr>
            <w:noProof/>
            <w:webHidden/>
          </w:rPr>
          <w:tab/>
        </w:r>
        <w:r>
          <w:rPr>
            <w:noProof/>
            <w:webHidden/>
          </w:rPr>
          <w:fldChar w:fldCharType="begin"/>
        </w:r>
        <w:r>
          <w:rPr>
            <w:noProof/>
            <w:webHidden/>
          </w:rPr>
          <w:instrText xml:space="preserve"> PAGEREF _Toc237449007 \h </w:instrText>
        </w:r>
        <w:r>
          <w:rPr>
            <w:noProof/>
            <w:webHidden/>
          </w:rPr>
        </w:r>
        <w:r>
          <w:rPr>
            <w:noProof/>
            <w:webHidden/>
          </w:rPr>
          <w:fldChar w:fldCharType="separate"/>
        </w:r>
        <w:r>
          <w:rPr>
            <w:noProof/>
            <w:webHidden/>
          </w:rPr>
          <w:t>58</w:t>
        </w:r>
        <w:r>
          <w:rPr>
            <w:noProof/>
            <w:webHidden/>
          </w:rPr>
          <w:fldChar w:fldCharType="end"/>
        </w:r>
      </w:hyperlink>
    </w:p>
    <w:p w14:paraId="4BE2D863" w14:textId="1C6B97C0" w:rsidR="0030005B" w:rsidRDefault="0030005B">
      <w:pPr>
        <w:pStyle w:val="TOC4"/>
        <w:rPr>
          <w:rFonts w:eastAsiaTheme="minorEastAsia"/>
          <w:smallCaps w:val="0"/>
          <w:noProof/>
          <w:kern w:val="2"/>
          <w:sz w:val="24"/>
          <w:szCs w:val="24"/>
          <w:lang w:val="en-US" w:eastAsia="zh-CN" w:bidi="he-IL"/>
          <w14:ligatures w14:val="standardContextual"/>
        </w:rPr>
      </w:pPr>
      <w:hyperlink w:anchor="_Toc237449008" w:history="1">
        <w:r w:rsidRPr="00363646">
          <w:rPr>
            <w:rStyle w:val="Hyperlink"/>
            <w:noProof/>
          </w:rPr>
          <w:t xml:space="preserve">Azure Files </w:t>
        </w:r>
        <w:r w:rsidRPr="00363646">
          <w:rPr>
            <w:rStyle w:val="Hyperlink"/>
            <w:noProof/>
            <w:bdr w:val="none" w:sz="0" w:space="0" w:color="auto" w:frame="1"/>
          </w:rPr>
          <w:t>Premium Tier</w:t>
        </w:r>
        <w:r>
          <w:rPr>
            <w:noProof/>
            <w:webHidden/>
          </w:rPr>
          <w:tab/>
        </w:r>
        <w:r>
          <w:rPr>
            <w:noProof/>
            <w:webHidden/>
          </w:rPr>
          <w:fldChar w:fldCharType="begin"/>
        </w:r>
        <w:r>
          <w:rPr>
            <w:noProof/>
            <w:webHidden/>
          </w:rPr>
          <w:instrText xml:space="preserve"> PAGEREF _Toc237449008 \h </w:instrText>
        </w:r>
        <w:r>
          <w:rPr>
            <w:noProof/>
            <w:webHidden/>
          </w:rPr>
        </w:r>
        <w:r>
          <w:rPr>
            <w:noProof/>
            <w:webHidden/>
          </w:rPr>
          <w:fldChar w:fldCharType="separate"/>
        </w:r>
        <w:r>
          <w:rPr>
            <w:noProof/>
            <w:webHidden/>
          </w:rPr>
          <w:t>58</w:t>
        </w:r>
        <w:r>
          <w:rPr>
            <w:noProof/>
            <w:webHidden/>
          </w:rPr>
          <w:fldChar w:fldCharType="end"/>
        </w:r>
      </w:hyperlink>
    </w:p>
    <w:p w14:paraId="58941DD6" w14:textId="08CEE9B8" w:rsidR="0030005B" w:rsidRDefault="0030005B">
      <w:pPr>
        <w:pStyle w:val="TOC4"/>
        <w:rPr>
          <w:rFonts w:eastAsiaTheme="minorEastAsia"/>
          <w:smallCaps w:val="0"/>
          <w:noProof/>
          <w:kern w:val="2"/>
          <w:sz w:val="24"/>
          <w:szCs w:val="24"/>
          <w:lang w:val="en-US" w:eastAsia="zh-CN" w:bidi="he-IL"/>
          <w14:ligatures w14:val="standardContextual"/>
        </w:rPr>
      </w:pPr>
      <w:hyperlink w:anchor="_Toc237449009" w:history="1">
        <w:r w:rsidRPr="00363646">
          <w:rPr>
            <w:rStyle w:val="Hyperlink"/>
            <w:noProof/>
          </w:rPr>
          <w:t>Azure Firewall</w:t>
        </w:r>
        <w:r>
          <w:rPr>
            <w:noProof/>
            <w:webHidden/>
          </w:rPr>
          <w:tab/>
        </w:r>
        <w:r>
          <w:rPr>
            <w:noProof/>
            <w:webHidden/>
          </w:rPr>
          <w:fldChar w:fldCharType="begin"/>
        </w:r>
        <w:r>
          <w:rPr>
            <w:noProof/>
            <w:webHidden/>
          </w:rPr>
          <w:instrText xml:space="preserve"> PAGEREF _Toc237449009 \h </w:instrText>
        </w:r>
        <w:r>
          <w:rPr>
            <w:noProof/>
            <w:webHidden/>
          </w:rPr>
        </w:r>
        <w:r>
          <w:rPr>
            <w:noProof/>
            <w:webHidden/>
          </w:rPr>
          <w:fldChar w:fldCharType="separate"/>
        </w:r>
        <w:r>
          <w:rPr>
            <w:noProof/>
            <w:webHidden/>
          </w:rPr>
          <w:t>59</w:t>
        </w:r>
        <w:r>
          <w:rPr>
            <w:noProof/>
            <w:webHidden/>
          </w:rPr>
          <w:fldChar w:fldCharType="end"/>
        </w:r>
      </w:hyperlink>
    </w:p>
    <w:p w14:paraId="45498CB5" w14:textId="793BFC11" w:rsidR="0030005B" w:rsidRDefault="0030005B">
      <w:pPr>
        <w:pStyle w:val="TOC4"/>
        <w:rPr>
          <w:rFonts w:eastAsiaTheme="minorEastAsia"/>
          <w:smallCaps w:val="0"/>
          <w:noProof/>
          <w:kern w:val="2"/>
          <w:sz w:val="24"/>
          <w:szCs w:val="24"/>
          <w:lang w:val="en-US" w:eastAsia="zh-CN" w:bidi="he-IL"/>
          <w14:ligatures w14:val="standardContextual"/>
        </w:rPr>
      </w:pPr>
      <w:hyperlink w:anchor="_Toc237449010" w:history="1">
        <w:r w:rsidRPr="00363646">
          <w:rPr>
            <w:rStyle w:val="Hyperlink"/>
            <w:noProof/>
          </w:rPr>
          <w:t>Azure Fluid Relay</w:t>
        </w:r>
        <w:r>
          <w:rPr>
            <w:noProof/>
            <w:webHidden/>
          </w:rPr>
          <w:tab/>
        </w:r>
        <w:r>
          <w:rPr>
            <w:noProof/>
            <w:webHidden/>
          </w:rPr>
          <w:fldChar w:fldCharType="begin"/>
        </w:r>
        <w:r>
          <w:rPr>
            <w:noProof/>
            <w:webHidden/>
          </w:rPr>
          <w:instrText xml:space="preserve"> PAGEREF _Toc237449010 \h </w:instrText>
        </w:r>
        <w:r>
          <w:rPr>
            <w:noProof/>
            <w:webHidden/>
          </w:rPr>
        </w:r>
        <w:r>
          <w:rPr>
            <w:noProof/>
            <w:webHidden/>
          </w:rPr>
          <w:fldChar w:fldCharType="separate"/>
        </w:r>
        <w:r>
          <w:rPr>
            <w:noProof/>
            <w:webHidden/>
          </w:rPr>
          <w:t>60</w:t>
        </w:r>
        <w:r>
          <w:rPr>
            <w:noProof/>
            <w:webHidden/>
          </w:rPr>
          <w:fldChar w:fldCharType="end"/>
        </w:r>
      </w:hyperlink>
    </w:p>
    <w:p w14:paraId="31A7E029" w14:textId="3A3583DA" w:rsidR="0030005B" w:rsidRDefault="0030005B">
      <w:pPr>
        <w:pStyle w:val="TOC4"/>
        <w:rPr>
          <w:rFonts w:eastAsiaTheme="minorEastAsia"/>
          <w:smallCaps w:val="0"/>
          <w:noProof/>
          <w:kern w:val="2"/>
          <w:sz w:val="24"/>
          <w:szCs w:val="24"/>
          <w:lang w:val="en-US" w:eastAsia="zh-CN" w:bidi="he-IL"/>
          <w14:ligatures w14:val="standardContextual"/>
        </w:rPr>
      </w:pPr>
      <w:hyperlink w:anchor="_Toc237449011" w:history="1">
        <w:r w:rsidRPr="00363646">
          <w:rPr>
            <w:rStyle w:val="Hyperlink"/>
            <w:noProof/>
          </w:rPr>
          <w:t>Azure Front Door und Azure Front Door (klassisch)</w:t>
        </w:r>
        <w:r>
          <w:rPr>
            <w:noProof/>
            <w:webHidden/>
          </w:rPr>
          <w:tab/>
        </w:r>
        <w:r>
          <w:rPr>
            <w:noProof/>
            <w:webHidden/>
          </w:rPr>
          <w:fldChar w:fldCharType="begin"/>
        </w:r>
        <w:r>
          <w:rPr>
            <w:noProof/>
            <w:webHidden/>
          </w:rPr>
          <w:instrText xml:space="preserve"> PAGEREF _Toc237449011 \h </w:instrText>
        </w:r>
        <w:r>
          <w:rPr>
            <w:noProof/>
            <w:webHidden/>
          </w:rPr>
        </w:r>
        <w:r>
          <w:rPr>
            <w:noProof/>
            <w:webHidden/>
          </w:rPr>
          <w:fldChar w:fldCharType="separate"/>
        </w:r>
        <w:r>
          <w:rPr>
            <w:noProof/>
            <w:webHidden/>
          </w:rPr>
          <w:t>60</w:t>
        </w:r>
        <w:r>
          <w:rPr>
            <w:noProof/>
            <w:webHidden/>
          </w:rPr>
          <w:fldChar w:fldCharType="end"/>
        </w:r>
      </w:hyperlink>
    </w:p>
    <w:p w14:paraId="104F47A9" w14:textId="2F6972EF" w:rsidR="0030005B" w:rsidRDefault="0030005B">
      <w:pPr>
        <w:pStyle w:val="TOC4"/>
        <w:rPr>
          <w:rFonts w:eastAsiaTheme="minorEastAsia"/>
          <w:smallCaps w:val="0"/>
          <w:noProof/>
          <w:kern w:val="2"/>
          <w:sz w:val="24"/>
          <w:szCs w:val="24"/>
          <w:lang w:val="en-US" w:eastAsia="zh-CN" w:bidi="he-IL"/>
          <w14:ligatures w14:val="standardContextual"/>
        </w:rPr>
      </w:pPr>
      <w:hyperlink w:anchor="_Toc237449012" w:history="1">
        <w:r w:rsidRPr="00363646">
          <w:rPr>
            <w:rStyle w:val="Hyperlink"/>
            <w:noProof/>
          </w:rPr>
          <w:t>Azure-Funktionen</w:t>
        </w:r>
        <w:r>
          <w:rPr>
            <w:noProof/>
            <w:webHidden/>
          </w:rPr>
          <w:tab/>
        </w:r>
        <w:r>
          <w:rPr>
            <w:noProof/>
            <w:webHidden/>
          </w:rPr>
          <w:fldChar w:fldCharType="begin"/>
        </w:r>
        <w:r>
          <w:rPr>
            <w:noProof/>
            <w:webHidden/>
          </w:rPr>
          <w:instrText xml:space="preserve"> PAGEREF _Toc237449012 \h </w:instrText>
        </w:r>
        <w:r>
          <w:rPr>
            <w:noProof/>
            <w:webHidden/>
          </w:rPr>
        </w:r>
        <w:r>
          <w:rPr>
            <w:noProof/>
            <w:webHidden/>
          </w:rPr>
          <w:fldChar w:fldCharType="separate"/>
        </w:r>
        <w:r>
          <w:rPr>
            <w:noProof/>
            <w:webHidden/>
          </w:rPr>
          <w:t>60</w:t>
        </w:r>
        <w:r>
          <w:rPr>
            <w:noProof/>
            <w:webHidden/>
          </w:rPr>
          <w:fldChar w:fldCharType="end"/>
        </w:r>
      </w:hyperlink>
    </w:p>
    <w:p w14:paraId="4C7CCBCD" w14:textId="540D8610" w:rsidR="0030005B" w:rsidRDefault="0030005B">
      <w:pPr>
        <w:pStyle w:val="TOC4"/>
        <w:rPr>
          <w:rFonts w:eastAsiaTheme="minorEastAsia"/>
          <w:smallCaps w:val="0"/>
          <w:noProof/>
          <w:kern w:val="2"/>
          <w:sz w:val="24"/>
          <w:szCs w:val="24"/>
          <w:lang w:val="en-US" w:eastAsia="zh-CN" w:bidi="he-IL"/>
          <w14:ligatures w14:val="standardContextual"/>
        </w:rPr>
      </w:pPr>
      <w:hyperlink w:anchor="_Toc237449013" w:history="1">
        <w:r w:rsidRPr="00363646">
          <w:rPr>
            <w:rStyle w:val="Hyperlink"/>
            <w:noProof/>
          </w:rPr>
          <w:t>Global Secure Access</w:t>
        </w:r>
        <w:r>
          <w:rPr>
            <w:noProof/>
            <w:webHidden/>
          </w:rPr>
          <w:tab/>
        </w:r>
        <w:r>
          <w:rPr>
            <w:noProof/>
            <w:webHidden/>
          </w:rPr>
          <w:fldChar w:fldCharType="begin"/>
        </w:r>
        <w:r>
          <w:rPr>
            <w:noProof/>
            <w:webHidden/>
          </w:rPr>
          <w:instrText xml:space="preserve"> PAGEREF _Toc237449013 \h </w:instrText>
        </w:r>
        <w:r>
          <w:rPr>
            <w:noProof/>
            <w:webHidden/>
          </w:rPr>
        </w:r>
        <w:r>
          <w:rPr>
            <w:noProof/>
            <w:webHidden/>
          </w:rPr>
          <w:fldChar w:fldCharType="separate"/>
        </w:r>
        <w:r>
          <w:rPr>
            <w:noProof/>
            <w:webHidden/>
          </w:rPr>
          <w:t>61</w:t>
        </w:r>
        <w:r>
          <w:rPr>
            <w:noProof/>
            <w:webHidden/>
          </w:rPr>
          <w:fldChar w:fldCharType="end"/>
        </w:r>
      </w:hyperlink>
    </w:p>
    <w:p w14:paraId="6AA35428" w14:textId="265F7F4F" w:rsidR="0030005B" w:rsidRDefault="0030005B">
      <w:pPr>
        <w:pStyle w:val="TOC4"/>
        <w:rPr>
          <w:rFonts w:eastAsiaTheme="minorEastAsia"/>
          <w:smallCaps w:val="0"/>
          <w:noProof/>
          <w:kern w:val="2"/>
          <w:sz w:val="24"/>
          <w:szCs w:val="24"/>
          <w:lang w:val="en-US" w:eastAsia="zh-CN" w:bidi="he-IL"/>
          <w14:ligatures w14:val="standardContextual"/>
        </w:rPr>
      </w:pPr>
      <w:hyperlink w:anchor="_Toc237449014" w:history="1">
        <w:r w:rsidRPr="00363646">
          <w:rPr>
            <w:rStyle w:val="Hyperlink"/>
            <w:noProof/>
          </w:rPr>
          <w:t>HDInsight</w:t>
        </w:r>
        <w:r>
          <w:rPr>
            <w:noProof/>
            <w:webHidden/>
          </w:rPr>
          <w:tab/>
        </w:r>
        <w:r>
          <w:rPr>
            <w:noProof/>
            <w:webHidden/>
          </w:rPr>
          <w:fldChar w:fldCharType="begin"/>
        </w:r>
        <w:r>
          <w:rPr>
            <w:noProof/>
            <w:webHidden/>
          </w:rPr>
          <w:instrText xml:space="preserve"> PAGEREF _Toc237449014 \h </w:instrText>
        </w:r>
        <w:r>
          <w:rPr>
            <w:noProof/>
            <w:webHidden/>
          </w:rPr>
        </w:r>
        <w:r>
          <w:rPr>
            <w:noProof/>
            <w:webHidden/>
          </w:rPr>
          <w:fldChar w:fldCharType="separate"/>
        </w:r>
        <w:r>
          <w:rPr>
            <w:noProof/>
            <w:webHidden/>
          </w:rPr>
          <w:t>62</w:t>
        </w:r>
        <w:r>
          <w:rPr>
            <w:noProof/>
            <w:webHidden/>
          </w:rPr>
          <w:fldChar w:fldCharType="end"/>
        </w:r>
      </w:hyperlink>
    </w:p>
    <w:p w14:paraId="16E076D3" w14:textId="7D9B81F6" w:rsidR="0030005B" w:rsidRDefault="0030005B">
      <w:pPr>
        <w:pStyle w:val="TOC4"/>
        <w:rPr>
          <w:rFonts w:eastAsiaTheme="minorEastAsia"/>
          <w:smallCaps w:val="0"/>
          <w:noProof/>
          <w:kern w:val="2"/>
          <w:sz w:val="24"/>
          <w:szCs w:val="24"/>
          <w:lang w:val="en-US" w:eastAsia="zh-CN" w:bidi="he-IL"/>
          <w14:ligatures w14:val="standardContextual"/>
        </w:rPr>
      </w:pPr>
      <w:hyperlink w:anchor="_Toc237449015" w:history="1">
        <w:r w:rsidRPr="00363646">
          <w:rPr>
            <w:rStyle w:val="Hyperlink"/>
            <w:noProof/>
          </w:rPr>
          <w:t>Azure Health Data Services (ohne den MedTech-Dienst)</w:t>
        </w:r>
        <w:r>
          <w:rPr>
            <w:noProof/>
            <w:webHidden/>
          </w:rPr>
          <w:tab/>
        </w:r>
        <w:r>
          <w:rPr>
            <w:noProof/>
            <w:webHidden/>
          </w:rPr>
          <w:fldChar w:fldCharType="begin"/>
        </w:r>
        <w:r>
          <w:rPr>
            <w:noProof/>
            <w:webHidden/>
          </w:rPr>
          <w:instrText xml:space="preserve"> PAGEREF _Toc237449015 \h </w:instrText>
        </w:r>
        <w:r>
          <w:rPr>
            <w:noProof/>
            <w:webHidden/>
          </w:rPr>
        </w:r>
        <w:r>
          <w:rPr>
            <w:noProof/>
            <w:webHidden/>
          </w:rPr>
          <w:fldChar w:fldCharType="separate"/>
        </w:r>
        <w:r>
          <w:rPr>
            <w:noProof/>
            <w:webHidden/>
          </w:rPr>
          <w:t>62</w:t>
        </w:r>
        <w:r>
          <w:rPr>
            <w:noProof/>
            <w:webHidden/>
          </w:rPr>
          <w:fldChar w:fldCharType="end"/>
        </w:r>
      </w:hyperlink>
    </w:p>
    <w:p w14:paraId="3C3B2C88" w14:textId="0CC862CB" w:rsidR="0030005B" w:rsidRDefault="0030005B">
      <w:pPr>
        <w:pStyle w:val="TOC4"/>
        <w:rPr>
          <w:rFonts w:eastAsiaTheme="minorEastAsia"/>
          <w:smallCaps w:val="0"/>
          <w:noProof/>
          <w:kern w:val="2"/>
          <w:sz w:val="24"/>
          <w:szCs w:val="24"/>
          <w:lang w:val="en-US" w:eastAsia="zh-CN" w:bidi="he-IL"/>
          <w14:ligatures w14:val="standardContextual"/>
        </w:rPr>
      </w:pPr>
      <w:hyperlink w:anchor="_Toc237449016" w:history="1">
        <w:r w:rsidRPr="00363646">
          <w:rPr>
            <w:rStyle w:val="Hyperlink"/>
            <w:noProof/>
          </w:rPr>
          <w:t>Health Bot</w:t>
        </w:r>
        <w:r>
          <w:rPr>
            <w:noProof/>
            <w:webHidden/>
          </w:rPr>
          <w:tab/>
        </w:r>
        <w:r>
          <w:rPr>
            <w:noProof/>
            <w:webHidden/>
          </w:rPr>
          <w:fldChar w:fldCharType="begin"/>
        </w:r>
        <w:r>
          <w:rPr>
            <w:noProof/>
            <w:webHidden/>
          </w:rPr>
          <w:instrText xml:space="preserve"> PAGEREF _Toc237449016 \h </w:instrText>
        </w:r>
        <w:r>
          <w:rPr>
            <w:noProof/>
            <w:webHidden/>
          </w:rPr>
        </w:r>
        <w:r>
          <w:rPr>
            <w:noProof/>
            <w:webHidden/>
          </w:rPr>
          <w:fldChar w:fldCharType="separate"/>
        </w:r>
        <w:r>
          <w:rPr>
            <w:noProof/>
            <w:webHidden/>
          </w:rPr>
          <w:t>63</w:t>
        </w:r>
        <w:r>
          <w:rPr>
            <w:noProof/>
            <w:webHidden/>
          </w:rPr>
          <w:fldChar w:fldCharType="end"/>
        </w:r>
      </w:hyperlink>
    </w:p>
    <w:p w14:paraId="452839DE" w14:textId="788FAB4C" w:rsidR="0030005B" w:rsidRDefault="0030005B">
      <w:pPr>
        <w:pStyle w:val="TOC4"/>
        <w:rPr>
          <w:rFonts w:eastAsiaTheme="minorEastAsia"/>
          <w:smallCaps w:val="0"/>
          <w:noProof/>
          <w:kern w:val="2"/>
          <w:sz w:val="24"/>
          <w:szCs w:val="24"/>
          <w:lang w:val="en-US" w:eastAsia="zh-CN" w:bidi="he-IL"/>
          <w14:ligatures w14:val="standardContextual"/>
        </w:rPr>
      </w:pPr>
      <w:hyperlink w:anchor="_Toc237449017" w:history="1">
        <w:r w:rsidRPr="00363646">
          <w:rPr>
            <w:rStyle w:val="Hyperlink"/>
            <w:noProof/>
          </w:rPr>
          <w:t>Azure Information Protection</w:t>
        </w:r>
        <w:r>
          <w:rPr>
            <w:noProof/>
            <w:webHidden/>
          </w:rPr>
          <w:tab/>
        </w:r>
        <w:r>
          <w:rPr>
            <w:noProof/>
            <w:webHidden/>
          </w:rPr>
          <w:fldChar w:fldCharType="begin"/>
        </w:r>
        <w:r>
          <w:rPr>
            <w:noProof/>
            <w:webHidden/>
          </w:rPr>
          <w:instrText xml:space="preserve"> PAGEREF _Toc237449017 \h </w:instrText>
        </w:r>
        <w:r>
          <w:rPr>
            <w:noProof/>
            <w:webHidden/>
          </w:rPr>
        </w:r>
        <w:r>
          <w:rPr>
            <w:noProof/>
            <w:webHidden/>
          </w:rPr>
          <w:fldChar w:fldCharType="separate"/>
        </w:r>
        <w:r>
          <w:rPr>
            <w:noProof/>
            <w:webHidden/>
          </w:rPr>
          <w:t>63</w:t>
        </w:r>
        <w:r>
          <w:rPr>
            <w:noProof/>
            <w:webHidden/>
          </w:rPr>
          <w:fldChar w:fldCharType="end"/>
        </w:r>
      </w:hyperlink>
    </w:p>
    <w:p w14:paraId="3340D909" w14:textId="606FFB30" w:rsidR="0030005B" w:rsidRDefault="0030005B">
      <w:pPr>
        <w:pStyle w:val="TOC4"/>
        <w:rPr>
          <w:rFonts w:eastAsiaTheme="minorEastAsia"/>
          <w:smallCaps w:val="0"/>
          <w:noProof/>
          <w:kern w:val="2"/>
          <w:sz w:val="24"/>
          <w:szCs w:val="24"/>
          <w:lang w:val="en-US" w:eastAsia="zh-CN" w:bidi="he-IL"/>
          <w14:ligatures w14:val="standardContextual"/>
        </w:rPr>
      </w:pPr>
      <w:hyperlink w:anchor="_Toc237449018" w:history="1">
        <w:r w:rsidRPr="00363646">
          <w:rPr>
            <w:rStyle w:val="Hyperlink"/>
            <w:noProof/>
          </w:rPr>
          <w:t>Azure IoT Central</w:t>
        </w:r>
        <w:r>
          <w:rPr>
            <w:noProof/>
            <w:webHidden/>
          </w:rPr>
          <w:tab/>
        </w:r>
        <w:r>
          <w:rPr>
            <w:noProof/>
            <w:webHidden/>
          </w:rPr>
          <w:fldChar w:fldCharType="begin"/>
        </w:r>
        <w:r>
          <w:rPr>
            <w:noProof/>
            <w:webHidden/>
          </w:rPr>
          <w:instrText xml:space="preserve"> PAGEREF _Toc237449018 \h </w:instrText>
        </w:r>
        <w:r>
          <w:rPr>
            <w:noProof/>
            <w:webHidden/>
          </w:rPr>
        </w:r>
        <w:r>
          <w:rPr>
            <w:noProof/>
            <w:webHidden/>
          </w:rPr>
          <w:fldChar w:fldCharType="separate"/>
        </w:r>
        <w:r>
          <w:rPr>
            <w:noProof/>
            <w:webHidden/>
          </w:rPr>
          <w:t>63</w:t>
        </w:r>
        <w:r>
          <w:rPr>
            <w:noProof/>
            <w:webHidden/>
          </w:rPr>
          <w:fldChar w:fldCharType="end"/>
        </w:r>
      </w:hyperlink>
    </w:p>
    <w:p w14:paraId="59D2EA83" w14:textId="167E4D79" w:rsidR="0030005B" w:rsidRDefault="0030005B">
      <w:pPr>
        <w:pStyle w:val="TOC4"/>
        <w:rPr>
          <w:rFonts w:eastAsiaTheme="minorEastAsia"/>
          <w:smallCaps w:val="0"/>
          <w:noProof/>
          <w:kern w:val="2"/>
          <w:sz w:val="24"/>
          <w:szCs w:val="24"/>
          <w:lang w:val="en-US" w:eastAsia="zh-CN" w:bidi="he-IL"/>
          <w14:ligatures w14:val="standardContextual"/>
        </w:rPr>
      </w:pPr>
      <w:hyperlink w:anchor="_Toc237449019" w:history="1">
        <w:r w:rsidRPr="00363646">
          <w:rPr>
            <w:rStyle w:val="Hyperlink"/>
            <w:noProof/>
          </w:rPr>
          <w:t>Azure IoT Hub</w:t>
        </w:r>
        <w:r>
          <w:rPr>
            <w:noProof/>
            <w:webHidden/>
          </w:rPr>
          <w:tab/>
        </w:r>
        <w:r>
          <w:rPr>
            <w:noProof/>
            <w:webHidden/>
          </w:rPr>
          <w:fldChar w:fldCharType="begin"/>
        </w:r>
        <w:r>
          <w:rPr>
            <w:noProof/>
            <w:webHidden/>
          </w:rPr>
          <w:instrText xml:space="preserve"> PAGEREF _Toc237449019 \h </w:instrText>
        </w:r>
        <w:r>
          <w:rPr>
            <w:noProof/>
            <w:webHidden/>
          </w:rPr>
        </w:r>
        <w:r>
          <w:rPr>
            <w:noProof/>
            <w:webHidden/>
          </w:rPr>
          <w:fldChar w:fldCharType="separate"/>
        </w:r>
        <w:r>
          <w:rPr>
            <w:noProof/>
            <w:webHidden/>
          </w:rPr>
          <w:t>64</w:t>
        </w:r>
        <w:r>
          <w:rPr>
            <w:noProof/>
            <w:webHidden/>
          </w:rPr>
          <w:fldChar w:fldCharType="end"/>
        </w:r>
      </w:hyperlink>
    </w:p>
    <w:p w14:paraId="0B7B7EEE" w14:textId="6639CFBE" w:rsidR="0030005B" w:rsidRDefault="0030005B">
      <w:pPr>
        <w:pStyle w:val="TOC4"/>
        <w:rPr>
          <w:rFonts w:eastAsiaTheme="minorEastAsia"/>
          <w:smallCaps w:val="0"/>
          <w:noProof/>
          <w:kern w:val="2"/>
          <w:sz w:val="24"/>
          <w:szCs w:val="24"/>
          <w:lang w:val="en-US" w:eastAsia="zh-CN" w:bidi="he-IL"/>
          <w14:ligatures w14:val="standardContextual"/>
        </w:rPr>
      </w:pPr>
      <w:hyperlink w:anchor="_Toc237449020" w:history="1">
        <w:r w:rsidRPr="00363646">
          <w:rPr>
            <w:rStyle w:val="Hyperlink"/>
            <w:noProof/>
          </w:rPr>
          <w:t>Schlüsseltresor</w:t>
        </w:r>
        <w:r>
          <w:rPr>
            <w:noProof/>
            <w:webHidden/>
          </w:rPr>
          <w:tab/>
        </w:r>
        <w:r>
          <w:rPr>
            <w:noProof/>
            <w:webHidden/>
          </w:rPr>
          <w:fldChar w:fldCharType="begin"/>
        </w:r>
        <w:r>
          <w:rPr>
            <w:noProof/>
            <w:webHidden/>
          </w:rPr>
          <w:instrText xml:space="preserve"> PAGEREF _Toc237449020 \h </w:instrText>
        </w:r>
        <w:r>
          <w:rPr>
            <w:noProof/>
            <w:webHidden/>
          </w:rPr>
        </w:r>
        <w:r>
          <w:rPr>
            <w:noProof/>
            <w:webHidden/>
          </w:rPr>
          <w:fldChar w:fldCharType="separate"/>
        </w:r>
        <w:r>
          <w:rPr>
            <w:noProof/>
            <w:webHidden/>
          </w:rPr>
          <w:t>65</w:t>
        </w:r>
        <w:r>
          <w:rPr>
            <w:noProof/>
            <w:webHidden/>
          </w:rPr>
          <w:fldChar w:fldCharType="end"/>
        </w:r>
      </w:hyperlink>
    </w:p>
    <w:p w14:paraId="1BC1340C" w14:textId="7E9E94ED" w:rsidR="0030005B" w:rsidRDefault="0030005B">
      <w:pPr>
        <w:pStyle w:val="TOC4"/>
        <w:rPr>
          <w:rFonts w:eastAsiaTheme="minorEastAsia"/>
          <w:smallCaps w:val="0"/>
          <w:noProof/>
          <w:kern w:val="2"/>
          <w:sz w:val="24"/>
          <w:szCs w:val="24"/>
          <w:lang w:val="en-US" w:eastAsia="zh-CN" w:bidi="he-IL"/>
          <w14:ligatures w14:val="standardContextual"/>
        </w:rPr>
      </w:pPr>
      <w:hyperlink w:anchor="_Toc237449021" w:history="1">
        <w:r w:rsidRPr="00363646">
          <w:rPr>
            <w:rStyle w:val="Hyperlink"/>
            <w:noProof/>
          </w:rPr>
          <w:t>Azure-Schlüsseltresor – Verwaltetes HSM</w:t>
        </w:r>
        <w:r>
          <w:rPr>
            <w:noProof/>
            <w:webHidden/>
          </w:rPr>
          <w:tab/>
        </w:r>
        <w:r>
          <w:rPr>
            <w:noProof/>
            <w:webHidden/>
          </w:rPr>
          <w:fldChar w:fldCharType="begin"/>
        </w:r>
        <w:r>
          <w:rPr>
            <w:noProof/>
            <w:webHidden/>
          </w:rPr>
          <w:instrText xml:space="preserve"> PAGEREF _Toc237449021 \h </w:instrText>
        </w:r>
        <w:r>
          <w:rPr>
            <w:noProof/>
            <w:webHidden/>
          </w:rPr>
        </w:r>
        <w:r>
          <w:rPr>
            <w:noProof/>
            <w:webHidden/>
          </w:rPr>
          <w:fldChar w:fldCharType="separate"/>
        </w:r>
        <w:r>
          <w:rPr>
            <w:noProof/>
            <w:webHidden/>
          </w:rPr>
          <w:t>65</w:t>
        </w:r>
        <w:r>
          <w:rPr>
            <w:noProof/>
            <w:webHidden/>
          </w:rPr>
          <w:fldChar w:fldCharType="end"/>
        </w:r>
      </w:hyperlink>
    </w:p>
    <w:p w14:paraId="5DF6840E" w14:textId="1913A3ED" w:rsidR="0030005B" w:rsidRDefault="0030005B">
      <w:pPr>
        <w:pStyle w:val="TOC4"/>
        <w:rPr>
          <w:rFonts w:eastAsiaTheme="minorEastAsia"/>
          <w:smallCaps w:val="0"/>
          <w:noProof/>
          <w:kern w:val="2"/>
          <w:sz w:val="24"/>
          <w:szCs w:val="24"/>
          <w:lang w:val="en-US" w:eastAsia="zh-CN" w:bidi="he-IL"/>
          <w14:ligatures w14:val="standardContextual"/>
        </w:rPr>
      </w:pPr>
      <w:hyperlink w:anchor="_Toc237449022" w:history="1">
        <w:r w:rsidRPr="00363646">
          <w:rPr>
            <w:rStyle w:val="Hyperlink"/>
            <w:noProof/>
          </w:rPr>
          <w:t>Azure Kubernetes-Dienst (AKD)</w:t>
        </w:r>
        <w:r>
          <w:rPr>
            <w:noProof/>
            <w:webHidden/>
          </w:rPr>
          <w:tab/>
        </w:r>
        <w:r>
          <w:rPr>
            <w:noProof/>
            <w:webHidden/>
          </w:rPr>
          <w:fldChar w:fldCharType="begin"/>
        </w:r>
        <w:r>
          <w:rPr>
            <w:noProof/>
            <w:webHidden/>
          </w:rPr>
          <w:instrText xml:space="preserve"> PAGEREF _Toc237449022 \h </w:instrText>
        </w:r>
        <w:r>
          <w:rPr>
            <w:noProof/>
            <w:webHidden/>
          </w:rPr>
        </w:r>
        <w:r>
          <w:rPr>
            <w:noProof/>
            <w:webHidden/>
          </w:rPr>
          <w:fldChar w:fldCharType="separate"/>
        </w:r>
        <w:r>
          <w:rPr>
            <w:noProof/>
            <w:webHidden/>
          </w:rPr>
          <w:t>66</w:t>
        </w:r>
        <w:r>
          <w:rPr>
            <w:noProof/>
            <w:webHidden/>
          </w:rPr>
          <w:fldChar w:fldCharType="end"/>
        </w:r>
      </w:hyperlink>
    </w:p>
    <w:p w14:paraId="5534E2CE" w14:textId="733650AE" w:rsidR="0030005B" w:rsidRDefault="0030005B">
      <w:pPr>
        <w:pStyle w:val="TOC4"/>
        <w:rPr>
          <w:rFonts w:eastAsiaTheme="minorEastAsia"/>
          <w:smallCaps w:val="0"/>
          <w:noProof/>
          <w:kern w:val="2"/>
          <w:sz w:val="24"/>
          <w:szCs w:val="24"/>
          <w:lang w:val="en-US" w:eastAsia="zh-CN" w:bidi="he-IL"/>
          <w14:ligatures w14:val="standardContextual"/>
        </w:rPr>
      </w:pPr>
      <w:hyperlink w:anchor="_Toc237449023" w:history="1">
        <w:r w:rsidRPr="00363646">
          <w:rPr>
            <w:rStyle w:val="Hyperlink"/>
            <w:noProof/>
          </w:rPr>
          <w:t>Automatische Cluster des Azure Kubernetes Service (AKS)</w:t>
        </w:r>
        <w:r>
          <w:rPr>
            <w:noProof/>
            <w:webHidden/>
          </w:rPr>
          <w:tab/>
        </w:r>
        <w:r>
          <w:rPr>
            <w:noProof/>
            <w:webHidden/>
          </w:rPr>
          <w:fldChar w:fldCharType="begin"/>
        </w:r>
        <w:r>
          <w:rPr>
            <w:noProof/>
            <w:webHidden/>
          </w:rPr>
          <w:instrText xml:space="preserve"> PAGEREF _Toc237449023 \h </w:instrText>
        </w:r>
        <w:r>
          <w:rPr>
            <w:noProof/>
            <w:webHidden/>
          </w:rPr>
        </w:r>
        <w:r>
          <w:rPr>
            <w:noProof/>
            <w:webHidden/>
          </w:rPr>
          <w:fldChar w:fldCharType="separate"/>
        </w:r>
        <w:r>
          <w:rPr>
            <w:noProof/>
            <w:webHidden/>
          </w:rPr>
          <w:t>66</w:t>
        </w:r>
        <w:r>
          <w:rPr>
            <w:noProof/>
            <w:webHidden/>
          </w:rPr>
          <w:fldChar w:fldCharType="end"/>
        </w:r>
      </w:hyperlink>
    </w:p>
    <w:p w14:paraId="68EDCAE1" w14:textId="025CDC20" w:rsidR="0030005B" w:rsidRDefault="0030005B">
      <w:pPr>
        <w:pStyle w:val="TOC4"/>
        <w:rPr>
          <w:rFonts w:eastAsiaTheme="minorEastAsia"/>
          <w:smallCaps w:val="0"/>
          <w:noProof/>
          <w:kern w:val="2"/>
          <w:sz w:val="24"/>
          <w:szCs w:val="24"/>
          <w:lang w:val="en-US" w:eastAsia="zh-CN" w:bidi="he-IL"/>
          <w14:ligatures w14:val="standardContextual"/>
        </w:rPr>
      </w:pPr>
      <w:hyperlink w:anchor="_Toc237449024" w:history="1">
        <w:r w:rsidRPr="00363646">
          <w:rPr>
            <w:rStyle w:val="Hyperlink"/>
            <w:noProof/>
          </w:rPr>
          <w:t>Azure Lab-Dienste</w:t>
        </w:r>
        <w:r>
          <w:rPr>
            <w:noProof/>
            <w:webHidden/>
          </w:rPr>
          <w:tab/>
        </w:r>
        <w:r>
          <w:rPr>
            <w:noProof/>
            <w:webHidden/>
          </w:rPr>
          <w:fldChar w:fldCharType="begin"/>
        </w:r>
        <w:r>
          <w:rPr>
            <w:noProof/>
            <w:webHidden/>
          </w:rPr>
          <w:instrText xml:space="preserve"> PAGEREF _Toc237449024 \h </w:instrText>
        </w:r>
        <w:r>
          <w:rPr>
            <w:noProof/>
            <w:webHidden/>
          </w:rPr>
        </w:r>
        <w:r>
          <w:rPr>
            <w:noProof/>
            <w:webHidden/>
          </w:rPr>
          <w:fldChar w:fldCharType="separate"/>
        </w:r>
        <w:r>
          <w:rPr>
            <w:noProof/>
            <w:webHidden/>
          </w:rPr>
          <w:t>68</w:t>
        </w:r>
        <w:r>
          <w:rPr>
            <w:noProof/>
            <w:webHidden/>
          </w:rPr>
          <w:fldChar w:fldCharType="end"/>
        </w:r>
      </w:hyperlink>
    </w:p>
    <w:p w14:paraId="058D15F9" w14:textId="16F3B21D" w:rsidR="0030005B" w:rsidRDefault="0030005B">
      <w:pPr>
        <w:pStyle w:val="TOC4"/>
        <w:rPr>
          <w:rFonts w:eastAsiaTheme="minorEastAsia"/>
          <w:smallCaps w:val="0"/>
          <w:noProof/>
          <w:kern w:val="2"/>
          <w:sz w:val="24"/>
          <w:szCs w:val="24"/>
          <w:lang w:val="en-US" w:eastAsia="zh-CN" w:bidi="he-IL"/>
          <w14:ligatures w14:val="standardContextual"/>
        </w:rPr>
      </w:pPr>
      <w:hyperlink w:anchor="_Toc237449025" w:history="1">
        <w:r w:rsidRPr="00363646">
          <w:rPr>
            <w:rStyle w:val="Hyperlink"/>
            <w:noProof/>
          </w:rPr>
          <w:t>Azure Load Balancer</w:t>
        </w:r>
        <w:r>
          <w:rPr>
            <w:noProof/>
            <w:webHidden/>
          </w:rPr>
          <w:tab/>
        </w:r>
        <w:r>
          <w:rPr>
            <w:noProof/>
            <w:webHidden/>
          </w:rPr>
          <w:fldChar w:fldCharType="begin"/>
        </w:r>
        <w:r>
          <w:rPr>
            <w:noProof/>
            <w:webHidden/>
          </w:rPr>
          <w:instrText xml:space="preserve"> PAGEREF _Toc237449025 \h </w:instrText>
        </w:r>
        <w:r>
          <w:rPr>
            <w:noProof/>
            <w:webHidden/>
          </w:rPr>
        </w:r>
        <w:r>
          <w:rPr>
            <w:noProof/>
            <w:webHidden/>
          </w:rPr>
          <w:fldChar w:fldCharType="separate"/>
        </w:r>
        <w:r>
          <w:rPr>
            <w:noProof/>
            <w:webHidden/>
          </w:rPr>
          <w:t>68</w:t>
        </w:r>
        <w:r>
          <w:rPr>
            <w:noProof/>
            <w:webHidden/>
          </w:rPr>
          <w:fldChar w:fldCharType="end"/>
        </w:r>
      </w:hyperlink>
    </w:p>
    <w:p w14:paraId="1090AB15" w14:textId="3742D1B1" w:rsidR="0030005B" w:rsidRDefault="0030005B">
      <w:pPr>
        <w:pStyle w:val="TOC4"/>
        <w:rPr>
          <w:rFonts w:eastAsiaTheme="minorEastAsia"/>
          <w:smallCaps w:val="0"/>
          <w:noProof/>
          <w:kern w:val="2"/>
          <w:sz w:val="24"/>
          <w:szCs w:val="24"/>
          <w:lang w:val="en-US" w:eastAsia="zh-CN" w:bidi="he-IL"/>
          <w14:ligatures w14:val="standardContextual"/>
        </w:rPr>
      </w:pPr>
      <w:hyperlink w:anchor="_Toc237449026" w:history="1">
        <w:r w:rsidRPr="00363646">
          <w:rPr>
            <w:rStyle w:val="Hyperlink"/>
            <w:noProof/>
          </w:rPr>
          <w:t>Azure-Auslastungstests</w:t>
        </w:r>
        <w:r>
          <w:rPr>
            <w:noProof/>
            <w:webHidden/>
          </w:rPr>
          <w:tab/>
        </w:r>
        <w:r>
          <w:rPr>
            <w:noProof/>
            <w:webHidden/>
          </w:rPr>
          <w:fldChar w:fldCharType="begin"/>
        </w:r>
        <w:r>
          <w:rPr>
            <w:noProof/>
            <w:webHidden/>
          </w:rPr>
          <w:instrText xml:space="preserve"> PAGEREF _Toc237449026 \h </w:instrText>
        </w:r>
        <w:r>
          <w:rPr>
            <w:noProof/>
            <w:webHidden/>
          </w:rPr>
        </w:r>
        <w:r>
          <w:rPr>
            <w:noProof/>
            <w:webHidden/>
          </w:rPr>
          <w:fldChar w:fldCharType="separate"/>
        </w:r>
        <w:r>
          <w:rPr>
            <w:noProof/>
            <w:webHidden/>
          </w:rPr>
          <w:t>69</w:t>
        </w:r>
        <w:r>
          <w:rPr>
            <w:noProof/>
            <w:webHidden/>
          </w:rPr>
          <w:fldChar w:fldCharType="end"/>
        </w:r>
      </w:hyperlink>
    </w:p>
    <w:p w14:paraId="18FFEBE5" w14:textId="76497C6C" w:rsidR="0030005B" w:rsidRDefault="0030005B">
      <w:pPr>
        <w:pStyle w:val="TOC4"/>
        <w:rPr>
          <w:rFonts w:eastAsiaTheme="minorEastAsia"/>
          <w:smallCaps w:val="0"/>
          <w:noProof/>
          <w:kern w:val="2"/>
          <w:sz w:val="24"/>
          <w:szCs w:val="24"/>
          <w:lang w:val="en-US" w:eastAsia="zh-CN" w:bidi="he-IL"/>
          <w14:ligatures w14:val="standardContextual"/>
        </w:rPr>
      </w:pPr>
      <w:hyperlink w:anchor="_Toc237449027" w:history="1">
        <w:r w:rsidRPr="00363646">
          <w:rPr>
            <w:rStyle w:val="Hyperlink"/>
            <w:noProof/>
          </w:rPr>
          <w:t>Log Analytics (Abfrageverfügbarkeits-SLA)</w:t>
        </w:r>
        <w:r>
          <w:rPr>
            <w:noProof/>
            <w:webHidden/>
          </w:rPr>
          <w:tab/>
        </w:r>
        <w:r>
          <w:rPr>
            <w:noProof/>
            <w:webHidden/>
          </w:rPr>
          <w:fldChar w:fldCharType="begin"/>
        </w:r>
        <w:r>
          <w:rPr>
            <w:noProof/>
            <w:webHidden/>
          </w:rPr>
          <w:instrText xml:space="preserve"> PAGEREF _Toc237449027 \h </w:instrText>
        </w:r>
        <w:r>
          <w:rPr>
            <w:noProof/>
            <w:webHidden/>
          </w:rPr>
        </w:r>
        <w:r>
          <w:rPr>
            <w:noProof/>
            <w:webHidden/>
          </w:rPr>
          <w:fldChar w:fldCharType="separate"/>
        </w:r>
        <w:r>
          <w:rPr>
            <w:noProof/>
            <w:webHidden/>
          </w:rPr>
          <w:t>69</w:t>
        </w:r>
        <w:r>
          <w:rPr>
            <w:noProof/>
            <w:webHidden/>
          </w:rPr>
          <w:fldChar w:fldCharType="end"/>
        </w:r>
      </w:hyperlink>
    </w:p>
    <w:p w14:paraId="2D096A90" w14:textId="6B272981" w:rsidR="0030005B" w:rsidRDefault="0030005B">
      <w:pPr>
        <w:pStyle w:val="TOC4"/>
        <w:rPr>
          <w:rFonts w:eastAsiaTheme="minorEastAsia"/>
          <w:smallCaps w:val="0"/>
          <w:noProof/>
          <w:kern w:val="2"/>
          <w:sz w:val="24"/>
          <w:szCs w:val="24"/>
          <w:lang w:val="en-US" w:eastAsia="zh-CN" w:bidi="he-IL"/>
          <w14:ligatures w14:val="standardContextual"/>
        </w:rPr>
      </w:pPr>
      <w:hyperlink w:anchor="_Toc237449028" w:history="1">
        <w:r w:rsidRPr="00363646">
          <w:rPr>
            <w:rStyle w:val="Hyperlink"/>
            <w:noProof/>
          </w:rPr>
          <w:t>Logik-Apps</w:t>
        </w:r>
        <w:r>
          <w:rPr>
            <w:noProof/>
            <w:webHidden/>
          </w:rPr>
          <w:tab/>
        </w:r>
        <w:r>
          <w:rPr>
            <w:noProof/>
            <w:webHidden/>
          </w:rPr>
          <w:fldChar w:fldCharType="begin"/>
        </w:r>
        <w:r>
          <w:rPr>
            <w:noProof/>
            <w:webHidden/>
          </w:rPr>
          <w:instrText xml:space="preserve"> PAGEREF _Toc237449028 \h </w:instrText>
        </w:r>
        <w:r>
          <w:rPr>
            <w:noProof/>
            <w:webHidden/>
          </w:rPr>
        </w:r>
        <w:r>
          <w:rPr>
            <w:noProof/>
            <w:webHidden/>
          </w:rPr>
          <w:fldChar w:fldCharType="separate"/>
        </w:r>
        <w:r>
          <w:rPr>
            <w:noProof/>
            <w:webHidden/>
          </w:rPr>
          <w:t>70</w:t>
        </w:r>
        <w:r>
          <w:rPr>
            <w:noProof/>
            <w:webHidden/>
          </w:rPr>
          <w:fldChar w:fldCharType="end"/>
        </w:r>
      </w:hyperlink>
    </w:p>
    <w:p w14:paraId="5D49DCE5" w14:textId="635C7C56" w:rsidR="0030005B" w:rsidRDefault="0030005B">
      <w:pPr>
        <w:pStyle w:val="TOC4"/>
        <w:rPr>
          <w:rFonts w:eastAsiaTheme="minorEastAsia"/>
          <w:smallCaps w:val="0"/>
          <w:noProof/>
          <w:kern w:val="2"/>
          <w:sz w:val="24"/>
          <w:szCs w:val="24"/>
          <w:lang w:val="en-US" w:eastAsia="zh-CN" w:bidi="he-IL"/>
          <w14:ligatures w14:val="standardContextual"/>
        </w:rPr>
      </w:pPr>
      <w:hyperlink w:anchor="_Toc237449029" w:history="1">
        <w:r w:rsidRPr="00363646">
          <w:rPr>
            <w:rStyle w:val="Hyperlink"/>
            <w:noProof/>
          </w:rPr>
          <w:t>Azure – Maschinelles Lernen</w:t>
        </w:r>
        <w:r>
          <w:rPr>
            <w:noProof/>
            <w:webHidden/>
          </w:rPr>
          <w:tab/>
        </w:r>
        <w:r>
          <w:rPr>
            <w:noProof/>
            <w:webHidden/>
          </w:rPr>
          <w:fldChar w:fldCharType="begin"/>
        </w:r>
        <w:r>
          <w:rPr>
            <w:noProof/>
            <w:webHidden/>
          </w:rPr>
          <w:instrText xml:space="preserve"> PAGEREF _Toc237449029 \h </w:instrText>
        </w:r>
        <w:r>
          <w:rPr>
            <w:noProof/>
            <w:webHidden/>
          </w:rPr>
        </w:r>
        <w:r>
          <w:rPr>
            <w:noProof/>
            <w:webHidden/>
          </w:rPr>
          <w:fldChar w:fldCharType="separate"/>
        </w:r>
        <w:r>
          <w:rPr>
            <w:noProof/>
            <w:webHidden/>
          </w:rPr>
          <w:t>70</w:t>
        </w:r>
        <w:r>
          <w:rPr>
            <w:noProof/>
            <w:webHidden/>
          </w:rPr>
          <w:fldChar w:fldCharType="end"/>
        </w:r>
      </w:hyperlink>
    </w:p>
    <w:p w14:paraId="75AC1B13" w14:textId="1766FC5C" w:rsidR="0030005B" w:rsidRDefault="0030005B">
      <w:pPr>
        <w:pStyle w:val="TOC4"/>
        <w:rPr>
          <w:rFonts w:eastAsiaTheme="minorEastAsia"/>
          <w:smallCaps w:val="0"/>
          <w:noProof/>
          <w:kern w:val="2"/>
          <w:sz w:val="24"/>
          <w:szCs w:val="24"/>
          <w:lang w:val="en-US" w:eastAsia="zh-CN" w:bidi="he-IL"/>
          <w14:ligatures w14:val="standardContextual"/>
        </w:rPr>
      </w:pPr>
      <w:hyperlink w:anchor="_Toc237449030" w:history="1">
        <w:r w:rsidRPr="00363646">
          <w:rPr>
            <w:rStyle w:val="Hyperlink"/>
            <w:noProof/>
          </w:rPr>
          <w:t>Azure Managed Grafana</w:t>
        </w:r>
        <w:r>
          <w:rPr>
            <w:noProof/>
            <w:webHidden/>
          </w:rPr>
          <w:tab/>
        </w:r>
        <w:r>
          <w:rPr>
            <w:noProof/>
            <w:webHidden/>
          </w:rPr>
          <w:fldChar w:fldCharType="begin"/>
        </w:r>
        <w:r>
          <w:rPr>
            <w:noProof/>
            <w:webHidden/>
          </w:rPr>
          <w:instrText xml:space="preserve"> PAGEREF _Toc237449030 \h </w:instrText>
        </w:r>
        <w:r>
          <w:rPr>
            <w:noProof/>
            <w:webHidden/>
          </w:rPr>
        </w:r>
        <w:r>
          <w:rPr>
            <w:noProof/>
            <w:webHidden/>
          </w:rPr>
          <w:fldChar w:fldCharType="separate"/>
        </w:r>
        <w:r>
          <w:rPr>
            <w:noProof/>
            <w:webHidden/>
          </w:rPr>
          <w:t>71</w:t>
        </w:r>
        <w:r>
          <w:rPr>
            <w:noProof/>
            <w:webHidden/>
          </w:rPr>
          <w:fldChar w:fldCharType="end"/>
        </w:r>
      </w:hyperlink>
    </w:p>
    <w:p w14:paraId="66979898" w14:textId="50BED2F7" w:rsidR="0030005B" w:rsidRDefault="0030005B">
      <w:pPr>
        <w:pStyle w:val="TOC4"/>
        <w:rPr>
          <w:rFonts w:eastAsiaTheme="minorEastAsia"/>
          <w:smallCaps w:val="0"/>
          <w:noProof/>
          <w:kern w:val="2"/>
          <w:sz w:val="24"/>
          <w:szCs w:val="24"/>
          <w:lang w:val="en-US" w:eastAsia="zh-CN" w:bidi="he-IL"/>
          <w14:ligatures w14:val="standardContextual"/>
        </w:rPr>
      </w:pPr>
      <w:hyperlink w:anchor="_Toc237449031" w:history="1">
        <w:r w:rsidRPr="00363646">
          <w:rPr>
            <w:rStyle w:val="Hyperlink"/>
            <w:noProof/>
          </w:rPr>
          <w:t>Verwaltete Azure-Instanz für Apache Cassandra</w:t>
        </w:r>
        <w:r>
          <w:rPr>
            <w:noProof/>
            <w:webHidden/>
          </w:rPr>
          <w:tab/>
        </w:r>
        <w:r>
          <w:rPr>
            <w:noProof/>
            <w:webHidden/>
          </w:rPr>
          <w:fldChar w:fldCharType="begin"/>
        </w:r>
        <w:r>
          <w:rPr>
            <w:noProof/>
            <w:webHidden/>
          </w:rPr>
          <w:instrText xml:space="preserve"> PAGEREF _Toc237449031 \h </w:instrText>
        </w:r>
        <w:r>
          <w:rPr>
            <w:noProof/>
            <w:webHidden/>
          </w:rPr>
        </w:r>
        <w:r>
          <w:rPr>
            <w:noProof/>
            <w:webHidden/>
          </w:rPr>
          <w:fldChar w:fldCharType="separate"/>
        </w:r>
        <w:r>
          <w:rPr>
            <w:noProof/>
            <w:webHidden/>
          </w:rPr>
          <w:t>71</w:t>
        </w:r>
        <w:r>
          <w:rPr>
            <w:noProof/>
            <w:webHidden/>
          </w:rPr>
          <w:fldChar w:fldCharType="end"/>
        </w:r>
      </w:hyperlink>
    </w:p>
    <w:p w14:paraId="60C5E040" w14:textId="5710678A" w:rsidR="0030005B" w:rsidRDefault="0030005B">
      <w:pPr>
        <w:pStyle w:val="TOC4"/>
        <w:rPr>
          <w:rFonts w:eastAsiaTheme="minorEastAsia"/>
          <w:smallCaps w:val="0"/>
          <w:noProof/>
          <w:kern w:val="2"/>
          <w:sz w:val="24"/>
          <w:szCs w:val="24"/>
          <w:lang w:val="en-US" w:eastAsia="zh-CN" w:bidi="he-IL"/>
          <w14:ligatures w14:val="standardContextual"/>
        </w:rPr>
      </w:pPr>
      <w:hyperlink w:anchor="_Toc237449032" w:history="1">
        <w:r w:rsidRPr="00363646">
          <w:rPr>
            <w:rStyle w:val="Hyperlink"/>
            <w:noProof/>
          </w:rPr>
          <w:t>Azure Maps</w:t>
        </w:r>
        <w:r>
          <w:rPr>
            <w:noProof/>
            <w:webHidden/>
          </w:rPr>
          <w:tab/>
        </w:r>
        <w:r>
          <w:rPr>
            <w:noProof/>
            <w:webHidden/>
          </w:rPr>
          <w:fldChar w:fldCharType="begin"/>
        </w:r>
        <w:r>
          <w:rPr>
            <w:noProof/>
            <w:webHidden/>
          </w:rPr>
          <w:instrText xml:space="preserve"> PAGEREF _Toc237449032 \h </w:instrText>
        </w:r>
        <w:r>
          <w:rPr>
            <w:noProof/>
            <w:webHidden/>
          </w:rPr>
        </w:r>
        <w:r>
          <w:rPr>
            <w:noProof/>
            <w:webHidden/>
          </w:rPr>
          <w:fldChar w:fldCharType="separate"/>
        </w:r>
        <w:r>
          <w:rPr>
            <w:noProof/>
            <w:webHidden/>
          </w:rPr>
          <w:t>72</w:t>
        </w:r>
        <w:r>
          <w:rPr>
            <w:noProof/>
            <w:webHidden/>
          </w:rPr>
          <w:fldChar w:fldCharType="end"/>
        </w:r>
      </w:hyperlink>
    </w:p>
    <w:p w14:paraId="2238D9B5" w14:textId="4236420B" w:rsidR="0030005B" w:rsidRDefault="0030005B">
      <w:pPr>
        <w:pStyle w:val="TOC4"/>
        <w:rPr>
          <w:rFonts w:eastAsiaTheme="minorEastAsia"/>
          <w:smallCaps w:val="0"/>
          <w:noProof/>
          <w:kern w:val="2"/>
          <w:sz w:val="24"/>
          <w:szCs w:val="24"/>
          <w:lang w:val="en-US" w:eastAsia="zh-CN" w:bidi="he-IL"/>
          <w14:ligatures w14:val="standardContextual"/>
        </w:rPr>
      </w:pPr>
      <w:hyperlink w:anchor="_Toc237449033" w:history="1">
        <w:r w:rsidRPr="00363646">
          <w:rPr>
            <w:rStyle w:val="Hyperlink"/>
            <w:noProof/>
          </w:rPr>
          <w:t>Mediendienste</w:t>
        </w:r>
        <w:r>
          <w:rPr>
            <w:noProof/>
            <w:webHidden/>
          </w:rPr>
          <w:tab/>
        </w:r>
        <w:r>
          <w:rPr>
            <w:noProof/>
            <w:webHidden/>
          </w:rPr>
          <w:fldChar w:fldCharType="begin"/>
        </w:r>
        <w:r>
          <w:rPr>
            <w:noProof/>
            <w:webHidden/>
          </w:rPr>
          <w:instrText xml:space="preserve"> PAGEREF _Toc237449033 \h </w:instrText>
        </w:r>
        <w:r>
          <w:rPr>
            <w:noProof/>
            <w:webHidden/>
          </w:rPr>
        </w:r>
        <w:r>
          <w:rPr>
            <w:noProof/>
            <w:webHidden/>
          </w:rPr>
          <w:fldChar w:fldCharType="separate"/>
        </w:r>
        <w:r>
          <w:rPr>
            <w:noProof/>
            <w:webHidden/>
          </w:rPr>
          <w:t>73</w:t>
        </w:r>
        <w:r>
          <w:rPr>
            <w:noProof/>
            <w:webHidden/>
          </w:rPr>
          <w:fldChar w:fldCharType="end"/>
        </w:r>
      </w:hyperlink>
    </w:p>
    <w:p w14:paraId="7A04C227" w14:textId="5D5FF247" w:rsidR="0030005B" w:rsidRDefault="0030005B">
      <w:pPr>
        <w:pStyle w:val="TOC4"/>
        <w:rPr>
          <w:rFonts w:eastAsiaTheme="minorEastAsia"/>
          <w:smallCaps w:val="0"/>
          <w:noProof/>
          <w:kern w:val="2"/>
          <w:sz w:val="24"/>
          <w:szCs w:val="24"/>
          <w:lang w:val="en-US" w:eastAsia="zh-CN" w:bidi="he-IL"/>
          <w14:ligatures w14:val="standardContextual"/>
        </w:rPr>
      </w:pPr>
      <w:hyperlink w:anchor="_Toc237449034" w:history="1">
        <w:r w:rsidRPr="00363646">
          <w:rPr>
            <w:rStyle w:val="Hyperlink"/>
            <w:noProof/>
          </w:rPr>
          <w:t>MedTech-Dienst</w:t>
        </w:r>
        <w:r>
          <w:rPr>
            <w:noProof/>
            <w:webHidden/>
          </w:rPr>
          <w:tab/>
        </w:r>
        <w:r>
          <w:rPr>
            <w:noProof/>
            <w:webHidden/>
          </w:rPr>
          <w:fldChar w:fldCharType="begin"/>
        </w:r>
        <w:r>
          <w:rPr>
            <w:noProof/>
            <w:webHidden/>
          </w:rPr>
          <w:instrText xml:space="preserve"> PAGEREF _Toc237449034 \h </w:instrText>
        </w:r>
        <w:r>
          <w:rPr>
            <w:noProof/>
            <w:webHidden/>
          </w:rPr>
        </w:r>
        <w:r>
          <w:rPr>
            <w:noProof/>
            <w:webHidden/>
          </w:rPr>
          <w:fldChar w:fldCharType="separate"/>
        </w:r>
        <w:r>
          <w:rPr>
            <w:noProof/>
            <w:webHidden/>
          </w:rPr>
          <w:t>75</w:t>
        </w:r>
        <w:r>
          <w:rPr>
            <w:noProof/>
            <w:webHidden/>
          </w:rPr>
          <w:fldChar w:fldCharType="end"/>
        </w:r>
      </w:hyperlink>
    </w:p>
    <w:p w14:paraId="2399445C" w14:textId="25F2243A" w:rsidR="0030005B" w:rsidRDefault="0030005B">
      <w:pPr>
        <w:pStyle w:val="TOC4"/>
        <w:rPr>
          <w:rFonts w:eastAsiaTheme="minorEastAsia"/>
          <w:smallCaps w:val="0"/>
          <w:noProof/>
          <w:kern w:val="2"/>
          <w:sz w:val="24"/>
          <w:szCs w:val="24"/>
          <w:lang w:val="en-US" w:eastAsia="zh-CN" w:bidi="he-IL"/>
          <w14:ligatures w14:val="standardContextual"/>
        </w:rPr>
      </w:pPr>
      <w:hyperlink w:anchor="_Toc237449035" w:history="1">
        <w:r w:rsidRPr="00363646">
          <w:rPr>
            <w:rStyle w:val="Hyperlink"/>
            <w:rFonts w:ascii="Calibri Light" w:hAnsi="Calibri Light" w:cs="Calibri Light"/>
            <w:noProof/>
          </w:rPr>
          <w:t>Microsoft Discovery-Dienst</w:t>
        </w:r>
        <w:r>
          <w:rPr>
            <w:noProof/>
            <w:webHidden/>
          </w:rPr>
          <w:tab/>
        </w:r>
        <w:r>
          <w:rPr>
            <w:noProof/>
            <w:webHidden/>
          </w:rPr>
          <w:fldChar w:fldCharType="begin"/>
        </w:r>
        <w:r>
          <w:rPr>
            <w:noProof/>
            <w:webHidden/>
          </w:rPr>
          <w:instrText xml:space="preserve"> PAGEREF _Toc237449035 \h </w:instrText>
        </w:r>
        <w:r>
          <w:rPr>
            <w:noProof/>
            <w:webHidden/>
          </w:rPr>
        </w:r>
        <w:r>
          <w:rPr>
            <w:noProof/>
            <w:webHidden/>
          </w:rPr>
          <w:fldChar w:fldCharType="separate"/>
        </w:r>
        <w:r>
          <w:rPr>
            <w:noProof/>
            <w:webHidden/>
          </w:rPr>
          <w:t>75</w:t>
        </w:r>
        <w:r>
          <w:rPr>
            <w:noProof/>
            <w:webHidden/>
          </w:rPr>
          <w:fldChar w:fldCharType="end"/>
        </w:r>
      </w:hyperlink>
    </w:p>
    <w:p w14:paraId="49E0505E" w14:textId="1025A2D6" w:rsidR="0030005B" w:rsidRDefault="0030005B">
      <w:pPr>
        <w:pStyle w:val="TOC4"/>
        <w:rPr>
          <w:rFonts w:eastAsiaTheme="minorEastAsia"/>
          <w:smallCaps w:val="0"/>
          <w:noProof/>
          <w:kern w:val="2"/>
          <w:sz w:val="24"/>
          <w:szCs w:val="24"/>
          <w:lang w:val="en-US" w:eastAsia="zh-CN" w:bidi="he-IL"/>
          <w14:ligatures w14:val="standardContextual"/>
        </w:rPr>
      </w:pPr>
      <w:hyperlink w:anchor="_Toc237449036" w:history="1">
        <w:r w:rsidRPr="00363646">
          <w:rPr>
            <w:rStyle w:val="Hyperlink"/>
            <w:noProof/>
          </w:rPr>
          <w:t>Microsoft Fabric</w:t>
        </w:r>
        <w:r>
          <w:rPr>
            <w:noProof/>
            <w:webHidden/>
          </w:rPr>
          <w:tab/>
        </w:r>
        <w:r>
          <w:rPr>
            <w:noProof/>
            <w:webHidden/>
          </w:rPr>
          <w:fldChar w:fldCharType="begin"/>
        </w:r>
        <w:r>
          <w:rPr>
            <w:noProof/>
            <w:webHidden/>
          </w:rPr>
          <w:instrText xml:space="preserve"> PAGEREF _Toc237449036 \h </w:instrText>
        </w:r>
        <w:r>
          <w:rPr>
            <w:noProof/>
            <w:webHidden/>
          </w:rPr>
        </w:r>
        <w:r>
          <w:rPr>
            <w:noProof/>
            <w:webHidden/>
          </w:rPr>
          <w:fldChar w:fldCharType="separate"/>
        </w:r>
        <w:r>
          <w:rPr>
            <w:noProof/>
            <w:webHidden/>
          </w:rPr>
          <w:t>76</w:t>
        </w:r>
        <w:r>
          <w:rPr>
            <w:noProof/>
            <w:webHidden/>
          </w:rPr>
          <w:fldChar w:fldCharType="end"/>
        </w:r>
      </w:hyperlink>
    </w:p>
    <w:p w14:paraId="3D7802E9" w14:textId="76241D56" w:rsidR="0030005B" w:rsidRDefault="0030005B">
      <w:pPr>
        <w:pStyle w:val="TOC4"/>
        <w:rPr>
          <w:rFonts w:eastAsiaTheme="minorEastAsia"/>
          <w:smallCaps w:val="0"/>
          <w:noProof/>
          <w:kern w:val="2"/>
          <w:sz w:val="24"/>
          <w:szCs w:val="24"/>
          <w:lang w:val="en-US" w:eastAsia="zh-CN" w:bidi="he-IL"/>
          <w14:ligatures w14:val="standardContextual"/>
        </w:rPr>
      </w:pPr>
      <w:hyperlink w:anchor="_Toc237449037" w:history="1">
        <w:r w:rsidRPr="00363646">
          <w:rPr>
            <w:rStyle w:val="Hyperlink"/>
            <w:noProof/>
          </w:rPr>
          <w:t>Microsoft Genomics</w:t>
        </w:r>
        <w:r>
          <w:rPr>
            <w:noProof/>
            <w:webHidden/>
          </w:rPr>
          <w:tab/>
        </w:r>
        <w:r>
          <w:rPr>
            <w:noProof/>
            <w:webHidden/>
          </w:rPr>
          <w:fldChar w:fldCharType="begin"/>
        </w:r>
        <w:r>
          <w:rPr>
            <w:noProof/>
            <w:webHidden/>
          </w:rPr>
          <w:instrText xml:space="preserve"> PAGEREF _Toc237449037 \h </w:instrText>
        </w:r>
        <w:r>
          <w:rPr>
            <w:noProof/>
            <w:webHidden/>
          </w:rPr>
        </w:r>
        <w:r>
          <w:rPr>
            <w:noProof/>
            <w:webHidden/>
          </w:rPr>
          <w:fldChar w:fldCharType="separate"/>
        </w:r>
        <w:r>
          <w:rPr>
            <w:noProof/>
            <w:webHidden/>
          </w:rPr>
          <w:t>77</w:t>
        </w:r>
        <w:r>
          <w:rPr>
            <w:noProof/>
            <w:webHidden/>
          </w:rPr>
          <w:fldChar w:fldCharType="end"/>
        </w:r>
      </w:hyperlink>
    </w:p>
    <w:p w14:paraId="4014798A" w14:textId="59FB2329" w:rsidR="0030005B" w:rsidRDefault="0030005B">
      <w:pPr>
        <w:pStyle w:val="TOC4"/>
        <w:rPr>
          <w:rFonts w:eastAsiaTheme="minorEastAsia"/>
          <w:smallCaps w:val="0"/>
          <w:noProof/>
          <w:kern w:val="2"/>
          <w:sz w:val="24"/>
          <w:szCs w:val="24"/>
          <w:lang w:val="en-US" w:eastAsia="zh-CN" w:bidi="he-IL"/>
          <w14:ligatures w14:val="standardContextual"/>
        </w:rPr>
      </w:pPr>
      <w:hyperlink w:anchor="_Toc237449038" w:history="1">
        <w:r w:rsidRPr="00363646">
          <w:rPr>
            <w:rStyle w:val="Hyperlink"/>
            <w:rFonts w:ascii="Calibri Light" w:hAnsi="Calibri Light" w:cs="Calibri Light"/>
            <w:noProof/>
            <w:lang w:val="en-US"/>
          </w:rPr>
          <w:t>Microsoft Planetary Computer Pro – SLA:</w:t>
        </w:r>
        <w:r>
          <w:rPr>
            <w:noProof/>
            <w:webHidden/>
          </w:rPr>
          <w:tab/>
        </w:r>
        <w:r>
          <w:rPr>
            <w:noProof/>
            <w:webHidden/>
          </w:rPr>
          <w:fldChar w:fldCharType="begin"/>
        </w:r>
        <w:r>
          <w:rPr>
            <w:noProof/>
            <w:webHidden/>
          </w:rPr>
          <w:instrText xml:space="preserve"> PAGEREF _Toc237449038 \h </w:instrText>
        </w:r>
        <w:r>
          <w:rPr>
            <w:noProof/>
            <w:webHidden/>
          </w:rPr>
        </w:r>
        <w:r>
          <w:rPr>
            <w:noProof/>
            <w:webHidden/>
          </w:rPr>
          <w:fldChar w:fldCharType="separate"/>
        </w:r>
        <w:r>
          <w:rPr>
            <w:noProof/>
            <w:webHidden/>
          </w:rPr>
          <w:t>77</w:t>
        </w:r>
        <w:r>
          <w:rPr>
            <w:noProof/>
            <w:webHidden/>
          </w:rPr>
          <w:fldChar w:fldCharType="end"/>
        </w:r>
      </w:hyperlink>
    </w:p>
    <w:p w14:paraId="6C877540" w14:textId="6FC2D3B7" w:rsidR="0030005B" w:rsidRDefault="0030005B">
      <w:pPr>
        <w:pStyle w:val="TOC4"/>
        <w:rPr>
          <w:rFonts w:eastAsiaTheme="minorEastAsia"/>
          <w:smallCaps w:val="0"/>
          <w:noProof/>
          <w:kern w:val="2"/>
          <w:sz w:val="24"/>
          <w:szCs w:val="24"/>
          <w:lang w:val="en-US" w:eastAsia="zh-CN" w:bidi="he-IL"/>
          <w14:ligatures w14:val="standardContextual"/>
        </w:rPr>
      </w:pPr>
      <w:hyperlink w:anchor="_Toc237449039" w:history="1">
        <w:r w:rsidRPr="00363646">
          <w:rPr>
            <w:rStyle w:val="Hyperlink"/>
            <w:noProof/>
          </w:rPr>
          <w:t>Microsoft Sentinel</w:t>
        </w:r>
        <w:r>
          <w:rPr>
            <w:noProof/>
            <w:webHidden/>
          </w:rPr>
          <w:tab/>
        </w:r>
        <w:r>
          <w:rPr>
            <w:noProof/>
            <w:webHidden/>
          </w:rPr>
          <w:fldChar w:fldCharType="begin"/>
        </w:r>
        <w:r>
          <w:rPr>
            <w:noProof/>
            <w:webHidden/>
          </w:rPr>
          <w:instrText xml:space="preserve"> PAGEREF _Toc237449039 \h </w:instrText>
        </w:r>
        <w:r>
          <w:rPr>
            <w:noProof/>
            <w:webHidden/>
          </w:rPr>
        </w:r>
        <w:r>
          <w:rPr>
            <w:noProof/>
            <w:webHidden/>
          </w:rPr>
          <w:fldChar w:fldCharType="separate"/>
        </w:r>
        <w:r>
          <w:rPr>
            <w:noProof/>
            <w:webHidden/>
          </w:rPr>
          <w:t>78</w:t>
        </w:r>
        <w:r>
          <w:rPr>
            <w:noProof/>
            <w:webHidden/>
          </w:rPr>
          <w:fldChar w:fldCharType="end"/>
        </w:r>
      </w:hyperlink>
    </w:p>
    <w:p w14:paraId="23AA1B74" w14:textId="798EE9E9" w:rsidR="0030005B" w:rsidRDefault="0030005B">
      <w:pPr>
        <w:pStyle w:val="TOC4"/>
        <w:rPr>
          <w:rFonts w:eastAsiaTheme="minorEastAsia"/>
          <w:smallCaps w:val="0"/>
          <w:noProof/>
          <w:kern w:val="2"/>
          <w:sz w:val="24"/>
          <w:szCs w:val="24"/>
          <w:lang w:val="en-US" w:eastAsia="zh-CN" w:bidi="he-IL"/>
          <w14:ligatures w14:val="standardContextual"/>
        </w:rPr>
      </w:pPr>
      <w:hyperlink w:anchor="_Toc237449040" w:history="1">
        <w:r w:rsidRPr="00363646">
          <w:rPr>
            <w:rStyle w:val="Hyperlink"/>
            <w:noProof/>
          </w:rPr>
          <w:t>Mobile Dienste</w:t>
        </w:r>
        <w:r>
          <w:rPr>
            <w:noProof/>
            <w:webHidden/>
          </w:rPr>
          <w:tab/>
        </w:r>
        <w:r>
          <w:rPr>
            <w:noProof/>
            <w:webHidden/>
          </w:rPr>
          <w:fldChar w:fldCharType="begin"/>
        </w:r>
        <w:r>
          <w:rPr>
            <w:noProof/>
            <w:webHidden/>
          </w:rPr>
          <w:instrText xml:space="preserve"> PAGEREF _Toc237449040 \h </w:instrText>
        </w:r>
        <w:r>
          <w:rPr>
            <w:noProof/>
            <w:webHidden/>
          </w:rPr>
        </w:r>
        <w:r>
          <w:rPr>
            <w:noProof/>
            <w:webHidden/>
          </w:rPr>
          <w:fldChar w:fldCharType="separate"/>
        </w:r>
        <w:r>
          <w:rPr>
            <w:noProof/>
            <w:webHidden/>
          </w:rPr>
          <w:t>78</w:t>
        </w:r>
        <w:r>
          <w:rPr>
            <w:noProof/>
            <w:webHidden/>
          </w:rPr>
          <w:fldChar w:fldCharType="end"/>
        </w:r>
      </w:hyperlink>
    </w:p>
    <w:p w14:paraId="4FEBE6B7" w14:textId="6083010F" w:rsidR="0030005B" w:rsidRDefault="0030005B">
      <w:pPr>
        <w:pStyle w:val="TOC4"/>
        <w:rPr>
          <w:rFonts w:eastAsiaTheme="minorEastAsia"/>
          <w:smallCaps w:val="0"/>
          <w:noProof/>
          <w:kern w:val="2"/>
          <w:sz w:val="24"/>
          <w:szCs w:val="24"/>
          <w:lang w:val="en-US" w:eastAsia="zh-CN" w:bidi="he-IL"/>
          <w14:ligatures w14:val="standardContextual"/>
        </w:rPr>
      </w:pPr>
      <w:hyperlink w:anchor="_Toc237449041" w:history="1">
        <w:r w:rsidRPr="00363646">
          <w:rPr>
            <w:rStyle w:val="Hyperlink"/>
            <w:noProof/>
          </w:rPr>
          <w:t>Azure Monitor</w:t>
        </w:r>
        <w:r>
          <w:rPr>
            <w:noProof/>
            <w:webHidden/>
          </w:rPr>
          <w:tab/>
        </w:r>
        <w:r>
          <w:rPr>
            <w:noProof/>
            <w:webHidden/>
          </w:rPr>
          <w:fldChar w:fldCharType="begin"/>
        </w:r>
        <w:r>
          <w:rPr>
            <w:noProof/>
            <w:webHidden/>
          </w:rPr>
          <w:instrText xml:space="preserve"> PAGEREF _Toc237449041 \h </w:instrText>
        </w:r>
        <w:r>
          <w:rPr>
            <w:noProof/>
            <w:webHidden/>
          </w:rPr>
        </w:r>
        <w:r>
          <w:rPr>
            <w:noProof/>
            <w:webHidden/>
          </w:rPr>
          <w:fldChar w:fldCharType="separate"/>
        </w:r>
        <w:r>
          <w:rPr>
            <w:noProof/>
            <w:webHidden/>
          </w:rPr>
          <w:t>78</w:t>
        </w:r>
        <w:r>
          <w:rPr>
            <w:noProof/>
            <w:webHidden/>
          </w:rPr>
          <w:fldChar w:fldCharType="end"/>
        </w:r>
      </w:hyperlink>
    </w:p>
    <w:p w14:paraId="27FECF73" w14:textId="6F7791CA" w:rsidR="0030005B" w:rsidRDefault="0030005B">
      <w:pPr>
        <w:pStyle w:val="TOC4"/>
        <w:rPr>
          <w:rFonts w:eastAsiaTheme="minorEastAsia"/>
          <w:smallCaps w:val="0"/>
          <w:noProof/>
          <w:kern w:val="2"/>
          <w:sz w:val="24"/>
          <w:szCs w:val="24"/>
          <w:lang w:val="en-US" w:eastAsia="zh-CN" w:bidi="he-IL"/>
          <w14:ligatures w14:val="standardContextual"/>
        </w:rPr>
      </w:pPr>
      <w:hyperlink w:anchor="_Toc237449042" w:history="1">
        <w:r w:rsidRPr="00363646">
          <w:rPr>
            <w:rStyle w:val="Hyperlink"/>
            <w:noProof/>
          </w:rPr>
          <w:t>Azure NetApp Files</w:t>
        </w:r>
        <w:r>
          <w:rPr>
            <w:noProof/>
            <w:webHidden/>
          </w:rPr>
          <w:tab/>
        </w:r>
        <w:r>
          <w:rPr>
            <w:noProof/>
            <w:webHidden/>
          </w:rPr>
          <w:fldChar w:fldCharType="begin"/>
        </w:r>
        <w:r>
          <w:rPr>
            <w:noProof/>
            <w:webHidden/>
          </w:rPr>
          <w:instrText xml:space="preserve"> PAGEREF _Toc237449042 \h </w:instrText>
        </w:r>
        <w:r>
          <w:rPr>
            <w:noProof/>
            <w:webHidden/>
          </w:rPr>
        </w:r>
        <w:r>
          <w:rPr>
            <w:noProof/>
            <w:webHidden/>
          </w:rPr>
          <w:fldChar w:fldCharType="separate"/>
        </w:r>
        <w:r>
          <w:rPr>
            <w:noProof/>
            <w:webHidden/>
          </w:rPr>
          <w:t>79</w:t>
        </w:r>
        <w:r>
          <w:rPr>
            <w:noProof/>
            <w:webHidden/>
          </w:rPr>
          <w:fldChar w:fldCharType="end"/>
        </w:r>
      </w:hyperlink>
    </w:p>
    <w:p w14:paraId="756947DD" w14:textId="5B332DD9" w:rsidR="0030005B" w:rsidRDefault="0030005B">
      <w:pPr>
        <w:pStyle w:val="TOC4"/>
        <w:rPr>
          <w:rFonts w:eastAsiaTheme="minorEastAsia"/>
          <w:smallCaps w:val="0"/>
          <w:noProof/>
          <w:kern w:val="2"/>
          <w:sz w:val="24"/>
          <w:szCs w:val="24"/>
          <w:lang w:val="en-US" w:eastAsia="zh-CN" w:bidi="he-IL"/>
          <w14:ligatures w14:val="standardContextual"/>
        </w:rPr>
      </w:pPr>
      <w:hyperlink w:anchor="_Toc237449043" w:history="1">
        <w:r w:rsidRPr="00363646">
          <w:rPr>
            <w:rStyle w:val="Hyperlink"/>
            <w:noProof/>
          </w:rPr>
          <w:t>Network Watcher</w:t>
        </w:r>
        <w:r>
          <w:rPr>
            <w:noProof/>
            <w:webHidden/>
          </w:rPr>
          <w:tab/>
        </w:r>
        <w:r>
          <w:rPr>
            <w:noProof/>
            <w:webHidden/>
          </w:rPr>
          <w:fldChar w:fldCharType="begin"/>
        </w:r>
        <w:r>
          <w:rPr>
            <w:noProof/>
            <w:webHidden/>
          </w:rPr>
          <w:instrText xml:space="preserve"> PAGEREF _Toc237449043 \h </w:instrText>
        </w:r>
        <w:r>
          <w:rPr>
            <w:noProof/>
            <w:webHidden/>
          </w:rPr>
        </w:r>
        <w:r>
          <w:rPr>
            <w:noProof/>
            <w:webHidden/>
          </w:rPr>
          <w:fldChar w:fldCharType="separate"/>
        </w:r>
        <w:r>
          <w:rPr>
            <w:noProof/>
            <w:webHidden/>
          </w:rPr>
          <w:t>80</w:t>
        </w:r>
        <w:r>
          <w:rPr>
            <w:noProof/>
            <w:webHidden/>
          </w:rPr>
          <w:fldChar w:fldCharType="end"/>
        </w:r>
      </w:hyperlink>
    </w:p>
    <w:p w14:paraId="62F6E85D" w14:textId="2F10DB3B" w:rsidR="0030005B" w:rsidRDefault="0030005B">
      <w:pPr>
        <w:pStyle w:val="TOC4"/>
        <w:rPr>
          <w:rFonts w:eastAsiaTheme="minorEastAsia"/>
          <w:smallCaps w:val="0"/>
          <w:noProof/>
          <w:kern w:val="2"/>
          <w:sz w:val="24"/>
          <w:szCs w:val="24"/>
          <w:lang w:val="en-US" w:eastAsia="zh-CN" w:bidi="he-IL"/>
          <w14:ligatures w14:val="standardContextual"/>
        </w:rPr>
      </w:pPr>
      <w:hyperlink w:anchor="_Toc237449044" w:history="1">
        <w:r w:rsidRPr="00363646">
          <w:rPr>
            <w:rStyle w:val="Hyperlink"/>
            <w:noProof/>
          </w:rPr>
          <w:t>Benachrichtigungshubs</w:t>
        </w:r>
        <w:r>
          <w:rPr>
            <w:noProof/>
            <w:webHidden/>
          </w:rPr>
          <w:tab/>
        </w:r>
        <w:r>
          <w:rPr>
            <w:noProof/>
            <w:webHidden/>
          </w:rPr>
          <w:fldChar w:fldCharType="begin"/>
        </w:r>
        <w:r>
          <w:rPr>
            <w:noProof/>
            <w:webHidden/>
          </w:rPr>
          <w:instrText xml:space="preserve"> PAGEREF _Toc237449044 \h </w:instrText>
        </w:r>
        <w:r>
          <w:rPr>
            <w:noProof/>
            <w:webHidden/>
          </w:rPr>
        </w:r>
        <w:r>
          <w:rPr>
            <w:noProof/>
            <w:webHidden/>
          </w:rPr>
          <w:fldChar w:fldCharType="separate"/>
        </w:r>
        <w:r>
          <w:rPr>
            <w:noProof/>
            <w:webHidden/>
          </w:rPr>
          <w:t>80</w:t>
        </w:r>
        <w:r>
          <w:rPr>
            <w:noProof/>
            <w:webHidden/>
          </w:rPr>
          <w:fldChar w:fldCharType="end"/>
        </w:r>
      </w:hyperlink>
    </w:p>
    <w:p w14:paraId="353D1406" w14:textId="75D32778" w:rsidR="0030005B" w:rsidRDefault="0030005B">
      <w:pPr>
        <w:pStyle w:val="TOC4"/>
        <w:rPr>
          <w:rFonts w:eastAsiaTheme="minorEastAsia"/>
          <w:smallCaps w:val="0"/>
          <w:noProof/>
          <w:kern w:val="2"/>
          <w:sz w:val="24"/>
          <w:szCs w:val="24"/>
          <w:lang w:val="en-US" w:eastAsia="zh-CN" w:bidi="he-IL"/>
          <w14:ligatures w14:val="standardContextual"/>
        </w:rPr>
      </w:pPr>
      <w:hyperlink w:anchor="_Toc237449045" w:history="1">
        <w:r w:rsidRPr="00363646">
          <w:rPr>
            <w:rStyle w:val="Hyperlink"/>
            <w:noProof/>
          </w:rPr>
          <w:t>Bedarfsgesteuerte Kapazitätsreservierung in Bezug auf Virtuelle Azure-Computer</w:t>
        </w:r>
        <w:r>
          <w:rPr>
            <w:noProof/>
            <w:webHidden/>
          </w:rPr>
          <w:tab/>
        </w:r>
        <w:r>
          <w:rPr>
            <w:noProof/>
            <w:webHidden/>
          </w:rPr>
          <w:fldChar w:fldCharType="begin"/>
        </w:r>
        <w:r>
          <w:rPr>
            <w:noProof/>
            <w:webHidden/>
          </w:rPr>
          <w:instrText xml:space="preserve"> PAGEREF _Toc237449045 \h </w:instrText>
        </w:r>
        <w:r>
          <w:rPr>
            <w:noProof/>
            <w:webHidden/>
          </w:rPr>
        </w:r>
        <w:r>
          <w:rPr>
            <w:noProof/>
            <w:webHidden/>
          </w:rPr>
          <w:fldChar w:fldCharType="separate"/>
        </w:r>
        <w:r>
          <w:rPr>
            <w:noProof/>
            <w:webHidden/>
          </w:rPr>
          <w:t>81</w:t>
        </w:r>
        <w:r>
          <w:rPr>
            <w:noProof/>
            <w:webHidden/>
          </w:rPr>
          <w:fldChar w:fldCharType="end"/>
        </w:r>
      </w:hyperlink>
    </w:p>
    <w:p w14:paraId="0335F4AA" w14:textId="0C40A8EF" w:rsidR="0030005B" w:rsidRDefault="0030005B">
      <w:pPr>
        <w:pStyle w:val="TOC4"/>
        <w:rPr>
          <w:rFonts w:eastAsiaTheme="minorEastAsia"/>
          <w:smallCaps w:val="0"/>
          <w:noProof/>
          <w:kern w:val="2"/>
          <w:sz w:val="24"/>
          <w:szCs w:val="24"/>
          <w:lang w:val="en-US" w:eastAsia="zh-CN" w:bidi="he-IL"/>
          <w14:ligatures w14:val="standardContextual"/>
        </w:rPr>
      </w:pPr>
      <w:hyperlink w:anchor="_Toc237449046" w:history="1">
        <w:r w:rsidRPr="00363646">
          <w:rPr>
            <w:rStyle w:val="Hyperlink"/>
            <w:noProof/>
          </w:rPr>
          <w:t>Foundry-Modelle</w:t>
        </w:r>
        <w:r>
          <w:rPr>
            <w:noProof/>
            <w:webHidden/>
          </w:rPr>
          <w:tab/>
        </w:r>
        <w:r>
          <w:rPr>
            <w:noProof/>
            <w:webHidden/>
          </w:rPr>
          <w:fldChar w:fldCharType="begin"/>
        </w:r>
        <w:r>
          <w:rPr>
            <w:noProof/>
            <w:webHidden/>
          </w:rPr>
          <w:instrText xml:space="preserve"> PAGEREF _Toc237449046 \h </w:instrText>
        </w:r>
        <w:r>
          <w:rPr>
            <w:noProof/>
            <w:webHidden/>
          </w:rPr>
        </w:r>
        <w:r>
          <w:rPr>
            <w:noProof/>
            <w:webHidden/>
          </w:rPr>
          <w:fldChar w:fldCharType="separate"/>
        </w:r>
        <w:r>
          <w:rPr>
            <w:noProof/>
            <w:webHidden/>
          </w:rPr>
          <w:t>82</w:t>
        </w:r>
        <w:r>
          <w:rPr>
            <w:noProof/>
            <w:webHidden/>
          </w:rPr>
          <w:fldChar w:fldCharType="end"/>
        </w:r>
      </w:hyperlink>
    </w:p>
    <w:p w14:paraId="47F7C000" w14:textId="635B494A" w:rsidR="0030005B" w:rsidRDefault="0030005B">
      <w:pPr>
        <w:pStyle w:val="TOC4"/>
        <w:rPr>
          <w:rFonts w:eastAsiaTheme="minorEastAsia"/>
          <w:smallCaps w:val="0"/>
          <w:noProof/>
          <w:kern w:val="2"/>
          <w:sz w:val="24"/>
          <w:szCs w:val="24"/>
          <w:lang w:val="en-US" w:eastAsia="zh-CN" w:bidi="he-IL"/>
          <w14:ligatures w14:val="standardContextual"/>
        </w:rPr>
      </w:pPr>
      <w:hyperlink w:anchor="_Toc237449047" w:history="1">
        <w:r w:rsidRPr="00363646">
          <w:rPr>
            <w:rStyle w:val="Hyperlink"/>
            <w:noProof/>
          </w:rPr>
          <w:t>Azure Operator Service Manager</w:t>
        </w:r>
        <w:r>
          <w:rPr>
            <w:noProof/>
            <w:webHidden/>
          </w:rPr>
          <w:tab/>
        </w:r>
        <w:r>
          <w:rPr>
            <w:noProof/>
            <w:webHidden/>
          </w:rPr>
          <w:fldChar w:fldCharType="begin"/>
        </w:r>
        <w:r>
          <w:rPr>
            <w:noProof/>
            <w:webHidden/>
          </w:rPr>
          <w:instrText xml:space="preserve"> PAGEREF _Toc237449047 \h </w:instrText>
        </w:r>
        <w:r>
          <w:rPr>
            <w:noProof/>
            <w:webHidden/>
          </w:rPr>
        </w:r>
        <w:r>
          <w:rPr>
            <w:noProof/>
            <w:webHidden/>
          </w:rPr>
          <w:fldChar w:fldCharType="separate"/>
        </w:r>
        <w:r>
          <w:rPr>
            <w:noProof/>
            <w:webHidden/>
          </w:rPr>
          <w:t>84</w:t>
        </w:r>
        <w:r>
          <w:rPr>
            <w:noProof/>
            <w:webHidden/>
          </w:rPr>
          <w:fldChar w:fldCharType="end"/>
        </w:r>
      </w:hyperlink>
    </w:p>
    <w:p w14:paraId="068D9A38" w14:textId="5F6AE79C" w:rsidR="0030005B" w:rsidRDefault="0030005B">
      <w:pPr>
        <w:pStyle w:val="TOC4"/>
        <w:rPr>
          <w:rFonts w:eastAsiaTheme="minorEastAsia"/>
          <w:smallCaps w:val="0"/>
          <w:noProof/>
          <w:kern w:val="2"/>
          <w:sz w:val="24"/>
          <w:szCs w:val="24"/>
          <w:lang w:val="en-US" w:eastAsia="zh-CN" w:bidi="he-IL"/>
          <w14:ligatures w14:val="standardContextual"/>
        </w:rPr>
      </w:pPr>
      <w:hyperlink w:anchor="_Toc237449048" w:history="1">
        <w:r w:rsidRPr="00363646">
          <w:rPr>
            <w:rStyle w:val="Hyperlink"/>
            <w:rFonts w:ascii="Calibri Light" w:hAnsi="Calibri Light" w:cs="Calibri Light"/>
            <w:noProof/>
          </w:rPr>
          <w:t>Objektreplikation – Prioritätsreplikation</w:t>
        </w:r>
        <w:r>
          <w:rPr>
            <w:noProof/>
            <w:webHidden/>
          </w:rPr>
          <w:tab/>
        </w:r>
        <w:r>
          <w:rPr>
            <w:noProof/>
            <w:webHidden/>
          </w:rPr>
          <w:fldChar w:fldCharType="begin"/>
        </w:r>
        <w:r>
          <w:rPr>
            <w:noProof/>
            <w:webHidden/>
          </w:rPr>
          <w:instrText xml:space="preserve"> PAGEREF _Toc237449048 \h </w:instrText>
        </w:r>
        <w:r>
          <w:rPr>
            <w:noProof/>
            <w:webHidden/>
          </w:rPr>
        </w:r>
        <w:r>
          <w:rPr>
            <w:noProof/>
            <w:webHidden/>
          </w:rPr>
          <w:fldChar w:fldCharType="separate"/>
        </w:r>
        <w:r>
          <w:rPr>
            <w:noProof/>
            <w:webHidden/>
          </w:rPr>
          <w:t>84</w:t>
        </w:r>
        <w:r>
          <w:rPr>
            <w:noProof/>
            <w:webHidden/>
          </w:rPr>
          <w:fldChar w:fldCharType="end"/>
        </w:r>
      </w:hyperlink>
    </w:p>
    <w:p w14:paraId="01621523" w14:textId="0AEC66E9" w:rsidR="0030005B" w:rsidRDefault="0030005B">
      <w:pPr>
        <w:pStyle w:val="TOC4"/>
        <w:rPr>
          <w:rFonts w:eastAsiaTheme="minorEastAsia"/>
          <w:smallCaps w:val="0"/>
          <w:noProof/>
          <w:kern w:val="2"/>
          <w:sz w:val="24"/>
          <w:szCs w:val="24"/>
          <w:lang w:val="en-US" w:eastAsia="zh-CN" w:bidi="he-IL"/>
          <w14:ligatures w14:val="standardContextual"/>
        </w:rPr>
      </w:pPr>
      <w:hyperlink w:anchor="_Toc237449049" w:history="1">
        <w:r w:rsidRPr="00363646">
          <w:rPr>
            <w:rStyle w:val="Hyperlink"/>
            <w:noProof/>
          </w:rPr>
          <w:t>Azure-Orbitale Bodenstation</w:t>
        </w:r>
        <w:r>
          <w:rPr>
            <w:noProof/>
            <w:webHidden/>
          </w:rPr>
          <w:tab/>
        </w:r>
        <w:r>
          <w:rPr>
            <w:noProof/>
            <w:webHidden/>
          </w:rPr>
          <w:fldChar w:fldCharType="begin"/>
        </w:r>
        <w:r>
          <w:rPr>
            <w:noProof/>
            <w:webHidden/>
          </w:rPr>
          <w:instrText xml:space="preserve"> PAGEREF _Toc237449049 \h </w:instrText>
        </w:r>
        <w:r>
          <w:rPr>
            <w:noProof/>
            <w:webHidden/>
          </w:rPr>
        </w:r>
        <w:r>
          <w:rPr>
            <w:noProof/>
            <w:webHidden/>
          </w:rPr>
          <w:fldChar w:fldCharType="separate"/>
        </w:r>
        <w:r>
          <w:rPr>
            <w:noProof/>
            <w:webHidden/>
          </w:rPr>
          <w:t>85</w:t>
        </w:r>
        <w:r>
          <w:rPr>
            <w:noProof/>
            <w:webHidden/>
          </w:rPr>
          <w:fldChar w:fldCharType="end"/>
        </w:r>
      </w:hyperlink>
    </w:p>
    <w:p w14:paraId="2AD19B6F" w14:textId="3F746D30" w:rsidR="0030005B" w:rsidRDefault="0030005B">
      <w:pPr>
        <w:pStyle w:val="TOC4"/>
        <w:rPr>
          <w:rFonts w:eastAsiaTheme="minorEastAsia"/>
          <w:smallCaps w:val="0"/>
          <w:noProof/>
          <w:kern w:val="2"/>
          <w:sz w:val="24"/>
          <w:szCs w:val="24"/>
          <w:lang w:val="en-US" w:eastAsia="zh-CN" w:bidi="he-IL"/>
          <w14:ligatures w14:val="standardContextual"/>
        </w:rPr>
      </w:pPr>
      <w:hyperlink w:anchor="_Toc237449050" w:history="1">
        <w:r w:rsidRPr="00363646">
          <w:rPr>
            <w:rStyle w:val="Hyperlink"/>
            <w:noProof/>
          </w:rPr>
          <w:t>Microsoft Playwright Testing</w:t>
        </w:r>
        <w:r>
          <w:rPr>
            <w:noProof/>
            <w:webHidden/>
          </w:rPr>
          <w:tab/>
        </w:r>
        <w:r>
          <w:rPr>
            <w:noProof/>
            <w:webHidden/>
          </w:rPr>
          <w:fldChar w:fldCharType="begin"/>
        </w:r>
        <w:r>
          <w:rPr>
            <w:noProof/>
            <w:webHidden/>
          </w:rPr>
          <w:instrText xml:space="preserve"> PAGEREF _Toc237449050 \h </w:instrText>
        </w:r>
        <w:r>
          <w:rPr>
            <w:noProof/>
            <w:webHidden/>
          </w:rPr>
        </w:r>
        <w:r>
          <w:rPr>
            <w:noProof/>
            <w:webHidden/>
          </w:rPr>
          <w:fldChar w:fldCharType="separate"/>
        </w:r>
        <w:r>
          <w:rPr>
            <w:noProof/>
            <w:webHidden/>
          </w:rPr>
          <w:t>86</w:t>
        </w:r>
        <w:r>
          <w:rPr>
            <w:noProof/>
            <w:webHidden/>
          </w:rPr>
          <w:fldChar w:fldCharType="end"/>
        </w:r>
      </w:hyperlink>
    </w:p>
    <w:p w14:paraId="4644C23F" w14:textId="03B6370C" w:rsidR="0030005B" w:rsidRDefault="0030005B">
      <w:pPr>
        <w:pStyle w:val="TOC4"/>
        <w:rPr>
          <w:rFonts w:eastAsiaTheme="minorEastAsia"/>
          <w:smallCaps w:val="0"/>
          <w:noProof/>
          <w:kern w:val="2"/>
          <w:sz w:val="24"/>
          <w:szCs w:val="24"/>
          <w:lang w:val="en-US" w:eastAsia="zh-CN" w:bidi="he-IL"/>
          <w14:ligatures w14:val="standardContextual"/>
        </w:rPr>
      </w:pPr>
      <w:hyperlink w:anchor="_Toc237449051" w:history="1">
        <w:r w:rsidRPr="00363646">
          <w:rPr>
            <w:rStyle w:val="Hyperlink"/>
            <w:noProof/>
          </w:rPr>
          <w:t>Azure Private Link</w:t>
        </w:r>
        <w:r>
          <w:rPr>
            <w:noProof/>
            <w:webHidden/>
          </w:rPr>
          <w:tab/>
        </w:r>
        <w:r>
          <w:rPr>
            <w:noProof/>
            <w:webHidden/>
          </w:rPr>
          <w:fldChar w:fldCharType="begin"/>
        </w:r>
        <w:r>
          <w:rPr>
            <w:noProof/>
            <w:webHidden/>
          </w:rPr>
          <w:instrText xml:space="preserve"> PAGEREF _Toc237449051 \h </w:instrText>
        </w:r>
        <w:r>
          <w:rPr>
            <w:noProof/>
            <w:webHidden/>
          </w:rPr>
        </w:r>
        <w:r>
          <w:rPr>
            <w:noProof/>
            <w:webHidden/>
          </w:rPr>
          <w:fldChar w:fldCharType="separate"/>
        </w:r>
        <w:r>
          <w:rPr>
            <w:noProof/>
            <w:webHidden/>
          </w:rPr>
          <w:t>86</w:t>
        </w:r>
        <w:r>
          <w:rPr>
            <w:noProof/>
            <w:webHidden/>
          </w:rPr>
          <w:fldChar w:fldCharType="end"/>
        </w:r>
      </w:hyperlink>
    </w:p>
    <w:p w14:paraId="56DCD6D2" w14:textId="1183E392" w:rsidR="0030005B" w:rsidRDefault="0030005B">
      <w:pPr>
        <w:pStyle w:val="TOC4"/>
        <w:rPr>
          <w:rFonts w:eastAsiaTheme="minorEastAsia"/>
          <w:smallCaps w:val="0"/>
          <w:noProof/>
          <w:kern w:val="2"/>
          <w:sz w:val="24"/>
          <w:szCs w:val="24"/>
          <w:lang w:val="en-US" w:eastAsia="zh-CN" w:bidi="he-IL"/>
          <w14:ligatures w14:val="standardContextual"/>
        </w:rPr>
      </w:pPr>
      <w:hyperlink w:anchor="_Toc237449052" w:history="1">
        <w:r w:rsidRPr="00363646">
          <w:rPr>
            <w:rStyle w:val="Hyperlink"/>
            <w:noProof/>
          </w:rPr>
          <w:t>Microsoft Purview</w:t>
        </w:r>
        <w:r>
          <w:rPr>
            <w:noProof/>
            <w:webHidden/>
          </w:rPr>
          <w:tab/>
        </w:r>
        <w:r>
          <w:rPr>
            <w:noProof/>
            <w:webHidden/>
          </w:rPr>
          <w:fldChar w:fldCharType="begin"/>
        </w:r>
        <w:r>
          <w:rPr>
            <w:noProof/>
            <w:webHidden/>
          </w:rPr>
          <w:instrText xml:space="preserve"> PAGEREF _Toc237449052 \h </w:instrText>
        </w:r>
        <w:r>
          <w:rPr>
            <w:noProof/>
            <w:webHidden/>
          </w:rPr>
        </w:r>
        <w:r>
          <w:rPr>
            <w:noProof/>
            <w:webHidden/>
          </w:rPr>
          <w:fldChar w:fldCharType="separate"/>
        </w:r>
        <w:r>
          <w:rPr>
            <w:noProof/>
            <w:webHidden/>
          </w:rPr>
          <w:t>87</w:t>
        </w:r>
        <w:r>
          <w:rPr>
            <w:noProof/>
            <w:webHidden/>
          </w:rPr>
          <w:fldChar w:fldCharType="end"/>
        </w:r>
      </w:hyperlink>
    </w:p>
    <w:p w14:paraId="712A160B" w14:textId="15BE1944" w:rsidR="0030005B" w:rsidRDefault="0030005B">
      <w:pPr>
        <w:pStyle w:val="TOC4"/>
        <w:rPr>
          <w:rFonts w:eastAsiaTheme="minorEastAsia"/>
          <w:smallCaps w:val="0"/>
          <w:noProof/>
          <w:kern w:val="2"/>
          <w:sz w:val="24"/>
          <w:szCs w:val="24"/>
          <w:lang w:val="en-US" w:eastAsia="zh-CN" w:bidi="he-IL"/>
          <w14:ligatures w14:val="standardContextual"/>
        </w:rPr>
      </w:pPr>
      <w:hyperlink w:anchor="_Toc237449053" w:history="1">
        <w:r w:rsidRPr="00363646">
          <w:rPr>
            <w:rStyle w:val="Hyperlink"/>
            <w:noProof/>
          </w:rPr>
          <w:t>Azure Red Hat OpenShift</w:t>
        </w:r>
        <w:r>
          <w:rPr>
            <w:noProof/>
            <w:webHidden/>
          </w:rPr>
          <w:tab/>
        </w:r>
        <w:r>
          <w:rPr>
            <w:noProof/>
            <w:webHidden/>
          </w:rPr>
          <w:fldChar w:fldCharType="begin"/>
        </w:r>
        <w:r>
          <w:rPr>
            <w:noProof/>
            <w:webHidden/>
          </w:rPr>
          <w:instrText xml:space="preserve"> PAGEREF _Toc237449053 \h </w:instrText>
        </w:r>
        <w:r>
          <w:rPr>
            <w:noProof/>
            <w:webHidden/>
          </w:rPr>
        </w:r>
        <w:r>
          <w:rPr>
            <w:noProof/>
            <w:webHidden/>
          </w:rPr>
          <w:fldChar w:fldCharType="separate"/>
        </w:r>
        <w:r>
          <w:rPr>
            <w:noProof/>
            <w:webHidden/>
          </w:rPr>
          <w:t>87</w:t>
        </w:r>
        <w:r>
          <w:rPr>
            <w:noProof/>
            <w:webHidden/>
          </w:rPr>
          <w:fldChar w:fldCharType="end"/>
        </w:r>
      </w:hyperlink>
    </w:p>
    <w:p w14:paraId="769CA971" w14:textId="6BF1646D" w:rsidR="0030005B" w:rsidRDefault="0030005B">
      <w:pPr>
        <w:pStyle w:val="TOC4"/>
        <w:rPr>
          <w:rFonts w:eastAsiaTheme="minorEastAsia"/>
          <w:smallCaps w:val="0"/>
          <w:noProof/>
          <w:kern w:val="2"/>
          <w:sz w:val="24"/>
          <w:szCs w:val="24"/>
          <w:lang w:val="en-US" w:eastAsia="zh-CN" w:bidi="he-IL"/>
          <w14:ligatures w14:val="standardContextual"/>
        </w:rPr>
      </w:pPr>
      <w:hyperlink w:anchor="_Toc237449054" w:history="1">
        <w:r w:rsidRPr="00363646">
          <w:rPr>
            <w:rStyle w:val="Hyperlink"/>
            <w:noProof/>
          </w:rPr>
          <w:t>Remote Rendering</w:t>
        </w:r>
        <w:r>
          <w:rPr>
            <w:noProof/>
            <w:webHidden/>
          </w:rPr>
          <w:tab/>
        </w:r>
        <w:r>
          <w:rPr>
            <w:noProof/>
            <w:webHidden/>
          </w:rPr>
          <w:fldChar w:fldCharType="begin"/>
        </w:r>
        <w:r>
          <w:rPr>
            <w:noProof/>
            <w:webHidden/>
          </w:rPr>
          <w:instrText xml:space="preserve"> PAGEREF _Toc237449054 \h </w:instrText>
        </w:r>
        <w:r>
          <w:rPr>
            <w:noProof/>
            <w:webHidden/>
          </w:rPr>
        </w:r>
        <w:r>
          <w:rPr>
            <w:noProof/>
            <w:webHidden/>
          </w:rPr>
          <w:fldChar w:fldCharType="separate"/>
        </w:r>
        <w:r>
          <w:rPr>
            <w:noProof/>
            <w:webHidden/>
          </w:rPr>
          <w:t>87</w:t>
        </w:r>
        <w:r>
          <w:rPr>
            <w:noProof/>
            <w:webHidden/>
          </w:rPr>
          <w:fldChar w:fldCharType="end"/>
        </w:r>
      </w:hyperlink>
    </w:p>
    <w:p w14:paraId="731D4138" w14:textId="5F7735B4" w:rsidR="0030005B" w:rsidRDefault="0030005B">
      <w:pPr>
        <w:pStyle w:val="TOC4"/>
        <w:rPr>
          <w:rFonts w:eastAsiaTheme="minorEastAsia"/>
          <w:smallCaps w:val="0"/>
          <w:noProof/>
          <w:kern w:val="2"/>
          <w:sz w:val="24"/>
          <w:szCs w:val="24"/>
          <w:lang w:val="en-US" w:eastAsia="zh-CN" w:bidi="he-IL"/>
          <w14:ligatures w14:val="standardContextual"/>
        </w:rPr>
      </w:pPr>
      <w:hyperlink w:anchor="_Toc237449055" w:history="1">
        <w:r w:rsidRPr="00363646">
          <w:rPr>
            <w:rStyle w:val="Hyperlink"/>
            <w:noProof/>
          </w:rPr>
          <w:t>Azure-Routeserver</w:t>
        </w:r>
        <w:r>
          <w:rPr>
            <w:noProof/>
            <w:webHidden/>
          </w:rPr>
          <w:tab/>
        </w:r>
        <w:r>
          <w:rPr>
            <w:noProof/>
            <w:webHidden/>
          </w:rPr>
          <w:fldChar w:fldCharType="begin"/>
        </w:r>
        <w:r>
          <w:rPr>
            <w:noProof/>
            <w:webHidden/>
          </w:rPr>
          <w:instrText xml:space="preserve"> PAGEREF _Toc237449055 \h </w:instrText>
        </w:r>
        <w:r>
          <w:rPr>
            <w:noProof/>
            <w:webHidden/>
          </w:rPr>
        </w:r>
        <w:r>
          <w:rPr>
            <w:noProof/>
            <w:webHidden/>
          </w:rPr>
          <w:fldChar w:fldCharType="separate"/>
        </w:r>
        <w:r>
          <w:rPr>
            <w:noProof/>
            <w:webHidden/>
          </w:rPr>
          <w:t>88</w:t>
        </w:r>
        <w:r>
          <w:rPr>
            <w:noProof/>
            <w:webHidden/>
          </w:rPr>
          <w:fldChar w:fldCharType="end"/>
        </w:r>
      </w:hyperlink>
    </w:p>
    <w:p w14:paraId="445BF435" w14:textId="65117C29" w:rsidR="0030005B" w:rsidRDefault="0030005B">
      <w:pPr>
        <w:pStyle w:val="TOC4"/>
        <w:rPr>
          <w:rFonts w:eastAsiaTheme="minorEastAsia"/>
          <w:smallCaps w:val="0"/>
          <w:noProof/>
          <w:kern w:val="2"/>
          <w:sz w:val="24"/>
          <w:szCs w:val="24"/>
          <w:lang w:val="en-US" w:eastAsia="zh-CN" w:bidi="he-IL"/>
          <w14:ligatures w14:val="standardContextual"/>
        </w:rPr>
      </w:pPr>
      <w:hyperlink w:anchor="_Toc237449056" w:history="1">
        <w:r w:rsidRPr="00363646">
          <w:rPr>
            <w:rStyle w:val="Hyperlink"/>
            <w:noProof/>
          </w:rPr>
          <w:t>SAP HANA auf Azure Große Instanzen</w:t>
        </w:r>
        <w:r>
          <w:rPr>
            <w:noProof/>
            <w:webHidden/>
          </w:rPr>
          <w:tab/>
        </w:r>
        <w:r>
          <w:rPr>
            <w:noProof/>
            <w:webHidden/>
          </w:rPr>
          <w:fldChar w:fldCharType="begin"/>
        </w:r>
        <w:r>
          <w:rPr>
            <w:noProof/>
            <w:webHidden/>
          </w:rPr>
          <w:instrText xml:space="preserve"> PAGEREF _Toc237449056 \h </w:instrText>
        </w:r>
        <w:r>
          <w:rPr>
            <w:noProof/>
            <w:webHidden/>
          </w:rPr>
        </w:r>
        <w:r>
          <w:rPr>
            <w:noProof/>
            <w:webHidden/>
          </w:rPr>
          <w:fldChar w:fldCharType="separate"/>
        </w:r>
        <w:r>
          <w:rPr>
            <w:noProof/>
            <w:webHidden/>
          </w:rPr>
          <w:t>88</w:t>
        </w:r>
        <w:r>
          <w:rPr>
            <w:noProof/>
            <w:webHidden/>
          </w:rPr>
          <w:fldChar w:fldCharType="end"/>
        </w:r>
      </w:hyperlink>
    </w:p>
    <w:p w14:paraId="16B480A1" w14:textId="0F50A330" w:rsidR="0030005B" w:rsidRDefault="0030005B">
      <w:pPr>
        <w:pStyle w:val="TOC4"/>
        <w:rPr>
          <w:rFonts w:eastAsiaTheme="minorEastAsia"/>
          <w:smallCaps w:val="0"/>
          <w:noProof/>
          <w:kern w:val="2"/>
          <w:sz w:val="24"/>
          <w:szCs w:val="24"/>
          <w:lang w:val="en-US" w:eastAsia="zh-CN" w:bidi="he-IL"/>
          <w14:ligatures w14:val="standardContextual"/>
        </w:rPr>
      </w:pPr>
      <w:hyperlink w:anchor="_Toc237449057" w:history="1">
        <w:r w:rsidRPr="00363646">
          <w:rPr>
            <w:rStyle w:val="Hyperlink"/>
            <w:noProof/>
          </w:rPr>
          <w:t>Planer</w:t>
        </w:r>
        <w:r>
          <w:rPr>
            <w:noProof/>
            <w:webHidden/>
          </w:rPr>
          <w:tab/>
        </w:r>
        <w:r>
          <w:rPr>
            <w:noProof/>
            <w:webHidden/>
          </w:rPr>
          <w:fldChar w:fldCharType="begin"/>
        </w:r>
        <w:r>
          <w:rPr>
            <w:noProof/>
            <w:webHidden/>
          </w:rPr>
          <w:instrText xml:space="preserve"> PAGEREF _Toc237449057 \h </w:instrText>
        </w:r>
        <w:r>
          <w:rPr>
            <w:noProof/>
            <w:webHidden/>
          </w:rPr>
        </w:r>
        <w:r>
          <w:rPr>
            <w:noProof/>
            <w:webHidden/>
          </w:rPr>
          <w:fldChar w:fldCharType="separate"/>
        </w:r>
        <w:r>
          <w:rPr>
            <w:noProof/>
            <w:webHidden/>
          </w:rPr>
          <w:t>89</w:t>
        </w:r>
        <w:r>
          <w:rPr>
            <w:noProof/>
            <w:webHidden/>
          </w:rPr>
          <w:fldChar w:fldCharType="end"/>
        </w:r>
      </w:hyperlink>
    </w:p>
    <w:p w14:paraId="25B75F21" w14:textId="13C89093" w:rsidR="0030005B" w:rsidRDefault="0030005B">
      <w:pPr>
        <w:pStyle w:val="TOC4"/>
        <w:rPr>
          <w:rFonts w:eastAsiaTheme="minorEastAsia"/>
          <w:smallCaps w:val="0"/>
          <w:noProof/>
          <w:kern w:val="2"/>
          <w:sz w:val="24"/>
          <w:szCs w:val="24"/>
          <w:lang w:val="en-US" w:eastAsia="zh-CN" w:bidi="he-IL"/>
          <w14:ligatures w14:val="standardContextual"/>
        </w:rPr>
      </w:pPr>
      <w:hyperlink w:anchor="_Toc237449058" w:history="1">
        <w:r w:rsidRPr="00363646">
          <w:rPr>
            <w:rStyle w:val="Hyperlink"/>
            <w:noProof/>
          </w:rPr>
          <w:t>Service-Bus</w:t>
        </w:r>
        <w:r>
          <w:rPr>
            <w:noProof/>
            <w:webHidden/>
          </w:rPr>
          <w:tab/>
        </w:r>
        <w:r>
          <w:rPr>
            <w:noProof/>
            <w:webHidden/>
          </w:rPr>
          <w:fldChar w:fldCharType="begin"/>
        </w:r>
        <w:r>
          <w:rPr>
            <w:noProof/>
            <w:webHidden/>
          </w:rPr>
          <w:instrText xml:space="preserve"> PAGEREF _Toc237449058 \h </w:instrText>
        </w:r>
        <w:r>
          <w:rPr>
            <w:noProof/>
            <w:webHidden/>
          </w:rPr>
        </w:r>
        <w:r>
          <w:rPr>
            <w:noProof/>
            <w:webHidden/>
          </w:rPr>
          <w:fldChar w:fldCharType="separate"/>
        </w:r>
        <w:r>
          <w:rPr>
            <w:noProof/>
            <w:webHidden/>
          </w:rPr>
          <w:t>90</w:t>
        </w:r>
        <w:r>
          <w:rPr>
            <w:noProof/>
            <w:webHidden/>
          </w:rPr>
          <w:fldChar w:fldCharType="end"/>
        </w:r>
      </w:hyperlink>
    </w:p>
    <w:p w14:paraId="06C94923" w14:textId="2BFFCB15" w:rsidR="0030005B" w:rsidRDefault="0030005B">
      <w:pPr>
        <w:pStyle w:val="TOC4"/>
        <w:rPr>
          <w:rFonts w:eastAsiaTheme="minorEastAsia"/>
          <w:smallCaps w:val="0"/>
          <w:noProof/>
          <w:kern w:val="2"/>
          <w:sz w:val="24"/>
          <w:szCs w:val="24"/>
          <w:lang w:val="en-US" w:eastAsia="zh-CN" w:bidi="he-IL"/>
          <w14:ligatures w14:val="standardContextual"/>
        </w:rPr>
      </w:pPr>
      <w:hyperlink w:anchor="_Toc237449059" w:history="1">
        <w:r w:rsidRPr="00363646">
          <w:rPr>
            <w:rStyle w:val="Hyperlink"/>
            <w:noProof/>
          </w:rPr>
          <w:t>Azure SignalR-Dienst</w:t>
        </w:r>
        <w:r>
          <w:rPr>
            <w:noProof/>
            <w:webHidden/>
          </w:rPr>
          <w:tab/>
        </w:r>
        <w:r>
          <w:rPr>
            <w:noProof/>
            <w:webHidden/>
          </w:rPr>
          <w:fldChar w:fldCharType="begin"/>
        </w:r>
        <w:r>
          <w:rPr>
            <w:noProof/>
            <w:webHidden/>
          </w:rPr>
          <w:instrText xml:space="preserve"> PAGEREF _Toc237449059 \h </w:instrText>
        </w:r>
        <w:r>
          <w:rPr>
            <w:noProof/>
            <w:webHidden/>
          </w:rPr>
        </w:r>
        <w:r>
          <w:rPr>
            <w:noProof/>
            <w:webHidden/>
          </w:rPr>
          <w:fldChar w:fldCharType="separate"/>
        </w:r>
        <w:r>
          <w:rPr>
            <w:noProof/>
            <w:webHidden/>
          </w:rPr>
          <w:t>90</w:t>
        </w:r>
        <w:r>
          <w:rPr>
            <w:noProof/>
            <w:webHidden/>
          </w:rPr>
          <w:fldChar w:fldCharType="end"/>
        </w:r>
      </w:hyperlink>
    </w:p>
    <w:p w14:paraId="73077683" w14:textId="24818CB0" w:rsidR="0030005B" w:rsidRDefault="0030005B">
      <w:pPr>
        <w:pStyle w:val="TOC4"/>
        <w:rPr>
          <w:rFonts w:eastAsiaTheme="minorEastAsia"/>
          <w:smallCaps w:val="0"/>
          <w:noProof/>
          <w:kern w:val="2"/>
          <w:sz w:val="24"/>
          <w:szCs w:val="24"/>
          <w:lang w:val="en-US" w:eastAsia="zh-CN" w:bidi="he-IL"/>
          <w14:ligatures w14:val="standardContextual"/>
        </w:rPr>
      </w:pPr>
      <w:hyperlink w:anchor="_Toc237449060" w:history="1">
        <w:r w:rsidRPr="00363646">
          <w:rPr>
            <w:rStyle w:val="Hyperlink"/>
            <w:noProof/>
          </w:rPr>
          <w:t>Azure-Site-Wiederherstellung</w:t>
        </w:r>
        <w:r>
          <w:rPr>
            <w:noProof/>
            <w:webHidden/>
          </w:rPr>
          <w:tab/>
        </w:r>
        <w:r>
          <w:rPr>
            <w:noProof/>
            <w:webHidden/>
          </w:rPr>
          <w:fldChar w:fldCharType="begin"/>
        </w:r>
        <w:r>
          <w:rPr>
            <w:noProof/>
            <w:webHidden/>
          </w:rPr>
          <w:instrText xml:space="preserve"> PAGEREF _Toc237449060 \h </w:instrText>
        </w:r>
        <w:r>
          <w:rPr>
            <w:noProof/>
            <w:webHidden/>
          </w:rPr>
        </w:r>
        <w:r>
          <w:rPr>
            <w:noProof/>
            <w:webHidden/>
          </w:rPr>
          <w:fldChar w:fldCharType="separate"/>
        </w:r>
        <w:r>
          <w:rPr>
            <w:noProof/>
            <w:webHidden/>
          </w:rPr>
          <w:t>91</w:t>
        </w:r>
        <w:r>
          <w:rPr>
            <w:noProof/>
            <w:webHidden/>
          </w:rPr>
          <w:fldChar w:fldCharType="end"/>
        </w:r>
      </w:hyperlink>
    </w:p>
    <w:p w14:paraId="005A85A4" w14:textId="0B2199EB" w:rsidR="0030005B" w:rsidRDefault="0030005B">
      <w:pPr>
        <w:pStyle w:val="TOC4"/>
        <w:rPr>
          <w:rFonts w:eastAsiaTheme="minorEastAsia"/>
          <w:smallCaps w:val="0"/>
          <w:noProof/>
          <w:kern w:val="2"/>
          <w:sz w:val="24"/>
          <w:szCs w:val="24"/>
          <w:lang w:val="en-US" w:eastAsia="zh-CN" w:bidi="he-IL"/>
          <w14:ligatures w14:val="standardContextual"/>
        </w:rPr>
      </w:pPr>
      <w:hyperlink w:anchor="_Toc237449061" w:history="1">
        <w:r w:rsidRPr="00363646">
          <w:rPr>
            <w:rStyle w:val="Hyperlink"/>
            <w:noProof/>
          </w:rPr>
          <w:t>Spatial Anchors</w:t>
        </w:r>
        <w:r>
          <w:rPr>
            <w:noProof/>
            <w:webHidden/>
          </w:rPr>
          <w:tab/>
        </w:r>
        <w:r>
          <w:rPr>
            <w:noProof/>
            <w:webHidden/>
          </w:rPr>
          <w:fldChar w:fldCharType="begin"/>
        </w:r>
        <w:r>
          <w:rPr>
            <w:noProof/>
            <w:webHidden/>
          </w:rPr>
          <w:instrText xml:space="preserve"> PAGEREF _Toc237449061 \h </w:instrText>
        </w:r>
        <w:r>
          <w:rPr>
            <w:noProof/>
            <w:webHidden/>
          </w:rPr>
        </w:r>
        <w:r>
          <w:rPr>
            <w:noProof/>
            <w:webHidden/>
          </w:rPr>
          <w:fldChar w:fldCharType="separate"/>
        </w:r>
        <w:r>
          <w:rPr>
            <w:noProof/>
            <w:webHidden/>
          </w:rPr>
          <w:t>92</w:t>
        </w:r>
        <w:r>
          <w:rPr>
            <w:noProof/>
            <w:webHidden/>
          </w:rPr>
          <w:fldChar w:fldCharType="end"/>
        </w:r>
      </w:hyperlink>
    </w:p>
    <w:p w14:paraId="2BC59668" w14:textId="4CE65FA3" w:rsidR="0030005B" w:rsidRDefault="0030005B">
      <w:pPr>
        <w:pStyle w:val="TOC4"/>
        <w:rPr>
          <w:rFonts w:eastAsiaTheme="minorEastAsia"/>
          <w:smallCaps w:val="0"/>
          <w:noProof/>
          <w:kern w:val="2"/>
          <w:sz w:val="24"/>
          <w:szCs w:val="24"/>
          <w:lang w:val="en-US" w:eastAsia="zh-CN" w:bidi="he-IL"/>
          <w14:ligatures w14:val="standardContextual"/>
        </w:rPr>
      </w:pPr>
      <w:hyperlink w:anchor="_Toc237449062" w:history="1">
        <w:r w:rsidRPr="00363646">
          <w:rPr>
            <w:rStyle w:val="Hyperlink"/>
            <w:noProof/>
          </w:rPr>
          <w:t>Azure Spring Apps</w:t>
        </w:r>
        <w:r>
          <w:rPr>
            <w:noProof/>
            <w:webHidden/>
          </w:rPr>
          <w:tab/>
        </w:r>
        <w:r>
          <w:rPr>
            <w:noProof/>
            <w:webHidden/>
          </w:rPr>
          <w:fldChar w:fldCharType="begin"/>
        </w:r>
        <w:r>
          <w:rPr>
            <w:noProof/>
            <w:webHidden/>
          </w:rPr>
          <w:instrText xml:space="preserve"> PAGEREF _Toc237449062 \h </w:instrText>
        </w:r>
        <w:r>
          <w:rPr>
            <w:noProof/>
            <w:webHidden/>
          </w:rPr>
        </w:r>
        <w:r>
          <w:rPr>
            <w:noProof/>
            <w:webHidden/>
          </w:rPr>
          <w:fldChar w:fldCharType="separate"/>
        </w:r>
        <w:r>
          <w:rPr>
            <w:noProof/>
            <w:webHidden/>
          </w:rPr>
          <w:t>92</w:t>
        </w:r>
        <w:r>
          <w:rPr>
            <w:noProof/>
            <w:webHidden/>
          </w:rPr>
          <w:fldChar w:fldCharType="end"/>
        </w:r>
      </w:hyperlink>
    </w:p>
    <w:p w14:paraId="5627E59A" w14:textId="590CEB64" w:rsidR="0030005B" w:rsidRDefault="0030005B">
      <w:pPr>
        <w:pStyle w:val="TOC4"/>
        <w:rPr>
          <w:rFonts w:eastAsiaTheme="minorEastAsia"/>
          <w:smallCaps w:val="0"/>
          <w:noProof/>
          <w:kern w:val="2"/>
          <w:sz w:val="24"/>
          <w:szCs w:val="24"/>
          <w:lang w:val="en-US" w:eastAsia="zh-CN" w:bidi="he-IL"/>
          <w14:ligatures w14:val="standardContextual"/>
        </w:rPr>
      </w:pPr>
      <w:hyperlink w:anchor="_Toc237449063" w:history="1">
        <w:r w:rsidRPr="00363646">
          <w:rPr>
            <w:rStyle w:val="Hyperlink"/>
            <w:noProof/>
          </w:rPr>
          <w:t>Azure SQL-Datenbank</w:t>
        </w:r>
        <w:r>
          <w:rPr>
            <w:noProof/>
            <w:webHidden/>
          </w:rPr>
          <w:tab/>
        </w:r>
        <w:r>
          <w:rPr>
            <w:noProof/>
            <w:webHidden/>
          </w:rPr>
          <w:fldChar w:fldCharType="begin"/>
        </w:r>
        <w:r>
          <w:rPr>
            <w:noProof/>
            <w:webHidden/>
          </w:rPr>
          <w:instrText xml:space="preserve"> PAGEREF _Toc237449063 \h </w:instrText>
        </w:r>
        <w:r>
          <w:rPr>
            <w:noProof/>
            <w:webHidden/>
          </w:rPr>
        </w:r>
        <w:r>
          <w:rPr>
            <w:noProof/>
            <w:webHidden/>
          </w:rPr>
          <w:fldChar w:fldCharType="separate"/>
        </w:r>
        <w:r>
          <w:rPr>
            <w:noProof/>
            <w:webHidden/>
          </w:rPr>
          <w:t>93</w:t>
        </w:r>
        <w:r>
          <w:rPr>
            <w:noProof/>
            <w:webHidden/>
          </w:rPr>
          <w:fldChar w:fldCharType="end"/>
        </w:r>
      </w:hyperlink>
    </w:p>
    <w:p w14:paraId="53A03AA8" w14:textId="6129F230" w:rsidR="0030005B" w:rsidRDefault="0030005B">
      <w:pPr>
        <w:pStyle w:val="TOC4"/>
        <w:rPr>
          <w:rFonts w:eastAsiaTheme="minorEastAsia"/>
          <w:smallCaps w:val="0"/>
          <w:noProof/>
          <w:kern w:val="2"/>
          <w:sz w:val="24"/>
          <w:szCs w:val="24"/>
          <w:lang w:val="en-US" w:eastAsia="zh-CN" w:bidi="he-IL"/>
          <w14:ligatures w14:val="standardContextual"/>
        </w:rPr>
      </w:pPr>
      <w:hyperlink w:anchor="_Toc237449064" w:history="1">
        <w:r w:rsidRPr="00363646">
          <w:rPr>
            <w:rStyle w:val="Hyperlink"/>
            <w:noProof/>
          </w:rPr>
          <w:t>Azure SQL-Verwaltete Instanz</w:t>
        </w:r>
        <w:r>
          <w:rPr>
            <w:noProof/>
            <w:webHidden/>
          </w:rPr>
          <w:tab/>
        </w:r>
        <w:r>
          <w:rPr>
            <w:noProof/>
            <w:webHidden/>
          </w:rPr>
          <w:fldChar w:fldCharType="begin"/>
        </w:r>
        <w:r>
          <w:rPr>
            <w:noProof/>
            <w:webHidden/>
          </w:rPr>
          <w:instrText xml:space="preserve"> PAGEREF _Toc237449064 \h </w:instrText>
        </w:r>
        <w:r>
          <w:rPr>
            <w:noProof/>
            <w:webHidden/>
          </w:rPr>
        </w:r>
        <w:r>
          <w:rPr>
            <w:noProof/>
            <w:webHidden/>
          </w:rPr>
          <w:fldChar w:fldCharType="separate"/>
        </w:r>
        <w:r>
          <w:rPr>
            <w:noProof/>
            <w:webHidden/>
          </w:rPr>
          <w:t>95</w:t>
        </w:r>
        <w:r>
          <w:rPr>
            <w:noProof/>
            <w:webHidden/>
          </w:rPr>
          <w:fldChar w:fldCharType="end"/>
        </w:r>
      </w:hyperlink>
    </w:p>
    <w:p w14:paraId="44F72695" w14:textId="3A4FB9D4" w:rsidR="0030005B" w:rsidRDefault="0030005B">
      <w:pPr>
        <w:pStyle w:val="TOC4"/>
        <w:rPr>
          <w:rFonts w:eastAsiaTheme="minorEastAsia"/>
          <w:smallCaps w:val="0"/>
          <w:noProof/>
          <w:kern w:val="2"/>
          <w:sz w:val="24"/>
          <w:szCs w:val="24"/>
          <w:lang w:val="en-US" w:eastAsia="zh-CN" w:bidi="he-IL"/>
          <w14:ligatures w14:val="standardContextual"/>
        </w:rPr>
      </w:pPr>
      <w:hyperlink w:anchor="_Toc237449065" w:history="1">
        <w:r w:rsidRPr="00363646">
          <w:rPr>
            <w:rStyle w:val="Hyperlink"/>
            <w:noProof/>
          </w:rPr>
          <w:t>SQL Server Stretch-Datenbank</w:t>
        </w:r>
        <w:r>
          <w:rPr>
            <w:noProof/>
            <w:webHidden/>
          </w:rPr>
          <w:tab/>
        </w:r>
        <w:r>
          <w:rPr>
            <w:noProof/>
            <w:webHidden/>
          </w:rPr>
          <w:fldChar w:fldCharType="begin"/>
        </w:r>
        <w:r>
          <w:rPr>
            <w:noProof/>
            <w:webHidden/>
          </w:rPr>
          <w:instrText xml:space="preserve"> PAGEREF _Toc237449065 \h </w:instrText>
        </w:r>
        <w:r>
          <w:rPr>
            <w:noProof/>
            <w:webHidden/>
          </w:rPr>
        </w:r>
        <w:r>
          <w:rPr>
            <w:noProof/>
            <w:webHidden/>
          </w:rPr>
          <w:fldChar w:fldCharType="separate"/>
        </w:r>
        <w:r>
          <w:rPr>
            <w:noProof/>
            <w:webHidden/>
          </w:rPr>
          <w:t>96</w:t>
        </w:r>
        <w:r>
          <w:rPr>
            <w:noProof/>
            <w:webHidden/>
          </w:rPr>
          <w:fldChar w:fldCharType="end"/>
        </w:r>
      </w:hyperlink>
    </w:p>
    <w:p w14:paraId="588FFD04" w14:textId="43C258B7" w:rsidR="0030005B" w:rsidRDefault="0030005B">
      <w:pPr>
        <w:pStyle w:val="TOC4"/>
        <w:rPr>
          <w:rFonts w:eastAsiaTheme="minorEastAsia"/>
          <w:smallCaps w:val="0"/>
          <w:noProof/>
          <w:kern w:val="2"/>
          <w:sz w:val="24"/>
          <w:szCs w:val="24"/>
          <w:lang w:val="en-US" w:eastAsia="zh-CN" w:bidi="he-IL"/>
          <w14:ligatures w14:val="standardContextual"/>
        </w:rPr>
      </w:pPr>
      <w:hyperlink w:anchor="_Toc237449066" w:history="1">
        <w:r w:rsidRPr="00363646">
          <w:rPr>
            <w:rStyle w:val="Hyperlink"/>
            <w:noProof/>
          </w:rPr>
          <w:t>Statische Web Apps</w:t>
        </w:r>
        <w:r>
          <w:rPr>
            <w:noProof/>
            <w:webHidden/>
          </w:rPr>
          <w:tab/>
        </w:r>
        <w:r>
          <w:rPr>
            <w:noProof/>
            <w:webHidden/>
          </w:rPr>
          <w:fldChar w:fldCharType="begin"/>
        </w:r>
        <w:r>
          <w:rPr>
            <w:noProof/>
            <w:webHidden/>
          </w:rPr>
          <w:instrText xml:space="preserve"> PAGEREF _Toc237449066 \h </w:instrText>
        </w:r>
        <w:r>
          <w:rPr>
            <w:noProof/>
            <w:webHidden/>
          </w:rPr>
        </w:r>
        <w:r>
          <w:rPr>
            <w:noProof/>
            <w:webHidden/>
          </w:rPr>
          <w:fldChar w:fldCharType="separate"/>
        </w:r>
        <w:r>
          <w:rPr>
            <w:noProof/>
            <w:webHidden/>
          </w:rPr>
          <w:t>96</w:t>
        </w:r>
        <w:r>
          <w:rPr>
            <w:noProof/>
            <w:webHidden/>
          </w:rPr>
          <w:fldChar w:fldCharType="end"/>
        </w:r>
      </w:hyperlink>
    </w:p>
    <w:p w14:paraId="26EA68F5" w14:textId="49CA602B" w:rsidR="0030005B" w:rsidRDefault="0030005B">
      <w:pPr>
        <w:pStyle w:val="TOC4"/>
        <w:rPr>
          <w:rFonts w:eastAsiaTheme="minorEastAsia"/>
          <w:smallCaps w:val="0"/>
          <w:noProof/>
          <w:kern w:val="2"/>
          <w:sz w:val="24"/>
          <w:szCs w:val="24"/>
          <w:lang w:val="en-US" w:eastAsia="zh-CN" w:bidi="he-IL"/>
          <w14:ligatures w14:val="standardContextual"/>
        </w:rPr>
      </w:pPr>
      <w:hyperlink w:anchor="_Toc237449067" w:history="1">
        <w:r w:rsidRPr="00363646">
          <w:rPr>
            <w:rStyle w:val="Hyperlink"/>
            <w:noProof/>
          </w:rPr>
          <w:t>Speicherkonten</w:t>
        </w:r>
        <w:r>
          <w:rPr>
            <w:noProof/>
            <w:webHidden/>
          </w:rPr>
          <w:tab/>
        </w:r>
        <w:r>
          <w:rPr>
            <w:noProof/>
            <w:webHidden/>
          </w:rPr>
          <w:fldChar w:fldCharType="begin"/>
        </w:r>
        <w:r>
          <w:rPr>
            <w:noProof/>
            <w:webHidden/>
          </w:rPr>
          <w:instrText xml:space="preserve"> PAGEREF _Toc237449067 \h </w:instrText>
        </w:r>
        <w:r>
          <w:rPr>
            <w:noProof/>
            <w:webHidden/>
          </w:rPr>
        </w:r>
        <w:r>
          <w:rPr>
            <w:noProof/>
            <w:webHidden/>
          </w:rPr>
          <w:fldChar w:fldCharType="separate"/>
        </w:r>
        <w:r>
          <w:rPr>
            <w:noProof/>
            <w:webHidden/>
          </w:rPr>
          <w:t>96</w:t>
        </w:r>
        <w:r>
          <w:rPr>
            <w:noProof/>
            <w:webHidden/>
          </w:rPr>
          <w:fldChar w:fldCharType="end"/>
        </w:r>
      </w:hyperlink>
    </w:p>
    <w:p w14:paraId="09C94511" w14:textId="4689A53B" w:rsidR="0030005B" w:rsidRDefault="0030005B">
      <w:pPr>
        <w:pStyle w:val="TOC4"/>
        <w:rPr>
          <w:rFonts w:eastAsiaTheme="minorEastAsia"/>
          <w:smallCaps w:val="0"/>
          <w:noProof/>
          <w:kern w:val="2"/>
          <w:sz w:val="24"/>
          <w:szCs w:val="24"/>
          <w:lang w:val="en-US" w:eastAsia="zh-CN" w:bidi="he-IL"/>
          <w14:ligatures w14:val="standardContextual"/>
        </w:rPr>
      </w:pPr>
      <w:hyperlink w:anchor="_Toc237449068" w:history="1">
        <w:r w:rsidRPr="00363646">
          <w:rPr>
            <w:rStyle w:val="Hyperlink"/>
            <w:noProof/>
          </w:rPr>
          <w:t>StorSimple</w:t>
        </w:r>
        <w:r>
          <w:rPr>
            <w:noProof/>
            <w:webHidden/>
          </w:rPr>
          <w:tab/>
        </w:r>
        <w:r>
          <w:rPr>
            <w:noProof/>
            <w:webHidden/>
          </w:rPr>
          <w:fldChar w:fldCharType="begin"/>
        </w:r>
        <w:r>
          <w:rPr>
            <w:noProof/>
            <w:webHidden/>
          </w:rPr>
          <w:instrText xml:space="preserve"> PAGEREF _Toc237449068 \h </w:instrText>
        </w:r>
        <w:r>
          <w:rPr>
            <w:noProof/>
            <w:webHidden/>
          </w:rPr>
        </w:r>
        <w:r>
          <w:rPr>
            <w:noProof/>
            <w:webHidden/>
          </w:rPr>
          <w:fldChar w:fldCharType="separate"/>
        </w:r>
        <w:r>
          <w:rPr>
            <w:noProof/>
            <w:webHidden/>
          </w:rPr>
          <w:t>99</w:t>
        </w:r>
        <w:r>
          <w:rPr>
            <w:noProof/>
            <w:webHidden/>
          </w:rPr>
          <w:fldChar w:fldCharType="end"/>
        </w:r>
      </w:hyperlink>
    </w:p>
    <w:p w14:paraId="096B4A49" w14:textId="44843BB9" w:rsidR="0030005B" w:rsidRDefault="0030005B">
      <w:pPr>
        <w:pStyle w:val="TOC4"/>
        <w:rPr>
          <w:rFonts w:eastAsiaTheme="minorEastAsia"/>
          <w:smallCaps w:val="0"/>
          <w:noProof/>
          <w:kern w:val="2"/>
          <w:sz w:val="24"/>
          <w:szCs w:val="24"/>
          <w:lang w:val="en-US" w:eastAsia="zh-CN" w:bidi="he-IL"/>
          <w14:ligatures w14:val="standardContextual"/>
        </w:rPr>
      </w:pPr>
      <w:hyperlink w:anchor="_Toc237449069" w:history="1">
        <w:r w:rsidRPr="00363646">
          <w:rPr>
            <w:rStyle w:val="Hyperlink"/>
            <w:noProof/>
          </w:rPr>
          <w:t>Azure Stream Analytics</w:t>
        </w:r>
        <w:r>
          <w:rPr>
            <w:noProof/>
            <w:webHidden/>
          </w:rPr>
          <w:tab/>
        </w:r>
        <w:r>
          <w:rPr>
            <w:noProof/>
            <w:webHidden/>
          </w:rPr>
          <w:fldChar w:fldCharType="begin"/>
        </w:r>
        <w:r>
          <w:rPr>
            <w:noProof/>
            <w:webHidden/>
          </w:rPr>
          <w:instrText xml:space="preserve"> PAGEREF _Toc237449069 \h </w:instrText>
        </w:r>
        <w:r>
          <w:rPr>
            <w:noProof/>
            <w:webHidden/>
          </w:rPr>
        </w:r>
        <w:r>
          <w:rPr>
            <w:noProof/>
            <w:webHidden/>
          </w:rPr>
          <w:fldChar w:fldCharType="separate"/>
        </w:r>
        <w:r>
          <w:rPr>
            <w:noProof/>
            <w:webHidden/>
          </w:rPr>
          <w:t>100</w:t>
        </w:r>
        <w:r>
          <w:rPr>
            <w:noProof/>
            <w:webHidden/>
          </w:rPr>
          <w:fldChar w:fldCharType="end"/>
        </w:r>
      </w:hyperlink>
    </w:p>
    <w:p w14:paraId="740D9354" w14:textId="719FF9C4" w:rsidR="0030005B" w:rsidRDefault="0030005B">
      <w:pPr>
        <w:pStyle w:val="TOC4"/>
        <w:rPr>
          <w:rFonts w:eastAsiaTheme="minorEastAsia"/>
          <w:smallCaps w:val="0"/>
          <w:noProof/>
          <w:kern w:val="2"/>
          <w:sz w:val="24"/>
          <w:szCs w:val="24"/>
          <w:lang w:val="en-US" w:eastAsia="zh-CN" w:bidi="he-IL"/>
          <w14:ligatures w14:val="standardContextual"/>
        </w:rPr>
      </w:pPr>
      <w:hyperlink w:anchor="_Toc237449070" w:history="1">
        <w:r w:rsidRPr="00363646">
          <w:rPr>
            <w:rStyle w:val="Hyperlink"/>
            <w:noProof/>
          </w:rPr>
          <w:t>Azure Synapse Analytics</w:t>
        </w:r>
        <w:r>
          <w:rPr>
            <w:noProof/>
            <w:webHidden/>
          </w:rPr>
          <w:tab/>
        </w:r>
        <w:r>
          <w:rPr>
            <w:noProof/>
            <w:webHidden/>
          </w:rPr>
          <w:fldChar w:fldCharType="begin"/>
        </w:r>
        <w:r>
          <w:rPr>
            <w:noProof/>
            <w:webHidden/>
          </w:rPr>
          <w:instrText xml:space="preserve"> PAGEREF _Toc237449070 \h </w:instrText>
        </w:r>
        <w:r>
          <w:rPr>
            <w:noProof/>
            <w:webHidden/>
          </w:rPr>
        </w:r>
        <w:r>
          <w:rPr>
            <w:noProof/>
            <w:webHidden/>
          </w:rPr>
          <w:fldChar w:fldCharType="separate"/>
        </w:r>
        <w:r>
          <w:rPr>
            <w:noProof/>
            <w:webHidden/>
          </w:rPr>
          <w:t>100</w:t>
        </w:r>
        <w:r>
          <w:rPr>
            <w:noProof/>
            <w:webHidden/>
          </w:rPr>
          <w:fldChar w:fldCharType="end"/>
        </w:r>
      </w:hyperlink>
    </w:p>
    <w:p w14:paraId="47DA024A" w14:textId="5B2FF55B" w:rsidR="0030005B" w:rsidRDefault="0030005B">
      <w:pPr>
        <w:pStyle w:val="TOC4"/>
        <w:rPr>
          <w:rFonts w:eastAsiaTheme="minorEastAsia"/>
          <w:smallCaps w:val="0"/>
          <w:noProof/>
          <w:kern w:val="2"/>
          <w:sz w:val="24"/>
          <w:szCs w:val="24"/>
          <w:lang w:val="en-US" w:eastAsia="zh-CN" w:bidi="he-IL"/>
          <w14:ligatures w14:val="standardContextual"/>
        </w:rPr>
      </w:pPr>
      <w:hyperlink w:anchor="_Toc237449071" w:history="1">
        <w:r w:rsidRPr="00363646">
          <w:rPr>
            <w:rStyle w:val="Hyperlink"/>
            <w:noProof/>
          </w:rPr>
          <w:t>Azure Time Series Insights</w:t>
        </w:r>
        <w:r>
          <w:rPr>
            <w:noProof/>
            <w:webHidden/>
          </w:rPr>
          <w:tab/>
        </w:r>
        <w:r>
          <w:rPr>
            <w:noProof/>
            <w:webHidden/>
          </w:rPr>
          <w:fldChar w:fldCharType="begin"/>
        </w:r>
        <w:r>
          <w:rPr>
            <w:noProof/>
            <w:webHidden/>
          </w:rPr>
          <w:instrText xml:space="preserve"> PAGEREF _Toc237449071 \h </w:instrText>
        </w:r>
        <w:r>
          <w:rPr>
            <w:noProof/>
            <w:webHidden/>
          </w:rPr>
        </w:r>
        <w:r>
          <w:rPr>
            <w:noProof/>
            <w:webHidden/>
          </w:rPr>
          <w:fldChar w:fldCharType="separate"/>
        </w:r>
        <w:r>
          <w:rPr>
            <w:noProof/>
            <w:webHidden/>
          </w:rPr>
          <w:t>101</w:t>
        </w:r>
        <w:r>
          <w:rPr>
            <w:noProof/>
            <w:webHidden/>
          </w:rPr>
          <w:fldChar w:fldCharType="end"/>
        </w:r>
      </w:hyperlink>
    </w:p>
    <w:p w14:paraId="1196A5A1" w14:textId="2FAA3C1D" w:rsidR="0030005B" w:rsidRDefault="0030005B">
      <w:pPr>
        <w:pStyle w:val="TOC4"/>
        <w:rPr>
          <w:rFonts w:eastAsiaTheme="minorEastAsia"/>
          <w:smallCaps w:val="0"/>
          <w:noProof/>
          <w:kern w:val="2"/>
          <w:sz w:val="24"/>
          <w:szCs w:val="24"/>
          <w:lang w:val="en-US" w:eastAsia="zh-CN" w:bidi="he-IL"/>
          <w14:ligatures w14:val="standardContextual"/>
        </w:rPr>
      </w:pPr>
      <w:hyperlink w:anchor="_Toc237449072" w:history="1">
        <w:r w:rsidRPr="00363646">
          <w:rPr>
            <w:rStyle w:val="Hyperlink"/>
            <w:noProof/>
          </w:rPr>
          <w:t>Traffic Manager-Dienst</w:t>
        </w:r>
        <w:r>
          <w:rPr>
            <w:noProof/>
            <w:webHidden/>
          </w:rPr>
          <w:tab/>
        </w:r>
        <w:r>
          <w:rPr>
            <w:noProof/>
            <w:webHidden/>
          </w:rPr>
          <w:fldChar w:fldCharType="begin"/>
        </w:r>
        <w:r>
          <w:rPr>
            <w:noProof/>
            <w:webHidden/>
          </w:rPr>
          <w:instrText xml:space="preserve"> PAGEREF _Toc237449072 \h </w:instrText>
        </w:r>
        <w:r>
          <w:rPr>
            <w:noProof/>
            <w:webHidden/>
          </w:rPr>
        </w:r>
        <w:r>
          <w:rPr>
            <w:noProof/>
            <w:webHidden/>
          </w:rPr>
          <w:fldChar w:fldCharType="separate"/>
        </w:r>
        <w:r>
          <w:rPr>
            <w:noProof/>
            <w:webHidden/>
          </w:rPr>
          <w:t>102</w:t>
        </w:r>
        <w:r>
          <w:rPr>
            <w:noProof/>
            <w:webHidden/>
          </w:rPr>
          <w:fldChar w:fldCharType="end"/>
        </w:r>
      </w:hyperlink>
    </w:p>
    <w:p w14:paraId="5B5CD5AC" w14:textId="5A8AF3C4" w:rsidR="0030005B" w:rsidRDefault="0030005B">
      <w:pPr>
        <w:pStyle w:val="TOC4"/>
        <w:rPr>
          <w:rFonts w:eastAsiaTheme="minorEastAsia"/>
          <w:smallCaps w:val="0"/>
          <w:noProof/>
          <w:kern w:val="2"/>
          <w:sz w:val="24"/>
          <w:szCs w:val="24"/>
          <w:lang w:val="en-US" w:eastAsia="zh-CN" w:bidi="he-IL"/>
          <w14:ligatures w14:val="standardContextual"/>
        </w:rPr>
      </w:pPr>
      <w:hyperlink w:anchor="_Toc237449073" w:history="1">
        <w:r w:rsidRPr="00363646">
          <w:rPr>
            <w:rStyle w:val="Hyperlink"/>
            <w:noProof/>
          </w:rPr>
          <w:t>App-Signatur</w:t>
        </w:r>
        <w:r>
          <w:rPr>
            <w:noProof/>
            <w:webHidden/>
          </w:rPr>
          <w:tab/>
        </w:r>
        <w:r>
          <w:rPr>
            <w:noProof/>
            <w:webHidden/>
          </w:rPr>
          <w:fldChar w:fldCharType="begin"/>
        </w:r>
        <w:r>
          <w:rPr>
            <w:noProof/>
            <w:webHidden/>
          </w:rPr>
          <w:instrText xml:space="preserve"> PAGEREF _Toc237449073 \h </w:instrText>
        </w:r>
        <w:r>
          <w:rPr>
            <w:noProof/>
            <w:webHidden/>
          </w:rPr>
        </w:r>
        <w:r>
          <w:rPr>
            <w:noProof/>
            <w:webHidden/>
          </w:rPr>
          <w:fldChar w:fldCharType="separate"/>
        </w:r>
        <w:r>
          <w:rPr>
            <w:noProof/>
            <w:webHidden/>
          </w:rPr>
          <w:t>102</w:t>
        </w:r>
        <w:r>
          <w:rPr>
            <w:noProof/>
            <w:webHidden/>
          </w:rPr>
          <w:fldChar w:fldCharType="end"/>
        </w:r>
      </w:hyperlink>
    </w:p>
    <w:p w14:paraId="137E0C91" w14:textId="36FC1BF0" w:rsidR="0030005B" w:rsidRDefault="0030005B">
      <w:pPr>
        <w:pStyle w:val="TOC4"/>
        <w:rPr>
          <w:rFonts w:eastAsiaTheme="minorEastAsia"/>
          <w:smallCaps w:val="0"/>
          <w:noProof/>
          <w:kern w:val="2"/>
          <w:sz w:val="24"/>
          <w:szCs w:val="24"/>
          <w:lang w:val="en-US" w:eastAsia="zh-CN" w:bidi="he-IL"/>
          <w14:ligatures w14:val="standardContextual"/>
        </w:rPr>
      </w:pPr>
      <w:hyperlink w:anchor="_Toc237449074" w:history="1">
        <w:r w:rsidRPr="00363646">
          <w:rPr>
            <w:rStyle w:val="Hyperlink"/>
            <w:noProof/>
          </w:rPr>
          <w:t>Virtuelle Computer</w:t>
        </w:r>
        <w:r>
          <w:rPr>
            <w:noProof/>
            <w:webHidden/>
          </w:rPr>
          <w:tab/>
        </w:r>
        <w:r>
          <w:rPr>
            <w:noProof/>
            <w:webHidden/>
          </w:rPr>
          <w:fldChar w:fldCharType="begin"/>
        </w:r>
        <w:r>
          <w:rPr>
            <w:noProof/>
            <w:webHidden/>
          </w:rPr>
          <w:instrText xml:space="preserve"> PAGEREF _Toc237449074 \h </w:instrText>
        </w:r>
        <w:r>
          <w:rPr>
            <w:noProof/>
            <w:webHidden/>
          </w:rPr>
        </w:r>
        <w:r>
          <w:rPr>
            <w:noProof/>
            <w:webHidden/>
          </w:rPr>
          <w:fldChar w:fldCharType="separate"/>
        </w:r>
        <w:r>
          <w:rPr>
            <w:noProof/>
            <w:webHidden/>
          </w:rPr>
          <w:t>102</w:t>
        </w:r>
        <w:r>
          <w:rPr>
            <w:noProof/>
            <w:webHidden/>
          </w:rPr>
          <w:fldChar w:fldCharType="end"/>
        </w:r>
      </w:hyperlink>
    </w:p>
    <w:p w14:paraId="65B4CB6C" w14:textId="2900FD20" w:rsidR="0030005B" w:rsidRDefault="0030005B">
      <w:pPr>
        <w:pStyle w:val="TOC4"/>
        <w:rPr>
          <w:rFonts w:eastAsiaTheme="minorEastAsia"/>
          <w:smallCaps w:val="0"/>
          <w:noProof/>
          <w:kern w:val="2"/>
          <w:sz w:val="24"/>
          <w:szCs w:val="24"/>
          <w:lang w:val="en-US" w:eastAsia="zh-CN" w:bidi="he-IL"/>
          <w14:ligatures w14:val="standardContextual"/>
        </w:rPr>
      </w:pPr>
      <w:hyperlink w:anchor="_Toc237449075" w:history="1">
        <w:r w:rsidRPr="00363646">
          <w:rPr>
            <w:rStyle w:val="Hyperlink"/>
            <w:noProof/>
          </w:rPr>
          <w:t>Azure Virtual Network Manager</w:t>
        </w:r>
        <w:r>
          <w:rPr>
            <w:noProof/>
            <w:webHidden/>
          </w:rPr>
          <w:tab/>
        </w:r>
        <w:r>
          <w:rPr>
            <w:noProof/>
            <w:webHidden/>
          </w:rPr>
          <w:fldChar w:fldCharType="begin"/>
        </w:r>
        <w:r>
          <w:rPr>
            <w:noProof/>
            <w:webHidden/>
          </w:rPr>
          <w:instrText xml:space="preserve"> PAGEREF _Toc237449075 \h </w:instrText>
        </w:r>
        <w:r>
          <w:rPr>
            <w:noProof/>
            <w:webHidden/>
          </w:rPr>
        </w:r>
        <w:r>
          <w:rPr>
            <w:noProof/>
            <w:webHidden/>
          </w:rPr>
          <w:fldChar w:fldCharType="separate"/>
        </w:r>
        <w:r>
          <w:rPr>
            <w:noProof/>
            <w:webHidden/>
          </w:rPr>
          <w:t>104</w:t>
        </w:r>
        <w:r>
          <w:rPr>
            <w:noProof/>
            <w:webHidden/>
          </w:rPr>
          <w:fldChar w:fldCharType="end"/>
        </w:r>
      </w:hyperlink>
    </w:p>
    <w:p w14:paraId="63ECE9A4" w14:textId="3CA3FEC7" w:rsidR="0030005B" w:rsidRDefault="0030005B">
      <w:pPr>
        <w:pStyle w:val="TOC4"/>
        <w:rPr>
          <w:rFonts w:eastAsiaTheme="minorEastAsia"/>
          <w:smallCaps w:val="0"/>
          <w:noProof/>
          <w:kern w:val="2"/>
          <w:sz w:val="24"/>
          <w:szCs w:val="24"/>
          <w:lang w:val="en-US" w:eastAsia="zh-CN" w:bidi="he-IL"/>
          <w14:ligatures w14:val="standardContextual"/>
        </w:rPr>
      </w:pPr>
      <w:hyperlink w:anchor="_Toc237449076" w:history="1">
        <w:r w:rsidRPr="00363646">
          <w:rPr>
            <w:rStyle w:val="Hyperlink"/>
            <w:noProof/>
          </w:rPr>
          <w:t>Azure Virtual WAN</w:t>
        </w:r>
        <w:r>
          <w:rPr>
            <w:noProof/>
            <w:webHidden/>
          </w:rPr>
          <w:tab/>
        </w:r>
        <w:r>
          <w:rPr>
            <w:noProof/>
            <w:webHidden/>
          </w:rPr>
          <w:fldChar w:fldCharType="begin"/>
        </w:r>
        <w:r>
          <w:rPr>
            <w:noProof/>
            <w:webHidden/>
          </w:rPr>
          <w:instrText xml:space="preserve"> PAGEREF _Toc237449076 \h </w:instrText>
        </w:r>
        <w:r>
          <w:rPr>
            <w:noProof/>
            <w:webHidden/>
          </w:rPr>
        </w:r>
        <w:r>
          <w:rPr>
            <w:noProof/>
            <w:webHidden/>
          </w:rPr>
          <w:fldChar w:fldCharType="separate"/>
        </w:r>
        <w:r>
          <w:rPr>
            <w:noProof/>
            <w:webHidden/>
          </w:rPr>
          <w:t>104</w:t>
        </w:r>
        <w:r>
          <w:rPr>
            <w:noProof/>
            <w:webHidden/>
          </w:rPr>
          <w:fldChar w:fldCharType="end"/>
        </w:r>
      </w:hyperlink>
    </w:p>
    <w:p w14:paraId="12CC18A4" w14:textId="001F4708" w:rsidR="0030005B" w:rsidRDefault="0030005B">
      <w:pPr>
        <w:pStyle w:val="TOC4"/>
        <w:rPr>
          <w:rFonts w:eastAsiaTheme="minorEastAsia"/>
          <w:smallCaps w:val="0"/>
          <w:noProof/>
          <w:kern w:val="2"/>
          <w:sz w:val="24"/>
          <w:szCs w:val="24"/>
          <w:lang w:val="en-US" w:eastAsia="zh-CN" w:bidi="he-IL"/>
          <w14:ligatures w14:val="standardContextual"/>
        </w:rPr>
      </w:pPr>
      <w:hyperlink w:anchor="_Toc237449077" w:history="1">
        <w:r w:rsidRPr="00363646">
          <w:rPr>
            <w:rStyle w:val="Hyperlink"/>
            <w:noProof/>
          </w:rPr>
          <w:t>Azure VMware Solution</w:t>
        </w:r>
        <w:r>
          <w:rPr>
            <w:noProof/>
            <w:webHidden/>
          </w:rPr>
          <w:tab/>
        </w:r>
        <w:r>
          <w:rPr>
            <w:noProof/>
            <w:webHidden/>
          </w:rPr>
          <w:fldChar w:fldCharType="begin"/>
        </w:r>
        <w:r>
          <w:rPr>
            <w:noProof/>
            <w:webHidden/>
          </w:rPr>
          <w:instrText xml:space="preserve"> PAGEREF _Toc237449077 \h </w:instrText>
        </w:r>
        <w:r>
          <w:rPr>
            <w:noProof/>
            <w:webHidden/>
          </w:rPr>
        </w:r>
        <w:r>
          <w:rPr>
            <w:noProof/>
            <w:webHidden/>
          </w:rPr>
          <w:fldChar w:fldCharType="separate"/>
        </w:r>
        <w:r>
          <w:rPr>
            <w:noProof/>
            <w:webHidden/>
          </w:rPr>
          <w:t>105</w:t>
        </w:r>
        <w:r>
          <w:rPr>
            <w:noProof/>
            <w:webHidden/>
          </w:rPr>
          <w:fldChar w:fldCharType="end"/>
        </w:r>
      </w:hyperlink>
    </w:p>
    <w:p w14:paraId="3AD9F9CF" w14:textId="24F2F48F" w:rsidR="0030005B" w:rsidRDefault="0030005B">
      <w:pPr>
        <w:pStyle w:val="TOC4"/>
        <w:rPr>
          <w:rFonts w:eastAsiaTheme="minorEastAsia"/>
          <w:smallCaps w:val="0"/>
          <w:noProof/>
          <w:kern w:val="2"/>
          <w:sz w:val="24"/>
          <w:szCs w:val="24"/>
          <w:lang w:val="en-US" w:eastAsia="zh-CN" w:bidi="he-IL"/>
          <w14:ligatures w14:val="standardContextual"/>
        </w:rPr>
      </w:pPr>
      <w:hyperlink w:anchor="_Toc237449078" w:history="1">
        <w:r w:rsidRPr="00363646">
          <w:rPr>
            <w:rStyle w:val="Hyperlink"/>
            <w:noProof/>
          </w:rPr>
          <w:t>Azure VMware Solution durch CloudSimple</w:t>
        </w:r>
        <w:r>
          <w:rPr>
            <w:noProof/>
            <w:webHidden/>
          </w:rPr>
          <w:tab/>
        </w:r>
        <w:r>
          <w:rPr>
            <w:noProof/>
            <w:webHidden/>
          </w:rPr>
          <w:fldChar w:fldCharType="begin"/>
        </w:r>
        <w:r>
          <w:rPr>
            <w:noProof/>
            <w:webHidden/>
          </w:rPr>
          <w:instrText xml:space="preserve"> PAGEREF _Toc237449078 \h </w:instrText>
        </w:r>
        <w:r>
          <w:rPr>
            <w:noProof/>
            <w:webHidden/>
          </w:rPr>
        </w:r>
        <w:r>
          <w:rPr>
            <w:noProof/>
            <w:webHidden/>
          </w:rPr>
          <w:fldChar w:fldCharType="separate"/>
        </w:r>
        <w:r>
          <w:rPr>
            <w:noProof/>
            <w:webHidden/>
          </w:rPr>
          <w:t>106</w:t>
        </w:r>
        <w:r>
          <w:rPr>
            <w:noProof/>
            <w:webHidden/>
          </w:rPr>
          <w:fldChar w:fldCharType="end"/>
        </w:r>
      </w:hyperlink>
    </w:p>
    <w:p w14:paraId="575156CF" w14:textId="753A6DA9" w:rsidR="0030005B" w:rsidRDefault="0030005B">
      <w:pPr>
        <w:pStyle w:val="TOC4"/>
        <w:rPr>
          <w:rFonts w:eastAsiaTheme="minorEastAsia"/>
          <w:smallCaps w:val="0"/>
          <w:noProof/>
          <w:kern w:val="2"/>
          <w:sz w:val="24"/>
          <w:szCs w:val="24"/>
          <w:lang w:val="en-US" w:eastAsia="zh-CN" w:bidi="he-IL"/>
          <w14:ligatures w14:val="standardContextual"/>
        </w:rPr>
      </w:pPr>
      <w:hyperlink w:anchor="_Toc237449079" w:history="1">
        <w:r w:rsidRPr="00363646">
          <w:rPr>
            <w:rStyle w:val="Hyperlink"/>
            <w:noProof/>
          </w:rPr>
          <w:t>Azure VNet NAT</w:t>
        </w:r>
        <w:r>
          <w:rPr>
            <w:noProof/>
            <w:webHidden/>
          </w:rPr>
          <w:tab/>
        </w:r>
        <w:r>
          <w:rPr>
            <w:noProof/>
            <w:webHidden/>
          </w:rPr>
          <w:fldChar w:fldCharType="begin"/>
        </w:r>
        <w:r>
          <w:rPr>
            <w:noProof/>
            <w:webHidden/>
          </w:rPr>
          <w:instrText xml:space="preserve"> PAGEREF _Toc237449079 \h </w:instrText>
        </w:r>
        <w:r>
          <w:rPr>
            <w:noProof/>
            <w:webHidden/>
          </w:rPr>
        </w:r>
        <w:r>
          <w:rPr>
            <w:noProof/>
            <w:webHidden/>
          </w:rPr>
          <w:fldChar w:fldCharType="separate"/>
        </w:r>
        <w:r>
          <w:rPr>
            <w:noProof/>
            <w:webHidden/>
          </w:rPr>
          <w:t>106</w:t>
        </w:r>
        <w:r>
          <w:rPr>
            <w:noProof/>
            <w:webHidden/>
          </w:rPr>
          <w:fldChar w:fldCharType="end"/>
        </w:r>
      </w:hyperlink>
    </w:p>
    <w:p w14:paraId="667C3084" w14:textId="29C2EF6F" w:rsidR="0030005B" w:rsidRDefault="0030005B">
      <w:pPr>
        <w:pStyle w:val="TOC4"/>
        <w:rPr>
          <w:rFonts w:eastAsiaTheme="minorEastAsia"/>
          <w:smallCaps w:val="0"/>
          <w:noProof/>
          <w:kern w:val="2"/>
          <w:sz w:val="24"/>
          <w:szCs w:val="24"/>
          <w:lang w:val="en-US" w:eastAsia="zh-CN" w:bidi="he-IL"/>
          <w14:ligatures w14:val="standardContextual"/>
        </w:rPr>
      </w:pPr>
      <w:hyperlink w:anchor="_Toc237449080" w:history="1">
        <w:r w:rsidRPr="00363646">
          <w:rPr>
            <w:rStyle w:val="Hyperlink"/>
            <w:noProof/>
          </w:rPr>
          <w:t>Virtual Network Gateway</w:t>
        </w:r>
        <w:r>
          <w:rPr>
            <w:noProof/>
            <w:webHidden/>
          </w:rPr>
          <w:tab/>
        </w:r>
        <w:r>
          <w:rPr>
            <w:noProof/>
            <w:webHidden/>
          </w:rPr>
          <w:fldChar w:fldCharType="begin"/>
        </w:r>
        <w:r>
          <w:rPr>
            <w:noProof/>
            <w:webHidden/>
          </w:rPr>
          <w:instrText xml:space="preserve"> PAGEREF _Toc237449080 \h </w:instrText>
        </w:r>
        <w:r>
          <w:rPr>
            <w:noProof/>
            <w:webHidden/>
          </w:rPr>
        </w:r>
        <w:r>
          <w:rPr>
            <w:noProof/>
            <w:webHidden/>
          </w:rPr>
          <w:fldChar w:fldCharType="separate"/>
        </w:r>
        <w:r>
          <w:rPr>
            <w:noProof/>
            <w:webHidden/>
          </w:rPr>
          <w:t>107</w:t>
        </w:r>
        <w:r>
          <w:rPr>
            <w:noProof/>
            <w:webHidden/>
          </w:rPr>
          <w:fldChar w:fldCharType="end"/>
        </w:r>
      </w:hyperlink>
    </w:p>
    <w:p w14:paraId="455E38AE" w14:textId="56989F22" w:rsidR="0030005B" w:rsidRDefault="0030005B">
      <w:pPr>
        <w:pStyle w:val="TOC4"/>
        <w:rPr>
          <w:rFonts w:eastAsiaTheme="minorEastAsia"/>
          <w:smallCaps w:val="0"/>
          <w:noProof/>
          <w:kern w:val="2"/>
          <w:sz w:val="24"/>
          <w:szCs w:val="24"/>
          <w:lang w:val="en-US" w:eastAsia="zh-CN" w:bidi="he-IL"/>
          <w14:ligatures w14:val="standardContextual"/>
        </w:rPr>
      </w:pPr>
      <w:hyperlink w:anchor="_Toc237449081" w:history="1">
        <w:r w:rsidRPr="00363646">
          <w:rPr>
            <w:rStyle w:val="Hyperlink"/>
            <w:noProof/>
          </w:rPr>
          <w:t>Azure Web PubSub</w:t>
        </w:r>
        <w:r>
          <w:rPr>
            <w:noProof/>
            <w:webHidden/>
          </w:rPr>
          <w:tab/>
        </w:r>
        <w:r>
          <w:rPr>
            <w:noProof/>
            <w:webHidden/>
          </w:rPr>
          <w:fldChar w:fldCharType="begin"/>
        </w:r>
        <w:r>
          <w:rPr>
            <w:noProof/>
            <w:webHidden/>
          </w:rPr>
          <w:instrText xml:space="preserve"> PAGEREF _Toc237449081 \h </w:instrText>
        </w:r>
        <w:r>
          <w:rPr>
            <w:noProof/>
            <w:webHidden/>
          </w:rPr>
        </w:r>
        <w:r>
          <w:rPr>
            <w:noProof/>
            <w:webHidden/>
          </w:rPr>
          <w:fldChar w:fldCharType="separate"/>
        </w:r>
        <w:r>
          <w:rPr>
            <w:noProof/>
            <w:webHidden/>
          </w:rPr>
          <w:t>107</w:t>
        </w:r>
        <w:r>
          <w:rPr>
            <w:noProof/>
            <w:webHidden/>
          </w:rPr>
          <w:fldChar w:fldCharType="end"/>
        </w:r>
      </w:hyperlink>
    </w:p>
    <w:p w14:paraId="4AB1474C" w14:textId="67DF3D69" w:rsidR="0030005B" w:rsidRDefault="0030005B">
      <w:pPr>
        <w:pStyle w:val="TOC4"/>
        <w:rPr>
          <w:rFonts w:eastAsiaTheme="minorEastAsia"/>
          <w:smallCaps w:val="0"/>
          <w:noProof/>
          <w:kern w:val="2"/>
          <w:sz w:val="24"/>
          <w:szCs w:val="24"/>
          <w:lang w:val="en-US" w:eastAsia="zh-CN" w:bidi="he-IL"/>
          <w14:ligatures w14:val="standardContextual"/>
        </w:rPr>
      </w:pPr>
      <w:hyperlink w:anchor="_Toc237449082" w:history="1">
        <w:r w:rsidRPr="00363646">
          <w:rPr>
            <w:rStyle w:val="Hyperlink"/>
            <w:noProof/>
          </w:rPr>
          <w:t>Windows 10 IoT-Kerndienste</w:t>
        </w:r>
        <w:r>
          <w:rPr>
            <w:noProof/>
            <w:webHidden/>
          </w:rPr>
          <w:tab/>
        </w:r>
        <w:r>
          <w:rPr>
            <w:noProof/>
            <w:webHidden/>
          </w:rPr>
          <w:fldChar w:fldCharType="begin"/>
        </w:r>
        <w:r>
          <w:rPr>
            <w:noProof/>
            <w:webHidden/>
          </w:rPr>
          <w:instrText xml:space="preserve"> PAGEREF _Toc237449082 \h </w:instrText>
        </w:r>
        <w:r>
          <w:rPr>
            <w:noProof/>
            <w:webHidden/>
          </w:rPr>
        </w:r>
        <w:r>
          <w:rPr>
            <w:noProof/>
            <w:webHidden/>
          </w:rPr>
          <w:fldChar w:fldCharType="separate"/>
        </w:r>
        <w:r>
          <w:rPr>
            <w:noProof/>
            <w:webHidden/>
          </w:rPr>
          <w:t>108</w:t>
        </w:r>
        <w:r>
          <w:rPr>
            <w:noProof/>
            <w:webHidden/>
          </w:rPr>
          <w:fldChar w:fldCharType="end"/>
        </w:r>
      </w:hyperlink>
    </w:p>
    <w:p w14:paraId="0E091185" w14:textId="14CEB20A" w:rsidR="0030005B" w:rsidRDefault="0030005B">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7449083" w:history="1">
        <w:r w:rsidRPr="00363646">
          <w:rPr>
            <w:rStyle w:val="Hyperlink"/>
            <w:noProof/>
          </w:rPr>
          <w:t>Sonstige Onlinedienste</w:t>
        </w:r>
        <w:r>
          <w:rPr>
            <w:noProof/>
            <w:webHidden/>
          </w:rPr>
          <w:tab/>
        </w:r>
        <w:r>
          <w:rPr>
            <w:noProof/>
            <w:webHidden/>
          </w:rPr>
          <w:fldChar w:fldCharType="begin"/>
        </w:r>
        <w:r>
          <w:rPr>
            <w:noProof/>
            <w:webHidden/>
          </w:rPr>
          <w:instrText xml:space="preserve"> PAGEREF _Toc237449083 \h </w:instrText>
        </w:r>
        <w:r>
          <w:rPr>
            <w:noProof/>
            <w:webHidden/>
          </w:rPr>
        </w:r>
        <w:r>
          <w:rPr>
            <w:noProof/>
            <w:webHidden/>
          </w:rPr>
          <w:fldChar w:fldCharType="separate"/>
        </w:r>
        <w:r>
          <w:rPr>
            <w:noProof/>
            <w:webHidden/>
          </w:rPr>
          <w:t>108</w:t>
        </w:r>
        <w:r>
          <w:rPr>
            <w:noProof/>
            <w:webHidden/>
          </w:rPr>
          <w:fldChar w:fldCharType="end"/>
        </w:r>
      </w:hyperlink>
    </w:p>
    <w:p w14:paraId="0CF1C5CE" w14:textId="4A95F4CA" w:rsidR="0030005B" w:rsidRDefault="0030005B">
      <w:pPr>
        <w:pStyle w:val="TOC4"/>
        <w:rPr>
          <w:rFonts w:eastAsiaTheme="minorEastAsia"/>
          <w:smallCaps w:val="0"/>
          <w:noProof/>
          <w:kern w:val="2"/>
          <w:sz w:val="24"/>
          <w:szCs w:val="24"/>
          <w:lang w:val="en-US" w:eastAsia="zh-CN" w:bidi="he-IL"/>
          <w14:ligatures w14:val="standardContextual"/>
        </w:rPr>
      </w:pPr>
      <w:hyperlink w:anchor="_Toc237449084" w:history="1">
        <w:r w:rsidRPr="00363646">
          <w:rPr>
            <w:rStyle w:val="Hyperlink"/>
            <w:noProof/>
          </w:rPr>
          <w:t>Microsoft Defender für Identität</w:t>
        </w:r>
        <w:r>
          <w:rPr>
            <w:noProof/>
            <w:webHidden/>
          </w:rPr>
          <w:tab/>
        </w:r>
        <w:r>
          <w:rPr>
            <w:noProof/>
            <w:webHidden/>
          </w:rPr>
          <w:fldChar w:fldCharType="begin"/>
        </w:r>
        <w:r>
          <w:rPr>
            <w:noProof/>
            <w:webHidden/>
          </w:rPr>
          <w:instrText xml:space="preserve"> PAGEREF _Toc237449084 \h </w:instrText>
        </w:r>
        <w:r>
          <w:rPr>
            <w:noProof/>
            <w:webHidden/>
          </w:rPr>
        </w:r>
        <w:r>
          <w:rPr>
            <w:noProof/>
            <w:webHidden/>
          </w:rPr>
          <w:fldChar w:fldCharType="separate"/>
        </w:r>
        <w:r>
          <w:rPr>
            <w:noProof/>
            <w:webHidden/>
          </w:rPr>
          <w:t>108</w:t>
        </w:r>
        <w:r>
          <w:rPr>
            <w:noProof/>
            <w:webHidden/>
          </w:rPr>
          <w:fldChar w:fldCharType="end"/>
        </w:r>
      </w:hyperlink>
    </w:p>
    <w:p w14:paraId="323E22F0" w14:textId="3145B2DD" w:rsidR="0030005B" w:rsidRDefault="0030005B">
      <w:pPr>
        <w:pStyle w:val="TOC4"/>
        <w:rPr>
          <w:rFonts w:eastAsiaTheme="minorEastAsia"/>
          <w:smallCaps w:val="0"/>
          <w:noProof/>
          <w:kern w:val="2"/>
          <w:sz w:val="24"/>
          <w:szCs w:val="24"/>
          <w:lang w:val="en-US" w:eastAsia="zh-CN" w:bidi="he-IL"/>
          <w14:ligatures w14:val="standardContextual"/>
        </w:rPr>
      </w:pPr>
      <w:hyperlink w:anchor="_Toc237449085" w:history="1">
        <w:r w:rsidRPr="00363646">
          <w:rPr>
            <w:rStyle w:val="Hyperlink"/>
            <w:noProof/>
          </w:rPr>
          <w:t>Microsoft Defender für IoT</w:t>
        </w:r>
        <w:r>
          <w:rPr>
            <w:noProof/>
            <w:webHidden/>
          </w:rPr>
          <w:tab/>
        </w:r>
        <w:r>
          <w:rPr>
            <w:noProof/>
            <w:webHidden/>
          </w:rPr>
          <w:fldChar w:fldCharType="begin"/>
        </w:r>
        <w:r>
          <w:rPr>
            <w:noProof/>
            <w:webHidden/>
          </w:rPr>
          <w:instrText xml:space="preserve"> PAGEREF _Toc237449085 \h </w:instrText>
        </w:r>
        <w:r>
          <w:rPr>
            <w:noProof/>
            <w:webHidden/>
          </w:rPr>
        </w:r>
        <w:r>
          <w:rPr>
            <w:noProof/>
            <w:webHidden/>
          </w:rPr>
          <w:fldChar w:fldCharType="separate"/>
        </w:r>
        <w:r>
          <w:rPr>
            <w:noProof/>
            <w:webHidden/>
          </w:rPr>
          <w:t>109</w:t>
        </w:r>
        <w:r>
          <w:rPr>
            <w:noProof/>
            <w:webHidden/>
          </w:rPr>
          <w:fldChar w:fldCharType="end"/>
        </w:r>
      </w:hyperlink>
    </w:p>
    <w:p w14:paraId="14CF2662" w14:textId="3D339444" w:rsidR="0030005B" w:rsidRDefault="0030005B">
      <w:pPr>
        <w:pStyle w:val="TOC4"/>
        <w:rPr>
          <w:rFonts w:eastAsiaTheme="minorEastAsia"/>
          <w:smallCaps w:val="0"/>
          <w:noProof/>
          <w:kern w:val="2"/>
          <w:sz w:val="24"/>
          <w:szCs w:val="24"/>
          <w:lang w:val="en-US" w:eastAsia="zh-CN" w:bidi="he-IL"/>
          <w14:ligatures w14:val="standardContextual"/>
        </w:rPr>
      </w:pPr>
      <w:hyperlink w:anchor="_Toc237449086" w:history="1">
        <w:r w:rsidRPr="00363646">
          <w:rPr>
            <w:rStyle w:val="Hyperlink"/>
            <w:noProof/>
          </w:rPr>
          <w:t>Bing Maps Enterprise-Plattform</w:t>
        </w:r>
        <w:r>
          <w:rPr>
            <w:noProof/>
            <w:webHidden/>
          </w:rPr>
          <w:tab/>
        </w:r>
        <w:r>
          <w:rPr>
            <w:noProof/>
            <w:webHidden/>
          </w:rPr>
          <w:fldChar w:fldCharType="begin"/>
        </w:r>
        <w:r>
          <w:rPr>
            <w:noProof/>
            <w:webHidden/>
          </w:rPr>
          <w:instrText xml:space="preserve"> PAGEREF _Toc237449086 \h </w:instrText>
        </w:r>
        <w:r>
          <w:rPr>
            <w:noProof/>
            <w:webHidden/>
          </w:rPr>
        </w:r>
        <w:r>
          <w:rPr>
            <w:noProof/>
            <w:webHidden/>
          </w:rPr>
          <w:fldChar w:fldCharType="separate"/>
        </w:r>
        <w:r>
          <w:rPr>
            <w:noProof/>
            <w:webHidden/>
          </w:rPr>
          <w:t>109</w:t>
        </w:r>
        <w:r>
          <w:rPr>
            <w:noProof/>
            <w:webHidden/>
          </w:rPr>
          <w:fldChar w:fldCharType="end"/>
        </w:r>
      </w:hyperlink>
    </w:p>
    <w:p w14:paraId="6A00453B" w14:textId="6C0A38CE" w:rsidR="0030005B" w:rsidRDefault="0030005B">
      <w:pPr>
        <w:pStyle w:val="TOC4"/>
        <w:rPr>
          <w:rFonts w:eastAsiaTheme="minorEastAsia"/>
          <w:smallCaps w:val="0"/>
          <w:noProof/>
          <w:kern w:val="2"/>
          <w:sz w:val="24"/>
          <w:szCs w:val="24"/>
          <w:lang w:val="en-US" w:eastAsia="zh-CN" w:bidi="he-IL"/>
          <w14:ligatures w14:val="standardContextual"/>
        </w:rPr>
      </w:pPr>
      <w:hyperlink w:anchor="_Toc237449087" w:history="1">
        <w:r w:rsidRPr="00363646">
          <w:rPr>
            <w:rStyle w:val="Hyperlink"/>
            <w:noProof/>
          </w:rPr>
          <w:t>Bing Maps Mobile Asset Management</w:t>
        </w:r>
        <w:r>
          <w:rPr>
            <w:noProof/>
            <w:webHidden/>
          </w:rPr>
          <w:tab/>
        </w:r>
        <w:r>
          <w:rPr>
            <w:noProof/>
            <w:webHidden/>
          </w:rPr>
          <w:fldChar w:fldCharType="begin"/>
        </w:r>
        <w:r>
          <w:rPr>
            <w:noProof/>
            <w:webHidden/>
          </w:rPr>
          <w:instrText xml:space="preserve"> PAGEREF _Toc237449087 \h </w:instrText>
        </w:r>
        <w:r>
          <w:rPr>
            <w:noProof/>
            <w:webHidden/>
          </w:rPr>
        </w:r>
        <w:r>
          <w:rPr>
            <w:noProof/>
            <w:webHidden/>
          </w:rPr>
          <w:fldChar w:fldCharType="separate"/>
        </w:r>
        <w:r>
          <w:rPr>
            <w:noProof/>
            <w:webHidden/>
          </w:rPr>
          <w:t>109</w:t>
        </w:r>
        <w:r>
          <w:rPr>
            <w:noProof/>
            <w:webHidden/>
          </w:rPr>
          <w:fldChar w:fldCharType="end"/>
        </w:r>
      </w:hyperlink>
    </w:p>
    <w:p w14:paraId="276CDB27" w14:textId="1FD601AA" w:rsidR="0030005B" w:rsidRDefault="0030005B">
      <w:pPr>
        <w:pStyle w:val="TOC4"/>
        <w:rPr>
          <w:rFonts w:eastAsiaTheme="minorEastAsia"/>
          <w:smallCaps w:val="0"/>
          <w:noProof/>
          <w:kern w:val="2"/>
          <w:sz w:val="24"/>
          <w:szCs w:val="24"/>
          <w:lang w:val="en-US" w:eastAsia="zh-CN" w:bidi="he-IL"/>
          <w14:ligatures w14:val="standardContextual"/>
        </w:rPr>
      </w:pPr>
      <w:hyperlink w:anchor="_Toc237449088" w:history="1">
        <w:r w:rsidRPr="00363646">
          <w:rPr>
            <w:rStyle w:val="Hyperlink"/>
            <w:noProof/>
          </w:rPr>
          <w:t>Microsoft Cloud App Security</w:t>
        </w:r>
        <w:r>
          <w:rPr>
            <w:noProof/>
            <w:webHidden/>
          </w:rPr>
          <w:tab/>
        </w:r>
        <w:r>
          <w:rPr>
            <w:noProof/>
            <w:webHidden/>
          </w:rPr>
          <w:fldChar w:fldCharType="begin"/>
        </w:r>
        <w:r>
          <w:rPr>
            <w:noProof/>
            <w:webHidden/>
          </w:rPr>
          <w:instrText xml:space="preserve"> PAGEREF _Toc237449088 \h </w:instrText>
        </w:r>
        <w:r>
          <w:rPr>
            <w:noProof/>
            <w:webHidden/>
          </w:rPr>
        </w:r>
        <w:r>
          <w:rPr>
            <w:noProof/>
            <w:webHidden/>
          </w:rPr>
          <w:fldChar w:fldCharType="separate"/>
        </w:r>
        <w:r>
          <w:rPr>
            <w:noProof/>
            <w:webHidden/>
          </w:rPr>
          <w:t>110</w:t>
        </w:r>
        <w:r>
          <w:rPr>
            <w:noProof/>
            <w:webHidden/>
          </w:rPr>
          <w:fldChar w:fldCharType="end"/>
        </w:r>
      </w:hyperlink>
    </w:p>
    <w:p w14:paraId="16201E2B" w14:textId="61DB7525" w:rsidR="0030005B" w:rsidRDefault="0030005B">
      <w:pPr>
        <w:pStyle w:val="TOC4"/>
        <w:rPr>
          <w:rFonts w:eastAsiaTheme="minorEastAsia"/>
          <w:smallCaps w:val="0"/>
          <w:noProof/>
          <w:kern w:val="2"/>
          <w:sz w:val="24"/>
          <w:szCs w:val="24"/>
          <w:lang w:val="en-US" w:eastAsia="zh-CN" w:bidi="he-IL"/>
          <w14:ligatures w14:val="standardContextual"/>
        </w:rPr>
      </w:pPr>
      <w:hyperlink w:anchor="_Toc237449089" w:history="1">
        <w:r w:rsidRPr="00363646">
          <w:rPr>
            <w:rStyle w:val="Hyperlink"/>
            <w:noProof/>
          </w:rPr>
          <w:t>Microsoft Dragon Copilot</w:t>
        </w:r>
        <w:r>
          <w:rPr>
            <w:noProof/>
            <w:webHidden/>
          </w:rPr>
          <w:tab/>
        </w:r>
        <w:r>
          <w:rPr>
            <w:noProof/>
            <w:webHidden/>
          </w:rPr>
          <w:fldChar w:fldCharType="begin"/>
        </w:r>
        <w:r>
          <w:rPr>
            <w:noProof/>
            <w:webHidden/>
          </w:rPr>
          <w:instrText xml:space="preserve"> PAGEREF _Toc237449089 \h </w:instrText>
        </w:r>
        <w:r>
          <w:rPr>
            <w:noProof/>
            <w:webHidden/>
          </w:rPr>
        </w:r>
        <w:r>
          <w:rPr>
            <w:noProof/>
            <w:webHidden/>
          </w:rPr>
          <w:fldChar w:fldCharType="separate"/>
        </w:r>
        <w:r>
          <w:rPr>
            <w:noProof/>
            <w:webHidden/>
          </w:rPr>
          <w:t>110</w:t>
        </w:r>
        <w:r>
          <w:rPr>
            <w:noProof/>
            <w:webHidden/>
          </w:rPr>
          <w:fldChar w:fldCharType="end"/>
        </w:r>
      </w:hyperlink>
    </w:p>
    <w:p w14:paraId="69321788" w14:textId="54204B0C" w:rsidR="0030005B" w:rsidRDefault="0030005B">
      <w:pPr>
        <w:pStyle w:val="TOC4"/>
        <w:rPr>
          <w:rFonts w:eastAsiaTheme="minorEastAsia"/>
          <w:smallCaps w:val="0"/>
          <w:noProof/>
          <w:kern w:val="2"/>
          <w:sz w:val="24"/>
          <w:szCs w:val="24"/>
          <w:lang w:val="en-US" w:eastAsia="zh-CN" w:bidi="he-IL"/>
          <w14:ligatures w14:val="standardContextual"/>
        </w:rPr>
      </w:pPr>
      <w:hyperlink w:anchor="_Toc237449090" w:history="1">
        <w:r w:rsidRPr="00363646">
          <w:rPr>
            <w:rStyle w:val="Hyperlink"/>
            <w:noProof/>
          </w:rPr>
          <w:t>Microsoft Power Automate</w:t>
        </w:r>
        <w:r>
          <w:rPr>
            <w:noProof/>
            <w:webHidden/>
          </w:rPr>
          <w:tab/>
        </w:r>
        <w:r>
          <w:rPr>
            <w:noProof/>
            <w:webHidden/>
          </w:rPr>
          <w:fldChar w:fldCharType="begin"/>
        </w:r>
        <w:r>
          <w:rPr>
            <w:noProof/>
            <w:webHidden/>
          </w:rPr>
          <w:instrText xml:space="preserve"> PAGEREF _Toc237449090 \h </w:instrText>
        </w:r>
        <w:r>
          <w:rPr>
            <w:noProof/>
            <w:webHidden/>
          </w:rPr>
        </w:r>
        <w:r>
          <w:rPr>
            <w:noProof/>
            <w:webHidden/>
          </w:rPr>
          <w:fldChar w:fldCharType="separate"/>
        </w:r>
        <w:r>
          <w:rPr>
            <w:noProof/>
            <w:webHidden/>
          </w:rPr>
          <w:t>111</w:t>
        </w:r>
        <w:r>
          <w:rPr>
            <w:noProof/>
            <w:webHidden/>
          </w:rPr>
          <w:fldChar w:fldCharType="end"/>
        </w:r>
      </w:hyperlink>
    </w:p>
    <w:p w14:paraId="41BDBA49" w14:textId="78318B43" w:rsidR="0030005B" w:rsidRDefault="0030005B">
      <w:pPr>
        <w:pStyle w:val="TOC4"/>
        <w:rPr>
          <w:rFonts w:eastAsiaTheme="minorEastAsia"/>
          <w:smallCaps w:val="0"/>
          <w:noProof/>
          <w:kern w:val="2"/>
          <w:sz w:val="24"/>
          <w:szCs w:val="24"/>
          <w:lang w:val="en-US" w:eastAsia="zh-CN" w:bidi="he-IL"/>
          <w14:ligatures w14:val="standardContextual"/>
        </w:rPr>
      </w:pPr>
      <w:hyperlink w:anchor="_Toc237449091" w:history="1">
        <w:r w:rsidRPr="00363646">
          <w:rPr>
            <w:rStyle w:val="Hyperlink"/>
            <w:noProof/>
          </w:rPr>
          <w:t>Microsoft Power Pages</w:t>
        </w:r>
        <w:r>
          <w:rPr>
            <w:noProof/>
            <w:webHidden/>
          </w:rPr>
          <w:tab/>
        </w:r>
        <w:r>
          <w:rPr>
            <w:noProof/>
            <w:webHidden/>
          </w:rPr>
          <w:fldChar w:fldCharType="begin"/>
        </w:r>
        <w:r>
          <w:rPr>
            <w:noProof/>
            <w:webHidden/>
          </w:rPr>
          <w:instrText xml:space="preserve"> PAGEREF _Toc237449091 \h </w:instrText>
        </w:r>
        <w:r>
          <w:rPr>
            <w:noProof/>
            <w:webHidden/>
          </w:rPr>
        </w:r>
        <w:r>
          <w:rPr>
            <w:noProof/>
            <w:webHidden/>
          </w:rPr>
          <w:fldChar w:fldCharType="separate"/>
        </w:r>
        <w:r>
          <w:rPr>
            <w:noProof/>
            <w:webHidden/>
          </w:rPr>
          <w:t>111</w:t>
        </w:r>
        <w:r>
          <w:rPr>
            <w:noProof/>
            <w:webHidden/>
          </w:rPr>
          <w:fldChar w:fldCharType="end"/>
        </w:r>
      </w:hyperlink>
    </w:p>
    <w:p w14:paraId="26A0625B" w14:textId="044AF937" w:rsidR="0030005B" w:rsidRDefault="0030005B">
      <w:pPr>
        <w:pStyle w:val="TOC4"/>
        <w:rPr>
          <w:rFonts w:eastAsiaTheme="minorEastAsia"/>
          <w:smallCaps w:val="0"/>
          <w:noProof/>
          <w:kern w:val="2"/>
          <w:sz w:val="24"/>
          <w:szCs w:val="24"/>
          <w:lang w:val="en-US" w:eastAsia="zh-CN" w:bidi="he-IL"/>
          <w14:ligatures w14:val="standardContextual"/>
        </w:rPr>
      </w:pPr>
      <w:hyperlink w:anchor="_Toc237449092" w:history="1">
        <w:r w:rsidRPr="00363646">
          <w:rPr>
            <w:rStyle w:val="Hyperlink"/>
            <w:noProof/>
          </w:rPr>
          <w:t>Microsoft Intune</w:t>
        </w:r>
        <w:r>
          <w:rPr>
            <w:noProof/>
            <w:webHidden/>
          </w:rPr>
          <w:tab/>
        </w:r>
        <w:r>
          <w:rPr>
            <w:noProof/>
            <w:webHidden/>
          </w:rPr>
          <w:fldChar w:fldCharType="begin"/>
        </w:r>
        <w:r>
          <w:rPr>
            <w:noProof/>
            <w:webHidden/>
          </w:rPr>
          <w:instrText xml:space="preserve"> PAGEREF _Toc237449092 \h </w:instrText>
        </w:r>
        <w:r>
          <w:rPr>
            <w:noProof/>
            <w:webHidden/>
          </w:rPr>
        </w:r>
        <w:r>
          <w:rPr>
            <w:noProof/>
            <w:webHidden/>
          </w:rPr>
          <w:fldChar w:fldCharType="separate"/>
        </w:r>
        <w:r>
          <w:rPr>
            <w:noProof/>
            <w:webHidden/>
          </w:rPr>
          <w:t>112</w:t>
        </w:r>
        <w:r>
          <w:rPr>
            <w:noProof/>
            <w:webHidden/>
          </w:rPr>
          <w:fldChar w:fldCharType="end"/>
        </w:r>
      </w:hyperlink>
    </w:p>
    <w:p w14:paraId="71E9FCBF" w14:textId="0BE2174F" w:rsidR="0030005B" w:rsidRDefault="0030005B">
      <w:pPr>
        <w:pStyle w:val="TOC4"/>
        <w:rPr>
          <w:rFonts w:eastAsiaTheme="minorEastAsia"/>
          <w:smallCaps w:val="0"/>
          <w:noProof/>
          <w:kern w:val="2"/>
          <w:sz w:val="24"/>
          <w:szCs w:val="24"/>
          <w:lang w:val="en-US" w:eastAsia="zh-CN" w:bidi="he-IL"/>
          <w14:ligatures w14:val="standardContextual"/>
        </w:rPr>
      </w:pPr>
      <w:hyperlink w:anchor="_Toc237449093" w:history="1">
        <w:r w:rsidRPr="00363646">
          <w:rPr>
            <w:rStyle w:val="Hyperlink"/>
            <w:noProof/>
          </w:rPr>
          <w:t>Microsoft Kaizala Pro</w:t>
        </w:r>
        <w:r>
          <w:rPr>
            <w:noProof/>
            <w:webHidden/>
          </w:rPr>
          <w:tab/>
        </w:r>
        <w:r>
          <w:rPr>
            <w:noProof/>
            <w:webHidden/>
          </w:rPr>
          <w:fldChar w:fldCharType="begin"/>
        </w:r>
        <w:r>
          <w:rPr>
            <w:noProof/>
            <w:webHidden/>
          </w:rPr>
          <w:instrText xml:space="preserve"> PAGEREF _Toc237449093 \h </w:instrText>
        </w:r>
        <w:r>
          <w:rPr>
            <w:noProof/>
            <w:webHidden/>
          </w:rPr>
        </w:r>
        <w:r>
          <w:rPr>
            <w:noProof/>
            <w:webHidden/>
          </w:rPr>
          <w:fldChar w:fldCharType="separate"/>
        </w:r>
        <w:r>
          <w:rPr>
            <w:noProof/>
            <w:webHidden/>
          </w:rPr>
          <w:t>112</w:t>
        </w:r>
        <w:r>
          <w:rPr>
            <w:noProof/>
            <w:webHidden/>
          </w:rPr>
          <w:fldChar w:fldCharType="end"/>
        </w:r>
      </w:hyperlink>
    </w:p>
    <w:p w14:paraId="3892145D" w14:textId="032BFC2A" w:rsidR="0030005B" w:rsidRDefault="0030005B">
      <w:pPr>
        <w:pStyle w:val="TOC4"/>
        <w:rPr>
          <w:rFonts w:eastAsiaTheme="minorEastAsia"/>
          <w:smallCaps w:val="0"/>
          <w:noProof/>
          <w:kern w:val="2"/>
          <w:sz w:val="24"/>
          <w:szCs w:val="24"/>
          <w:lang w:val="en-US" w:eastAsia="zh-CN" w:bidi="he-IL"/>
          <w14:ligatures w14:val="standardContextual"/>
        </w:rPr>
      </w:pPr>
      <w:hyperlink w:anchor="_Toc237449094" w:history="1">
        <w:r w:rsidRPr="00363646">
          <w:rPr>
            <w:rStyle w:val="Hyperlink"/>
            <w:noProof/>
          </w:rPr>
          <w:t>Microsoft PowerApps</w:t>
        </w:r>
        <w:r>
          <w:rPr>
            <w:noProof/>
            <w:webHidden/>
          </w:rPr>
          <w:tab/>
        </w:r>
        <w:r>
          <w:rPr>
            <w:noProof/>
            <w:webHidden/>
          </w:rPr>
          <w:fldChar w:fldCharType="begin"/>
        </w:r>
        <w:r>
          <w:rPr>
            <w:noProof/>
            <w:webHidden/>
          </w:rPr>
          <w:instrText xml:space="preserve"> PAGEREF _Toc237449094 \h </w:instrText>
        </w:r>
        <w:r>
          <w:rPr>
            <w:noProof/>
            <w:webHidden/>
          </w:rPr>
        </w:r>
        <w:r>
          <w:rPr>
            <w:noProof/>
            <w:webHidden/>
          </w:rPr>
          <w:fldChar w:fldCharType="separate"/>
        </w:r>
        <w:r>
          <w:rPr>
            <w:noProof/>
            <w:webHidden/>
          </w:rPr>
          <w:t>112</w:t>
        </w:r>
        <w:r>
          <w:rPr>
            <w:noProof/>
            <w:webHidden/>
          </w:rPr>
          <w:fldChar w:fldCharType="end"/>
        </w:r>
      </w:hyperlink>
    </w:p>
    <w:p w14:paraId="5723F9B1" w14:textId="3F800724" w:rsidR="0030005B" w:rsidRDefault="0030005B">
      <w:pPr>
        <w:pStyle w:val="TOC4"/>
        <w:rPr>
          <w:rFonts w:eastAsiaTheme="minorEastAsia"/>
          <w:smallCaps w:val="0"/>
          <w:noProof/>
          <w:kern w:val="2"/>
          <w:sz w:val="24"/>
          <w:szCs w:val="24"/>
          <w:lang w:val="en-US" w:eastAsia="zh-CN" w:bidi="he-IL"/>
          <w14:ligatures w14:val="standardContextual"/>
        </w:rPr>
      </w:pPr>
      <w:hyperlink w:anchor="_Toc237449095" w:history="1">
        <w:r w:rsidRPr="00363646">
          <w:rPr>
            <w:rStyle w:val="Hyperlink"/>
            <w:noProof/>
          </w:rPr>
          <w:t>Microsoft Copilot Studio</w:t>
        </w:r>
        <w:r>
          <w:rPr>
            <w:noProof/>
            <w:webHidden/>
          </w:rPr>
          <w:tab/>
        </w:r>
        <w:r>
          <w:rPr>
            <w:noProof/>
            <w:webHidden/>
          </w:rPr>
          <w:fldChar w:fldCharType="begin"/>
        </w:r>
        <w:r>
          <w:rPr>
            <w:noProof/>
            <w:webHidden/>
          </w:rPr>
          <w:instrText xml:space="preserve"> PAGEREF _Toc237449095 \h </w:instrText>
        </w:r>
        <w:r>
          <w:rPr>
            <w:noProof/>
            <w:webHidden/>
          </w:rPr>
        </w:r>
        <w:r>
          <w:rPr>
            <w:noProof/>
            <w:webHidden/>
          </w:rPr>
          <w:fldChar w:fldCharType="separate"/>
        </w:r>
        <w:r>
          <w:rPr>
            <w:noProof/>
            <w:webHidden/>
          </w:rPr>
          <w:t>113</w:t>
        </w:r>
        <w:r>
          <w:rPr>
            <w:noProof/>
            <w:webHidden/>
          </w:rPr>
          <w:fldChar w:fldCharType="end"/>
        </w:r>
      </w:hyperlink>
    </w:p>
    <w:p w14:paraId="1A2EE733" w14:textId="3F7E7080" w:rsidR="0030005B" w:rsidRDefault="0030005B">
      <w:pPr>
        <w:pStyle w:val="TOC4"/>
        <w:rPr>
          <w:rFonts w:eastAsiaTheme="minorEastAsia"/>
          <w:smallCaps w:val="0"/>
          <w:noProof/>
          <w:kern w:val="2"/>
          <w:sz w:val="24"/>
          <w:szCs w:val="24"/>
          <w:lang w:val="en-US" w:eastAsia="zh-CN" w:bidi="he-IL"/>
          <w14:ligatures w14:val="standardContextual"/>
        </w:rPr>
      </w:pPr>
      <w:hyperlink w:anchor="_Toc237449096" w:history="1">
        <w:r w:rsidRPr="00363646">
          <w:rPr>
            <w:rStyle w:val="Hyperlink"/>
            <w:noProof/>
          </w:rPr>
          <w:t>Microsoft Sustainability Manager</w:t>
        </w:r>
        <w:r>
          <w:rPr>
            <w:noProof/>
            <w:webHidden/>
          </w:rPr>
          <w:tab/>
        </w:r>
        <w:r>
          <w:rPr>
            <w:noProof/>
            <w:webHidden/>
          </w:rPr>
          <w:fldChar w:fldCharType="begin"/>
        </w:r>
        <w:r>
          <w:rPr>
            <w:noProof/>
            <w:webHidden/>
          </w:rPr>
          <w:instrText xml:space="preserve"> PAGEREF _Toc237449096 \h </w:instrText>
        </w:r>
        <w:r>
          <w:rPr>
            <w:noProof/>
            <w:webHidden/>
          </w:rPr>
        </w:r>
        <w:r>
          <w:rPr>
            <w:noProof/>
            <w:webHidden/>
          </w:rPr>
          <w:fldChar w:fldCharType="separate"/>
        </w:r>
        <w:r>
          <w:rPr>
            <w:noProof/>
            <w:webHidden/>
          </w:rPr>
          <w:t>113</w:t>
        </w:r>
        <w:r>
          <w:rPr>
            <w:noProof/>
            <w:webHidden/>
          </w:rPr>
          <w:fldChar w:fldCharType="end"/>
        </w:r>
      </w:hyperlink>
    </w:p>
    <w:p w14:paraId="14685896" w14:textId="7A0DD156" w:rsidR="0030005B" w:rsidRDefault="0030005B">
      <w:pPr>
        <w:pStyle w:val="TOC4"/>
        <w:rPr>
          <w:rFonts w:eastAsiaTheme="minorEastAsia"/>
          <w:smallCaps w:val="0"/>
          <w:noProof/>
          <w:kern w:val="2"/>
          <w:sz w:val="24"/>
          <w:szCs w:val="24"/>
          <w:lang w:val="en-US" w:eastAsia="zh-CN" w:bidi="he-IL"/>
          <w14:ligatures w14:val="standardContextual"/>
        </w:rPr>
      </w:pPr>
      <w:hyperlink w:anchor="_Toc237449097" w:history="1">
        <w:r w:rsidRPr="00363646">
          <w:rPr>
            <w:rStyle w:val="Hyperlink"/>
            <w:noProof/>
          </w:rPr>
          <w:t>Minecraft: Education Edition</w:t>
        </w:r>
        <w:r>
          <w:rPr>
            <w:noProof/>
            <w:webHidden/>
          </w:rPr>
          <w:tab/>
        </w:r>
        <w:r>
          <w:rPr>
            <w:noProof/>
            <w:webHidden/>
          </w:rPr>
          <w:fldChar w:fldCharType="begin"/>
        </w:r>
        <w:r>
          <w:rPr>
            <w:noProof/>
            <w:webHidden/>
          </w:rPr>
          <w:instrText xml:space="preserve"> PAGEREF _Toc237449097 \h </w:instrText>
        </w:r>
        <w:r>
          <w:rPr>
            <w:noProof/>
            <w:webHidden/>
          </w:rPr>
        </w:r>
        <w:r>
          <w:rPr>
            <w:noProof/>
            <w:webHidden/>
          </w:rPr>
          <w:fldChar w:fldCharType="separate"/>
        </w:r>
        <w:r>
          <w:rPr>
            <w:noProof/>
            <w:webHidden/>
          </w:rPr>
          <w:t>113</w:t>
        </w:r>
        <w:r>
          <w:rPr>
            <w:noProof/>
            <w:webHidden/>
          </w:rPr>
          <w:fldChar w:fldCharType="end"/>
        </w:r>
      </w:hyperlink>
    </w:p>
    <w:p w14:paraId="021B29CB" w14:textId="3ECB6049" w:rsidR="0030005B" w:rsidRDefault="0030005B">
      <w:pPr>
        <w:pStyle w:val="TOC4"/>
        <w:rPr>
          <w:rFonts w:eastAsiaTheme="minorEastAsia"/>
          <w:smallCaps w:val="0"/>
          <w:noProof/>
          <w:kern w:val="2"/>
          <w:sz w:val="24"/>
          <w:szCs w:val="24"/>
          <w:lang w:val="en-US" w:eastAsia="zh-CN" w:bidi="he-IL"/>
          <w14:ligatures w14:val="standardContextual"/>
        </w:rPr>
      </w:pPr>
      <w:hyperlink w:anchor="_Toc237449098" w:history="1">
        <w:r w:rsidRPr="00363646">
          <w:rPr>
            <w:rStyle w:val="Hyperlink"/>
            <w:noProof/>
          </w:rPr>
          <w:t>Power BI Embedded</w:t>
        </w:r>
        <w:r>
          <w:rPr>
            <w:noProof/>
            <w:webHidden/>
          </w:rPr>
          <w:tab/>
        </w:r>
        <w:r>
          <w:rPr>
            <w:noProof/>
            <w:webHidden/>
          </w:rPr>
          <w:fldChar w:fldCharType="begin"/>
        </w:r>
        <w:r>
          <w:rPr>
            <w:noProof/>
            <w:webHidden/>
          </w:rPr>
          <w:instrText xml:space="preserve"> PAGEREF _Toc237449098 \h </w:instrText>
        </w:r>
        <w:r>
          <w:rPr>
            <w:noProof/>
            <w:webHidden/>
          </w:rPr>
        </w:r>
        <w:r>
          <w:rPr>
            <w:noProof/>
            <w:webHidden/>
          </w:rPr>
          <w:fldChar w:fldCharType="separate"/>
        </w:r>
        <w:r>
          <w:rPr>
            <w:noProof/>
            <w:webHidden/>
          </w:rPr>
          <w:t>114</w:t>
        </w:r>
        <w:r>
          <w:rPr>
            <w:noProof/>
            <w:webHidden/>
          </w:rPr>
          <w:fldChar w:fldCharType="end"/>
        </w:r>
      </w:hyperlink>
    </w:p>
    <w:p w14:paraId="671F062B" w14:textId="1032071D" w:rsidR="0030005B" w:rsidRDefault="0030005B">
      <w:pPr>
        <w:pStyle w:val="TOC4"/>
        <w:rPr>
          <w:rFonts w:eastAsiaTheme="minorEastAsia"/>
          <w:smallCaps w:val="0"/>
          <w:noProof/>
          <w:kern w:val="2"/>
          <w:sz w:val="24"/>
          <w:szCs w:val="24"/>
          <w:lang w:val="en-US" w:eastAsia="zh-CN" w:bidi="he-IL"/>
          <w14:ligatures w14:val="standardContextual"/>
        </w:rPr>
      </w:pPr>
      <w:hyperlink w:anchor="_Toc237449099" w:history="1">
        <w:r w:rsidRPr="00363646">
          <w:rPr>
            <w:rStyle w:val="Hyperlink"/>
            <w:noProof/>
          </w:rPr>
          <w:t>Power BI Premium</w:t>
        </w:r>
        <w:r>
          <w:rPr>
            <w:noProof/>
            <w:webHidden/>
          </w:rPr>
          <w:tab/>
        </w:r>
        <w:r>
          <w:rPr>
            <w:noProof/>
            <w:webHidden/>
          </w:rPr>
          <w:fldChar w:fldCharType="begin"/>
        </w:r>
        <w:r>
          <w:rPr>
            <w:noProof/>
            <w:webHidden/>
          </w:rPr>
          <w:instrText xml:space="preserve"> PAGEREF _Toc237449099 \h </w:instrText>
        </w:r>
        <w:r>
          <w:rPr>
            <w:noProof/>
            <w:webHidden/>
          </w:rPr>
        </w:r>
        <w:r>
          <w:rPr>
            <w:noProof/>
            <w:webHidden/>
          </w:rPr>
          <w:fldChar w:fldCharType="separate"/>
        </w:r>
        <w:r>
          <w:rPr>
            <w:noProof/>
            <w:webHidden/>
          </w:rPr>
          <w:t>114</w:t>
        </w:r>
        <w:r>
          <w:rPr>
            <w:noProof/>
            <w:webHidden/>
          </w:rPr>
          <w:fldChar w:fldCharType="end"/>
        </w:r>
      </w:hyperlink>
    </w:p>
    <w:p w14:paraId="2C3C8D05" w14:textId="55E6B1DE" w:rsidR="0030005B" w:rsidRDefault="0030005B">
      <w:pPr>
        <w:pStyle w:val="TOC4"/>
        <w:rPr>
          <w:rFonts w:eastAsiaTheme="minorEastAsia"/>
          <w:smallCaps w:val="0"/>
          <w:noProof/>
          <w:kern w:val="2"/>
          <w:sz w:val="24"/>
          <w:szCs w:val="24"/>
          <w:lang w:val="en-US" w:eastAsia="zh-CN" w:bidi="he-IL"/>
          <w14:ligatures w14:val="standardContextual"/>
        </w:rPr>
      </w:pPr>
      <w:hyperlink w:anchor="_Toc237449100" w:history="1">
        <w:r w:rsidRPr="00363646">
          <w:rPr>
            <w:rStyle w:val="Hyperlink"/>
            <w:noProof/>
          </w:rPr>
          <w:t>Power BI Pro</w:t>
        </w:r>
        <w:r>
          <w:rPr>
            <w:noProof/>
            <w:webHidden/>
          </w:rPr>
          <w:tab/>
        </w:r>
        <w:r>
          <w:rPr>
            <w:noProof/>
            <w:webHidden/>
          </w:rPr>
          <w:fldChar w:fldCharType="begin"/>
        </w:r>
        <w:r>
          <w:rPr>
            <w:noProof/>
            <w:webHidden/>
          </w:rPr>
          <w:instrText xml:space="preserve"> PAGEREF _Toc237449100 \h </w:instrText>
        </w:r>
        <w:r>
          <w:rPr>
            <w:noProof/>
            <w:webHidden/>
          </w:rPr>
        </w:r>
        <w:r>
          <w:rPr>
            <w:noProof/>
            <w:webHidden/>
          </w:rPr>
          <w:fldChar w:fldCharType="separate"/>
        </w:r>
        <w:r>
          <w:rPr>
            <w:noProof/>
            <w:webHidden/>
          </w:rPr>
          <w:t>115</w:t>
        </w:r>
        <w:r>
          <w:rPr>
            <w:noProof/>
            <w:webHidden/>
          </w:rPr>
          <w:fldChar w:fldCharType="end"/>
        </w:r>
      </w:hyperlink>
    </w:p>
    <w:p w14:paraId="29FACACA" w14:textId="254AAA46" w:rsidR="0030005B" w:rsidRDefault="0030005B">
      <w:pPr>
        <w:pStyle w:val="TOC4"/>
        <w:rPr>
          <w:rFonts w:eastAsiaTheme="minorEastAsia"/>
          <w:smallCaps w:val="0"/>
          <w:noProof/>
          <w:kern w:val="2"/>
          <w:sz w:val="24"/>
          <w:szCs w:val="24"/>
          <w:lang w:val="en-US" w:eastAsia="zh-CN" w:bidi="he-IL"/>
          <w14:ligatures w14:val="standardContextual"/>
        </w:rPr>
      </w:pPr>
      <w:hyperlink w:anchor="_Toc237449101" w:history="1">
        <w:r w:rsidRPr="00363646">
          <w:rPr>
            <w:rStyle w:val="Hyperlink"/>
            <w:noProof/>
          </w:rPr>
          <w:t>Azure AI Translator</w:t>
        </w:r>
        <w:r>
          <w:rPr>
            <w:noProof/>
            <w:webHidden/>
          </w:rPr>
          <w:tab/>
        </w:r>
        <w:r>
          <w:rPr>
            <w:noProof/>
            <w:webHidden/>
          </w:rPr>
          <w:fldChar w:fldCharType="begin"/>
        </w:r>
        <w:r>
          <w:rPr>
            <w:noProof/>
            <w:webHidden/>
          </w:rPr>
          <w:instrText xml:space="preserve"> PAGEREF _Toc237449101 \h </w:instrText>
        </w:r>
        <w:r>
          <w:rPr>
            <w:noProof/>
            <w:webHidden/>
          </w:rPr>
        </w:r>
        <w:r>
          <w:rPr>
            <w:noProof/>
            <w:webHidden/>
          </w:rPr>
          <w:fldChar w:fldCharType="separate"/>
        </w:r>
        <w:r>
          <w:rPr>
            <w:noProof/>
            <w:webHidden/>
          </w:rPr>
          <w:t>115</w:t>
        </w:r>
        <w:r>
          <w:rPr>
            <w:noProof/>
            <w:webHidden/>
          </w:rPr>
          <w:fldChar w:fldCharType="end"/>
        </w:r>
      </w:hyperlink>
    </w:p>
    <w:p w14:paraId="15427649" w14:textId="23A65FE2" w:rsidR="0030005B" w:rsidRDefault="0030005B">
      <w:pPr>
        <w:pStyle w:val="TOC4"/>
        <w:rPr>
          <w:rFonts w:eastAsiaTheme="minorEastAsia"/>
          <w:smallCaps w:val="0"/>
          <w:noProof/>
          <w:kern w:val="2"/>
          <w:sz w:val="24"/>
          <w:szCs w:val="24"/>
          <w:lang w:val="en-US" w:eastAsia="zh-CN" w:bidi="he-IL"/>
          <w14:ligatures w14:val="standardContextual"/>
        </w:rPr>
      </w:pPr>
      <w:hyperlink w:anchor="_Toc237449102" w:history="1">
        <w:r w:rsidRPr="00363646">
          <w:rPr>
            <w:rStyle w:val="Hyperlink"/>
            <w:noProof/>
          </w:rPr>
          <w:t>Microsoft Defender for Endpoint</w:t>
        </w:r>
        <w:r>
          <w:rPr>
            <w:noProof/>
            <w:webHidden/>
          </w:rPr>
          <w:tab/>
        </w:r>
        <w:r>
          <w:rPr>
            <w:noProof/>
            <w:webHidden/>
          </w:rPr>
          <w:fldChar w:fldCharType="begin"/>
        </w:r>
        <w:r>
          <w:rPr>
            <w:noProof/>
            <w:webHidden/>
          </w:rPr>
          <w:instrText xml:space="preserve"> PAGEREF _Toc237449102 \h </w:instrText>
        </w:r>
        <w:r>
          <w:rPr>
            <w:noProof/>
            <w:webHidden/>
          </w:rPr>
        </w:r>
        <w:r>
          <w:rPr>
            <w:noProof/>
            <w:webHidden/>
          </w:rPr>
          <w:fldChar w:fldCharType="separate"/>
        </w:r>
        <w:r>
          <w:rPr>
            <w:noProof/>
            <w:webHidden/>
          </w:rPr>
          <w:t>115</w:t>
        </w:r>
        <w:r>
          <w:rPr>
            <w:noProof/>
            <w:webHidden/>
          </w:rPr>
          <w:fldChar w:fldCharType="end"/>
        </w:r>
      </w:hyperlink>
    </w:p>
    <w:p w14:paraId="31C08C43" w14:textId="1956EC6C" w:rsidR="0030005B" w:rsidRDefault="0030005B">
      <w:pPr>
        <w:pStyle w:val="TOC4"/>
        <w:rPr>
          <w:rFonts w:eastAsiaTheme="minorEastAsia"/>
          <w:smallCaps w:val="0"/>
          <w:noProof/>
          <w:kern w:val="2"/>
          <w:sz w:val="24"/>
          <w:szCs w:val="24"/>
          <w:lang w:val="en-US" w:eastAsia="zh-CN" w:bidi="he-IL"/>
          <w14:ligatures w14:val="standardContextual"/>
        </w:rPr>
      </w:pPr>
      <w:hyperlink w:anchor="_Toc237449103" w:history="1">
        <w:r w:rsidRPr="00363646">
          <w:rPr>
            <w:rStyle w:val="Hyperlink"/>
            <w:noProof/>
          </w:rPr>
          <w:t>Universelles Drucken</w:t>
        </w:r>
        <w:r>
          <w:rPr>
            <w:noProof/>
            <w:webHidden/>
          </w:rPr>
          <w:tab/>
        </w:r>
        <w:r>
          <w:rPr>
            <w:noProof/>
            <w:webHidden/>
          </w:rPr>
          <w:fldChar w:fldCharType="begin"/>
        </w:r>
        <w:r>
          <w:rPr>
            <w:noProof/>
            <w:webHidden/>
          </w:rPr>
          <w:instrText xml:space="preserve"> PAGEREF _Toc237449103 \h </w:instrText>
        </w:r>
        <w:r>
          <w:rPr>
            <w:noProof/>
            <w:webHidden/>
          </w:rPr>
        </w:r>
        <w:r>
          <w:rPr>
            <w:noProof/>
            <w:webHidden/>
          </w:rPr>
          <w:fldChar w:fldCharType="separate"/>
        </w:r>
        <w:r>
          <w:rPr>
            <w:noProof/>
            <w:webHidden/>
          </w:rPr>
          <w:t>116</w:t>
        </w:r>
        <w:r>
          <w:rPr>
            <w:noProof/>
            <w:webHidden/>
          </w:rPr>
          <w:fldChar w:fldCharType="end"/>
        </w:r>
      </w:hyperlink>
    </w:p>
    <w:p w14:paraId="42D1B397" w14:textId="62EA0695" w:rsidR="0030005B" w:rsidRDefault="0030005B">
      <w:pPr>
        <w:pStyle w:val="TOC4"/>
        <w:rPr>
          <w:rFonts w:eastAsiaTheme="minorEastAsia"/>
          <w:smallCaps w:val="0"/>
          <w:noProof/>
          <w:kern w:val="2"/>
          <w:sz w:val="24"/>
          <w:szCs w:val="24"/>
          <w:lang w:val="en-US" w:eastAsia="zh-CN" w:bidi="he-IL"/>
          <w14:ligatures w14:val="standardContextual"/>
        </w:rPr>
      </w:pPr>
      <w:hyperlink w:anchor="_Toc237449104" w:history="1">
        <w:r w:rsidRPr="00363646">
          <w:rPr>
            <w:rStyle w:val="Hyperlink"/>
            <w:noProof/>
          </w:rPr>
          <w:t>Windows 365</w:t>
        </w:r>
        <w:r>
          <w:rPr>
            <w:noProof/>
            <w:webHidden/>
          </w:rPr>
          <w:tab/>
        </w:r>
        <w:r>
          <w:rPr>
            <w:noProof/>
            <w:webHidden/>
          </w:rPr>
          <w:fldChar w:fldCharType="begin"/>
        </w:r>
        <w:r>
          <w:rPr>
            <w:noProof/>
            <w:webHidden/>
          </w:rPr>
          <w:instrText xml:space="preserve"> PAGEREF _Toc237449104 \h </w:instrText>
        </w:r>
        <w:r>
          <w:rPr>
            <w:noProof/>
            <w:webHidden/>
          </w:rPr>
        </w:r>
        <w:r>
          <w:rPr>
            <w:noProof/>
            <w:webHidden/>
          </w:rPr>
          <w:fldChar w:fldCharType="separate"/>
        </w:r>
        <w:r>
          <w:rPr>
            <w:noProof/>
            <w:webHidden/>
          </w:rPr>
          <w:t>116</w:t>
        </w:r>
        <w:r>
          <w:rPr>
            <w:noProof/>
            <w:webHidden/>
          </w:rPr>
          <w:fldChar w:fldCharType="end"/>
        </w:r>
      </w:hyperlink>
    </w:p>
    <w:p w14:paraId="01E38C1D" w14:textId="1B83375F" w:rsidR="0030005B" w:rsidRDefault="0030005B">
      <w:pPr>
        <w:pStyle w:val="TOC1"/>
        <w:rPr>
          <w:rFonts w:eastAsiaTheme="minorEastAsia"/>
          <w:b w:val="0"/>
          <w:caps w:val="0"/>
          <w:noProof/>
          <w:kern w:val="2"/>
          <w:sz w:val="24"/>
          <w:szCs w:val="24"/>
          <w:lang w:val="en-US" w:eastAsia="zh-CN" w:bidi="he-IL"/>
          <w14:ligatures w14:val="standardContextual"/>
        </w:rPr>
      </w:pPr>
      <w:hyperlink w:anchor="_Toc237449105" w:history="1">
        <w:r w:rsidRPr="00363646">
          <w:rPr>
            <w:rStyle w:val="Hyperlink"/>
            <w:noProof/>
          </w:rPr>
          <w:t>Anhang A – Service-Level-Verpflichtung für Virenerkennung und -blockierung, Spam-Wirksamkeit oder Falschmeldungen</w:t>
        </w:r>
        <w:r>
          <w:rPr>
            <w:noProof/>
            <w:webHidden/>
          </w:rPr>
          <w:tab/>
        </w:r>
        <w:r>
          <w:rPr>
            <w:noProof/>
            <w:webHidden/>
          </w:rPr>
          <w:fldChar w:fldCharType="begin"/>
        </w:r>
        <w:r>
          <w:rPr>
            <w:noProof/>
            <w:webHidden/>
          </w:rPr>
          <w:instrText xml:space="preserve"> PAGEREF _Toc237449105 \h </w:instrText>
        </w:r>
        <w:r>
          <w:rPr>
            <w:noProof/>
            <w:webHidden/>
          </w:rPr>
        </w:r>
        <w:r>
          <w:rPr>
            <w:noProof/>
            <w:webHidden/>
          </w:rPr>
          <w:fldChar w:fldCharType="separate"/>
        </w:r>
        <w:r>
          <w:rPr>
            <w:noProof/>
            <w:webHidden/>
          </w:rPr>
          <w:t>117</w:t>
        </w:r>
        <w:r>
          <w:rPr>
            <w:noProof/>
            <w:webHidden/>
          </w:rPr>
          <w:fldChar w:fldCharType="end"/>
        </w:r>
      </w:hyperlink>
    </w:p>
    <w:p w14:paraId="16ED5D8F" w14:textId="1182E95D" w:rsidR="00FA110B" w:rsidRPr="00EF7CF9" w:rsidRDefault="00151323" w:rsidP="002024BF">
      <w:pPr>
        <w:pStyle w:val="ProductList-Body"/>
        <w:tabs>
          <w:tab w:val="clear" w:pos="360"/>
          <w:tab w:val="clear" w:pos="720"/>
          <w:tab w:val="clear" w:pos="1080"/>
        </w:tabs>
      </w:pPr>
      <w:r>
        <w:rPr>
          <w:b/>
          <w:caps/>
        </w:rPr>
        <w:fldChar w:fldCharType="end"/>
      </w:r>
    </w:p>
    <w:p w14:paraId="3CA6B7A7" w14:textId="77777777" w:rsidR="00E03E25" w:rsidRPr="00EF7CF9" w:rsidRDefault="00E03E25" w:rsidP="002024BF">
      <w:pPr>
        <w:pStyle w:val="ProductList-Body"/>
        <w:tabs>
          <w:tab w:val="clear" w:pos="360"/>
          <w:tab w:val="clear" w:pos="720"/>
          <w:tab w:val="clear" w:pos="1080"/>
        </w:tabs>
        <w:sectPr w:rsidR="00E03E25" w:rsidRPr="00EF7CF9" w:rsidSect="008817C8">
          <w:footerReference w:type="default" r:id="rId16"/>
          <w:type w:val="continuous"/>
          <w:pgSz w:w="12240" w:h="15840"/>
          <w:pgMar w:top="1440" w:right="720" w:bottom="1440" w:left="720" w:header="720" w:footer="720" w:gutter="0"/>
          <w:cols w:num="2" w:space="720"/>
          <w:docGrid w:linePitch="360"/>
        </w:sectPr>
      </w:pPr>
    </w:p>
    <w:p w14:paraId="3A312564" w14:textId="343170CC" w:rsidR="00E03E25" w:rsidRPr="00EF7CF9" w:rsidRDefault="00914BDB" w:rsidP="00106C29">
      <w:pPr>
        <w:pStyle w:val="ProductList-SectionHeading"/>
        <w:tabs>
          <w:tab w:val="clear" w:pos="360"/>
          <w:tab w:val="clear" w:pos="720"/>
          <w:tab w:val="clear" w:pos="1080"/>
        </w:tabs>
        <w:outlineLvl w:val="0"/>
      </w:pPr>
      <w:bookmarkStart w:id="7" w:name="_Toc457821500"/>
      <w:bookmarkStart w:id="8" w:name="_Toc464226261"/>
      <w:bookmarkStart w:id="9" w:name="_Toc465333682"/>
      <w:bookmarkStart w:id="10" w:name="_Toc195543057"/>
      <w:bookmarkStart w:id="11" w:name="_Toc237448910"/>
      <w:bookmarkStart w:id="12" w:name="Introduction"/>
      <w:r>
        <w:lastRenderedPageBreak/>
        <w:t>Einführung</w:t>
      </w:r>
      <w:bookmarkEnd w:id="7"/>
      <w:bookmarkEnd w:id="8"/>
      <w:bookmarkEnd w:id="9"/>
      <w:bookmarkEnd w:id="10"/>
      <w:bookmarkEnd w:id="11"/>
    </w:p>
    <w:p w14:paraId="0B3153E8" w14:textId="533C83C4" w:rsidR="00FA110B" w:rsidRPr="00EF7CF9" w:rsidRDefault="008D1A52" w:rsidP="008C2ED5">
      <w:pPr>
        <w:pStyle w:val="ProductList-SubSection1Heading"/>
      </w:pPr>
      <w:bookmarkStart w:id="13" w:name="_Toc457812795"/>
      <w:bookmarkStart w:id="14" w:name="_Toc457821501"/>
      <w:bookmarkEnd w:id="12"/>
      <w:r>
        <w:t>Über dieses Dokument</w:t>
      </w:r>
      <w:bookmarkEnd w:id="13"/>
      <w:bookmarkEnd w:id="14"/>
    </w:p>
    <w:p w14:paraId="77CF1F44" w14:textId="1A63749F" w:rsidR="00E11454" w:rsidRPr="00EF7CF9" w:rsidRDefault="00E11454" w:rsidP="00106C29">
      <w:pPr>
        <w:pStyle w:val="ProductList-Body"/>
        <w:tabs>
          <w:tab w:val="clear" w:pos="360"/>
          <w:tab w:val="clear" w:pos="720"/>
          <w:tab w:val="clear" w:pos="1080"/>
        </w:tabs>
      </w:pPr>
      <w:r>
        <w:t>Diese Vereinbarung zum Servicelevel für Microsoft-Onlinedienste (diese „SLA“) ist Teil Ihres Microsoft-Volumenlizenzvertrags („Vertrag“). Alle hier verwendeten, aber nicht in dieser SLA definierten Begriffe haben die Bedeutung, die ihnen im Vertrag zugewiesen wurde. Diese SLA gilt für die hierin aufgeführten Microsoft-Onlinedienste (ein „Dienst“ oder die „Dienste“), jedoch nicht für Dienste mit separatem Markennamen, die mit den Diensten zur Verfügung gestellt werden oder mit diesen verbunden sind, oder für jegliche firmeneigene Software, die Teil eines Dienstes ist.</w:t>
      </w:r>
    </w:p>
    <w:p w14:paraId="3CBD9792" w14:textId="77777777" w:rsidR="00E11454" w:rsidRPr="00EF7CF9" w:rsidRDefault="00E11454" w:rsidP="00106C29">
      <w:pPr>
        <w:pStyle w:val="ProductList-Body"/>
        <w:tabs>
          <w:tab w:val="clear" w:pos="360"/>
          <w:tab w:val="clear" w:pos="720"/>
          <w:tab w:val="clear" w:pos="1080"/>
        </w:tabs>
      </w:pPr>
    </w:p>
    <w:p w14:paraId="5FEF6AC3" w14:textId="5B928EFD" w:rsidR="00E11454" w:rsidRDefault="00E11454" w:rsidP="00106C29">
      <w:pPr>
        <w:pStyle w:val="ProductList-Body"/>
        <w:tabs>
          <w:tab w:val="clear" w:pos="360"/>
          <w:tab w:val="clear" w:pos="720"/>
          <w:tab w:val="clear" w:pos="1080"/>
        </w:tabs>
        <w:rPr>
          <w:rFonts w:ascii="Calibri" w:hAnsi="Calibri" w:cs="Calibri"/>
        </w:rPr>
      </w:pPr>
      <w:r>
        <w:rPr>
          <w:rFonts w:ascii="Calibri" w:hAnsi="Calibri" w:cs="Calibri"/>
        </w:rPr>
        <w:t xml:space="preserve">Wenn wir die in dieser SLA beschriebenen Servicelevels für die einzelnen Dienste nicht erreichen und aufrechterhalten, haben Sie möglicherweise Anspruch auf eine Gutschrift bezüglich eines Teils Ihrer monatlichen Servicegebühren. Während der anfänglichen Laufzeit Ihres Abonnements werden wir die Bestimmungen Ihrer SLA nicht ändern. Wenn Sie jedoch Ihr Abonnement verlängern, gilt die Version dieser SLA, die zum Zeitpunkt der Verlängerung aktuell ist, während des Verlängerungszeitraums. Wir werden Sie mindestens 90 Tage im Voraus über entgegenstehende, wesentliche Änderungen dieser SLA informieren. Sie können die aktuelle Version dieser SLA jederzeit unter </w:t>
      </w:r>
      <w:hyperlink r:id="rId17" w:history="1">
        <w:r>
          <w:rPr>
            <w:rStyle w:val="Hyperlink"/>
          </w:rPr>
          <w:t xml:space="preserve"> https://aka.ms/CSLA</w:t>
        </w:r>
      </w:hyperlink>
      <w:r>
        <w:t xml:space="preserve"> einsehen.</w:t>
      </w:r>
    </w:p>
    <w:p w14:paraId="397D80C5" w14:textId="77777777" w:rsidR="00DD4A55" w:rsidRDefault="00DD4A55" w:rsidP="00106C29">
      <w:pPr>
        <w:pStyle w:val="ProductList-Body"/>
        <w:tabs>
          <w:tab w:val="clear" w:pos="360"/>
          <w:tab w:val="clear" w:pos="720"/>
          <w:tab w:val="clear" w:pos="1080"/>
        </w:tabs>
        <w:rPr>
          <w:rFonts w:ascii="Calibri" w:hAnsi="Calibri" w:cs="Calibri"/>
        </w:rPr>
      </w:pPr>
    </w:p>
    <w:p w14:paraId="727066FE" w14:textId="5B3E18E4" w:rsidR="00DD4A55" w:rsidRPr="00EF7CF9" w:rsidRDefault="00DD4A55" w:rsidP="00106C29">
      <w:pPr>
        <w:pStyle w:val="ProductList-Body"/>
        <w:tabs>
          <w:tab w:val="clear" w:pos="360"/>
          <w:tab w:val="clear" w:pos="720"/>
          <w:tab w:val="clear" w:pos="1080"/>
        </w:tabs>
        <w:rPr>
          <w:rFonts w:ascii="Calibri" w:hAnsi="Calibri" w:cs="Calibri"/>
        </w:rPr>
      </w:pPr>
      <w:r>
        <w:rPr>
          <w:rFonts w:ascii="Calibri" w:hAnsi="Calibri" w:cs="Calibri"/>
        </w:rPr>
        <w:t>Vorschauen und Onlinedienste und/oder Dienstebenen, die kostenlos bereitgestellt werden, sind weder enthalten noch für SLA-Ansprüche oder Gutschriften berechtigt.</w:t>
      </w:r>
    </w:p>
    <w:p w14:paraId="65686147" w14:textId="004AAA72" w:rsidR="008D1A52" w:rsidRPr="00EF7CF9" w:rsidRDefault="008D1A52" w:rsidP="008C2ED5">
      <w:pPr>
        <w:pStyle w:val="ProductList-SubSection1Heading"/>
      </w:pPr>
      <w:bookmarkStart w:id="15" w:name="_Toc457812796"/>
      <w:bookmarkStart w:id="16" w:name="_Toc457821502"/>
      <w:r>
        <w:t>Frühere Versionen dieses Dokuments</w:t>
      </w:r>
      <w:bookmarkEnd w:id="15"/>
      <w:bookmarkEnd w:id="16"/>
    </w:p>
    <w:p w14:paraId="69561C1A" w14:textId="2C21BF8F" w:rsidR="0035123C" w:rsidRPr="00EF7CF9" w:rsidRDefault="007804B9" w:rsidP="00106C29">
      <w:pPr>
        <w:pStyle w:val="ProductList-Body"/>
        <w:tabs>
          <w:tab w:val="clear" w:pos="360"/>
          <w:tab w:val="clear" w:pos="720"/>
          <w:tab w:val="clear" w:pos="1080"/>
        </w:tabs>
      </w:pPr>
      <w:r>
        <w:t xml:space="preserve">Diese SLA enthält Informationen zu den derzeit verfügbaren Diensten. Frühere Versionen dieses Dokuments sind unter folgender Adresse verfügbar: </w:t>
      </w:r>
      <w:hyperlink r:id="rId18" w:history="1">
        <w:r>
          <w:rPr>
            <w:rStyle w:val="Hyperlink"/>
          </w:rPr>
          <w:t>http</w:t>
        </w:r>
        <w:r>
          <w:rPr>
            <w:rStyle w:val="Hyperlink"/>
            <w:color w:val="auto"/>
          </w:rPr>
          <w:t>:</w:t>
        </w:r>
        <w:r>
          <w:rPr>
            <w:rStyle w:val="Hyperlink"/>
          </w:rPr>
          <w:t>//www.microsoftvolumelicensing.com</w:t>
        </w:r>
      </w:hyperlink>
      <w:r>
        <w:t>. Der Kunde kann sich an den zuständigen Handelspartner oder Microsoft-Kundenbetreuer wenden, um die benötigte Version zu finden.</w:t>
      </w:r>
    </w:p>
    <w:p w14:paraId="7F05D0EA" w14:textId="6A442A7D" w:rsidR="008D1A52" w:rsidRPr="00EF7CF9" w:rsidRDefault="008D1A52" w:rsidP="008C2ED5">
      <w:pPr>
        <w:pStyle w:val="ProductList-SubSection1Heading"/>
      </w:pPr>
      <w:bookmarkStart w:id="17" w:name="_Toc457812797"/>
      <w:bookmarkStart w:id="18" w:name="_Toc457821503"/>
      <w:r>
        <w:t>Verdeutlichungen und Zusammenfassung der Änderungen an diesem Dokument</w:t>
      </w:r>
      <w:bookmarkEnd w:id="17"/>
      <w:bookmarkEnd w:id="18"/>
    </w:p>
    <w:p w14:paraId="2487F2A9" w14:textId="64288103" w:rsidR="0035123C" w:rsidRPr="00EF7CF9" w:rsidRDefault="0035123C" w:rsidP="00106C29">
      <w:pPr>
        <w:pStyle w:val="ProductList-Body"/>
        <w:tabs>
          <w:tab w:val="clear" w:pos="360"/>
          <w:tab w:val="clear" w:pos="720"/>
          <w:tab w:val="clear" w:pos="1080"/>
        </w:tabs>
      </w:pPr>
      <w:r>
        <w:t>Nachfolgend werden Hinzufügungen, Streichungen und sonstige Änderungen an dieser SLA aufgeführt. Darüber hinaus finden Sie im Anschluss Klarstellungen zu den Richtlinien von Microsoft als Antwort auf häufige Kundenfragen.</w:t>
      </w:r>
    </w:p>
    <w:p w14:paraId="0E7501E2" w14:textId="6DDC6277" w:rsidR="0035123C" w:rsidRDefault="0035123C" w:rsidP="00106C29">
      <w:pPr>
        <w:pStyle w:val="ProductList-Body"/>
        <w:tabs>
          <w:tab w:val="clear" w:pos="360"/>
          <w:tab w:val="clear" w:pos="720"/>
          <w:tab w:val="clear" w:pos="1080"/>
        </w:tabs>
      </w:pPr>
    </w:p>
    <w:tbl>
      <w:tblPr>
        <w:tblStyle w:val="TableGrid"/>
        <w:tblW w:w="0" w:type="auto"/>
        <w:tblLook w:val="04A0" w:firstRow="1" w:lastRow="0" w:firstColumn="1" w:lastColumn="0" w:noHBand="0" w:noVBand="1"/>
      </w:tblPr>
      <w:tblGrid>
        <w:gridCol w:w="5395"/>
        <w:gridCol w:w="5395"/>
      </w:tblGrid>
      <w:tr w:rsidR="00CC3273" w:rsidRPr="00571855" w14:paraId="740EEFFB" w14:textId="77777777" w:rsidTr="00CC3273">
        <w:trPr>
          <w:tblHeader/>
        </w:trPr>
        <w:tc>
          <w:tcPr>
            <w:tcW w:w="5395" w:type="dxa"/>
            <w:shd w:val="clear" w:color="auto" w:fill="0072C6"/>
          </w:tcPr>
          <w:p w14:paraId="4BA49666" w14:textId="3EA722ED" w:rsidR="00CC3273" w:rsidRPr="006D4DC5" w:rsidRDefault="00CC3273" w:rsidP="00CC3273">
            <w:pPr>
              <w:pStyle w:val="ProductList-OfferingBody"/>
            </w:pPr>
            <w:r>
              <w:rPr>
                <w:color w:val="FFFFFF" w:themeColor="background1"/>
              </w:rPr>
              <w:t>Hinzufügungen/Aktualisierungen</w:t>
            </w:r>
          </w:p>
        </w:tc>
        <w:tc>
          <w:tcPr>
            <w:tcW w:w="5395" w:type="dxa"/>
            <w:shd w:val="clear" w:color="auto" w:fill="0072C6"/>
          </w:tcPr>
          <w:p w14:paraId="042AABD6" w14:textId="77777777" w:rsidR="00CC3273" w:rsidRPr="006D4DC5" w:rsidRDefault="00CC3273" w:rsidP="00CC3273">
            <w:pPr>
              <w:pStyle w:val="ProductList-OfferingBody"/>
            </w:pPr>
            <w:r>
              <w:rPr>
                <w:color w:val="FFFFFF" w:themeColor="background1"/>
              </w:rPr>
              <w:t>Streichungen</w:t>
            </w:r>
          </w:p>
        </w:tc>
      </w:tr>
      <w:tr w:rsidR="00AC085E" w:rsidRPr="003650D0" w14:paraId="64D48DA4" w14:textId="77777777" w:rsidTr="00CC3273">
        <w:trPr>
          <w:tblHeader/>
        </w:trPr>
        <w:tc>
          <w:tcPr>
            <w:tcW w:w="5395" w:type="dxa"/>
          </w:tcPr>
          <w:p w14:paraId="7F008441" w14:textId="1FC4CB63" w:rsidR="00AC085E" w:rsidRDefault="007475A7" w:rsidP="00AC085E">
            <w:pPr>
              <w:pStyle w:val="ProductList-OfferingBody"/>
              <w:rPr>
                <w:rFonts w:ascii="Calibri" w:hAnsi="Calibri" w:cs="Calibri"/>
                <w:color w:val="000000" w:themeColor="text1"/>
              </w:rPr>
            </w:pPr>
            <w:r>
              <w:rPr>
                <w:rFonts w:ascii="Calibri" w:hAnsi="Calibri" w:cs="Calibri"/>
                <w:color w:val="000000" w:themeColor="text1"/>
                <w:szCs w:val="16"/>
              </w:rPr>
              <w:t>Automatische Cluster des Azure Kubernetes Service (AKS)</w:t>
            </w:r>
          </w:p>
        </w:tc>
        <w:tc>
          <w:tcPr>
            <w:tcW w:w="5395" w:type="dxa"/>
          </w:tcPr>
          <w:p w14:paraId="51DEA108" w14:textId="73897C35" w:rsidR="00AC085E" w:rsidRPr="00BD2AE1" w:rsidRDefault="00AC085E" w:rsidP="00AC085E">
            <w:pPr>
              <w:pStyle w:val="ProductList-Body"/>
              <w:rPr>
                <w:sz w:val="16"/>
                <w:szCs w:val="16"/>
              </w:rPr>
            </w:pPr>
          </w:p>
        </w:tc>
      </w:tr>
    </w:tbl>
    <w:p w14:paraId="473EB6D2" w14:textId="1DE0ED3B" w:rsidR="00654656" w:rsidRPr="00D67F75" w:rsidRDefault="00D67F75" w:rsidP="00D67F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00971220" w:rsidRPr="00D67F75">
        <w:rPr>
          <w:sz w:val="16"/>
          <w:szCs w:val="16"/>
        </w:rPr>
        <w:t xml:space="preserve"> / </w:t>
      </w:r>
      <w:hyperlink w:anchor="Definitions" w:history="1">
        <w:r w:rsidRPr="00D67F75">
          <w:rPr>
            <w:rStyle w:val="Hyperlink"/>
            <w:sz w:val="16"/>
            <w:szCs w:val="16"/>
          </w:rPr>
          <w:t>Begriffsbestimmungen</w:t>
        </w:r>
      </w:hyperlink>
    </w:p>
    <w:p w14:paraId="348C666F" w14:textId="56DC3877" w:rsidR="008E6785" w:rsidRPr="00B44CF9" w:rsidRDefault="008E6785" w:rsidP="00106C29">
      <w:pPr>
        <w:rPr>
          <w:sz w:val="18"/>
          <w:szCs w:val="18"/>
        </w:rPr>
      </w:pPr>
    </w:p>
    <w:p w14:paraId="596F13CE" w14:textId="77777777" w:rsidR="00654656" w:rsidRPr="00B44CF9" w:rsidRDefault="00654656" w:rsidP="00106C29">
      <w:pPr>
        <w:rPr>
          <w:sz w:val="18"/>
          <w:szCs w:val="18"/>
        </w:rPr>
        <w:sectPr w:rsidR="00654656" w:rsidRPr="00B44CF9" w:rsidSect="008817C8">
          <w:footerReference w:type="default" r:id="rId19"/>
          <w:footerReference w:type="first" r:id="rId20"/>
          <w:pgSz w:w="12240" w:h="15840"/>
          <w:pgMar w:top="1440" w:right="720" w:bottom="1440" w:left="720" w:header="720" w:footer="720" w:gutter="0"/>
          <w:cols w:space="720"/>
          <w:titlePg/>
          <w:docGrid w:linePitch="360"/>
        </w:sectPr>
      </w:pPr>
    </w:p>
    <w:p w14:paraId="41F91676" w14:textId="37AC3CA8" w:rsidR="00045C64" w:rsidRPr="00EF7CF9" w:rsidRDefault="00E11454" w:rsidP="002024BF">
      <w:pPr>
        <w:pStyle w:val="ProductList-SectionHeading"/>
        <w:tabs>
          <w:tab w:val="clear" w:pos="360"/>
          <w:tab w:val="clear" w:pos="720"/>
          <w:tab w:val="clear" w:pos="1080"/>
        </w:tabs>
        <w:outlineLvl w:val="0"/>
      </w:pPr>
      <w:bookmarkStart w:id="19" w:name="_Toc457821504"/>
      <w:bookmarkStart w:id="20" w:name="_Toc195543058"/>
      <w:bookmarkStart w:id="21" w:name="_Toc237448911"/>
      <w:bookmarkStart w:id="22" w:name="GeneralTerms"/>
      <w:r>
        <w:lastRenderedPageBreak/>
        <w:t>Allgemeine Bestimmungen</w:t>
      </w:r>
      <w:bookmarkEnd w:id="19"/>
      <w:bookmarkEnd w:id="20"/>
      <w:bookmarkEnd w:id="21"/>
    </w:p>
    <w:p w14:paraId="0BDF752D" w14:textId="5F0E96A9" w:rsidR="00045C64" w:rsidRPr="00EF7CF9" w:rsidRDefault="00E11454" w:rsidP="008C2ED5">
      <w:pPr>
        <w:pStyle w:val="ProductList-SubSection1Heading"/>
      </w:pPr>
      <w:bookmarkStart w:id="23" w:name="_Toc454884885"/>
      <w:bookmarkStart w:id="24" w:name="_Toc457812799"/>
      <w:bookmarkStart w:id="25" w:name="_Toc455748582"/>
      <w:bookmarkStart w:id="26" w:name="_Toc457821505"/>
      <w:bookmarkStart w:id="27" w:name="Definitions"/>
      <w:bookmarkEnd w:id="22"/>
      <w:r>
        <w:t>Begriffsbestimmungen</w:t>
      </w:r>
      <w:bookmarkEnd w:id="23"/>
      <w:bookmarkEnd w:id="24"/>
      <w:bookmarkEnd w:id="25"/>
      <w:bookmarkEnd w:id="26"/>
    </w:p>
    <w:bookmarkEnd w:id="27"/>
    <w:p w14:paraId="4F6FF985" w14:textId="77777777" w:rsidR="00834CFA" w:rsidRPr="00A43C44" w:rsidRDefault="00834CFA" w:rsidP="00834CFA">
      <w:pPr>
        <w:pStyle w:val="ProductList-Body"/>
        <w:spacing w:after="40"/>
        <w:rPr>
          <w:rFonts w:ascii="Calibri" w:hAnsi="Calibri" w:cs="Calibri"/>
          <w:color w:val="000000" w:themeColor="text1"/>
        </w:rPr>
      </w:pPr>
      <w:r>
        <w:rPr>
          <w:rFonts w:ascii="Calibri" w:hAnsi="Calibri" w:cs="Calibri"/>
        </w:rPr>
        <w:t>Der Begriff „</w:t>
      </w:r>
      <w:r>
        <w:rPr>
          <w:rFonts w:ascii="Calibri" w:hAnsi="Calibri" w:cs="Calibri"/>
          <w:b/>
          <w:color w:val="00188F"/>
        </w:rPr>
        <w:t>Anwendbarer Zeitraum</w:t>
      </w:r>
      <w:r>
        <w:rPr>
          <w:rFonts w:ascii="Calibri" w:hAnsi="Calibri" w:cs="Calibri"/>
        </w:rPr>
        <w:t xml:space="preserve">“ für gemessene Dienste mit nutzungsabhängiger Bezahlung (z. B. virtuelle Azure-Computer) bezeichnet die 30 Tage vor dem Vorfall einschließlich des ersten Tages, für den Ihnen eine Servicegutschrift zusteht. Bei anderen Diensten (z. B. M365 E3) bezeichnet der „Anwendbare Zeitraum“ den Kalendermonat, in dem eine Servicegutschrift fällig ist. </w:t>
      </w:r>
    </w:p>
    <w:p w14:paraId="15C44ADF" w14:textId="77777777" w:rsidR="00834CFA" w:rsidRPr="00A43C44" w:rsidRDefault="00834CFA" w:rsidP="00834CFA">
      <w:pPr>
        <w:pStyle w:val="ProductList-Body"/>
        <w:spacing w:after="40"/>
        <w:rPr>
          <w:rFonts w:ascii="Calibri" w:hAnsi="Calibri" w:cs="Calibri"/>
          <w:color w:val="000000" w:themeColor="text1"/>
        </w:rPr>
      </w:pPr>
      <w:r>
        <w:rPr>
          <w:rFonts w:ascii="Calibri" w:hAnsi="Calibri" w:cs="Calibri"/>
        </w:rPr>
        <w:t>„</w:t>
      </w:r>
      <w:r>
        <w:rPr>
          <w:rFonts w:ascii="Calibri" w:hAnsi="Calibri" w:cs="Calibri"/>
          <w:b/>
          <w:color w:val="00188F"/>
        </w:rPr>
        <w:t>Anwendbare Servicegebühren</w:t>
      </w:r>
      <w:r>
        <w:rPr>
          <w:rFonts w:ascii="Calibri" w:hAnsi="Calibri" w:cs="Calibri"/>
        </w:rPr>
        <w:t>”</w:t>
      </w:r>
      <w:r>
        <w:rPr>
          <w:rFonts w:ascii="Calibri" w:hAnsi="Calibri" w:cs="Calibri"/>
          <w:color w:val="000000" w:themeColor="text1"/>
        </w:rPr>
        <w:t xml:space="preserve"> sind die Gesamtgebühren, die von Ihnen tatsächlich für einen Service gezahlt und auf den Monat angewendet werden, in dem Ihnen eine Servicegutschrift zusteht.</w:t>
      </w:r>
    </w:p>
    <w:p w14:paraId="2679018A" w14:textId="77777777" w:rsidR="00834CFA" w:rsidRPr="00A43C44" w:rsidRDefault="00834CFA" w:rsidP="00834CFA">
      <w:pPr>
        <w:pStyle w:val="ProductList-Body"/>
        <w:spacing w:after="40"/>
        <w:rPr>
          <w:rFonts w:ascii="Calibri" w:hAnsi="Calibri" w:cs="Calibri"/>
        </w:rPr>
      </w:pPr>
      <w:r>
        <w:rPr>
          <w:rFonts w:ascii="Calibri" w:hAnsi="Calibri" w:cs="Calibri"/>
        </w:rPr>
        <w:t>„</w:t>
      </w:r>
      <w:r>
        <w:rPr>
          <w:rFonts w:ascii="Calibri" w:hAnsi="Calibri" w:cs="Calibri"/>
          <w:b/>
          <w:color w:val="00188F"/>
        </w:rPr>
        <w:t>Ausfallzeiten</w:t>
      </w:r>
      <w:r>
        <w:rPr>
          <w:rFonts w:ascii="Calibri" w:hAnsi="Calibri" w:cs="Calibri"/>
        </w:rPr>
        <w:t>“ sind für jeden Dienst in den Dienstspezifischen Bestimmungen unten definiert. In der Ausfallzeit werden geplante Ausfallzeiten nicht berücksichtigt. Ausfallzeiten umfassen keine Nichtverfügbarkeit eines Dienstes aufgrund der unten und in den Dienstspezifischen Bestimmungen beschriebenen Beschränkungen.</w:t>
      </w:r>
    </w:p>
    <w:p w14:paraId="1CAAF07A" w14:textId="7C1624CA" w:rsidR="001D1C2C" w:rsidRPr="00EF7CF9" w:rsidRDefault="00EF7CF9" w:rsidP="001D1C2C">
      <w:pPr>
        <w:pStyle w:val="ProductList-Body"/>
        <w:spacing w:after="40"/>
      </w:pPr>
      <w:r>
        <w:t>Ein „</w:t>
      </w:r>
      <w:r>
        <w:rPr>
          <w:b/>
          <w:color w:val="00188F"/>
        </w:rPr>
        <w:t>Fehlercode</w:t>
      </w:r>
      <w:r>
        <w:t>“ ist ein Hinweis darauf, dass ein Vorgang fehlerhaft ist, z. B. ein HTTP-Statuscode im 5xx-Bereich.</w:t>
      </w:r>
    </w:p>
    <w:p w14:paraId="64D84186" w14:textId="5ECBA2E3" w:rsidR="001D1C2C" w:rsidRPr="00EF7CF9" w:rsidRDefault="00EF7CF9" w:rsidP="001D1C2C">
      <w:pPr>
        <w:pStyle w:val="ProductList-Body"/>
        <w:spacing w:after="40"/>
        <w:rPr>
          <w:color w:val="000000" w:themeColor="text1"/>
        </w:rPr>
      </w:pPr>
      <w:r>
        <w:t>Eine „</w:t>
      </w:r>
      <w:r>
        <w:rPr>
          <w:b/>
          <w:color w:val="00188F"/>
        </w:rPr>
        <w:t>Externe Verbindung</w:t>
      </w:r>
      <w:r>
        <w:t>“ ist der bidirektionale Netzwerkverkehr über unterstützte Protokolle wie HTTP und HTTPS, der von einer öffentlichen IP-Adresse gesendet und empfangen werden kann.</w:t>
      </w:r>
    </w:p>
    <w:p w14:paraId="57569D47" w14:textId="7EBE9AA8" w:rsidR="001D1C2C" w:rsidRPr="00EF7CF9" w:rsidRDefault="00EF7CF9" w:rsidP="001D1C2C">
      <w:pPr>
        <w:pStyle w:val="ProductList-Body"/>
        <w:spacing w:after="40"/>
        <w:rPr>
          <w:color w:val="000000" w:themeColor="text1"/>
        </w:rPr>
      </w:pPr>
      <w:r>
        <w:t>Ein „Vorfall</w:t>
      </w:r>
      <w:r>
        <w:rPr>
          <w:color w:val="000000" w:themeColor="text1"/>
        </w:rPr>
        <w:t>“ ist (i) jedes einzelne Ereignis oder (ii) jede Gruppe von Ereignissen, die zu Ausfallzeiten führt.</w:t>
      </w:r>
    </w:p>
    <w:p w14:paraId="30DC8057" w14:textId="22448706" w:rsidR="001D1C2C" w:rsidRPr="00EF7CF9" w:rsidRDefault="00EF7CF9" w:rsidP="001D1C2C">
      <w:pPr>
        <w:pStyle w:val="ProductList-Body"/>
        <w:spacing w:after="40"/>
      </w:pPr>
      <w:r>
        <w:t>Ein „</w:t>
      </w:r>
      <w:r>
        <w:rPr>
          <w:b/>
          <w:color w:val="00188F"/>
        </w:rPr>
        <w:t>Verwaltungsportal</w:t>
      </w:r>
      <w:r>
        <w:t>“ ist die von Microsoft bereitgestellte Weboberfläche, über die Kunden den Dienst verwalten.</w:t>
      </w:r>
    </w:p>
    <w:p w14:paraId="16345164" w14:textId="28D02D52" w:rsidR="001D1C2C" w:rsidRPr="00EF7CF9" w:rsidRDefault="00EF7CF9" w:rsidP="001D1C2C">
      <w:pPr>
        <w:pStyle w:val="ProductList-Body"/>
        <w:spacing w:after="40"/>
        <w:rPr>
          <w:color w:val="000000" w:themeColor="text1"/>
        </w:rPr>
      </w:pPr>
      <w:r>
        <w:t>Eine „</w:t>
      </w:r>
      <w:r>
        <w:rPr>
          <w:b/>
          <w:color w:val="00188F"/>
        </w:rPr>
        <w:t>Geplante Ausfallzeit</w:t>
      </w:r>
      <w:r w:rsidR="00C5689E">
        <w:t>“</w:t>
      </w:r>
      <w:r>
        <w:rPr>
          <w:color w:val="000000" w:themeColor="text1"/>
        </w:rPr>
        <w:t xml:space="preserve"> bezeichnet Ausfallzeiten im Zusammenhang mit Netzwerk-, Hardware- oder Dienstwartungen oder -upgrades. Wir werden diese Zeiten mindestens fünf (5) Tage vor Beginn als Ausfallzeiten veröffentlichen oder Ihnen ankündigen.</w:t>
      </w:r>
    </w:p>
    <w:p w14:paraId="70231D40" w14:textId="3BD8A892" w:rsidR="001D1C2C" w:rsidRPr="00EF7CF9" w:rsidRDefault="00EF7CF9" w:rsidP="001D1C2C">
      <w:pPr>
        <w:pStyle w:val="ProductList-Body"/>
        <w:spacing w:after="40"/>
        <w:rPr>
          <w:color w:val="000000" w:themeColor="text1"/>
        </w:rPr>
      </w:pPr>
      <w:r>
        <w:t>Eine „</w:t>
      </w:r>
      <w:r>
        <w:rPr>
          <w:b/>
          <w:color w:val="00188F"/>
        </w:rPr>
        <w:t>Servicegutschrift</w:t>
      </w:r>
      <w:r>
        <w:t>“</w:t>
      </w:r>
      <w:r>
        <w:rPr>
          <w:color w:val="000000" w:themeColor="text1"/>
        </w:rPr>
        <w:t xml:space="preserve"> ist der Prozentsatz der Anwendbaren Servicegebühren, der Ihnen nach Genehmigung des Anspruchs durch Microsoft gutgeschrieben wird.</w:t>
      </w:r>
    </w:p>
    <w:p w14:paraId="0E261BBC" w14:textId="78D27B75" w:rsidR="001D1C2C" w:rsidRPr="00EF7CF9" w:rsidRDefault="00EF7CF9" w:rsidP="001D1C2C">
      <w:pPr>
        <w:pStyle w:val="ProductList-Body"/>
        <w:spacing w:after="40"/>
        <w:rPr>
          <w:color w:val="000000" w:themeColor="text1"/>
        </w:rPr>
      </w:pPr>
      <w:r>
        <w:t>„</w:t>
      </w:r>
      <w:r>
        <w:rPr>
          <w:b/>
          <w:color w:val="00188F"/>
        </w:rPr>
        <w:t>Service-Level</w:t>
      </w:r>
      <w:r w:rsidR="00C5689E">
        <w:t>“</w:t>
      </w:r>
      <w:r>
        <w:rPr>
          <w:color w:val="000000" w:themeColor="text1"/>
        </w:rPr>
        <w:t xml:space="preserve"> bezeichnet den/die Leistungsindikator(en), zu dessen/deren Einhaltung bei der Bereitstellung der Dienste sich Microsoft verpflichtet, wie in dieser SLA dargelegt.</w:t>
      </w:r>
    </w:p>
    <w:p w14:paraId="6702BBF5" w14:textId="4D674F4E" w:rsidR="001D1C2C" w:rsidRPr="00EF7CF9" w:rsidRDefault="00EF7CF9" w:rsidP="001D1C2C">
      <w:pPr>
        <w:pStyle w:val="ProductList-Body"/>
        <w:spacing w:after="40"/>
      </w:pPr>
      <w:r>
        <w:t>„</w:t>
      </w:r>
      <w:r>
        <w:rPr>
          <w:b/>
          <w:color w:val="00188F"/>
        </w:rPr>
        <w:t>Dienstressource</w:t>
      </w:r>
      <w:r>
        <w:t>“ ist eine einzelne Ressource, die zur Verwendung innerhalb eines Dienstes verfügbar ist.</w:t>
      </w:r>
    </w:p>
    <w:p w14:paraId="6EF19CD6" w14:textId="111F4E0C" w:rsidR="001D1C2C" w:rsidRPr="00EF7CF9" w:rsidRDefault="00EF7CF9" w:rsidP="001D1C2C">
      <w:pPr>
        <w:pStyle w:val="ProductList-Body"/>
        <w:spacing w:after="40"/>
      </w:pPr>
      <w:r>
        <w:t>Ein „</w:t>
      </w:r>
      <w:r>
        <w:rPr>
          <w:b/>
          <w:color w:val="00188F"/>
        </w:rPr>
        <w:t>Erfolgscode</w:t>
      </w:r>
      <w:r>
        <w:t>“ ist ein Hinweis darauf, dass ein Vorgang erfolgreich war, z. B. ein HTTP-Statuscode im 2xx-Bereich.</w:t>
      </w:r>
    </w:p>
    <w:p w14:paraId="461AC117" w14:textId="72A22A6C" w:rsidR="001D1C2C" w:rsidRPr="00EF7CF9" w:rsidRDefault="00EF7CF9" w:rsidP="001D1C2C">
      <w:pPr>
        <w:pStyle w:val="ProductList-Body"/>
        <w:spacing w:after="40"/>
        <w:rPr>
          <w:color w:val="000000" w:themeColor="text1"/>
        </w:rPr>
      </w:pPr>
      <w:r>
        <w:t>Ein „</w:t>
      </w:r>
      <w:r>
        <w:rPr>
          <w:b/>
          <w:color w:val="00188F"/>
        </w:rPr>
        <w:t>Unterstützungszeitraum</w:t>
      </w:r>
      <w:r>
        <w:t>“ ist der Zeitraum, in dem eine Dienstfunktion oder Kompatibilität mit einem getrennten Produkt oder Dienst unterstützt wird.</w:t>
      </w:r>
    </w:p>
    <w:p w14:paraId="0B6E793C" w14:textId="690A5235" w:rsidR="001D1C2C" w:rsidRPr="00EF7CF9" w:rsidRDefault="00EF7CF9" w:rsidP="001D1C2C">
      <w:pPr>
        <w:pStyle w:val="ProductList-Body"/>
        <w:spacing w:after="40"/>
        <w:rPr>
          <w:color w:val="000000" w:themeColor="text1"/>
        </w:rPr>
      </w:pPr>
      <w:r>
        <w:t>„</w:t>
      </w:r>
      <w:r>
        <w:rPr>
          <w:b/>
          <w:color w:val="00188F"/>
        </w:rPr>
        <w:t>Nutzerminuten</w:t>
      </w:r>
      <w:r>
        <w:t>“</w:t>
      </w:r>
      <w:r>
        <w:rPr>
          <w:color w:val="000000" w:themeColor="text1"/>
        </w:rPr>
        <w:t xml:space="preserve"> ist die Gesamtzahl der Minuten in einem Anwendbaren Zeitraum, abzüglich aller geplanten Ausfallzeiten, multipliziert mit der Gesamtzahl der Nutzer.</w:t>
      </w:r>
    </w:p>
    <w:p w14:paraId="637752EC" w14:textId="23513F1A" w:rsidR="001D1C2C" w:rsidRPr="00EF7CF9" w:rsidRDefault="001D1C2C" w:rsidP="008C2ED5">
      <w:pPr>
        <w:pStyle w:val="ProductList-SubSection1Heading"/>
      </w:pPr>
      <w:bookmarkStart w:id="28" w:name="_Toc454884886"/>
      <w:bookmarkStart w:id="29" w:name="_Toc457812800"/>
      <w:bookmarkStart w:id="30" w:name="_Toc455748583"/>
      <w:bookmarkStart w:id="31" w:name="_Toc457821506"/>
      <w:bookmarkStart w:id="32" w:name="Terms"/>
      <w:r>
        <w:t>Bestimmungen</w:t>
      </w:r>
      <w:bookmarkEnd w:id="28"/>
      <w:bookmarkEnd w:id="29"/>
      <w:bookmarkEnd w:id="30"/>
      <w:bookmarkEnd w:id="31"/>
    </w:p>
    <w:bookmarkEnd w:id="32"/>
    <w:p w14:paraId="7371D222" w14:textId="77777777" w:rsidR="001D1C2C" w:rsidRPr="00EF7CF9" w:rsidRDefault="001D1C2C" w:rsidP="008C2ED5">
      <w:pPr>
        <w:pStyle w:val="ProductList-ClauseHeading"/>
        <w:outlineLvl w:val="2"/>
      </w:pPr>
      <w:r>
        <w:t>Ansprüche</w:t>
      </w:r>
    </w:p>
    <w:p w14:paraId="0667EE53" w14:textId="77777777" w:rsidR="00284533" w:rsidRPr="00CC7A65" w:rsidRDefault="00284533" w:rsidP="00284533">
      <w:pPr>
        <w:pStyle w:val="ProductList-Body"/>
        <w:rPr>
          <w:rFonts w:ascii="Calibri" w:hAnsi="Calibri" w:cs="Calibri"/>
        </w:rPr>
      </w:pPr>
      <w:r>
        <w:rPr>
          <w:rFonts w:ascii="Calibri" w:hAnsi="Calibri" w:cs="Calibri"/>
        </w:rPr>
        <w:t xml:space="preserve">Damit Microsoft einen Anspruch berücksichtigt, müssen Sie den Anspruch beim Kundensupport bei der Microsoft Corporation zusammen mit allen erforderlichen Informationen einreichen, damit Microsoft den Anspruch überprüfen kann, einschließlich, aber nicht beschränkt auf (i) eine detaillierte Beschreibung des Vorfalls; (ii) Informationen über den Zeitpunkt und die Dauer der Ausfallzeit; (iii) die Namen der betroffenen Ressourcen; (iv) die Anzahl und den/die Standort(e) der betroffenen Nutzer; und (v) eine Beschreibung der Fehler, die während des Vorfalls aufgetreten sind. Wenn Sie die erforderlichen Informationen nicht bereitstellen, werden die Forderungen abgelehnt. Ausführliche Hinweise zur Überwachung und Protokollierung von Azure-Ressourcen finden Sie im Artikel „Azure Monitor-Protokollanalyseabfragen nach Tabellen“ oder in Nachfolgeartikeln auf Microsoft Learn. Diese Ressource stellt wichtige Daten und Erkenntnisse bereit, die für Azure-Ansprüche erforderlich sind. </w:t>
      </w:r>
    </w:p>
    <w:p w14:paraId="5C2E895E" w14:textId="77777777" w:rsidR="00284533" w:rsidRPr="00CC7A65" w:rsidRDefault="00284533" w:rsidP="00284533">
      <w:pPr>
        <w:pStyle w:val="ProductList-Body"/>
        <w:rPr>
          <w:rFonts w:ascii="Calibri" w:hAnsi="Calibri" w:cs="Calibri"/>
        </w:rPr>
      </w:pPr>
    </w:p>
    <w:p w14:paraId="0058C33A" w14:textId="77777777" w:rsidR="00284533" w:rsidRPr="00CC7A65" w:rsidRDefault="00284533" w:rsidP="00284533">
      <w:pPr>
        <w:pStyle w:val="ProductList-Body"/>
        <w:rPr>
          <w:rFonts w:ascii="Calibri" w:hAnsi="Calibri" w:cs="Calibri"/>
        </w:rPr>
      </w:pPr>
      <w:r>
        <w:rPr>
          <w:rFonts w:ascii="Calibri" w:hAnsi="Calibri" w:cs="Calibri"/>
        </w:rPr>
        <w:t>Ansprüche im Zusammenhang mit Microsoft Azure müssen innerhalb von 60 Tagen nach dem Vorfall bei uns geltend gemacht werden. Bei Ansprüchen bezüglich aller anderen Dienste muss der Anspruch bis zum Ende des Anwendbaren Zeitraums nach dem Monat, in dem der Vorfall aufgetreten ist, bei uns eingegangen sein. Wenn sich der Vorfall beispielsweise am 15. Februar ereignet hat, müssen wir die Anspruchserhebung und alle erforderlichen Informationen bis zum 31. März erhalten.</w:t>
      </w:r>
    </w:p>
    <w:p w14:paraId="68464702" w14:textId="77777777" w:rsidR="00284533" w:rsidRPr="00CC7A65" w:rsidRDefault="00284533" w:rsidP="00284533">
      <w:pPr>
        <w:pStyle w:val="ProductList-Body"/>
        <w:rPr>
          <w:rFonts w:ascii="Calibri" w:hAnsi="Calibri" w:cs="Calibri"/>
        </w:rPr>
      </w:pPr>
    </w:p>
    <w:p w14:paraId="6B1F07BE" w14:textId="77777777" w:rsidR="00284533" w:rsidRPr="00CC7A65" w:rsidRDefault="00284533" w:rsidP="00284533">
      <w:pPr>
        <w:pStyle w:val="ProductList-Body"/>
        <w:rPr>
          <w:rFonts w:ascii="Calibri" w:hAnsi="Calibri" w:cs="Calibri"/>
        </w:rPr>
      </w:pPr>
      <w:r>
        <w:rPr>
          <w:rFonts w:ascii="Calibri" w:hAnsi="Calibri" w:cs="Calibri"/>
        </w:rPr>
        <w:t>Wir werden alle uns vernünftigerweise zur Verfügung stehenden Informationen auswerten und nach Treu und Glauben feststellen, ob eine Servicegutschrift geschuldet wird. Wir werden sofort nach einer Untersuchung wirtschaftlich angemessene Anstrengungen unternehmen, um Ansprüche in der Regel innerhalb von fünfundvierzig (45) Tagen nach Erhalt zu bearbeiten. Sie müssen den Vertrag einhalten, um zu einer Dienstgutschrift berechtigt zu sein. Wenn wir feststellen, dass Ihnen eine Servicegutschrift zusteht, werden wir die Servicegutschrift auf Ihre Anwendbaren Servicegebühren anwenden.</w:t>
      </w:r>
    </w:p>
    <w:p w14:paraId="58E2268D" w14:textId="77777777" w:rsidR="001D1C2C" w:rsidRPr="00EF7CF9" w:rsidRDefault="001D1C2C" w:rsidP="001D1C2C">
      <w:pPr>
        <w:pStyle w:val="ProductList-Body"/>
      </w:pPr>
    </w:p>
    <w:p w14:paraId="76EDD054" w14:textId="17DCE303" w:rsidR="001D1C2C" w:rsidRPr="00EF7CF9" w:rsidRDefault="001D1C2C" w:rsidP="001D1C2C">
      <w:pPr>
        <w:pStyle w:val="ProductList-Body"/>
      </w:pPr>
      <w:r>
        <w:t xml:space="preserve">Wenn Sie mehr als einen Service (nicht als Suite) erworben haben, können Sie Ansprüche gemäß dem oben beschriebenen Verfahren erheben, als ob jeder Service durch eine individuelle SLA (Vereinbarung zum Service-Level) abgedeckt wäre. Wenn Sie beispielsweise Exchange Online und </w:t>
      </w:r>
      <w:r>
        <w:lastRenderedPageBreak/>
        <w:t>SharePoint Online (nicht als Teil einer Suite) erworben haben und während der Laufzeit des Abonnements ein Vorfall bei beiden Diensten zu Ausfallzeiten geführt hat, dann sind Sie womöglich zu zwei separaten Servicegutschriften berechtigt (für jeden Dienst eine) und müssen unter dieser SLA zwei Ansprüche einreichen. Für den Fall, dass aufgrund desselben Vorfalls mehr als ein Servicelevel für einen bestimmten Service nicht erfüllt wird, müssen Sie nur einen Servicelevel wählen, unter dem Sie einen Anspruch auf der Grundlage des Vorfalls geltend machen können. Sofern in einer bestimmten SLA nichts anderes vorgesehen ist, ist pro Service für einen Anwendbaren Zeitraum nur eine Servicegutschrift zulässig.</w:t>
      </w:r>
    </w:p>
    <w:p w14:paraId="48EACB70" w14:textId="77777777" w:rsidR="001D1C2C" w:rsidRPr="00EF7CF9" w:rsidRDefault="001D1C2C" w:rsidP="001D1C2C">
      <w:pPr>
        <w:pStyle w:val="ProductList-Body"/>
      </w:pPr>
    </w:p>
    <w:p w14:paraId="1C5E0FF1" w14:textId="77777777" w:rsidR="001D1C2C" w:rsidRPr="00EF7CF9" w:rsidRDefault="001D1C2C" w:rsidP="008C2ED5">
      <w:pPr>
        <w:pStyle w:val="ProductList-ClauseHeading"/>
        <w:outlineLvl w:val="2"/>
      </w:pPr>
      <w:r>
        <w:t>Servicegutschriften</w:t>
      </w:r>
    </w:p>
    <w:p w14:paraId="08136CE4" w14:textId="77777777" w:rsidR="00844C19" w:rsidRPr="002A0A04" w:rsidRDefault="00844C19" w:rsidP="00844C19">
      <w:pPr>
        <w:pStyle w:val="ProductList-Body"/>
        <w:rPr>
          <w:rFonts w:ascii="Calibri" w:hAnsi="Calibri" w:cs="Calibri"/>
        </w:rPr>
      </w:pPr>
      <w:r>
        <w:rPr>
          <w:rFonts w:ascii="Calibri" w:hAnsi="Calibri" w:cs="Calibri"/>
        </w:rPr>
        <w:t>Servicegutschriften sind Ihr einziger und ausschließlicher Rechtsbehelf bei Leistungs- oder Verfügbarkeitsproblemen für einen Service im Rahmen des Vertrags und dieser SLA. Sie dürfen Ihre Anwendbaren Servicegebühren für Leistungs- oder Verfügbarkeitsprobleme nicht einseitig aufrechnen.</w:t>
      </w:r>
    </w:p>
    <w:p w14:paraId="6C451BE0" w14:textId="77777777" w:rsidR="00844C19" w:rsidRPr="002A0A04" w:rsidRDefault="00844C19" w:rsidP="00844C19">
      <w:pPr>
        <w:pStyle w:val="ProductList-Body"/>
        <w:rPr>
          <w:rFonts w:ascii="Calibri" w:hAnsi="Calibri" w:cs="Calibri"/>
        </w:rPr>
      </w:pPr>
    </w:p>
    <w:p w14:paraId="324B5CCB" w14:textId="77777777" w:rsidR="00844C19" w:rsidRPr="002A0A04" w:rsidRDefault="00844C19" w:rsidP="00844C19">
      <w:pPr>
        <w:pStyle w:val="ProductList-Body"/>
        <w:rPr>
          <w:rFonts w:ascii="Calibri" w:hAnsi="Calibri" w:cs="Calibri"/>
        </w:rPr>
      </w:pPr>
      <w:r>
        <w:rPr>
          <w:rFonts w:ascii="Calibri" w:hAnsi="Calibri" w:cs="Calibri"/>
        </w:rPr>
        <w:t>Servicegutschriften gelten nur für Gebühren, die für den jeweiligen Service, die jeweilige Dienstressource oder die jeweilige Service-Level bezahlt wurden, für die ein Service-Level nicht erfüllt wurde. Wenn Servicelevel für einzelne Dienstressourcen oder getrennte Dienststufen gelten, bezieht sich die Servicegutschrift nur entsprechend auf die Gebühren, die für die betroffene Dienstressource oder Dienststufe bezahlt wurden, und nur auf die tatsächliche Ausfallzeit und nicht auf die Gesamtdauer des Ausfalls. Die in einem beliebigen Abrechnungsmonat für einen bestimmten Service oder eine bestimmte Dienstressource gewährten Servicegutschriften übersteigen unter keinen Umständen Ihre monatlichen Servicegebühren für diesen Service oder diese Dienstressource, wo anwendbar, in dem jeweiligen Anwendbaren Zeitraum. Servicegutschriften werden nicht zur Kompensation anderer Arten von Verlusten gewährt, einschließlich, jedoch nicht beschränkt auf entgangene Einnahmen, Betriebskosten oder indirekte Verluste, die Ihnen oder den Endbenutzern entstehen.</w:t>
      </w:r>
    </w:p>
    <w:p w14:paraId="728B590F" w14:textId="77777777" w:rsidR="001D1C2C" w:rsidRPr="00EF7CF9" w:rsidRDefault="001D1C2C" w:rsidP="001D1C2C">
      <w:pPr>
        <w:pStyle w:val="ProductList-Body"/>
      </w:pPr>
    </w:p>
    <w:p w14:paraId="5B365128" w14:textId="77777777" w:rsidR="001D1C2C" w:rsidRPr="00EF7CF9" w:rsidRDefault="001D1C2C" w:rsidP="008C2ED5">
      <w:pPr>
        <w:pStyle w:val="ProductList-ClauseHeading"/>
        <w:outlineLvl w:val="2"/>
      </w:pPr>
      <w:bookmarkStart w:id="33" w:name="Limitations"/>
      <w:r>
        <w:t>Einschränkungen</w:t>
      </w:r>
    </w:p>
    <w:bookmarkEnd w:id="33"/>
    <w:p w14:paraId="4DD4642A" w14:textId="77777777" w:rsidR="001D1C2C" w:rsidRPr="00EF7CF9" w:rsidRDefault="001D1C2C" w:rsidP="001D1C2C">
      <w:pPr>
        <w:pStyle w:val="ProductList-Body"/>
      </w:pPr>
      <w:r>
        <w:t>Diese SLA und alle zutreffenden Servicelevels gelten nicht für folgende Leistungs- oder Verfügbarkeitsprobleme:</w:t>
      </w:r>
    </w:p>
    <w:p w14:paraId="68138A07" w14:textId="7A6B0B90" w:rsidR="001D1C2C" w:rsidRPr="00EF7CF9" w:rsidRDefault="001D1C2C" w:rsidP="00E62D9C">
      <w:pPr>
        <w:pStyle w:val="ProductList-Body"/>
        <w:numPr>
          <w:ilvl w:val="0"/>
          <w:numId w:val="1"/>
        </w:numPr>
        <w:tabs>
          <w:tab w:val="clear" w:pos="360"/>
          <w:tab w:val="clear" w:pos="720"/>
          <w:tab w:val="clear" w:pos="1080"/>
        </w:tabs>
      </w:pPr>
      <w:r>
        <w:t>aufgrund von Faktoren, die außerhalb unserer Kontrolle liegen (z. B. Naturkatastrophen, Kriege, Terroranschläge, Aufstände, staatliche Maßnahmen, Netz- oder Geräteausfall außerhalb unserer Rechenzentren, u.a. an Ihrem Standort oder zwischen Ihrem Standort und unserem Rechenzentrum),</w:t>
      </w:r>
    </w:p>
    <w:p w14:paraId="50A32887" w14:textId="4327C0EA" w:rsidR="001D1C2C" w:rsidRDefault="001D1C2C" w:rsidP="00E62D9C">
      <w:pPr>
        <w:pStyle w:val="ProductList-Body"/>
        <w:numPr>
          <w:ilvl w:val="0"/>
          <w:numId w:val="1"/>
        </w:numPr>
        <w:tabs>
          <w:tab w:val="clear" w:pos="360"/>
          <w:tab w:val="clear" w:pos="720"/>
          <w:tab w:val="clear" w:pos="1080"/>
        </w:tabs>
      </w:pPr>
      <w:r>
        <w:t>die aus der Nutzung von Diensten, Hardware oder Software hervorgehen, die nicht von uns bereitgestellt wurden, darunter u. a. Probleme im Zusammenhang mit unzureichender Bandbreite oder Software bzw. Diensten von Dritten,</w:t>
      </w:r>
    </w:p>
    <w:p w14:paraId="5F463160" w14:textId="77777777" w:rsidR="00DD3EFA" w:rsidRDefault="00DD3EFA" w:rsidP="00DD3EFA">
      <w:pPr>
        <w:pStyle w:val="ProductList-Body"/>
        <w:numPr>
          <w:ilvl w:val="0"/>
          <w:numId w:val="1"/>
        </w:numPr>
        <w:tabs>
          <w:tab w:val="clear" w:pos="360"/>
          <w:tab w:val="clear" w:pos="720"/>
          <w:tab w:val="clear" w:pos="1080"/>
        </w:tabs>
      </w:pPr>
      <w:r>
        <w:t xml:space="preserve">Dies ist die Folge von Ausfällen an einem einzelnen Microsoft Datacenter-Standort, wenn Ihre Netzwerkverbindung explizit von diesem Standort in nicht geostabiler Weise abhängig ist. </w:t>
      </w:r>
    </w:p>
    <w:p w14:paraId="1E5691CC" w14:textId="56DDD8BD" w:rsidR="001D1C2C" w:rsidRPr="00EF7CF9" w:rsidRDefault="001D1C2C" w:rsidP="00E62D9C">
      <w:pPr>
        <w:pStyle w:val="ProductList-Body"/>
        <w:numPr>
          <w:ilvl w:val="0"/>
          <w:numId w:val="1"/>
        </w:numPr>
        <w:tabs>
          <w:tab w:val="clear" w:pos="360"/>
          <w:tab w:val="clear" w:pos="720"/>
          <w:tab w:val="clear" w:pos="1080"/>
        </w:tabs>
      </w:pPr>
      <w:r>
        <w:t>die durch Ihre Nutzung eines Diensts verursacht wurden, nachdem wir Sie angewiesen haben, Ihre Nutzung des Dienstes zu ändern, und Sie Ihre Nutzung nicht wie angewiesen geändert haben,</w:t>
      </w:r>
    </w:p>
    <w:p w14:paraId="7A23EEE9" w14:textId="17D0B297" w:rsidR="001D1C2C" w:rsidRPr="00EF7CF9" w:rsidRDefault="001D1C2C" w:rsidP="00E62D9C">
      <w:pPr>
        <w:pStyle w:val="ProductList-Body"/>
        <w:numPr>
          <w:ilvl w:val="0"/>
          <w:numId w:val="1"/>
        </w:numPr>
        <w:tabs>
          <w:tab w:val="clear" w:pos="360"/>
          <w:tab w:val="clear" w:pos="720"/>
          <w:tab w:val="clear" w:pos="1080"/>
        </w:tabs>
      </w:pPr>
      <w:r>
        <w:t>während oder bezüglich einer Vorschau, Vorabversion, Beta- oder Testversion eines Diensts, eines Features oder von Software (wie von uns bestimmt) oder Käufen, die mit Abonnementgutschriften von Microsoft getätigt wurden,</w:t>
      </w:r>
    </w:p>
    <w:p w14:paraId="4F915C80" w14:textId="3C5FFBDC" w:rsidR="001D1C2C" w:rsidRPr="00EF7CF9" w:rsidRDefault="001D1C2C" w:rsidP="00E62D9C">
      <w:pPr>
        <w:pStyle w:val="ProductList-Body"/>
        <w:numPr>
          <w:ilvl w:val="0"/>
          <w:numId w:val="1"/>
        </w:numPr>
        <w:tabs>
          <w:tab w:val="clear" w:pos="360"/>
          <w:tab w:val="clear" w:pos="720"/>
          <w:tab w:val="clear" w:pos="1080"/>
        </w:tabs>
      </w:pPr>
      <w:r>
        <w:t>die durch Ihre nicht autorisierte Handlung oder Unterlassung einer erforderlichen Handlung oder die Ihrer Mitarbeiter, Vertreter, Vertragspartner oder Lieferanten oder durch andere Personen verursacht wurden, die sich mithilfe Ihrer Kennwörter oder Geräte Zugriff auf unser Netzwerk verschafft haben, oder die auf andere Weise von der Nichtbefolgung angemessener Sicherheitsverfahren durch Sie verursacht werden,</w:t>
      </w:r>
    </w:p>
    <w:p w14:paraId="556F5451" w14:textId="77777777" w:rsidR="00166EBD" w:rsidRPr="002A0A04" w:rsidRDefault="00166EBD" w:rsidP="00166EBD">
      <w:pPr>
        <w:pStyle w:val="ProductList-Body"/>
        <w:numPr>
          <w:ilvl w:val="0"/>
          <w:numId w:val="1"/>
        </w:numPr>
        <w:tabs>
          <w:tab w:val="clear" w:pos="360"/>
          <w:tab w:val="clear" w:pos="720"/>
          <w:tab w:val="clear" w:pos="1080"/>
        </w:tabs>
        <w:rPr>
          <w:rFonts w:ascii="Calibri" w:hAnsi="Calibri" w:cs="Calibri"/>
        </w:rPr>
      </w:pPr>
      <w:r>
        <w:rPr>
          <w:rFonts w:ascii="Calibri" w:hAnsi="Calibri" w:cs="Calibri"/>
        </w:rPr>
        <w:t>die durch Ihr Versäumnis, erforderliche Konfigurationen einzuhalten, unterstützte Konfigurationen oder Plattformen zu verwenden, Richtlinien für die akzeptable Nutzung einzuhalten, aufgrund Ihrer Nutzung des Diensts, die nicht mit den Features und Funktionen des Dienstes vereinbar ist (z. B. Versuche, nicht unterstützte Vorgänge durchzuführen) oder die nicht den von uns veröffentlichten Hilfestellungen entspricht, verursacht wurden,</w:t>
      </w:r>
    </w:p>
    <w:p w14:paraId="266FAE78" w14:textId="4F4F5838" w:rsidR="001D1C2C" w:rsidRPr="00EF7CF9" w:rsidRDefault="001D1C2C" w:rsidP="00364EEB">
      <w:pPr>
        <w:pStyle w:val="ProductList-Body"/>
        <w:numPr>
          <w:ilvl w:val="0"/>
          <w:numId w:val="1"/>
        </w:numPr>
        <w:tabs>
          <w:tab w:val="clear" w:pos="360"/>
          <w:tab w:val="clear" w:pos="720"/>
          <w:tab w:val="clear" w:pos="1080"/>
        </w:tabs>
        <w:jc w:val="both"/>
      </w:pPr>
      <w:r>
        <w:t>die sich aus fehlerhaften Eingaben, Anweisungen oder Argumenten ergeben (z. B. Anforderung von Zugriff auf nicht vorhandene Dateien),</w:t>
      </w:r>
    </w:p>
    <w:p w14:paraId="5543B666" w14:textId="2CF29A41" w:rsidR="00C34B87" w:rsidRPr="002A0A04" w:rsidRDefault="00C34B87" w:rsidP="00C34B87">
      <w:pPr>
        <w:pStyle w:val="ProductList-Body"/>
        <w:numPr>
          <w:ilvl w:val="0"/>
          <w:numId w:val="1"/>
        </w:numPr>
        <w:tabs>
          <w:tab w:val="clear" w:pos="360"/>
          <w:tab w:val="clear" w:pos="720"/>
          <w:tab w:val="clear" w:pos="1080"/>
        </w:tabs>
        <w:rPr>
          <w:rFonts w:ascii="Calibri" w:hAnsi="Calibri" w:cs="Calibri"/>
        </w:rPr>
      </w:pPr>
      <w:r>
        <w:rPr>
          <w:rFonts w:ascii="Calibri" w:hAnsi="Calibri" w:cs="Calibri"/>
        </w:rPr>
        <w:t xml:space="preserve">die sich </w:t>
      </w:r>
      <w:r w:rsidR="00D1708D">
        <w:rPr>
          <w:rFonts w:ascii="Calibri" w:hAnsi="Calibri" w:cs="Calibri"/>
        </w:rPr>
        <w:t>aus Ihren Versuchen ergaben, Vorgänge durchzuführen, die über eine angemessene Nutzung oder vorgeschriebene Kontingente hinausgehen oder die sich aus der Drosselung von angenommenem missbräuchlichem Verhalten durch uns oder gehackte Konten ergeben;</w:t>
      </w:r>
    </w:p>
    <w:p w14:paraId="767733A8" w14:textId="1C6B61EB" w:rsidR="001D1C2C" w:rsidRPr="00EF7CF9" w:rsidRDefault="001D1C2C" w:rsidP="00E62D9C">
      <w:pPr>
        <w:pStyle w:val="ProductList-Body"/>
        <w:numPr>
          <w:ilvl w:val="0"/>
          <w:numId w:val="1"/>
        </w:numPr>
        <w:tabs>
          <w:tab w:val="clear" w:pos="360"/>
          <w:tab w:val="clear" w:pos="720"/>
          <w:tab w:val="clear" w:pos="1080"/>
        </w:tabs>
      </w:pPr>
      <w:r>
        <w:t>aufgrund Ihrer Nutzung der Dienstfunktionen, die außerhalb des zugeordneten Unterstützungszeitraums liegen, oder</w:t>
      </w:r>
    </w:p>
    <w:p w14:paraId="5605A8B2" w14:textId="5E9835C8" w:rsidR="001D1C2C" w:rsidRDefault="001D1C2C" w:rsidP="00E62D9C">
      <w:pPr>
        <w:pStyle w:val="ProductList-Body"/>
        <w:numPr>
          <w:ilvl w:val="0"/>
          <w:numId w:val="1"/>
        </w:numPr>
        <w:tabs>
          <w:tab w:val="clear" w:pos="360"/>
          <w:tab w:val="clear" w:pos="720"/>
          <w:tab w:val="clear" w:pos="1080"/>
        </w:tabs>
      </w:pPr>
      <w:r>
        <w:t>Für zum Zeitpunkt des Vorfalls reservierte, aber nicht bezahlte Lizenzen.</w:t>
      </w:r>
    </w:p>
    <w:p w14:paraId="69C2614A" w14:textId="77777777" w:rsidR="003F32F3" w:rsidRPr="002A0A04" w:rsidRDefault="003F32F3" w:rsidP="003F32F3">
      <w:pPr>
        <w:pStyle w:val="ProductList-Body"/>
        <w:numPr>
          <w:ilvl w:val="0"/>
          <w:numId w:val="1"/>
        </w:numPr>
        <w:tabs>
          <w:tab w:val="clear" w:pos="360"/>
          <w:tab w:val="clear" w:pos="720"/>
          <w:tab w:val="clear" w:pos="1080"/>
        </w:tabs>
        <w:rPr>
          <w:rFonts w:ascii="Calibri" w:hAnsi="Calibri" w:cs="Calibri"/>
        </w:rPr>
      </w:pPr>
      <w:r>
        <w:rPr>
          <w:rFonts w:ascii="Calibri" w:hAnsi="Calibri" w:cs="Calibri"/>
        </w:rPr>
        <w:t>von Ihnen initiierte Vorgänge wie Neustart, Stopp, Start, Failover, Skalierungsberechnungen und Speicherung (die naturgemäß Kapazitätsbeschränkungen beinhalten), die Ausfallzeiten verursachen, werden von der Berechnung der Betriebszeit ausgeschlossen, sofern dies nicht ausdrücklich im geltenden Servicelevel definiert ist.</w:t>
      </w:r>
    </w:p>
    <w:p w14:paraId="611B4386" w14:textId="77777777" w:rsidR="003F32F3" w:rsidRPr="002A0A04" w:rsidRDefault="003F32F3" w:rsidP="003F32F3">
      <w:pPr>
        <w:pStyle w:val="ProductList-Body"/>
        <w:numPr>
          <w:ilvl w:val="0"/>
          <w:numId w:val="1"/>
        </w:numPr>
        <w:tabs>
          <w:tab w:val="clear" w:pos="360"/>
          <w:tab w:val="clear" w:pos="720"/>
          <w:tab w:val="clear" w:pos="1080"/>
        </w:tabs>
        <w:rPr>
          <w:rFonts w:ascii="Calibri" w:hAnsi="Calibri" w:cs="Calibri"/>
        </w:rPr>
      </w:pPr>
      <w:r>
        <w:rPr>
          <w:rFonts w:ascii="Calibri" w:hAnsi="Calibri" w:cs="Calibri"/>
        </w:rPr>
        <w:t>Monatliche Wartungsfenster, die eine Ausfallzeit zum Patchen Ihres Servers und Ihrer Infrastruktur verursachen, werden von der Betriebszeitberechnung ausgeschlossen.</w:t>
      </w:r>
    </w:p>
    <w:p w14:paraId="6DFA5E3E" w14:textId="77777777" w:rsidR="003F32F3" w:rsidRPr="002A0A04" w:rsidRDefault="003F32F3" w:rsidP="003F32F3">
      <w:pPr>
        <w:pStyle w:val="ProductList-Body"/>
        <w:numPr>
          <w:ilvl w:val="0"/>
          <w:numId w:val="1"/>
        </w:numPr>
        <w:tabs>
          <w:tab w:val="clear" w:pos="360"/>
          <w:tab w:val="clear" w:pos="720"/>
          <w:tab w:val="clear" w:pos="1080"/>
        </w:tabs>
        <w:rPr>
          <w:rFonts w:ascii="Calibri" w:hAnsi="Calibri" w:cs="Calibri"/>
        </w:rPr>
      </w:pPr>
      <w:r>
        <w:rPr>
          <w:rFonts w:ascii="Calibri" w:hAnsi="Calibri" w:cs="Calibri"/>
        </w:rPr>
        <w:t>Diese sind das Ergebnis von Leistungseinbußen oder Latenzproblemen ohne tatsächliche Nichtverfügbarkeit des Diensts (ausgenommen Dienste, die ausdrücklich ein leistungsbasiertes Servicelevel beinhalten).</w:t>
      </w:r>
    </w:p>
    <w:p w14:paraId="12A7D339" w14:textId="77777777" w:rsidR="003F32F3" w:rsidRPr="002A0A04" w:rsidRDefault="003F32F3" w:rsidP="003F32F3">
      <w:pPr>
        <w:keepNext/>
        <w:spacing w:before="120"/>
        <w:rPr>
          <w:rFonts w:ascii="Calibri" w:hAnsi="Calibri" w:cs="Calibri"/>
          <w:sz w:val="18"/>
        </w:rPr>
      </w:pPr>
      <w:r>
        <w:rPr>
          <w:rFonts w:ascii="Calibri" w:hAnsi="Calibri" w:cs="Calibri"/>
          <w:sz w:val="18"/>
        </w:rPr>
        <w:t>Die Ausfallmitteilungen von Microsoft sollen Kunden dabei unterstützen, vorbeugende Maßnahmen für ihre geschäftskritischen Anwendungen zu ergreifen und sind keine Bestätigung für nicht erfüllte Servicelevel oder eine Berechtigung für Servicegutschriften.</w:t>
      </w:r>
    </w:p>
    <w:p w14:paraId="61871B44" w14:textId="650D1A4B" w:rsidR="001D1C2C" w:rsidRPr="00EF7CF9" w:rsidRDefault="001D1C2C" w:rsidP="001D1C2C">
      <w:pPr>
        <w:pStyle w:val="ProductList-Body"/>
      </w:pPr>
      <w:r>
        <w:t xml:space="preserve">Dienste, die über Open, Open Value und Open Value Subscription-Volumenlizenzverträge erworben wurden, sowie Dienste in einer Office 365 Small Business Premium-Suite, die in Form eines Product Key erworben wurden, kommen für Servicegutschriften auf der Grundlage von </w:t>
      </w:r>
      <w:r>
        <w:lastRenderedPageBreak/>
        <w:t>Servicegebühren nicht in Betracht. Bei diesen Diensten wird jede Servicegutschrift, auf die Sie Anspruch haben, in Form von Servicezeit (d. h. Tagen) anstelle von Servicegebühren gutgeschrieben, und alle Verweise auf „Anwendbare Servicegebühren</w:t>
      </w:r>
      <w:r w:rsidR="00C5689E">
        <w:t>“</w:t>
      </w:r>
      <w:r>
        <w:t xml:space="preserve"> werden gestrichen und durch „Anwendbarer Zeitraum</w:t>
      </w:r>
      <w:r w:rsidR="00C5689E">
        <w:t>“</w:t>
      </w:r>
      <w:r>
        <w:t xml:space="preserve"> ersetzt.</w:t>
      </w:r>
    </w:p>
    <w:p w14:paraId="4D1DD938" w14:textId="02747A5E" w:rsidR="00045C64" w:rsidRPr="00364EEB" w:rsidRDefault="005F7C2C" w:rsidP="003F32F3">
      <w:pPr>
        <w:pStyle w:val="ProductList-Body"/>
        <w:shd w:val="clear" w:color="auto" w:fill="808080" w:themeFill="background1" w:themeFillShade="80"/>
        <w:tabs>
          <w:tab w:val="clear" w:pos="360"/>
          <w:tab w:val="clear" w:pos="720"/>
          <w:tab w:val="clear" w:pos="1080"/>
        </w:tabs>
        <w:spacing w:before="120" w:after="240"/>
        <w:jc w:val="right"/>
        <w:rPr>
          <w:sz w:val="4"/>
          <w:szCs w:val="18"/>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44885D4F" w14:textId="77CE35F8" w:rsidR="00045C64" w:rsidRPr="00EF7CF9" w:rsidRDefault="00045C64" w:rsidP="003F32F3">
      <w:pPr>
        <w:pStyle w:val="ProductList-SectionHeading"/>
        <w:keepNext/>
        <w:tabs>
          <w:tab w:val="clear" w:pos="360"/>
          <w:tab w:val="clear" w:pos="720"/>
          <w:tab w:val="clear" w:pos="1080"/>
        </w:tabs>
        <w:outlineLvl w:val="0"/>
      </w:pPr>
      <w:bookmarkStart w:id="34" w:name="_Toc457821507"/>
      <w:bookmarkStart w:id="35" w:name="_Toc195543059"/>
      <w:bookmarkStart w:id="36" w:name="_Toc237448912"/>
      <w:bookmarkStart w:id="37" w:name="ServiceSpecificTerms"/>
      <w:r>
        <w:t>Servicespezifische Bedingungen</w:t>
      </w:r>
      <w:bookmarkEnd w:id="34"/>
      <w:bookmarkEnd w:id="35"/>
      <w:bookmarkEnd w:id="36"/>
    </w:p>
    <w:p w14:paraId="07111700" w14:textId="7469B3B8" w:rsidR="00045C64" w:rsidRPr="00EF7CF9" w:rsidRDefault="00045C64" w:rsidP="002024BF">
      <w:pPr>
        <w:pStyle w:val="ProductList-OfferingGroupHeading"/>
        <w:tabs>
          <w:tab w:val="clear" w:pos="360"/>
          <w:tab w:val="clear" w:pos="720"/>
          <w:tab w:val="clear" w:pos="1080"/>
        </w:tabs>
        <w:outlineLvl w:val="1"/>
      </w:pPr>
      <w:bookmarkStart w:id="38" w:name="_Toc457821508"/>
      <w:bookmarkStart w:id="39" w:name="_Toc195543060"/>
      <w:bookmarkStart w:id="40" w:name="_Toc237448913"/>
      <w:bookmarkEnd w:id="37"/>
      <w:r>
        <w:t>Microsoft Dynamics</w:t>
      </w:r>
      <w:bookmarkEnd w:id="38"/>
      <w:r>
        <w:t> 365</w:t>
      </w:r>
      <w:bookmarkEnd w:id="39"/>
      <w:bookmarkEnd w:id="40"/>
    </w:p>
    <w:p w14:paraId="39192933" w14:textId="77777777" w:rsidR="00D50DE8" w:rsidRDefault="00D50DE8" w:rsidP="00D50DE8">
      <w:pPr>
        <w:pStyle w:val="ProductList-Offering2Heading"/>
        <w:pBdr>
          <w:between w:val="single" w:sz="4" w:space="1" w:color="auto"/>
        </w:pBdr>
        <w:tabs>
          <w:tab w:val="clear" w:pos="360"/>
          <w:tab w:val="clear" w:pos="720"/>
          <w:tab w:val="clear" w:pos="1080"/>
        </w:tabs>
        <w:outlineLvl w:val="2"/>
      </w:pPr>
      <w:bookmarkStart w:id="41" w:name="_Toc195543061"/>
      <w:bookmarkStart w:id="42" w:name="_Toc237448914"/>
      <w:bookmarkStart w:id="43" w:name="_Toc524384433"/>
      <w:bookmarkStart w:id="44" w:name="MicrosoftDynamics365forCustSrvcEntProIns"/>
      <w:bookmarkStart w:id="45" w:name="_Toc5018151"/>
      <w:bookmarkStart w:id="46" w:name="_Toc438127029"/>
      <w:bookmarkStart w:id="47" w:name="_Toc457821509"/>
      <w:r>
        <w:t>Dynamics 365 Business Central</w:t>
      </w:r>
      <w:bookmarkEnd w:id="41"/>
      <w:bookmarkEnd w:id="42"/>
    </w:p>
    <w:p w14:paraId="154E5881" w14:textId="77777777" w:rsidR="00D50DE8" w:rsidRPr="00EF7CF9" w:rsidRDefault="00D50DE8" w:rsidP="00657A3A">
      <w:pPr>
        <w:pStyle w:val="ProductList-Body"/>
      </w:pPr>
      <w:r>
        <w:rPr>
          <w:b/>
          <w:color w:val="00188F"/>
        </w:rPr>
        <w:t>Ausfallzeit</w:t>
      </w:r>
      <w:r w:rsidRPr="00ED75EB">
        <w:rPr>
          <w:b/>
          <w:color w:val="00188F"/>
        </w:rPr>
        <w:t xml:space="preserve">: </w:t>
      </w:r>
      <w:r>
        <w:t>Zeiträume, in denen sich Endbenutzer nicht in ihre Instanz einloggen können.</w:t>
      </w:r>
    </w:p>
    <w:p w14:paraId="79A61192" w14:textId="754A2D9A" w:rsidR="00D50DE8" w:rsidRDefault="00AC48A7" w:rsidP="00D50DE8">
      <w:pPr>
        <w:pStyle w:val="ProductList-Body"/>
      </w:pPr>
      <w:r>
        <w:rPr>
          <w:b/>
          <w:color w:val="00188F"/>
        </w:rPr>
        <w:t>Betriebszeitprozentsatz</w:t>
      </w:r>
      <w:r w:rsidRPr="00ED75EB">
        <w:rPr>
          <w:b/>
          <w:color w:val="00188F"/>
        </w:rPr>
        <w:t>:</w:t>
      </w:r>
      <w:r>
        <w:t xml:space="preserve"> Der Betriebszeitprozentsatz errechnet sich nach folgender Formel:</w:t>
      </w:r>
    </w:p>
    <w:p w14:paraId="72FCFD88" w14:textId="77777777" w:rsidR="00D50DE8" w:rsidRPr="00EF7CF9" w:rsidRDefault="00D50DE8" w:rsidP="00D50DE8">
      <w:pPr>
        <w:pStyle w:val="ProductList-Body"/>
      </w:pPr>
    </w:p>
    <w:p w14:paraId="7A1C0AF1" w14:textId="0AA98A5E" w:rsidR="00364EEB" w:rsidRPr="00EF7CF9" w:rsidRDefault="00000000" w:rsidP="00364EEB">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Nutzerminuten abzüglich Ausfallzeit</m:t>
              </m:r>
            </m:num>
            <m:den>
              <m:r>
                <m:rPr>
                  <m:nor/>
                </m:rPr>
                <w:rPr>
                  <w:rFonts w:ascii="Cambria Math" w:hAnsi="Cambria Math" w:cs="Calibri"/>
                  <w:i/>
                  <w:sz w:val="18"/>
                  <w:szCs w:val="18"/>
                </w:rPr>
                <m:t>Nutzerminuten</m:t>
              </m:r>
            </m:den>
          </m:f>
          <m:r>
            <w:rPr>
              <w:rFonts w:ascii="Cambria Math" w:hAnsi="Cambria Math" w:cs="Calibri"/>
              <w:sz w:val="18"/>
              <w:szCs w:val="18"/>
            </w:rPr>
            <m:t xml:space="preserve"> x 100</m:t>
          </m:r>
        </m:oMath>
      </m:oMathPara>
    </w:p>
    <w:p w14:paraId="38F44403" w14:textId="3DD5F0FC" w:rsidR="00D50DE8" w:rsidRPr="00EF7CF9" w:rsidRDefault="00AC48A7" w:rsidP="00D50DE8">
      <w:pPr>
        <w:pStyle w:val="ProductList-Body"/>
      </w:pPr>
      <w: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0DE1F58B" w14:textId="77777777" w:rsidR="00D50DE8" w:rsidRPr="00EF7CF9" w:rsidRDefault="00D50DE8" w:rsidP="00D50DE8">
      <w:pPr>
        <w:pStyle w:val="ProductList-Body"/>
      </w:pPr>
    </w:p>
    <w:p w14:paraId="30958FCB" w14:textId="77777777" w:rsidR="00D50DE8" w:rsidRPr="00EF7CF9" w:rsidRDefault="00D50DE8" w:rsidP="00D50DE8">
      <w:pPr>
        <w:pStyle w:val="ProductList-Body"/>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5976F2EA" w14:textId="77777777" w:rsidTr="001439A9">
        <w:trPr>
          <w:tblHeader/>
        </w:trPr>
        <w:tc>
          <w:tcPr>
            <w:tcW w:w="5400" w:type="dxa"/>
            <w:shd w:val="clear" w:color="auto" w:fill="0072C6"/>
          </w:tcPr>
          <w:p w14:paraId="74BA1E5B" w14:textId="538AD2DB" w:rsidR="00D50DE8" w:rsidRPr="00EF7CF9" w:rsidRDefault="00AC48A7" w:rsidP="001439A9">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232B916E" w14:textId="77777777" w:rsidR="00D50DE8" w:rsidRPr="00EF7CF9" w:rsidRDefault="00D50DE8" w:rsidP="001439A9">
            <w:pPr>
              <w:pStyle w:val="ProductList-OfferingBody"/>
              <w:jc w:val="center"/>
              <w:rPr>
                <w:color w:val="FFFFFF" w:themeColor="background1"/>
              </w:rPr>
            </w:pPr>
            <w:r>
              <w:rPr>
                <w:color w:val="FFFFFF" w:themeColor="background1"/>
              </w:rPr>
              <w:t>Servicegutschrift</w:t>
            </w:r>
          </w:p>
        </w:tc>
      </w:tr>
      <w:tr w:rsidR="00D50DE8" w:rsidRPr="00B44CF9" w14:paraId="3F75069E" w14:textId="77777777" w:rsidTr="001439A9">
        <w:tc>
          <w:tcPr>
            <w:tcW w:w="5400" w:type="dxa"/>
          </w:tcPr>
          <w:p w14:paraId="4351DF90" w14:textId="77777777" w:rsidR="00D50DE8" w:rsidRPr="00EF7CF9" w:rsidRDefault="00D50DE8" w:rsidP="001439A9">
            <w:pPr>
              <w:pStyle w:val="ProductList-OfferingBody"/>
              <w:jc w:val="center"/>
            </w:pPr>
            <w:r>
              <w:t>&lt; 99,9 %</w:t>
            </w:r>
          </w:p>
        </w:tc>
        <w:tc>
          <w:tcPr>
            <w:tcW w:w="5400" w:type="dxa"/>
          </w:tcPr>
          <w:p w14:paraId="36FA6803" w14:textId="77777777" w:rsidR="00D50DE8" w:rsidRPr="00EF7CF9" w:rsidRDefault="00D50DE8" w:rsidP="001439A9">
            <w:pPr>
              <w:pStyle w:val="ProductList-OfferingBody"/>
              <w:jc w:val="center"/>
            </w:pPr>
            <w:r>
              <w:t>25 %</w:t>
            </w:r>
          </w:p>
        </w:tc>
      </w:tr>
      <w:tr w:rsidR="00D50DE8" w:rsidRPr="00B44CF9" w14:paraId="7E0ABD84" w14:textId="77777777" w:rsidTr="001439A9">
        <w:tc>
          <w:tcPr>
            <w:tcW w:w="5400" w:type="dxa"/>
          </w:tcPr>
          <w:p w14:paraId="078BB8D6" w14:textId="77777777" w:rsidR="00D50DE8" w:rsidRPr="00EF7CF9" w:rsidRDefault="00D50DE8" w:rsidP="001439A9">
            <w:pPr>
              <w:pStyle w:val="ProductList-OfferingBody"/>
              <w:jc w:val="center"/>
            </w:pPr>
            <w:r>
              <w:t>&lt; 99 %</w:t>
            </w:r>
          </w:p>
        </w:tc>
        <w:tc>
          <w:tcPr>
            <w:tcW w:w="5400" w:type="dxa"/>
          </w:tcPr>
          <w:p w14:paraId="163EB0A1" w14:textId="77777777" w:rsidR="00D50DE8" w:rsidRPr="00EF7CF9" w:rsidRDefault="00D50DE8" w:rsidP="001439A9">
            <w:pPr>
              <w:pStyle w:val="ProductList-OfferingBody"/>
              <w:jc w:val="center"/>
            </w:pPr>
            <w:r>
              <w:t>50 %</w:t>
            </w:r>
          </w:p>
        </w:tc>
      </w:tr>
      <w:tr w:rsidR="00D50DE8" w:rsidRPr="00B44CF9" w14:paraId="326E1610" w14:textId="77777777" w:rsidTr="001439A9">
        <w:tc>
          <w:tcPr>
            <w:tcW w:w="5400" w:type="dxa"/>
          </w:tcPr>
          <w:p w14:paraId="7D157785" w14:textId="77777777" w:rsidR="00D50DE8" w:rsidRPr="00EF7CF9" w:rsidRDefault="00D50DE8" w:rsidP="001439A9">
            <w:pPr>
              <w:pStyle w:val="ProductList-OfferingBody"/>
              <w:jc w:val="center"/>
            </w:pPr>
            <w:r>
              <w:t>&lt; 95 %</w:t>
            </w:r>
          </w:p>
        </w:tc>
        <w:tc>
          <w:tcPr>
            <w:tcW w:w="5400" w:type="dxa"/>
          </w:tcPr>
          <w:p w14:paraId="3B973236" w14:textId="77777777" w:rsidR="00D50DE8" w:rsidRPr="00EF7CF9" w:rsidRDefault="00D50DE8" w:rsidP="001439A9">
            <w:pPr>
              <w:pStyle w:val="ProductList-OfferingBody"/>
              <w:jc w:val="center"/>
            </w:pPr>
            <w:r>
              <w:t>100 %</w:t>
            </w:r>
          </w:p>
        </w:tc>
      </w:tr>
    </w:tbl>
    <w:p w14:paraId="6F1E861D" w14:textId="6804C498" w:rsidR="00D67F75" w:rsidRPr="00D67F75" w:rsidRDefault="005F7C2C" w:rsidP="00D67F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6C9CF5B3" w14:textId="77777777" w:rsidR="00D50DE8" w:rsidRPr="00EF7CF9" w:rsidRDefault="00D50DE8" w:rsidP="00D50DE8">
      <w:pPr>
        <w:pStyle w:val="ProductList-Offering2Heading"/>
        <w:pBdr>
          <w:between w:val="single" w:sz="4" w:space="1" w:color="auto"/>
        </w:pBdr>
        <w:tabs>
          <w:tab w:val="clear" w:pos="360"/>
          <w:tab w:val="clear" w:pos="720"/>
          <w:tab w:val="clear" w:pos="1080"/>
        </w:tabs>
        <w:outlineLvl w:val="2"/>
      </w:pPr>
      <w:bookmarkStart w:id="48" w:name="_Toc195543062"/>
      <w:bookmarkStart w:id="49" w:name="_Toc237448915"/>
      <w:r>
        <w:t>Dynamics 365 Commerce</w:t>
      </w:r>
      <w:bookmarkEnd w:id="48"/>
      <w:bookmarkEnd w:id="49"/>
    </w:p>
    <w:p w14:paraId="5C8ACDEF" w14:textId="77777777" w:rsidR="00D50DE8" w:rsidRPr="00EF7CF9" w:rsidRDefault="00D50DE8" w:rsidP="00D50DE8">
      <w:pPr>
        <w:pStyle w:val="ProductList-Body"/>
        <w:rPr>
          <w:b/>
          <w:color w:val="00188F"/>
        </w:rPr>
      </w:pPr>
      <w:r>
        <w:rPr>
          <w:b/>
          <w:color w:val="00188F"/>
        </w:rPr>
        <w:t>Zusätzliche Definitionen</w:t>
      </w:r>
      <w:r w:rsidRPr="00ED75EB">
        <w:rPr>
          <w:b/>
          <w:color w:val="00188F"/>
        </w:rPr>
        <w:t>:</w:t>
      </w:r>
    </w:p>
    <w:p w14:paraId="540B380B" w14:textId="77777777" w:rsidR="00D50DE8" w:rsidRPr="00EF7CF9" w:rsidRDefault="00D50DE8" w:rsidP="00D50DE8">
      <w:pPr>
        <w:pStyle w:val="ProductList-Body"/>
      </w:pPr>
      <w:r>
        <w:t>Ein „</w:t>
      </w:r>
      <w:r>
        <w:rPr>
          <w:b/>
          <w:color w:val="00188F"/>
        </w:rPr>
        <w:t>Aktiver Mandant</w:t>
      </w:r>
      <w:r>
        <w:t>“ ist ein Mandant mit einer aktiven Hochverfügbarkeits-Produktionstopologie im Verwaltungsportal, der (A) für einen Partneranwendungsdienst bereitgestellt wurde; und (B) über eine aktive Datenbank verfügt, an der sich Nutzer anmelden können.</w:t>
      </w:r>
    </w:p>
    <w:p w14:paraId="4D71DF41" w14:textId="77777777" w:rsidR="00D50DE8" w:rsidRPr="00246AD4" w:rsidRDefault="00D50DE8" w:rsidP="00D50DE8">
      <w:pPr>
        <w:pStyle w:val="ProductList-Body"/>
        <w:rPr>
          <w:spacing w:val="-2"/>
        </w:rPr>
      </w:pPr>
      <w:r w:rsidRPr="00246AD4">
        <w:rPr>
          <w:spacing w:val="-2"/>
        </w:rPr>
        <w:t>„</w:t>
      </w:r>
      <w:r w:rsidRPr="00246AD4">
        <w:rPr>
          <w:b/>
          <w:color w:val="00188F"/>
          <w:spacing w:val="-2"/>
        </w:rPr>
        <w:t>Partneranwendungsdienst</w:t>
      </w:r>
      <w:r w:rsidRPr="00246AD4">
        <w:rPr>
          <w:spacing w:val="-2"/>
        </w:rPr>
        <w:t>“ ist eine Partneranwendung, die auf der Plattform entwickelt und mit dieser kombiniert wurde und (A) zur Verarbeitung der tatsächlichen Geschäftstransaktionen Ihrer Organisation verwendet wird; und (B) über Reservecomputing- und -speicherressourcen verfügt, die gleich oder größer als eine der Skalierungseinheiten ist, die Ihr Partner für die entsprechende Partneranwendung ausgewählt hat.</w:t>
      </w:r>
    </w:p>
    <w:p w14:paraId="248E919D" w14:textId="0FC7F733" w:rsidR="00D50DE8" w:rsidRPr="00EF7CF9" w:rsidRDefault="00D50DE8" w:rsidP="00D50DE8">
      <w:pPr>
        <w:pStyle w:val="ProductList-Body"/>
      </w:pPr>
      <w:r>
        <w:t>„</w:t>
      </w:r>
      <w:r>
        <w:rPr>
          <w:b/>
          <w:color w:val="00188F"/>
        </w:rPr>
        <w:t>Maximal Verfügbare Minuten</w:t>
      </w:r>
      <w:r>
        <w:t>“ ist die Gesamtzahl der Minuten, die während eines Anwendbaren Zeitraums angefallen sind, in der ein aktiver Mandant in einem Partneranwendungsdienst mittels einer aktiven Hochverfügbarkeits-Produktionstopologie bereitgestellt wurde.</w:t>
      </w:r>
    </w:p>
    <w:p w14:paraId="0C74F514" w14:textId="77777777" w:rsidR="00D50DE8" w:rsidRPr="00EF7CF9" w:rsidRDefault="00D50DE8" w:rsidP="00D50DE8">
      <w:pPr>
        <w:pStyle w:val="ProductList-Body"/>
      </w:pPr>
      <w:r>
        <w:t>„</w:t>
      </w:r>
      <w:r>
        <w:rPr>
          <w:b/>
          <w:color w:val="00188F"/>
        </w:rPr>
        <w:t>Plattform</w:t>
      </w:r>
      <w:r>
        <w:t>“ sind die Clientformulare, SQL Server-Berichte, Batchvorgänge und API-Endpunkte des Diensts oder die Einzelhandels-APIs des Diensts, die ausschließlich zu kommerziellen oder Einzelhandelszwecken verwendet werden.</w:t>
      </w:r>
    </w:p>
    <w:p w14:paraId="7DEAA6DA" w14:textId="77777777" w:rsidR="00D50DE8" w:rsidRPr="00EF7CF9" w:rsidRDefault="00D50DE8" w:rsidP="00D50DE8">
      <w:pPr>
        <w:pStyle w:val="ProductList-Body"/>
      </w:pPr>
      <w:r>
        <w:t>„</w:t>
      </w:r>
      <w:r>
        <w:rPr>
          <w:b/>
          <w:color w:val="00188F"/>
        </w:rPr>
        <w:t>Skalierungseinheit</w:t>
      </w:r>
      <w:r>
        <w:t>“ sind die Inkremente, in denen Computer- oder Speicherressourcen einem Partneranwendungsdienst hinzugefügt oder aus diesem entfernt werden.</w:t>
      </w:r>
    </w:p>
    <w:p w14:paraId="2E0FE7F1" w14:textId="77777777" w:rsidR="00D50DE8" w:rsidRPr="00EF7CF9" w:rsidRDefault="00D50DE8" w:rsidP="00D50DE8">
      <w:pPr>
        <w:pStyle w:val="ProductList-Body"/>
      </w:pPr>
      <w:r>
        <w:t>„</w:t>
      </w:r>
      <w:r>
        <w:rPr>
          <w:b/>
          <w:color w:val="00188F"/>
        </w:rPr>
        <w:t>Dienstinfrastruktur</w:t>
      </w:r>
      <w:r>
        <w:t>“ sind die Authentifizierungs-, Computing- und Speicherressourcen, die von Microsoft in Verbindung mit dem Dienst bereitgestellt werden.</w:t>
      </w:r>
    </w:p>
    <w:p w14:paraId="7E890B2C" w14:textId="77777777" w:rsidR="00D50DE8" w:rsidRPr="00EF7CF9" w:rsidRDefault="00D50DE8" w:rsidP="00D50DE8">
      <w:pPr>
        <w:pStyle w:val="ProductList-Body"/>
      </w:pPr>
      <w:r>
        <w:rPr>
          <w:b/>
          <w:color w:val="00188F"/>
        </w:rPr>
        <w:t>Ausfallzeit</w:t>
      </w:r>
      <w:r w:rsidRPr="00ED75EB">
        <w:rPr>
          <w:b/>
          <w:color w:val="00188F"/>
        </w:rPr>
        <w:t>:</w:t>
      </w:r>
      <w:r>
        <w:t xml:space="preserve"> Ein Zeitraum, in dem Endnutzer aufgrund eines Fehlers der nicht abgelaufenen Plattform oder der Dienstinfrastruktur nicht auf den Aktiven Mandanten zugreifen können, wie von Microsoft anhand automatisierter Systemüberwachungs- und Systemprotokolle festgestellt. Ausfallzeiten umfassen keine geplanten Ausfallzeiten, die Nichtverfügbarkeit von Add-On-Features des Diensts, den fehlenden Zugriff auf den Dienst aufgrund Ihrer Änderungen des Diensts oder Zeiträume, in denen die Kapazität der Skalierungseinheit überschritten wird.</w:t>
      </w:r>
    </w:p>
    <w:p w14:paraId="16AB907B" w14:textId="0523E1D5" w:rsidR="00D50DE8" w:rsidRDefault="00AC48A7" w:rsidP="00D50DE8">
      <w:pPr>
        <w:pStyle w:val="ProductList-Body"/>
      </w:pPr>
      <w:r>
        <w:rPr>
          <w:b/>
          <w:color w:val="00188F"/>
        </w:rPr>
        <w:t>Betriebszeitprozentsatz</w:t>
      </w:r>
      <w:r w:rsidRPr="00ED75EB">
        <w:rPr>
          <w:b/>
          <w:color w:val="00188F"/>
        </w:rPr>
        <w:t>:</w:t>
      </w:r>
      <w:r>
        <w:t xml:space="preserve"> Der Betriebszeitprozentsatz für einen bestimmten aktiven Mandanten in einem Anwendbaren Zeitraum wird anhand der folgenden Formel berechnet:</w:t>
      </w:r>
    </w:p>
    <w:p w14:paraId="4ED269D7" w14:textId="77777777" w:rsidR="00D50DE8" w:rsidRPr="00EF7CF9" w:rsidRDefault="00D50DE8" w:rsidP="00D50DE8">
      <w:pPr>
        <w:pStyle w:val="ProductList-Body"/>
      </w:pPr>
    </w:p>
    <w:p w14:paraId="79334EEB" w14:textId="252DF238" w:rsidR="00D50DE8" w:rsidRPr="00EF7CF9"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Nutzerminuten abzüglich Ausfallzeit</m:t>
              </m:r>
            </m:num>
            <m:den>
              <m:r>
                <m:rPr>
                  <m:nor/>
                </m:rPr>
                <w:rPr>
                  <w:rFonts w:ascii="Cambria Math" w:hAnsi="Cambria Math" w:cs="Calibri"/>
                  <w:i/>
                  <w:sz w:val="18"/>
                  <w:szCs w:val="18"/>
                </w:rPr>
                <m:t>Nutzerminuten</m:t>
              </m:r>
            </m:den>
          </m:f>
          <m:r>
            <w:rPr>
              <w:rFonts w:ascii="Cambria Math" w:hAnsi="Cambria Math" w:cs="Calibri"/>
              <w:sz w:val="18"/>
              <w:szCs w:val="18"/>
            </w:rPr>
            <m:t xml:space="preserve"> x 100</m:t>
          </m:r>
        </m:oMath>
      </m:oMathPara>
    </w:p>
    <w:p w14:paraId="40678A34" w14:textId="7DACE2E9" w:rsidR="00D50DE8" w:rsidRPr="00EF7CF9" w:rsidRDefault="00AC48A7" w:rsidP="00D50DE8">
      <w:pPr>
        <w:pStyle w:val="ProductList-Body"/>
      </w:pPr>
      <w: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5F2DB80B" w14:textId="77777777" w:rsidR="00D50DE8" w:rsidRPr="00EF7CF9" w:rsidRDefault="00D50DE8" w:rsidP="00D50DE8">
      <w:pPr>
        <w:pStyle w:val="ProductList-Body"/>
      </w:pPr>
    </w:p>
    <w:p w14:paraId="77FA5EF3" w14:textId="77777777" w:rsidR="00D50DE8" w:rsidRPr="00EF7CF9" w:rsidRDefault="00D50DE8" w:rsidP="00180618">
      <w:pPr>
        <w:pStyle w:val="ProductList-Body"/>
        <w:keepNext/>
        <w:keepLines/>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6966C5E9" w14:textId="77777777" w:rsidTr="001439A9">
        <w:trPr>
          <w:tblHeader/>
        </w:trPr>
        <w:tc>
          <w:tcPr>
            <w:tcW w:w="5400" w:type="dxa"/>
            <w:shd w:val="clear" w:color="auto" w:fill="0072C6"/>
          </w:tcPr>
          <w:p w14:paraId="5B199220" w14:textId="6C89FEED" w:rsidR="00D50DE8" w:rsidRPr="00EF7CF9" w:rsidRDefault="00AC48A7" w:rsidP="001439A9">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7F07CD95" w14:textId="77777777" w:rsidR="00D50DE8" w:rsidRPr="00EF7CF9" w:rsidRDefault="00D50DE8" w:rsidP="001439A9">
            <w:pPr>
              <w:pStyle w:val="ProductList-OfferingBody"/>
              <w:jc w:val="center"/>
              <w:rPr>
                <w:color w:val="FFFFFF" w:themeColor="background1"/>
              </w:rPr>
            </w:pPr>
            <w:r>
              <w:rPr>
                <w:color w:val="FFFFFF" w:themeColor="background1"/>
              </w:rPr>
              <w:t>Servicegutschrift</w:t>
            </w:r>
          </w:p>
        </w:tc>
      </w:tr>
      <w:tr w:rsidR="00D50DE8" w:rsidRPr="00B44CF9" w14:paraId="2825A230" w14:textId="77777777" w:rsidTr="001439A9">
        <w:tc>
          <w:tcPr>
            <w:tcW w:w="5400" w:type="dxa"/>
          </w:tcPr>
          <w:p w14:paraId="26C3745B" w14:textId="77777777" w:rsidR="00D50DE8" w:rsidRPr="00EF7CF9" w:rsidRDefault="00D50DE8" w:rsidP="001439A9">
            <w:pPr>
              <w:pStyle w:val="ProductList-OfferingBody"/>
              <w:jc w:val="center"/>
            </w:pPr>
            <w:r>
              <w:t>&lt; 99,9 %</w:t>
            </w:r>
          </w:p>
        </w:tc>
        <w:tc>
          <w:tcPr>
            <w:tcW w:w="5400" w:type="dxa"/>
          </w:tcPr>
          <w:p w14:paraId="33539270" w14:textId="77777777" w:rsidR="00D50DE8" w:rsidRPr="00EF7CF9" w:rsidRDefault="00D50DE8" w:rsidP="001439A9">
            <w:pPr>
              <w:pStyle w:val="ProductList-OfferingBody"/>
              <w:jc w:val="center"/>
            </w:pPr>
            <w:r>
              <w:t>25 %</w:t>
            </w:r>
          </w:p>
        </w:tc>
      </w:tr>
      <w:tr w:rsidR="00D50DE8" w:rsidRPr="00B44CF9" w14:paraId="4DD4D641" w14:textId="77777777" w:rsidTr="001439A9">
        <w:tc>
          <w:tcPr>
            <w:tcW w:w="5400" w:type="dxa"/>
          </w:tcPr>
          <w:p w14:paraId="46CBDA90" w14:textId="77777777" w:rsidR="00D50DE8" w:rsidRPr="00EF7CF9" w:rsidRDefault="00D50DE8" w:rsidP="001439A9">
            <w:pPr>
              <w:pStyle w:val="ProductList-OfferingBody"/>
              <w:jc w:val="center"/>
            </w:pPr>
            <w:r>
              <w:t>&lt; 99 %</w:t>
            </w:r>
          </w:p>
        </w:tc>
        <w:tc>
          <w:tcPr>
            <w:tcW w:w="5400" w:type="dxa"/>
          </w:tcPr>
          <w:p w14:paraId="158C98F6" w14:textId="77777777" w:rsidR="00D50DE8" w:rsidRPr="00EF7CF9" w:rsidRDefault="00D50DE8" w:rsidP="001439A9">
            <w:pPr>
              <w:pStyle w:val="ProductList-OfferingBody"/>
              <w:jc w:val="center"/>
            </w:pPr>
            <w:r>
              <w:t>50 %</w:t>
            </w:r>
          </w:p>
        </w:tc>
      </w:tr>
      <w:tr w:rsidR="00D50DE8" w:rsidRPr="00B44CF9" w14:paraId="10A1FC1E" w14:textId="77777777" w:rsidTr="001439A9">
        <w:tc>
          <w:tcPr>
            <w:tcW w:w="5400" w:type="dxa"/>
          </w:tcPr>
          <w:p w14:paraId="792C60FD" w14:textId="77777777" w:rsidR="00D50DE8" w:rsidRPr="00EF7CF9" w:rsidRDefault="00D50DE8" w:rsidP="001439A9">
            <w:pPr>
              <w:pStyle w:val="ProductList-OfferingBody"/>
              <w:jc w:val="center"/>
            </w:pPr>
            <w:r>
              <w:t>&lt; 95 %</w:t>
            </w:r>
          </w:p>
        </w:tc>
        <w:tc>
          <w:tcPr>
            <w:tcW w:w="5400" w:type="dxa"/>
          </w:tcPr>
          <w:p w14:paraId="3691C0E6" w14:textId="77777777" w:rsidR="00D50DE8" w:rsidRPr="00EF7CF9" w:rsidRDefault="00D50DE8" w:rsidP="001439A9">
            <w:pPr>
              <w:pStyle w:val="ProductList-OfferingBody"/>
              <w:jc w:val="center"/>
            </w:pPr>
            <w:r>
              <w:t>100 %</w:t>
            </w:r>
          </w:p>
        </w:tc>
      </w:tr>
    </w:tbl>
    <w:p w14:paraId="5A10E9B5" w14:textId="408507E9" w:rsidR="00D67F75" w:rsidRPr="00D67F75" w:rsidRDefault="005F7C2C" w:rsidP="00D67F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6B5351B1" w14:textId="77777777" w:rsidR="00B06842" w:rsidRPr="00B06842" w:rsidRDefault="00B06842" w:rsidP="00B06842">
      <w:pPr>
        <w:pStyle w:val="ProductList-Offering2Heading"/>
        <w:pBdr>
          <w:between w:val="single" w:sz="4" w:space="1" w:color="auto"/>
        </w:pBdr>
        <w:tabs>
          <w:tab w:val="clear" w:pos="360"/>
          <w:tab w:val="clear" w:pos="720"/>
          <w:tab w:val="clear" w:pos="1080"/>
        </w:tabs>
        <w:outlineLvl w:val="2"/>
      </w:pPr>
      <w:bookmarkStart w:id="50" w:name="_Toc191308162"/>
      <w:bookmarkStart w:id="51" w:name="_Toc195543063"/>
      <w:bookmarkStart w:id="52" w:name="_Toc237448916"/>
      <w:r w:rsidRPr="00B06842">
        <w:t>Dynamics 365-Kontaktcenter</w:t>
      </w:r>
      <w:bookmarkEnd w:id="50"/>
      <w:bookmarkEnd w:id="51"/>
      <w:bookmarkEnd w:id="52"/>
    </w:p>
    <w:p w14:paraId="7D096BEC" w14:textId="77777777" w:rsidR="00996D22" w:rsidRPr="008B3B98" w:rsidRDefault="00996D22" w:rsidP="00996D22">
      <w:pPr>
        <w:pStyle w:val="ProductList-Body"/>
        <w:rPr>
          <w:rFonts w:ascii="Calibri" w:hAnsi="Calibri" w:cs="Calibri"/>
          <w:color w:val="000000"/>
        </w:rPr>
      </w:pPr>
      <w:r>
        <w:rPr>
          <w:rFonts w:ascii="Calibri" w:hAnsi="Calibri" w:cs="Calibri"/>
          <w:b/>
          <w:bCs/>
          <w:color w:val="00188F"/>
        </w:rPr>
        <w:t>Ausfallzeiten</w:t>
      </w:r>
      <w:r>
        <w:rPr>
          <w:rFonts w:ascii="Calibri" w:hAnsi="Calibri" w:cs="Calibri"/>
        </w:rPr>
        <w:t>:</w:t>
      </w:r>
      <w:r>
        <w:rPr>
          <w:rFonts w:ascii="Calibri" w:hAnsi="Calibri" w:cs="Calibri"/>
          <w:color w:val="000000"/>
        </w:rPr>
        <w:t xml:space="preserve"> Zeitraum, in dem Endnutzer weder PSTN-Anrufe tätigen oder empfangen noch Echtzeitkommunikation durchführen können (z. B. IVR-Routing).</w:t>
      </w:r>
    </w:p>
    <w:p w14:paraId="6D7E3E6F" w14:textId="77777777" w:rsidR="00996D22" w:rsidRPr="008B3B98" w:rsidRDefault="00996D22" w:rsidP="00996D22">
      <w:pPr>
        <w:pStyle w:val="ProductList-Body"/>
        <w:rPr>
          <w:rFonts w:ascii="Calibri" w:hAnsi="Calibri" w:cs="Calibri"/>
        </w:rPr>
      </w:pPr>
      <w:r>
        <w:rPr>
          <w:rFonts w:ascii="Calibri" w:hAnsi="Calibri" w:cs="Calibri"/>
          <w:b/>
          <w:bCs/>
          <w:color w:val="00188F"/>
        </w:rPr>
        <w:t>Betriebszeitprozentsatz</w:t>
      </w:r>
      <w:r>
        <w:rPr>
          <w:rFonts w:ascii="Calibri" w:hAnsi="Calibri" w:cs="Calibri"/>
        </w:rPr>
        <w:t>: Der Betriebszeitprozentsatz errechnet sich nach folgender Formel:</w:t>
      </w:r>
    </w:p>
    <w:p w14:paraId="1F2E125A" w14:textId="77777777" w:rsidR="00996D22" w:rsidRPr="008F7773" w:rsidRDefault="00996D22" w:rsidP="00996D22">
      <w:pPr>
        <w:pStyle w:val="ProductList-Body"/>
      </w:pPr>
    </w:p>
    <w:p w14:paraId="4582BB12" w14:textId="77777777" w:rsidR="00996D22" w:rsidRDefault="00000000" w:rsidP="00996D22">
      <w:pPr>
        <w:jc w:val="both"/>
        <w:rPr>
          <w:sz w:val="18"/>
          <w:szCs w:val="18"/>
        </w:rPr>
      </w:pPr>
      <m:oMathPara>
        <m:oMathParaPr>
          <m:jc m:val="center"/>
        </m:oMathParaPr>
        <m:oMath>
          <m:f>
            <m:fPr>
              <m:ctrlPr>
                <w:rPr>
                  <w:rFonts w:ascii="Cambria Math" w:hAnsi="Cambria Math"/>
                  <w:i/>
                  <w:iCs/>
                  <w:sz w:val="18"/>
                  <w:szCs w:val="18"/>
                </w:rPr>
              </m:ctrlPr>
            </m:fPr>
            <m:num>
              <m:r>
                <w:rPr>
                  <w:rFonts w:ascii="Cambria Math" w:hAnsi="Cambria Math"/>
                  <w:sz w:val="18"/>
                  <w:szCs w:val="18"/>
                </w:rPr>
                <m:t xml:space="preserve">Nutzerminuten - Ausfallzeit </m:t>
              </m:r>
            </m:num>
            <m:den>
              <m:r>
                <w:rPr>
                  <w:rFonts w:ascii="Cambria Math" w:hAnsi="Cambria Math"/>
                  <w:sz w:val="18"/>
                  <w:szCs w:val="18"/>
                </w:rPr>
                <m:t>Nutzerminuten</m:t>
              </m:r>
            </m:den>
          </m:f>
          <m:r>
            <w:rPr>
              <w:rFonts w:ascii="Cambria Math" w:hAnsi="Cambria Math"/>
              <w:sz w:val="18"/>
              <w:szCs w:val="18"/>
            </w:rPr>
            <m:t xml:space="preserve"> x 100</m:t>
          </m:r>
        </m:oMath>
      </m:oMathPara>
    </w:p>
    <w:p w14:paraId="434F7A1B" w14:textId="77777777" w:rsidR="00996D22" w:rsidRPr="008B3B98" w:rsidRDefault="00996D22" w:rsidP="00996D22">
      <w:pPr>
        <w:pStyle w:val="ProductList-Body"/>
        <w:rPr>
          <w:rFonts w:ascii="Calibri" w:hAnsi="Calibri" w:cs="Calibri"/>
        </w:rPr>
      </w:pPr>
      <w:r>
        <w:rPr>
          <w:rFonts w:ascii="Calibri" w:hAnsi="Calibri" w:cs="Calibri"/>
        </w:rPr>
        <w:t>wobei die Ausfallzeit in Nutzerminuten gemessen wird, d. h. für jeden Anwendbaren Zeitraum ist die Ausfallzeit die Summe der Dauer (in Minuten) jedes Vorfalls, der während dieses Anwendbaren Zeitraums auftritt, multipliziert mit der Anzahl von betroffenen Nutzern. Eine Gutschrift wird nur für die tatsächlich betroffenen Dienste erteilt.</w:t>
      </w:r>
    </w:p>
    <w:p w14:paraId="5B0C2C1B" w14:textId="77777777" w:rsidR="00996D22" w:rsidRPr="008B3B98" w:rsidRDefault="00996D22" w:rsidP="00996D22">
      <w:pPr>
        <w:pStyle w:val="ProductList-Body"/>
        <w:rPr>
          <w:rFonts w:ascii="Calibri" w:hAnsi="Calibri" w:cs="Calibri"/>
        </w:rPr>
      </w:pPr>
    </w:p>
    <w:p w14:paraId="7D0500E4" w14:textId="77777777" w:rsidR="00996D22" w:rsidRPr="008B3B98" w:rsidRDefault="00996D22" w:rsidP="00996D22">
      <w:pPr>
        <w:pStyle w:val="ProductList-Body"/>
        <w:rPr>
          <w:rFonts w:ascii="Calibri" w:hAnsi="Calibri" w:cs="Calibri"/>
        </w:rPr>
      </w:pPr>
      <w:r>
        <w:rPr>
          <w:rFonts w:ascii="Calibri" w:hAnsi="Calibri" w:cs="Calibri"/>
        </w:rPr>
        <w:t>Diese SLA gilt nicht für Geplante Ausfallzeiten, die Nichtverfügbarkeit von Add-On-Features des Diensts, den fehlenden Zugriff auf den Dienst aufgrund Ihrer Änderungen des Diensts sowie für Ausfälle infolge eines Ausfalls von Software, Geräten oder Diensten Dritter, die nicht von Microsoft kontrolliert werden, oder infolge eines Ausfalls von Microsoft-Software, die nicht von Microsoft selbst als Teil des Diensts ausgeführt wird.</w:t>
      </w:r>
    </w:p>
    <w:p w14:paraId="4400190C" w14:textId="77777777" w:rsidR="00996D22" w:rsidRDefault="00996D22" w:rsidP="00996D22">
      <w:pPr>
        <w:pStyle w:val="ProductList-Body"/>
      </w:pPr>
    </w:p>
    <w:p w14:paraId="52CDC2B1" w14:textId="77777777" w:rsidR="00996D22" w:rsidRPr="003D5054" w:rsidRDefault="00996D22" w:rsidP="00996D22">
      <w:pPr>
        <w:pStyle w:val="ProductList-Body"/>
        <w:rPr>
          <w:rFonts w:ascii="Calibri" w:hAnsi="Calibri" w:cs="Calibri"/>
        </w:rPr>
      </w:pPr>
      <w:r>
        <w:rPr>
          <w:rFonts w:ascii="Calibri" w:hAnsi="Calibri" w:cs="Calibri"/>
          <w:b/>
          <w:color w:val="00188F"/>
        </w:rPr>
        <w:t>Servicegutschrift</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96D22" w:rsidRPr="00B44CF9" w14:paraId="274A0FE0" w14:textId="77777777" w:rsidTr="00CE6437">
        <w:trPr>
          <w:tblHeader/>
        </w:trPr>
        <w:tc>
          <w:tcPr>
            <w:tcW w:w="5400" w:type="dxa"/>
            <w:shd w:val="clear" w:color="auto" w:fill="0072C6"/>
          </w:tcPr>
          <w:p w14:paraId="3AB2D844" w14:textId="77777777" w:rsidR="00996D22" w:rsidRPr="003D5054" w:rsidRDefault="00996D22"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Betriebszeitprozentsatz</w:t>
            </w:r>
          </w:p>
        </w:tc>
        <w:tc>
          <w:tcPr>
            <w:tcW w:w="5400" w:type="dxa"/>
            <w:shd w:val="clear" w:color="auto" w:fill="0072C6"/>
          </w:tcPr>
          <w:p w14:paraId="7A1F8BFB" w14:textId="77777777" w:rsidR="00996D22" w:rsidRPr="003D5054" w:rsidRDefault="00996D22"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Servicegutschrift</w:t>
            </w:r>
          </w:p>
        </w:tc>
      </w:tr>
      <w:tr w:rsidR="00996D22" w:rsidRPr="00B44CF9" w14:paraId="639DCFAB" w14:textId="77777777" w:rsidTr="00CE6437">
        <w:tc>
          <w:tcPr>
            <w:tcW w:w="5400" w:type="dxa"/>
          </w:tcPr>
          <w:p w14:paraId="5F4FC93C" w14:textId="77777777" w:rsidR="00996D22" w:rsidRPr="003D5054" w:rsidRDefault="00996D22"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&lt; 99,99 %</w:t>
            </w:r>
          </w:p>
        </w:tc>
        <w:tc>
          <w:tcPr>
            <w:tcW w:w="5400" w:type="dxa"/>
          </w:tcPr>
          <w:p w14:paraId="12E7D9DE" w14:textId="77777777" w:rsidR="00996D22" w:rsidRPr="003D5054" w:rsidRDefault="00996D22"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5%</w:t>
            </w:r>
          </w:p>
        </w:tc>
      </w:tr>
      <w:tr w:rsidR="00996D22" w:rsidRPr="00B44CF9" w14:paraId="1205E41F" w14:textId="77777777" w:rsidTr="00CE6437">
        <w:tc>
          <w:tcPr>
            <w:tcW w:w="5400" w:type="dxa"/>
          </w:tcPr>
          <w:p w14:paraId="3834D1E7" w14:textId="77777777" w:rsidR="00996D22" w:rsidRPr="003D5054" w:rsidRDefault="00996D22" w:rsidP="00CE6437">
            <w:pPr>
              <w:pStyle w:val="ProductList-OfferingBody"/>
              <w:jc w:val="center"/>
              <w:rPr>
                <w:rFonts w:ascii="Calibri" w:hAnsi="Calibri" w:cs="Calibri"/>
                <w:szCs w:val="16"/>
              </w:rPr>
            </w:pPr>
            <w:r>
              <w:rPr>
                <w:rFonts w:ascii="Calibri" w:hAnsi="Calibri" w:cs="Calibri"/>
                <w:szCs w:val="16"/>
              </w:rPr>
              <w:t>&lt; 99,9 %</w:t>
            </w:r>
          </w:p>
        </w:tc>
        <w:tc>
          <w:tcPr>
            <w:tcW w:w="5400" w:type="dxa"/>
          </w:tcPr>
          <w:p w14:paraId="5D654B48" w14:textId="77777777" w:rsidR="00996D22" w:rsidRPr="003D5054" w:rsidRDefault="00996D22" w:rsidP="00CE6437">
            <w:pPr>
              <w:pStyle w:val="ProductList-OfferingBody"/>
              <w:jc w:val="center"/>
              <w:rPr>
                <w:rFonts w:ascii="Calibri" w:hAnsi="Calibri" w:cs="Calibri"/>
                <w:szCs w:val="16"/>
              </w:rPr>
            </w:pPr>
            <w:r>
              <w:rPr>
                <w:rFonts w:ascii="Calibri" w:hAnsi="Calibri" w:cs="Calibri"/>
                <w:szCs w:val="16"/>
              </w:rPr>
              <w:t>25%</w:t>
            </w:r>
          </w:p>
        </w:tc>
      </w:tr>
      <w:tr w:rsidR="00996D22" w:rsidRPr="00B44CF9" w14:paraId="074795A0" w14:textId="77777777" w:rsidTr="00CE6437">
        <w:tc>
          <w:tcPr>
            <w:tcW w:w="5400" w:type="dxa"/>
          </w:tcPr>
          <w:p w14:paraId="070D405F" w14:textId="77777777" w:rsidR="00996D22" w:rsidRPr="003D5054" w:rsidRDefault="00996D22" w:rsidP="00CE6437">
            <w:pPr>
              <w:pStyle w:val="ProductList-OfferingBody"/>
              <w:jc w:val="center"/>
              <w:rPr>
                <w:rFonts w:ascii="Calibri" w:hAnsi="Calibri" w:cs="Calibri"/>
                <w:szCs w:val="16"/>
              </w:rPr>
            </w:pPr>
            <w:r>
              <w:rPr>
                <w:rFonts w:ascii="Calibri" w:hAnsi="Calibri" w:cs="Calibri"/>
                <w:szCs w:val="16"/>
              </w:rPr>
              <w:t>&lt; 99 %</w:t>
            </w:r>
          </w:p>
        </w:tc>
        <w:tc>
          <w:tcPr>
            <w:tcW w:w="5400" w:type="dxa"/>
          </w:tcPr>
          <w:p w14:paraId="226B3E73" w14:textId="77777777" w:rsidR="00996D22" w:rsidRPr="003D5054" w:rsidRDefault="00996D22" w:rsidP="00CE6437">
            <w:pPr>
              <w:pStyle w:val="ProductList-OfferingBody"/>
              <w:jc w:val="center"/>
              <w:rPr>
                <w:rFonts w:ascii="Calibri" w:hAnsi="Calibri" w:cs="Calibri"/>
                <w:szCs w:val="16"/>
              </w:rPr>
            </w:pPr>
            <w:r>
              <w:rPr>
                <w:rFonts w:ascii="Calibri" w:hAnsi="Calibri" w:cs="Calibri"/>
                <w:szCs w:val="16"/>
              </w:rPr>
              <w:t>50%</w:t>
            </w:r>
          </w:p>
        </w:tc>
      </w:tr>
      <w:tr w:rsidR="00996D22" w:rsidRPr="00B44CF9" w14:paraId="0F87A578" w14:textId="77777777" w:rsidTr="00CE6437">
        <w:tc>
          <w:tcPr>
            <w:tcW w:w="5400" w:type="dxa"/>
          </w:tcPr>
          <w:p w14:paraId="6043D86A" w14:textId="77777777" w:rsidR="00996D22" w:rsidRPr="003D5054" w:rsidRDefault="00996D22" w:rsidP="00CE6437">
            <w:pPr>
              <w:pStyle w:val="ProductList-OfferingBody"/>
              <w:jc w:val="center"/>
              <w:rPr>
                <w:rFonts w:ascii="Calibri" w:hAnsi="Calibri" w:cs="Calibri"/>
                <w:szCs w:val="16"/>
              </w:rPr>
            </w:pPr>
            <w:r>
              <w:rPr>
                <w:rFonts w:ascii="Calibri" w:hAnsi="Calibri" w:cs="Calibri"/>
                <w:szCs w:val="16"/>
              </w:rPr>
              <w:t>&lt; 95 %</w:t>
            </w:r>
          </w:p>
        </w:tc>
        <w:tc>
          <w:tcPr>
            <w:tcW w:w="5400" w:type="dxa"/>
          </w:tcPr>
          <w:p w14:paraId="25D24AAD" w14:textId="77777777" w:rsidR="00996D22" w:rsidRPr="003D5054" w:rsidRDefault="00996D22" w:rsidP="00CE6437">
            <w:pPr>
              <w:pStyle w:val="ProductList-OfferingBody"/>
              <w:jc w:val="center"/>
              <w:rPr>
                <w:rFonts w:ascii="Calibri" w:hAnsi="Calibri" w:cs="Calibri"/>
                <w:szCs w:val="16"/>
              </w:rPr>
            </w:pPr>
            <w:r>
              <w:rPr>
                <w:rFonts w:ascii="Calibri" w:hAnsi="Calibri" w:cs="Calibri"/>
                <w:szCs w:val="16"/>
              </w:rPr>
              <w:t>100%</w:t>
            </w:r>
          </w:p>
        </w:tc>
      </w:tr>
    </w:tbl>
    <w:p w14:paraId="7B259DD5" w14:textId="77777777" w:rsidR="00996D22" w:rsidRPr="00D67F75" w:rsidRDefault="00996D22" w:rsidP="00996D2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7667EA19" w14:textId="78D43EE8" w:rsidR="00D50DE8" w:rsidRDefault="00D50DE8" w:rsidP="00D50DE8">
      <w:pPr>
        <w:pStyle w:val="ProductList-Offering2Heading"/>
        <w:pBdr>
          <w:between w:val="single" w:sz="4" w:space="1" w:color="auto"/>
        </w:pBdr>
        <w:tabs>
          <w:tab w:val="clear" w:pos="360"/>
          <w:tab w:val="clear" w:pos="720"/>
          <w:tab w:val="clear" w:pos="1080"/>
        </w:tabs>
        <w:outlineLvl w:val="2"/>
      </w:pPr>
      <w:bookmarkStart w:id="53" w:name="_Toc195543064"/>
      <w:bookmarkStart w:id="54" w:name="_Toc237448917"/>
      <w:r>
        <w:t>Dynamics 365 Customer Insights</w:t>
      </w:r>
      <w:bookmarkEnd w:id="53"/>
      <w:bookmarkEnd w:id="54"/>
    </w:p>
    <w:p w14:paraId="0B8CB214" w14:textId="77777777" w:rsidR="00D50DE8" w:rsidRPr="00B1426B" w:rsidRDefault="00D50DE8" w:rsidP="00D50DE8">
      <w:pPr>
        <w:pStyle w:val="ProductList-Body"/>
        <w:rPr>
          <w:color w:val="000000"/>
          <w:spacing w:val="-2"/>
        </w:rPr>
      </w:pPr>
      <w:r w:rsidRPr="00B1426B">
        <w:rPr>
          <w:b/>
          <w:bCs/>
          <w:color w:val="00188F"/>
          <w:spacing w:val="-2"/>
        </w:rPr>
        <w:t>Ausfallzeiten</w:t>
      </w:r>
      <w:r w:rsidRPr="00ED75EB">
        <w:rPr>
          <w:b/>
          <w:color w:val="00188F"/>
        </w:rPr>
        <w:t>:</w:t>
      </w:r>
      <w:r w:rsidRPr="00B1426B">
        <w:rPr>
          <w:color w:val="000000"/>
          <w:spacing w:val="-2"/>
        </w:rPr>
        <w:t xml:space="preserve"> Zeiträume, in denen sich Endbenutzer nicht in ihre Umgebung einloggen können. Ausfallzeiten umfassen keine geplanten Ausfallzeiten, die Nichtverfügbarkeit von Add-On-Features des Diensts oder den fehlenden Zugriff auf den Dienst aufgrund Ihrer Änderungen des Diensts.</w:t>
      </w:r>
    </w:p>
    <w:p w14:paraId="02AC3C64" w14:textId="46F2E2F7" w:rsidR="00D50DE8" w:rsidRDefault="00AC48A7" w:rsidP="00D50DE8">
      <w:pPr>
        <w:pStyle w:val="ProductList-Body"/>
        <w:rPr>
          <w:sz w:val="20"/>
          <w:szCs w:val="20"/>
        </w:rPr>
      </w:pPr>
      <w:r>
        <w:rPr>
          <w:b/>
          <w:bCs/>
          <w:color w:val="00188F"/>
        </w:rPr>
        <w:t>Betriebszeitprozentsatz</w:t>
      </w:r>
      <w:r w:rsidRPr="00ED75EB">
        <w:rPr>
          <w:b/>
          <w:color w:val="00188F"/>
        </w:rPr>
        <w:t>:</w:t>
      </w:r>
      <w:r>
        <w:t xml:space="preserve"> Der Betriebszeitprozentsatz errechnet sich nach folgender Formel:</w:t>
      </w:r>
    </w:p>
    <w:p w14:paraId="249570DE" w14:textId="77777777" w:rsidR="00D50DE8" w:rsidRDefault="00D50DE8" w:rsidP="00D50DE8">
      <w:pPr>
        <w:pStyle w:val="ProductList-Body"/>
      </w:pPr>
    </w:p>
    <w:p w14:paraId="1417B265" w14:textId="474367A5" w:rsidR="00D50DE8"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Nutzerminuten abzüglich Ausfallzeit</m:t>
              </m:r>
            </m:num>
            <m:den>
              <m:r>
                <m:rPr>
                  <m:nor/>
                </m:rPr>
                <w:rPr>
                  <w:rFonts w:ascii="Cambria Math" w:hAnsi="Cambria Math" w:cs="Calibri"/>
                  <w:i/>
                  <w:sz w:val="18"/>
                  <w:szCs w:val="18"/>
                </w:rPr>
                <m:t>Nutzerminuten</m:t>
              </m:r>
            </m:den>
          </m:f>
          <m:r>
            <w:rPr>
              <w:rFonts w:ascii="Cambria Math" w:hAnsi="Cambria Math" w:cs="Calibri"/>
              <w:sz w:val="18"/>
              <w:szCs w:val="18"/>
            </w:rPr>
            <m:t xml:space="preserve"> x 100</m:t>
          </m:r>
        </m:oMath>
      </m:oMathPara>
    </w:p>
    <w:p w14:paraId="2A885151" w14:textId="0739869A" w:rsidR="00D50DE8" w:rsidRDefault="00AC48A7" w:rsidP="00D50DE8">
      <w:pPr>
        <w:pStyle w:val="ProductList-Body"/>
      </w:pPr>
      <w: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4AA46C83" w14:textId="77777777" w:rsidR="00D50DE8" w:rsidRDefault="00D50DE8" w:rsidP="00D50DE8">
      <w:pPr>
        <w:pStyle w:val="ProductList-Body"/>
      </w:pPr>
    </w:p>
    <w:p w14:paraId="20E3C07F" w14:textId="77777777" w:rsidR="00D50DE8" w:rsidRPr="00EF7CF9" w:rsidRDefault="00D50DE8" w:rsidP="00D50DE8">
      <w:pPr>
        <w:pStyle w:val="ProductList-Body"/>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48A9A948" w14:textId="77777777" w:rsidTr="001439A9">
        <w:trPr>
          <w:tblHeader/>
        </w:trPr>
        <w:tc>
          <w:tcPr>
            <w:tcW w:w="5400" w:type="dxa"/>
            <w:shd w:val="clear" w:color="auto" w:fill="0072C6"/>
          </w:tcPr>
          <w:p w14:paraId="5C5C98FC" w14:textId="44ED7891" w:rsidR="00D50DE8" w:rsidRPr="00EF7CF9" w:rsidRDefault="00AC48A7" w:rsidP="001439A9">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6765D502" w14:textId="77777777" w:rsidR="00D50DE8" w:rsidRPr="00EF7CF9" w:rsidRDefault="00D50DE8" w:rsidP="001439A9">
            <w:pPr>
              <w:pStyle w:val="ProductList-OfferingBody"/>
              <w:jc w:val="center"/>
              <w:rPr>
                <w:color w:val="FFFFFF" w:themeColor="background1"/>
              </w:rPr>
            </w:pPr>
            <w:r>
              <w:rPr>
                <w:color w:val="FFFFFF" w:themeColor="background1"/>
              </w:rPr>
              <w:t>Servicegutschrift</w:t>
            </w:r>
          </w:p>
        </w:tc>
      </w:tr>
      <w:tr w:rsidR="00D50DE8" w:rsidRPr="00B44CF9" w14:paraId="080E24AE" w14:textId="77777777" w:rsidTr="001439A9">
        <w:tc>
          <w:tcPr>
            <w:tcW w:w="5400" w:type="dxa"/>
          </w:tcPr>
          <w:p w14:paraId="2FD01D27" w14:textId="77777777" w:rsidR="00D50DE8" w:rsidRPr="00EF7CF9" w:rsidRDefault="00D50DE8" w:rsidP="001439A9">
            <w:pPr>
              <w:pStyle w:val="ProductList-OfferingBody"/>
              <w:jc w:val="center"/>
            </w:pPr>
            <w:r>
              <w:t>&lt; 99,9 %</w:t>
            </w:r>
          </w:p>
        </w:tc>
        <w:tc>
          <w:tcPr>
            <w:tcW w:w="5400" w:type="dxa"/>
          </w:tcPr>
          <w:p w14:paraId="5DFB2D85" w14:textId="77777777" w:rsidR="00D50DE8" w:rsidRPr="00EF7CF9" w:rsidRDefault="00D50DE8" w:rsidP="001439A9">
            <w:pPr>
              <w:pStyle w:val="ProductList-OfferingBody"/>
              <w:jc w:val="center"/>
            </w:pPr>
            <w:r>
              <w:t>25 %</w:t>
            </w:r>
          </w:p>
        </w:tc>
      </w:tr>
      <w:tr w:rsidR="00D50DE8" w:rsidRPr="00B44CF9" w14:paraId="5755DAE9" w14:textId="77777777" w:rsidTr="001439A9">
        <w:tc>
          <w:tcPr>
            <w:tcW w:w="5400" w:type="dxa"/>
          </w:tcPr>
          <w:p w14:paraId="21A1E720" w14:textId="77777777" w:rsidR="00D50DE8" w:rsidRPr="00EF7CF9" w:rsidRDefault="00D50DE8" w:rsidP="001439A9">
            <w:pPr>
              <w:pStyle w:val="ProductList-OfferingBody"/>
              <w:jc w:val="center"/>
            </w:pPr>
            <w:r>
              <w:t>&lt; 99 %</w:t>
            </w:r>
          </w:p>
        </w:tc>
        <w:tc>
          <w:tcPr>
            <w:tcW w:w="5400" w:type="dxa"/>
          </w:tcPr>
          <w:p w14:paraId="5B2C8E24" w14:textId="77777777" w:rsidR="00D50DE8" w:rsidRPr="00EF7CF9" w:rsidRDefault="00D50DE8" w:rsidP="001439A9">
            <w:pPr>
              <w:pStyle w:val="ProductList-OfferingBody"/>
              <w:jc w:val="center"/>
            </w:pPr>
            <w:r>
              <w:t>50 %</w:t>
            </w:r>
          </w:p>
        </w:tc>
      </w:tr>
      <w:tr w:rsidR="00D50DE8" w:rsidRPr="00B44CF9" w14:paraId="22BC0C6A" w14:textId="77777777" w:rsidTr="001439A9">
        <w:tc>
          <w:tcPr>
            <w:tcW w:w="5400" w:type="dxa"/>
          </w:tcPr>
          <w:p w14:paraId="13BC02B3" w14:textId="77777777" w:rsidR="00D50DE8" w:rsidRPr="00EF7CF9" w:rsidRDefault="00D50DE8" w:rsidP="001439A9">
            <w:pPr>
              <w:pStyle w:val="ProductList-OfferingBody"/>
              <w:jc w:val="center"/>
            </w:pPr>
            <w:r>
              <w:t>&lt; 95 %</w:t>
            </w:r>
          </w:p>
        </w:tc>
        <w:tc>
          <w:tcPr>
            <w:tcW w:w="5400" w:type="dxa"/>
          </w:tcPr>
          <w:p w14:paraId="2EC04FA4" w14:textId="77777777" w:rsidR="00D50DE8" w:rsidRPr="00EF7CF9" w:rsidRDefault="00D50DE8" w:rsidP="001439A9">
            <w:pPr>
              <w:pStyle w:val="ProductList-OfferingBody"/>
              <w:jc w:val="center"/>
            </w:pPr>
            <w:r>
              <w:t>100 %</w:t>
            </w:r>
          </w:p>
        </w:tc>
      </w:tr>
    </w:tbl>
    <w:p w14:paraId="6C50E560" w14:textId="38BC9C11" w:rsidR="00D67F75" w:rsidRPr="00D67F75" w:rsidRDefault="005F7C2C" w:rsidP="00D67F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4500FBD1" w14:textId="77777777" w:rsidR="00996D22" w:rsidRDefault="00996D22">
      <w:pPr>
        <w:rPr>
          <w:rFonts w:asciiTheme="majorHAnsi" w:hAnsiTheme="majorHAnsi"/>
          <w:b/>
          <w:color w:val="0072C6"/>
          <w:sz w:val="28"/>
          <w:lang w:val="en-US"/>
        </w:rPr>
      </w:pPr>
      <w:r>
        <w:rPr>
          <w:lang w:val="en-US"/>
        </w:rPr>
        <w:br w:type="page"/>
      </w:r>
    </w:p>
    <w:p w14:paraId="1A2503BF" w14:textId="30FBBFFC" w:rsidR="00EA5FB1" w:rsidRPr="00364EEB" w:rsidRDefault="00EA5FB1" w:rsidP="00EA5FB1">
      <w:pPr>
        <w:pStyle w:val="ProductList-Offering2Heading"/>
        <w:pBdr>
          <w:between w:val="single" w:sz="4" w:space="1" w:color="auto"/>
        </w:pBdr>
        <w:tabs>
          <w:tab w:val="clear" w:pos="360"/>
          <w:tab w:val="clear" w:pos="720"/>
          <w:tab w:val="clear" w:pos="1080"/>
        </w:tabs>
        <w:outlineLvl w:val="2"/>
        <w:rPr>
          <w:lang w:val="en-US"/>
        </w:rPr>
      </w:pPr>
      <w:bookmarkStart w:id="55" w:name="_Toc195543065"/>
      <w:bookmarkStart w:id="56" w:name="_Toc237448918"/>
      <w:r w:rsidRPr="00364EEB">
        <w:rPr>
          <w:lang w:val="en-US"/>
        </w:rPr>
        <w:lastRenderedPageBreak/>
        <w:t>Dynamics 365 Customer Service Enterprise, Dynamics 365 Customer Service Professional</w:t>
      </w:r>
      <w:bookmarkEnd w:id="43"/>
      <w:r w:rsidRPr="00364EEB">
        <w:rPr>
          <w:lang w:val="en-US"/>
        </w:rPr>
        <w:t>, Dynamics 365 Customer Service Insights</w:t>
      </w:r>
      <w:bookmarkEnd w:id="44"/>
      <w:bookmarkEnd w:id="45"/>
      <w:r w:rsidRPr="00364EEB">
        <w:rPr>
          <w:lang w:val="en-US"/>
        </w:rPr>
        <w:t>, Dynamics 365 Field Service</w:t>
      </w:r>
      <w:bookmarkStart w:id="57" w:name="_Hlk51044693"/>
      <w:r w:rsidRPr="00364EEB">
        <w:rPr>
          <w:lang w:val="en-US"/>
        </w:rPr>
        <w:t xml:space="preserve">, </w:t>
      </w:r>
      <w:bookmarkStart w:id="58" w:name="_Hlk51044489"/>
      <w:r w:rsidRPr="00364EEB">
        <w:rPr>
          <w:lang w:val="en-US"/>
        </w:rPr>
        <w:t>Dynamics 365 Marketing</w:t>
      </w:r>
      <w:bookmarkEnd w:id="55"/>
      <w:bookmarkEnd w:id="56"/>
      <w:bookmarkEnd w:id="57"/>
      <w:bookmarkEnd w:id="58"/>
    </w:p>
    <w:p w14:paraId="6CD0EAC6" w14:textId="1131DAC2" w:rsidR="001C41EA" w:rsidRPr="00EF7CF9" w:rsidRDefault="001C41EA" w:rsidP="00657A3A">
      <w:pPr>
        <w:pStyle w:val="ProductList-Body"/>
      </w:pPr>
      <w:r>
        <w:rPr>
          <w:b/>
          <w:color w:val="00188F"/>
        </w:rPr>
        <w:t>Ausfallzeit</w:t>
      </w:r>
      <w:r w:rsidRPr="00ED75EB">
        <w:rPr>
          <w:b/>
          <w:color w:val="00188F"/>
        </w:rPr>
        <w:t>:</w:t>
      </w:r>
      <w:r>
        <w:t xml:space="preserve"> Jeder Zeitraum, in dem Endbenutzer nicht in der Lage sind, Servicedaten zu lesen oder zu schreiben, für die sie über eine entsprechende Berechtigung verfügen; dies schließt jedoch nicht die Nichtverfügbarkeit von Service-Add-On-Funktionen ein.</w:t>
      </w:r>
    </w:p>
    <w:p w14:paraId="25CB9B8D" w14:textId="1317DA15" w:rsidR="001C41EA" w:rsidRDefault="00AC48A7" w:rsidP="001A6663">
      <w:pPr>
        <w:pStyle w:val="ProductList-Body"/>
      </w:pPr>
      <w:r>
        <w:rPr>
          <w:b/>
          <w:color w:val="00188F"/>
        </w:rPr>
        <w:t>Betriebszeitprozentsatz</w:t>
      </w:r>
      <w:r w:rsidRPr="00ED75EB">
        <w:rPr>
          <w:b/>
          <w:color w:val="00188F"/>
        </w:rPr>
        <w:t>:</w:t>
      </w:r>
      <w:r>
        <w:t xml:space="preserve"> Der Betriebszeitprozentsatz errechnet sich nach folgender Formel:</w:t>
      </w:r>
    </w:p>
    <w:p w14:paraId="78FCA426" w14:textId="77777777" w:rsidR="001A6663" w:rsidRPr="00EF7CF9" w:rsidRDefault="001A6663" w:rsidP="001A6663">
      <w:pPr>
        <w:pStyle w:val="ProductList-Body"/>
      </w:pPr>
    </w:p>
    <w:p w14:paraId="0F1B402D" w14:textId="7FEBF4A9" w:rsidR="001C41EA" w:rsidRPr="00EF7CF9" w:rsidRDefault="00000000" w:rsidP="001C41EA">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Nutzerminuten abzüglich Ausfallzeit</m:t>
              </m:r>
            </m:num>
            <m:den>
              <m:r>
                <m:rPr>
                  <m:nor/>
                </m:rPr>
                <w:rPr>
                  <w:rFonts w:ascii="Cambria Math" w:hAnsi="Cambria Math" w:cs="Calibri"/>
                  <w:i/>
                  <w:sz w:val="18"/>
                  <w:szCs w:val="18"/>
                </w:rPr>
                <m:t>Nutzerminuten</m:t>
              </m:r>
            </m:den>
          </m:f>
          <m:r>
            <w:rPr>
              <w:rFonts w:ascii="Cambria Math" w:hAnsi="Cambria Math" w:cs="Calibri"/>
              <w:sz w:val="18"/>
              <w:szCs w:val="18"/>
            </w:rPr>
            <m:t xml:space="preserve"> x 100</m:t>
          </m:r>
        </m:oMath>
      </m:oMathPara>
    </w:p>
    <w:p w14:paraId="2379AA8F" w14:textId="0A52F55F" w:rsidR="001C41EA" w:rsidRPr="00EF7CF9" w:rsidRDefault="00AC48A7" w:rsidP="001C41EA">
      <w:pPr>
        <w:pStyle w:val="ProductList-Body"/>
      </w:pPr>
      <w: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0D90E9DF" w14:textId="77777777" w:rsidR="001C41EA" w:rsidRPr="00EF7CF9" w:rsidRDefault="001C41EA" w:rsidP="001C41EA">
      <w:pPr>
        <w:pStyle w:val="ProductList-Body"/>
      </w:pPr>
    </w:p>
    <w:p w14:paraId="0B68D327" w14:textId="77777777" w:rsidR="001C41EA" w:rsidRPr="00EF7CF9" w:rsidRDefault="001C41EA" w:rsidP="001C41EA">
      <w:pPr>
        <w:pStyle w:val="ProductList-Body"/>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C41EA" w:rsidRPr="00B44CF9" w14:paraId="15472F6C" w14:textId="77777777" w:rsidTr="009A32C6">
        <w:trPr>
          <w:tblHeader/>
        </w:trPr>
        <w:tc>
          <w:tcPr>
            <w:tcW w:w="5400" w:type="dxa"/>
            <w:shd w:val="clear" w:color="auto" w:fill="0072C6"/>
          </w:tcPr>
          <w:p w14:paraId="4F79290D" w14:textId="2B9BF410" w:rsidR="001C41EA" w:rsidRPr="00EF7CF9" w:rsidRDefault="00AC48A7" w:rsidP="009A32C6">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7628C62A" w14:textId="77777777" w:rsidR="001C41EA" w:rsidRPr="00EF7CF9" w:rsidRDefault="001C41EA" w:rsidP="009A32C6">
            <w:pPr>
              <w:pStyle w:val="ProductList-OfferingBody"/>
              <w:jc w:val="center"/>
              <w:rPr>
                <w:color w:val="FFFFFF" w:themeColor="background1"/>
              </w:rPr>
            </w:pPr>
            <w:r>
              <w:rPr>
                <w:color w:val="FFFFFF" w:themeColor="background1"/>
              </w:rPr>
              <w:t>Servicegutschrift</w:t>
            </w:r>
          </w:p>
        </w:tc>
      </w:tr>
      <w:tr w:rsidR="001C41EA" w:rsidRPr="00B44CF9" w14:paraId="7E0BF99F" w14:textId="77777777" w:rsidTr="009A32C6">
        <w:tc>
          <w:tcPr>
            <w:tcW w:w="5400" w:type="dxa"/>
          </w:tcPr>
          <w:p w14:paraId="66F306F1" w14:textId="77777777" w:rsidR="001C41EA" w:rsidRPr="00EF7CF9" w:rsidRDefault="001C41EA" w:rsidP="009A32C6">
            <w:pPr>
              <w:pStyle w:val="ProductList-OfferingBody"/>
              <w:jc w:val="center"/>
            </w:pPr>
            <w:r>
              <w:t>&lt; 99,9 %</w:t>
            </w:r>
          </w:p>
        </w:tc>
        <w:tc>
          <w:tcPr>
            <w:tcW w:w="5400" w:type="dxa"/>
          </w:tcPr>
          <w:p w14:paraId="145E3B0C" w14:textId="77777777" w:rsidR="001C41EA" w:rsidRPr="00EF7CF9" w:rsidRDefault="001C41EA" w:rsidP="009A32C6">
            <w:pPr>
              <w:pStyle w:val="ProductList-OfferingBody"/>
              <w:jc w:val="center"/>
            </w:pPr>
            <w:r>
              <w:t>25 %</w:t>
            </w:r>
          </w:p>
        </w:tc>
      </w:tr>
      <w:tr w:rsidR="001C41EA" w:rsidRPr="00B44CF9" w14:paraId="5C54F2B8" w14:textId="77777777" w:rsidTr="009A32C6">
        <w:tc>
          <w:tcPr>
            <w:tcW w:w="5400" w:type="dxa"/>
          </w:tcPr>
          <w:p w14:paraId="2C7446CB" w14:textId="77777777" w:rsidR="001C41EA" w:rsidRPr="00EF7CF9" w:rsidRDefault="001C41EA" w:rsidP="009A32C6">
            <w:pPr>
              <w:pStyle w:val="ProductList-OfferingBody"/>
              <w:jc w:val="center"/>
            </w:pPr>
            <w:r>
              <w:t>&lt; 99 %</w:t>
            </w:r>
          </w:p>
        </w:tc>
        <w:tc>
          <w:tcPr>
            <w:tcW w:w="5400" w:type="dxa"/>
          </w:tcPr>
          <w:p w14:paraId="03CCA14E" w14:textId="77777777" w:rsidR="001C41EA" w:rsidRPr="00EF7CF9" w:rsidRDefault="001C41EA" w:rsidP="009A32C6">
            <w:pPr>
              <w:pStyle w:val="ProductList-OfferingBody"/>
              <w:jc w:val="center"/>
            </w:pPr>
            <w:r>
              <w:t>50 %</w:t>
            </w:r>
          </w:p>
        </w:tc>
      </w:tr>
      <w:tr w:rsidR="001C41EA" w:rsidRPr="00B44CF9" w14:paraId="13270020" w14:textId="77777777" w:rsidTr="009A32C6">
        <w:tc>
          <w:tcPr>
            <w:tcW w:w="5400" w:type="dxa"/>
          </w:tcPr>
          <w:p w14:paraId="41F05E53" w14:textId="77777777" w:rsidR="001C41EA" w:rsidRPr="00EF7CF9" w:rsidRDefault="001C41EA" w:rsidP="009A32C6">
            <w:pPr>
              <w:pStyle w:val="ProductList-OfferingBody"/>
              <w:jc w:val="center"/>
            </w:pPr>
            <w:r>
              <w:t>&lt; 95 %</w:t>
            </w:r>
          </w:p>
        </w:tc>
        <w:tc>
          <w:tcPr>
            <w:tcW w:w="5400" w:type="dxa"/>
          </w:tcPr>
          <w:p w14:paraId="3D5F7C0E" w14:textId="77777777" w:rsidR="001C41EA" w:rsidRPr="00EF7CF9" w:rsidRDefault="001C41EA" w:rsidP="009A32C6">
            <w:pPr>
              <w:pStyle w:val="ProductList-OfferingBody"/>
              <w:jc w:val="center"/>
            </w:pPr>
            <w:r>
              <w:t>100 %</w:t>
            </w:r>
          </w:p>
        </w:tc>
      </w:tr>
    </w:tbl>
    <w:bookmarkStart w:id="59" w:name="_Toc24376584"/>
    <w:bookmarkStart w:id="60" w:name="MicrosoftDynamics365forFianceandOps"/>
    <w:p w14:paraId="767C8A2F" w14:textId="4FB03022" w:rsidR="00D67F75" w:rsidRPr="00D67F75" w:rsidRDefault="005F7C2C" w:rsidP="00D67F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5B44A48B" w14:textId="723F27C9" w:rsidR="005D2062" w:rsidRDefault="005D2062" w:rsidP="005D2062">
      <w:pPr>
        <w:pStyle w:val="ProductList-Offering2Heading"/>
        <w:pBdr>
          <w:between w:val="single" w:sz="4" w:space="1" w:color="auto"/>
        </w:pBdr>
        <w:tabs>
          <w:tab w:val="clear" w:pos="360"/>
          <w:tab w:val="clear" w:pos="720"/>
          <w:tab w:val="clear" w:pos="1080"/>
        </w:tabs>
        <w:outlineLvl w:val="2"/>
      </w:pPr>
      <w:bookmarkStart w:id="61" w:name="_Toc195543066"/>
      <w:bookmarkStart w:id="62" w:name="_Toc237448919"/>
      <w:bookmarkEnd w:id="59"/>
      <w:r>
        <w:t>Dynamics 365 Guides</w:t>
      </w:r>
      <w:bookmarkEnd w:id="61"/>
      <w:bookmarkEnd w:id="62"/>
    </w:p>
    <w:p w14:paraId="73695421" w14:textId="77777777" w:rsidR="005D2062" w:rsidRDefault="005D2062" w:rsidP="005D2062">
      <w:pPr>
        <w:pStyle w:val="ProductList-Body"/>
      </w:pPr>
      <w:r>
        <w:rPr>
          <w:b/>
          <w:color w:val="00188F"/>
        </w:rPr>
        <w:t>Zusätzliche Definitionen</w:t>
      </w:r>
      <w:r w:rsidRPr="00ED75EB">
        <w:rPr>
          <w:b/>
          <w:color w:val="00188F"/>
        </w:rPr>
        <w:t>:</w:t>
      </w:r>
    </w:p>
    <w:p w14:paraId="6290D355" w14:textId="77777777" w:rsidR="00053629" w:rsidRDefault="00053629" w:rsidP="00053629">
      <w:pPr>
        <w:pStyle w:val="ProductList-Body"/>
      </w:pPr>
      <w:r>
        <w:rPr>
          <w:b/>
          <w:color w:val="00188F"/>
        </w:rPr>
        <w:t>Ausfallzeit</w:t>
      </w:r>
      <w:r w:rsidRPr="00ED75EB">
        <w:rPr>
          <w:b/>
          <w:color w:val="00188F"/>
        </w:rPr>
        <w:t>:</w:t>
      </w:r>
      <w:r>
        <w:t xml:space="preserve"> Jeder Zeitraum, in dem der Endnutzer nicht in der Lage ist, Daten des Dienstes zu lesen oder zu schreiben, für den er eine entsprechende Berechtigung hat. Jeder Zeitraum, in dem Endnutzer nicht in der Lage sind, Anrufe zu initiieren oder an ihnen teilzunehmen.</w:t>
      </w:r>
    </w:p>
    <w:p w14:paraId="4E0FB4C9" w14:textId="279EE74A" w:rsidR="00053629" w:rsidRDefault="00AC48A7" w:rsidP="00053629">
      <w:pPr>
        <w:pStyle w:val="ProductList-Body"/>
      </w:pPr>
      <w:r>
        <w:rPr>
          <w:b/>
          <w:color w:val="00188F"/>
        </w:rPr>
        <w:t>Betriebszeitprozentsatz</w:t>
      </w:r>
      <w:r w:rsidRPr="00ED75EB">
        <w:rPr>
          <w:b/>
          <w:color w:val="00188F"/>
        </w:rPr>
        <w:t>:</w:t>
      </w:r>
      <w:r>
        <w:t xml:space="preserve"> Der Betriebszeitprozentsatz errechnet sich nach folgender Formel:</w:t>
      </w:r>
    </w:p>
    <w:p w14:paraId="61BB76C9" w14:textId="77777777" w:rsidR="00EF1A8C" w:rsidRPr="00EF7CF9" w:rsidRDefault="00EF1A8C" w:rsidP="00EF1A8C">
      <w:pPr>
        <w:pStyle w:val="ProductList-Body"/>
      </w:pPr>
    </w:p>
    <w:p w14:paraId="6FC8E398" w14:textId="758DDD0E" w:rsidR="00EF1A8C" w:rsidRPr="00EF7CF9" w:rsidRDefault="00000000" w:rsidP="00EF1A8C">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Nutzerminuten abzüglich Ausfallzeit</m:t>
              </m:r>
            </m:num>
            <m:den>
              <m:r>
                <m:rPr>
                  <m:nor/>
                </m:rPr>
                <w:rPr>
                  <w:rFonts w:ascii="Cambria Math" w:hAnsi="Cambria Math" w:cs="Calibri"/>
                  <w:i/>
                  <w:sz w:val="18"/>
                  <w:szCs w:val="18"/>
                </w:rPr>
                <m:t>Nutzerminuten</m:t>
              </m:r>
            </m:den>
          </m:f>
          <m:r>
            <w:rPr>
              <w:rFonts w:ascii="Cambria Math" w:hAnsi="Cambria Math" w:cs="Calibri"/>
              <w:sz w:val="18"/>
              <w:szCs w:val="18"/>
            </w:rPr>
            <m:t xml:space="preserve"> x 100</m:t>
          </m:r>
        </m:oMath>
      </m:oMathPara>
    </w:p>
    <w:p w14:paraId="64C7B4AE" w14:textId="40489940" w:rsidR="00363902" w:rsidRDefault="00AC48A7" w:rsidP="00363902">
      <w:pPr>
        <w:pStyle w:val="ProductList-Body"/>
      </w:pPr>
      <w: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372FC373" w14:textId="77777777" w:rsidR="00363902" w:rsidRPr="00122CF3" w:rsidRDefault="00363902" w:rsidP="00122CF3">
      <w:pPr>
        <w:pStyle w:val="ProductList-Body"/>
      </w:pPr>
    </w:p>
    <w:p w14:paraId="5C6B69ED" w14:textId="77777777" w:rsidR="00363902" w:rsidRDefault="00363902" w:rsidP="00363902">
      <w:pPr>
        <w:pStyle w:val="ProductList-Body"/>
      </w:pPr>
      <w:r>
        <w:t>* Die Ausfallzeit umfasst nicht die planmäßige Ausfallzeit.</w:t>
      </w:r>
    </w:p>
    <w:p w14:paraId="15EBF827" w14:textId="77777777" w:rsidR="00363902" w:rsidRPr="00363902" w:rsidRDefault="00363902" w:rsidP="00122CF3">
      <w:pPr>
        <w:pStyle w:val="ProductList-Body"/>
      </w:pPr>
    </w:p>
    <w:p w14:paraId="1FCB8676" w14:textId="77777777" w:rsidR="00363902" w:rsidRPr="00122CF3" w:rsidRDefault="00363902" w:rsidP="00122CF3">
      <w:pPr>
        <w:pStyle w:val="ProductList-Body"/>
        <w:rPr>
          <w:b/>
          <w:color w:val="00188F"/>
        </w:rPr>
      </w:pPr>
      <w:r>
        <w:rPr>
          <w:b/>
          <w:color w:val="00188F"/>
        </w:rPr>
        <w:t>Servicegutschrift:</w:t>
      </w:r>
    </w:p>
    <w:tbl>
      <w:tblPr>
        <w:tblStyle w:val="TableGrid"/>
        <w:tblW w:w="10795" w:type="dxa"/>
        <w:tblLayout w:type="fixed"/>
        <w:tblLook w:val="06A0" w:firstRow="1" w:lastRow="0" w:firstColumn="1" w:lastColumn="0" w:noHBand="1" w:noVBand="1"/>
      </w:tblPr>
      <w:tblGrid>
        <w:gridCol w:w="5397"/>
        <w:gridCol w:w="5398"/>
      </w:tblGrid>
      <w:tr w:rsidR="00363902" w:rsidRPr="00363902" w14:paraId="3A4503D1" w14:textId="77777777" w:rsidTr="00122CF3">
        <w:tc>
          <w:tcPr>
            <w:tcW w:w="5397" w:type="dxa"/>
            <w:shd w:val="clear" w:color="auto" w:fill="0072C6"/>
          </w:tcPr>
          <w:p w14:paraId="5DF21CC8" w14:textId="3C2BF7B4" w:rsidR="00363902" w:rsidRPr="00363902" w:rsidRDefault="00AC48A7" w:rsidP="00122CF3">
            <w:pPr>
              <w:pStyle w:val="ProductList-OfferingBody"/>
              <w:jc w:val="center"/>
              <w:rPr>
                <w:color w:val="FFFFFF" w:themeColor="background1"/>
              </w:rPr>
            </w:pPr>
            <w:r>
              <w:rPr>
                <w:color w:val="FFFFFF" w:themeColor="background1"/>
              </w:rPr>
              <w:t>Betriebszeitprozentsatz</w:t>
            </w:r>
          </w:p>
        </w:tc>
        <w:tc>
          <w:tcPr>
            <w:tcW w:w="5398" w:type="dxa"/>
            <w:shd w:val="clear" w:color="auto" w:fill="0072C6"/>
          </w:tcPr>
          <w:p w14:paraId="2C46FC2D" w14:textId="77777777" w:rsidR="00363902" w:rsidRPr="00363902" w:rsidRDefault="00363902" w:rsidP="00122CF3">
            <w:pPr>
              <w:pStyle w:val="ProductList-OfferingBody"/>
              <w:jc w:val="center"/>
              <w:rPr>
                <w:color w:val="FFFFFF" w:themeColor="background1"/>
              </w:rPr>
            </w:pPr>
            <w:r>
              <w:rPr>
                <w:color w:val="FFFFFF" w:themeColor="background1"/>
              </w:rPr>
              <w:t>Servicegutschrift</w:t>
            </w:r>
          </w:p>
        </w:tc>
      </w:tr>
      <w:tr w:rsidR="00363902" w:rsidRPr="004A3F60" w14:paraId="009518F2" w14:textId="77777777" w:rsidTr="00122CF3">
        <w:tc>
          <w:tcPr>
            <w:tcW w:w="5397" w:type="dxa"/>
          </w:tcPr>
          <w:p w14:paraId="04B04EFB" w14:textId="72928DCE" w:rsidR="00363902" w:rsidRPr="00363902" w:rsidRDefault="00363902" w:rsidP="00122CF3">
            <w:pPr>
              <w:pStyle w:val="ProductList-OfferingBody"/>
              <w:jc w:val="center"/>
            </w:pPr>
            <w:r>
              <w:t>&lt;</w:t>
            </w:r>
            <w:r w:rsidR="00EA5BFD">
              <w:t xml:space="preserve"> </w:t>
            </w:r>
            <w:r>
              <w:t>99,5 %</w:t>
            </w:r>
          </w:p>
        </w:tc>
        <w:tc>
          <w:tcPr>
            <w:tcW w:w="5398" w:type="dxa"/>
          </w:tcPr>
          <w:p w14:paraId="7AD2B5CB" w14:textId="77777777" w:rsidR="00363902" w:rsidRPr="00363902" w:rsidRDefault="00363902" w:rsidP="00122CF3">
            <w:pPr>
              <w:pStyle w:val="ProductList-OfferingBody"/>
              <w:jc w:val="center"/>
            </w:pPr>
            <w:r>
              <w:t>25 %</w:t>
            </w:r>
          </w:p>
        </w:tc>
      </w:tr>
      <w:tr w:rsidR="00363902" w:rsidRPr="004A3F60" w14:paraId="63E659BF" w14:textId="77777777" w:rsidTr="00122CF3">
        <w:tc>
          <w:tcPr>
            <w:tcW w:w="5397" w:type="dxa"/>
          </w:tcPr>
          <w:p w14:paraId="72EABA7A" w14:textId="77777777" w:rsidR="00363902" w:rsidRPr="00363902" w:rsidRDefault="00363902" w:rsidP="00122CF3">
            <w:pPr>
              <w:pStyle w:val="ProductList-OfferingBody"/>
              <w:jc w:val="center"/>
            </w:pPr>
            <w:r>
              <w:t>&lt; 99 %</w:t>
            </w:r>
          </w:p>
        </w:tc>
        <w:tc>
          <w:tcPr>
            <w:tcW w:w="5398" w:type="dxa"/>
          </w:tcPr>
          <w:p w14:paraId="3200CDDD" w14:textId="77777777" w:rsidR="00363902" w:rsidRPr="00363902" w:rsidRDefault="00363902" w:rsidP="00122CF3">
            <w:pPr>
              <w:pStyle w:val="ProductList-OfferingBody"/>
              <w:jc w:val="center"/>
            </w:pPr>
            <w:r>
              <w:t>50 %</w:t>
            </w:r>
          </w:p>
        </w:tc>
      </w:tr>
    </w:tbl>
    <w:p w14:paraId="2D05C416" w14:textId="4E9EC0E2" w:rsidR="00D67F75" w:rsidRPr="00D67F75" w:rsidRDefault="005F7C2C" w:rsidP="00D67F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0DD4CDC2" w14:textId="77777777" w:rsidR="00D50DE8" w:rsidRDefault="00D50DE8" w:rsidP="00D50DE8">
      <w:pPr>
        <w:pStyle w:val="ProductList-Offering2Heading"/>
        <w:pBdr>
          <w:between w:val="single" w:sz="4" w:space="1" w:color="auto"/>
        </w:pBdr>
        <w:tabs>
          <w:tab w:val="clear" w:pos="360"/>
          <w:tab w:val="clear" w:pos="720"/>
          <w:tab w:val="clear" w:pos="1080"/>
        </w:tabs>
        <w:outlineLvl w:val="2"/>
      </w:pPr>
      <w:bookmarkStart w:id="63" w:name="_Toc195543067"/>
      <w:bookmarkStart w:id="64" w:name="_Toc237448920"/>
      <w:r>
        <w:t>Dynamics 365 Human Resources</w:t>
      </w:r>
      <w:bookmarkEnd w:id="63"/>
      <w:bookmarkEnd w:id="64"/>
    </w:p>
    <w:p w14:paraId="37E650DD" w14:textId="77777777" w:rsidR="00D50DE8" w:rsidRPr="00EF7CF9" w:rsidRDefault="00D50DE8" w:rsidP="00D50DE8">
      <w:pPr>
        <w:pStyle w:val="ProductList-Body"/>
        <w:rPr>
          <w:b/>
          <w:color w:val="00188F"/>
        </w:rPr>
      </w:pPr>
      <w:r>
        <w:rPr>
          <w:b/>
          <w:color w:val="00188F"/>
        </w:rPr>
        <w:t>Zusätzliche Definitionen</w:t>
      </w:r>
      <w:r w:rsidRPr="00ED75EB">
        <w:rPr>
          <w:b/>
          <w:color w:val="00188F"/>
        </w:rPr>
        <w:t>:</w:t>
      </w:r>
    </w:p>
    <w:p w14:paraId="19B90069" w14:textId="77777777" w:rsidR="00D50DE8" w:rsidRPr="00EF7CF9" w:rsidRDefault="00D50DE8" w:rsidP="00D50DE8">
      <w:pPr>
        <w:pStyle w:val="ProductList-Body"/>
      </w:pPr>
      <w:r>
        <w:t>Ein „</w:t>
      </w:r>
      <w:r>
        <w:rPr>
          <w:b/>
          <w:color w:val="00188F"/>
        </w:rPr>
        <w:t>Aktiver Mandant</w:t>
      </w:r>
      <w:r>
        <w:t>“ ist ein Mandant mit einer aktiven Hochverfügbarkeits-Produktionstopologie im Verwaltungsportal, der über eine aktive Datenbank verfügt, an der sich Nutzer anmelden können.</w:t>
      </w:r>
    </w:p>
    <w:p w14:paraId="74A6F342" w14:textId="77777777" w:rsidR="00D50DE8" w:rsidRPr="00EF7CF9" w:rsidRDefault="00D50DE8" w:rsidP="00657A3A">
      <w:pPr>
        <w:pStyle w:val="ProductList-Body"/>
      </w:pPr>
      <w:r>
        <w:rPr>
          <w:b/>
          <w:color w:val="00188F"/>
        </w:rPr>
        <w:t>Ausfallzeit</w:t>
      </w:r>
      <w:r w:rsidRPr="00ED75EB">
        <w:rPr>
          <w:b/>
          <w:color w:val="00188F"/>
        </w:rPr>
        <w:t>:</w:t>
      </w:r>
      <w:r>
        <w:t xml:space="preserve"> Jeder Zeitraum, in dem Endbenutzer keinen Lese- oder Schreibzugriff auf Dienstdaten haben, für die sie die erforderliche Berechtigung besitzen. In der Ausfallzeit werden geplante Ausfallzeiten nicht berücksichtigt.</w:t>
      </w:r>
    </w:p>
    <w:p w14:paraId="43CF1F57" w14:textId="5E3DE4EC" w:rsidR="00D50DE8" w:rsidRDefault="00AC48A7" w:rsidP="00D50DE8">
      <w:pPr>
        <w:pStyle w:val="ProductList-Body"/>
      </w:pPr>
      <w:r>
        <w:rPr>
          <w:b/>
          <w:color w:val="00188F"/>
        </w:rPr>
        <w:t>Betriebszeitprozentsatz</w:t>
      </w:r>
      <w:r w:rsidRPr="00ED75EB">
        <w:rPr>
          <w:b/>
          <w:color w:val="00188F"/>
        </w:rPr>
        <w:t>:</w:t>
      </w:r>
      <w:r>
        <w:t xml:space="preserve"> Der Betriebszeitprozentsatz errechnet sich nach folgender Formel:</w:t>
      </w:r>
    </w:p>
    <w:p w14:paraId="7BF229E3" w14:textId="77777777" w:rsidR="00D50DE8" w:rsidRPr="00EF7CF9" w:rsidRDefault="00D50DE8" w:rsidP="00D50DE8">
      <w:pPr>
        <w:pStyle w:val="ProductList-Body"/>
      </w:pPr>
    </w:p>
    <w:p w14:paraId="143DEF24" w14:textId="5E666715" w:rsidR="00D50DE8" w:rsidRPr="00EF7CF9"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Nutzerminuten abzüglich Ausfallzeit</m:t>
              </m:r>
            </m:num>
            <m:den>
              <m:r>
                <m:rPr>
                  <m:nor/>
                </m:rPr>
                <w:rPr>
                  <w:rFonts w:ascii="Cambria Math" w:hAnsi="Cambria Math" w:cs="Calibri"/>
                  <w:i/>
                  <w:sz w:val="18"/>
                  <w:szCs w:val="18"/>
                </w:rPr>
                <m:t>Nutzerminuten</m:t>
              </m:r>
            </m:den>
          </m:f>
          <m:r>
            <w:rPr>
              <w:rFonts w:ascii="Cambria Math" w:hAnsi="Cambria Math" w:cs="Calibri"/>
              <w:sz w:val="18"/>
              <w:szCs w:val="18"/>
            </w:rPr>
            <m:t xml:space="preserve"> x 100</m:t>
          </m:r>
        </m:oMath>
      </m:oMathPara>
    </w:p>
    <w:p w14:paraId="270BED5B" w14:textId="07842B32" w:rsidR="00D50DE8" w:rsidRPr="00EF7CF9" w:rsidRDefault="00AC48A7" w:rsidP="00D50DE8">
      <w:pPr>
        <w:pStyle w:val="ProductList-Body"/>
      </w:pPr>
      <w: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0F9D7528" w14:textId="77777777" w:rsidR="00D50DE8" w:rsidRPr="00EF7CF9" w:rsidRDefault="00D50DE8" w:rsidP="00D50DE8">
      <w:pPr>
        <w:pStyle w:val="ProductList-Body"/>
      </w:pPr>
    </w:p>
    <w:p w14:paraId="26A442BE" w14:textId="77777777" w:rsidR="00D50DE8" w:rsidRPr="00EF7CF9" w:rsidRDefault="00D50DE8" w:rsidP="00D50DE8">
      <w:pPr>
        <w:pStyle w:val="ProductList-Body"/>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367B9539" w14:textId="77777777" w:rsidTr="001439A9">
        <w:trPr>
          <w:tblHeader/>
        </w:trPr>
        <w:tc>
          <w:tcPr>
            <w:tcW w:w="5400" w:type="dxa"/>
            <w:shd w:val="clear" w:color="auto" w:fill="0072C6"/>
          </w:tcPr>
          <w:p w14:paraId="06A14A3E" w14:textId="02CCB828" w:rsidR="00D50DE8" w:rsidRPr="00EF7CF9" w:rsidRDefault="00AC48A7" w:rsidP="001439A9">
            <w:pPr>
              <w:pStyle w:val="ProductList-OfferingBody"/>
              <w:jc w:val="center"/>
              <w:rPr>
                <w:color w:val="FFFFFF" w:themeColor="background1"/>
              </w:rPr>
            </w:pPr>
            <w:r>
              <w:rPr>
                <w:color w:val="FFFFFF" w:themeColor="background1"/>
              </w:rPr>
              <w:lastRenderedPageBreak/>
              <w:t>Betriebszeitprozentsatz</w:t>
            </w:r>
          </w:p>
        </w:tc>
        <w:tc>
          <w:tcPr>
            <w:tcW w:w="5400" w:type="dxa"/>
            <w:shd w:val="clear" w:color="auto" w:fill="0072C6"/>
          </w:tcPr>
          <w:p w14:paraId="74A9F07B" w14:textId="77777777" w:rsidR="00D50DE8" w:rsidRPr="00EF7CF9" w:rsidRDefault="00D50DE8" w:rsidP="001439A9">
            <w:pPr>
              <w:pStyle w:val="ProductList-OfferingBody"/>
              <w:jc w:val="center"/>
              <w:rPr>
                <w:color w:val="FFFFFF" w:themeColor="background1"/>
              </w:rPr>
            </w:pPr>
            <w:r>
              <w:rPr>
                <w:color w:val="FFFFFF" w:themeColor="background1"/>
              </w:rPr>
              <w:t>Servicegutschrift</w:t>
            </w:r>
          </w:p>
        </w:tc>
      </w:tr>
      <w:tr w:rsidR="00D50DE8" w:rsidRPr="00B44CF9" w14:paraId="46EA17A8" w14:textId="77777777" w:rsidTr="001439A9">
        <w:tc>
          <w:tcPr>
            <w:tcW w:w="5400" w:type="dxa"/>
          </w:tcPr>
          <w:p w14:paraId="3E186CF8" w14:textId="77777777" w:rsidR="00D50DE8" w:rsidRPr="00EF7CF9" w:rsidRDefault="00D50DE8" w:rsidP="001439A9">
            <w:pPr>
              <w:pStyle w:val="ProductList-OfferingBody"/>
              <w:jc w:val="center"/>
            </w:pPr>
            <w:r>
              <w:t>&lt; 99,5 %</w:t>
            </w:r>
          </w:p>
        </w:tc>
        <w:tc>
          <w:tcPr>
            <w:tcW w:w="5400" w:type="dxa"/>
          </w:tcPr>
          <w:p w14:paraId="4A1947F3" w14:textId="77777777" w:rsidR="00D50DE8" w:rsidRPr="00EF7CF9" w:rsidRDefault="00D50DE8" w:rsidP="001439A9">
            <w:pPr>
              <w:pStyle w:val="ProductList-OfferingBody"/>
              <w:jc w:val="center"/>
            </w:pPr>
            <w:r>
              <w:t>25 %</w:t>
            </w:r>
          </w:p>
        </w:tc>
      </w:tr>
      <w:tr w:rsidR="00D50DE8" w:rsidRPr="00B44CF9" w14:paraId="6A44AE4D" w14:textId="77777777" w:rsidTr="001439A9">
        <w:tc>
          <w:tcPr>
            <w:tcW w:w="5400" w:type="dxa"/>
          </w:tcPr>
          <w:p w14:paraId="1D9A74D4" w14:textId="77777777" w:rsidR="00D50DE8" w:rsidRPr="00EF7CF9" w:rsidRDefault="00D50DE8" w:rsidP="001439A9">
            <w:pPr>
              <w:pStyle w:val="ProductList-OfferingBody"/>
              <w:jc w:val="center"/>
            </w:pPr>
            <w:r>
              <w:t>&lt; 99 %</w:t>
            </w:r>
          </w:p>
        </w:tc>
        <w:tc>
          <w:tcPr>
            <w:tcW w:w="5400" w:type="dxa"/>
          </w:tcPr>
          <w:p w14:paraId="4980B8F7" w14:textId="77777777" w:rsidR="00D50DE8" w:rsidRPr="00EF7CF9" w:rsidRDefault="00D50DE8" w:rsidP="001439A9">
            <w:pPr>
              <w:pStyle w:val="ProductList-OfferingBody"/>
              <w:jc w:val="center"/>
            </w:pPr>
            <w:r>
              <w:t>50 %</w:t>
            </w:r>
          </w:p>
        </w:tc>
      </w:tr>
      <w:tr w:rsidR="00D50DE8" w:rsidRPr="00B44CF9" w14:paraId="56CA73C8" w14:textId="77777777" w:rsidTr="001439A9">
        <w:tc>
          <w:tcPr>
            <w:tcW w:w="5400" w:type="dxa"/>
          </w:tcPr>
          <w:p w14:paraId="67DFA041" w14:textId="77777777" w:rsidR="00D50DE8" w:rsidRPr="00EF7CF9" w:rsidRDefault="00D50DE8" w:rsidP="001439A9">
            <w:pPr>
              <w:pStyle w:val="ProductList-OfferingBody"/>
              <w:jc w:val="center"/>
            </w:pPr>
            <w:r>
              <w:t>&lt; 95 %</w:t>
            </w:r>
          </w:p>
        </w:tc>
        <w:tc>
          <w:tcPr>
            <w:tcW w:w="5400" w:type="dxa"/>
          </w:tcPr>
          <w:p w14:paraId="0913C71E" w14:textId="77777777" w:rsidR="00D50DE8" w:rsidRPr="00EF7CF9" w:rsidRDefault="00D50DE8" w:rsidP="001439A9">
            <w:pPr>
              <w:pStyle w:val="ProductList-OfferingBody"/>
              <w:jc w:val="center"/>
            </w:pPr>
            <w:r>
              <w:t>100 %</w:t>
            </w:r>
          </w:p>
        </w:tc>
      </w:tr>
    </w:tbl>
    <w:bookmarkStart w:id="65" w:name="_Toc75271387"/>
    <w:bookmarkStart w:id="66" w:name="_Toc45621200"/>
    <w:p w14:paraId="72918536" w14:textId="2C0CA03B" w:rsidR="00D67F75" w:rsidRPr="00D67F75" w:rsidRDefault="005F7C2C" w:rsidP="00D67F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566D59E2" w14:textId="632A6027" w:rsidR="007D56EB" w:rsidRDefault="007D56EB" w:rsidP="007D56EB">
      <w:pPr>
        <w:pStyle w:val="ProductList-Offering2Heading"/>
        <w:pBdr>
          <w:between w:val="single" w:sz="4" w:space="1" w:color="auto"/>
        </w:pBdr>
        <w:tabs>
          <w:tab w:val="clear" w:pos="360"/>
          <w:tab w:val="clear" w:pos="720"/>
          <w:tab w:val="clear" w:pos="1080"/>
        </w:tabs>
        <w:outlineLvl w:val="2"/>
      </w:pPr>
      <w:bookmarkStart w:id="67" w:name="_Toc195543068"/>
      <w:bookmarkStart w:id="68" w:name="_Toc237448921"/>
      <w:r>
        <w:t>Dynamics 365 Intelligente Auftragsverwaltung</w:t>
      </w:r>
      <w:bookmarkEnd w:id="65"/>
      <w:bookmarkEnd w:id="67"/>
      <w:bookmarkEnd w:id="68"/>
    </w:p>
    <w:p w14:paraId="3C1E0D2A" w14:textId="77777777" w:rsidR="007D56EB" w:rsidRDefault="007D56EB" w:rsidP="007D56EB">
      <w:pPr>
        <w:pStyle w:val="ProductList-Body"/>
      </w:pPr>
      <w:r>
        <w:rPr>
          <w:b/>
          <w:color w:val="00188F"/>
        </w:rPr>
        <w:t>Ausfallzeit</w:t>
      </w:r>
      <w:r w:rsidRPr="00ED75EB">
        <w:rPr>
          <w:b/>
          <w:color w:val="00188F"/>
        </w:rPr>
        <w:t>:</w:t>
      </w:r>
      <w:r>
        <w:t xml:space="preserve"> </w:t>
      </w:r>
      <w:r>
        <w:rPr>
          <w:szCs w:val="18"/>
        </w:rPr>
        <w:t xml:space="preserve">Jeder Zeitraum, in dem Endnutzer nicht in der Lage sind, Dienstdaten zu lesen oder zu schreiben, für die sie über eine entsprechende Berechtigung verfügen; dies schließt jedoch nicht die Nichtverfügbarkeit von Service-Add-on-Funktionen ein.  </w:t>
      </w:r>
      <w:r>
        <w:t>In der Ausfallzeit werden geplante Ausfallzeiten nicht berücksichtigt.</w:t>
      </w:r>
    </w:p>
    <w:p w14:paraId="609CE0C4" w14:textId="54CFCC4C" w:rsidR="007D56EB" w:rsidRDefault="00AC48A7" w:rsidP="007D56EB">
      <w:pPr>
        <w:pStyle w:val="ProductList-Body"/>
      </w:pPr>
      <w:r>
        <w:rPr>
          <w:b/>
          <w:color w:val="00188F"/>
        </w:rPr>
        <w:t>Betriebszeitprozentsatz</w:t>
      </w:r>
      <w:r w:rsidRPr="00ED75EB">
        <w:rPr>
          <w:b/>
          <w:color w:val="00188F"/>
        </w:rPr>
        <w:t>:</w:t>
      </w:r>
      <w:r>
        <w:t xml:space="preserve"> Der Betriebszeitprozentsatz errechnet sich nach folgender Formel:</w:t>
      </w:r>
    </w:p>
    <w:p w14:paraId="7D67B4E9" w14:textId="77777777" w:rsidR="007D56EB" w:rsidRDefault="007D56EB" w:rsidP="007D56EB">
      <w:pPr>
        <w:pStyle w:val="ProductList-Body"/>
      </w:pPr>
    </w:p>
    <w:p w14:paraId="0E945C90" w14:textId="2AD0DCE5" w:rsidR="007D56EB" w:rsidRDefault="00000000" w:rsidP="007D56EB">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Nutzerminuten abzüglich Ausfallzeit</m:t>
              </m:r>
            </m:num>
            <m:den>
              <m:r>
                <m:rPr>
                  <m:nor/>
                </m:rPr>
                <w:rPr>
                  <w:rFonts w:ascii="Cambria Math" w:hAnsi="Cambria Math" w:cs="Calibri"/>
                  <w:i/>
                  <w:sz w:val="18"/>
                  <w:szCs w:val="18"/>
                </w:rPr>
                <m:t>Nutzerminuten</m:t>
              </m:r>
            </m:den>
          </m:f>
          <m:r>
            <w:rPr>
              <w:rFonts w:ascii="Cambria Math" w:hAnsi="Cambria Math" w:cs="Calibri"/>
              <w:sz w:val="18"/>
              <w:szCs w:val="18"/>
            </w:rPr>
            <m:t xml:space="preserve"> x 100</m:t>
          </m:r>
        </m:oMath>
      </m:oMathPara>
    </w:p>
    <w:p w14:paraId="6CAFB4FC" w14:textId="4371F547" w:rsidR="007D56EB" w:rsidRDefault="00AC48A7" w:rsidP="007D56EB">
      <w:pPr>
        <w:pStyle w:val="ProductList-Body"/>
      </w:pPr>
      <w: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2BBF1BFD" w14:textId="77777777" w:rsidR="007D56EB" w:rsidRDefault="007D56EB" w:rsidP="007D56EB">
      <w:pPr>
        <w:pStyle w:val="ProductList-Body"/>
      </w:pPr>
    </w:p>
    <w:p w14:paraId="5DA176E0" w14:textId="77777777" w:rsidR="007D56EB" w:rsidRDefault="007D56EB" w:rsidP="007D56EB">
      <w:pPr>
        <w:pStyle w:val="ProductList-Body"/>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D56EB" w14:paraId="0E568DED" w14:textId="77777777" w:rsidTr="007D56EB">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65A5189" w14:textId="05DB6E3A" w:rsidR="007D56EB" w:rsidRDefault="00AC48A7">
            <w:pPr>
              <w:pStyle w:val="ProductList-OfferingBody"/>
              <w:spacing w:line="256" w:lineRule="auto"/>
              <w:jc w:val="center"/>
              <w:rPr>
                <w:color w:val="FFFFFF" w:themeColor="background1"/>
              </w:rPr>
            </w:pPr>
            <w:r>
              <w:rPr>
                <w:color w:val="FFFFFF" w:themeColor="background1"/>
              </w:rPr>
              <w:t>Betriebszeitprozentsatz</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1F6A64D" w14:textId="77777777" w:rsidR="007D56EB" w:rsidRDefault="007D56EB">
            <w:pPr>
              <w:pStyle w:val="ProductList-OfferingBody"/>
              <w:spacing w:line="256" w:lineRule="auto"/>
              <w:jc w:val="center"/>
              <w:rPr>
                <w:color w:val="FFFFFF" w:themeColor="background1"/>
              </w:rPr>
            </w:pPr>
            <w:r>
              <w:rPr>
                <w:color w:val="FFFFFF" w:themeColor="background1"/>
              </w:rPr>
              <w:t>Servicegutschrift</w:t>
            </w:r>
          </w:p>
        </w:tc>
      </w:tr>
      <w:tr w:rsidR="007D56EB" w14:paraId="7B6F2389" w14:textId="77777777" w:rsidTr="007D56EB">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8F682F" w14:textId="77777777" w:rsidR="007D56EB" w:rsidRDefault="007D56EB">
            <w:pPr>
              <w:pStyle w:val="ProductList-OfferingBody"/>
              <w:spacing w:line="256" w:lineRule="auto"/>
              <w:jc w:val="center"/>
            </w:pPr>
            <w: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9C978E" w14:textId="77777777" w:rsidR="007D56EB" w:rsidRDefault="007D56EB">
            <w:pPr>
              <w:pStyle w:val="ProductList-OfferingBody"/>
              <w:spacing w:line="256" w:lineRule="auto"/>
              <w:jc w:val="center"/>
            </w:pPr>
            <w:r>
              <w:t>25 %</w:t>
            </w:r>
          </w:p>
        </w:tc>
      </w:tr>
      <w:tr w:rsidR="007D56EB" w14:paraId="46492569" w14:textId="77777777" w:rsidTr="007D56EB">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B32FD5" w14:textId="77777777" w:rsidR="007D56EB" w:rsidRDefault="007D56EB">
            <w:pPr>
              <w:pStyle w:val="ProductList-OfferingBody"/>
              <w:spacing w:line="256"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3F0255" w14:textId="77777777" w:rsidR="007D56EB" w:rsidRDefault="007D56EB">
            <w:pPr>
              <w:pStyle w:val="ProductList-OfferingBody"/>
              <w:spacing w:line="256" w:lineRule="auto"/>
              <w:jc w:val="center"/>
            </w:pPr>
            <w:r>
              <w:t>50 %</w:t>
            </w:r>
          </w:p>
        </w:tc>
      </w:tr>
      <w:tr w:rsidR="007D56EB" w14:paraId="3578F271" w14:textId="77777777" w:rsidTr="007D56EB">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2CFF44" w14:textId="77777777" w:rsidR="007D56EB" w:rsidRDefault="007D56EB">
            <w:pPr>
              <w:pStyle w:val="ProductList-OfferingBody"/>
              <w:spacing w:line="256" w:lineRule="auto"/>
              <w:jc w:val="center"/>
            </w:pPr>
            <w:r>
              <w:t>&lt; 95 %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49C78A" w14:textId="77777777" w:rsidR="007D56EB" w:rsidRDefault="007D56EB">
            <w:pPr>
              <w:pStyle w:val="ProductList-OfferingBody"/>
              <w:spacing w:line="256" w:lineRule="auto"/>
              <w:jc w:val="center"/>
            </w:pPr>
            <w:r>
              <w:t>100 %</w:t>
            </w:r>
          </w:p>
        </w:tc>
      </w:tr>
    </w:tbl>
    <w:p w14:paraId="7588D7D1" w14:textId="6C469285" w:rsidR="00D67F75" w:rsidRPr="00D67F75" w:rsidRDefault="005F7C2C" w:rsidP="00D67F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76227EBA" w14:textId="77777777" w:rsidR="001439A9" w:rsidRDefault="001439A9" w:rsidP="00DF38A7">
      <w:pPr>
        <w:pStyle w:val="ProductList-Offering2Heading"/>
        <w:keepNext/>
        <w:pBdr>
          <w:between w:val="single" w:sz="4" w:space="1" w:color="auto"/>
        </w:pBdr>
        <w:tabs>
          <w:tab w:val="clear" w:pos="360"/>
          <w:tab w:val="clear" w:pos="720"/>
          <w:tab w:val="clear" w:pos="1080"/>
        </w:tabs>
        <w:outlineLvl w:val="2"/>
      </w:pPr>
      <w:bookmarkStart w:id="69" w:name="_Toc195543069"/>
      <w:bookmarkStart w:id="70" w:name="_Toc237448922"/>
      <w:r>
        <w:t>Dynamics 365 Remote Assist</w:t>
      </w:r>
      <w:bookmarkEnd w:id="66"/>
      <w:bookmarkEnd w:id="69"/>
      <w:bookmarkEnd w:id="70"/>
    </w:p>
    <w:p w14:paraId="24648987" w14:textId="77777777" w:rsidR="001439A9" w:rsidRPr="00EF7CF9" w:rsidRDefault="001439A9" w:rsidP="001439A9">
      <w:pPr>
        <w:pStyle w:val="ProductList-Body"/>
        <w:rPr>
          <w:b/>
          <w:color w:val="00188F"/>
        </w:rPr>
      </w:pPr>
      <w:r>
        <w:rPr>
          <w:b/>
          <w:color w:val="00188F"/>
        </w:rPr>
        <w:t>Zusätzliche Definitionen</w:t>
      </w:r>
      <w:r w:rsidRPr="00ED75EB">
        <w:rPr>
          <w:b/>
          <w:color w:val="00188F"/>
        </w:rPr>
        <w:t>:</w:t>
      </w:r>
    </w:p>
    <w:p w14:paraId="3FFCBF82" w14:textId="77777777" w:rsidR="001439A9" w:rsidRPr="00EF7CF9" w:rsidRDefault="001439A9" w:rsidP="001439A9">
      <w:pPr>
        <w:pStyle w:val="ProductList-Body"/>
      </w:pPr>
      <w:r>
        <w:rPr>
          <w:b/>
          <w:color w:val="00188F"/>
        </w:rPr>
        <w:t>Ausfallzeit</w:t>
      </w:r>
      <w:r w:rsidRPr="00ED75EB">
        <w:rPr>
          <w:b/>
          <w:color w:val="00188F"/>
        </w:rPr>
        <w:t>:</w:t>
      </w:r>
      <w:r>
        <w:t xml:space="preserve"> Jeder Zeitraum, in dem Endbenutzer nicht Konversationen per Sofortnachricht führen oder Anrufe veranlassen oder daran teilnehmen können.*</w:t>
      </w:r>
    </w:p>
    <w:p w14:paraId="5E4BB24B" w14:textId="4A49FE03" w:rsidR="001439A9" w:rsidRDefault="00AC48A7" w:rsidP="001439A9">
      <w:pPr>
        <w:pStyle w:val="ProductList-Body"/>
      </w:pPr>
      <w:r>
        <w:rPr>
          <w:b/>
          <w:color w:val="00188F"/>
        </w:rPr>
        <w:t>Betriebszeitprozentsatz</w:t>
      </w:r>
      <w:r w:rsidRPr="00ED75EB">
        <w:rPr>
          <w:b/>
          <w:color w:val="00188F"/>
        </w:rPr>
        <w:t>:</w:t>
      </w:r>
      <w:r>
        <w:t xml:space="preserve"> Der Betriebszeitprozentsatz errechnet sich nach folgender Formel:</w:t>
      </w:r>
    </w:p>
    <w:p w14:paraId="1903DFCF" w14:textId="77777777" w:rsidR="001439A9" w:rsidRPr="00EF7CF9" w:rsidRDefault="001439A9" w:rsidP="001439A9">
      <w:pPr>
        <w:pStyle w:val="ProductList-Body"/>
      </w:pPr>
    </w:p>
    <w:p w14:paraId="44ADC5A4" w14:textId="29B70E57" w:rsidR="001439A9" w:rsidRPr="00EF7CF9" w:rsidRDefault="00000000" w:rsidP="001439A9">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Nutzerminuten abzüglich Ausfallzeit</m:t>
              </m:r>
            </m:num>
            <m:den>
              <m:r>
                <m:rPr>
                  <m:nor/>
                </m:rPr>
                <w:rPr>
                  <w:rFonts w:ascii="Cambria Math" w:hAnsi="Cambria Math" w:cs="Calibri"/>
                  <w:i/>
                  <w:sz w:val="18"/>
                  <w:szCs w:val="18"/>
                </w:rPr>
                <m:t>Nutzerminuten</m:t>
              </m:r>
            </m:den>
          </m:f>
          <m:r>
            <w:rPr>
              <w:rFonts w:ascii="Cambria Math" w:hAnsi="Cambria Math" w:cs="Calibri"/>
              <w:sz w:val="18"/>
              <w:szCs w:val="18"/>
            </w:rPr>
            <m:t xml:space="preserve"> x 100</m:t>
          </m:r>
        </m:oMath>
      </m:oMathPara>
    </w:p>
    <w:p w14:paraId="5983FC51" w14:textId="6221A125" w:rsidR="001439A9" w:rsidRDefault="00AC48A7" w:rsidP="001439A9">
      <w:pPr>
        <w:pStyle w:val="ProductList-Body"/>
      </w:pPr>
      <w: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6A6DB8F2" w14:textId="77777777" w:rsidR="001439A9" w:rsidRPr="001A7F2A" w:rsidRDefault="001439A9" w:rsidP="001439A9">
      <w:pPr>
        <w:pStyle w:val="ProductList-Body"/>
        <w:rPr>
          <w:i/>
          <w:iCs/>
        </w:rPr>
      </w:pPr>
      <w:r>
        <w:rPr>
          <w:i/>
          <w:iCs/>
        </w:rPr>
        <w:t>*Konversationen per Sofortnachricht sind nur auf einigen Plattformen verfügbar</w:t>
      </w:r>
    </w:p>
    <w:p w14:paraId="0E5D0604" w14:textId="77777777" w:rsidR="001439A9" w:rsidRPr="00EF7CF9" w:rsidRDefault="001439A9" w:rsidP="001439A9">
      <w:pPr>
        <w:pStyle w:val="ProductList-Body"/>
      </w:pPr>
    </w:p>
    <w:p w14:paraId="21BC82B9" w14:textId="77777777" w:rsidR="001439A9" w:rsidRPr="00EF7CF9" w:rsidRDefault="001439A9" w:rsidP="001439A9">
      <w:pPr>
        <w:pStyle w:val="ProductList-Body"/>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439A9" w:rsidRPr="00B44CF9" w14:paraId="10102757" w14:textId="77777777" w:rsidTr="001439A9">
        <w:trPr>
          <w:tblHeader/>
        </w:trPr>
        <w:tc>
          <w:tcPr>
            <w:tcW w:w="5400" w:type="dxa"/>
            <w:shd w:val="clear" w:color="auto" w:fill="0072C6"/>
          </w:tcPr>
          <w:p w14:paraId="57EFC0AF" w14:textId="3F2FEC79" w:rsidR="001439A9" w:rsidRPr="00EF7CF9" w:rsidRDefault="00AC48A7" w:rsidP="001439A9">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23BFCC5F" w14:textId="77777777" w:rsidR="001439A9" w:rsidRPr="00EF7CF9" w:rsidRDefault="001439A9" w:rsidP="001439A9">
            <w:pPr>
              <w:pStyle w:val="ProductList-OfferingBody"/>
              <w:jc w:val="center"/>
              <w:rPr>
                <w:color w:val="FFFFFF" w:themeColor="background1"/>
              </w:rPr>
            </w:pPr>
            <w:r>
              <w:rPr>
                <w:color w:val="FFFFFF" w:themeColor="background1"/>
              </w:rPr>
              <w:t>Servicegutschrift</w:t>
            </w:r>
          </w:p>
        </w:tc>
      </w:tr>
      <w:tr w:rsidR="001439A9" w:rsidRPr="00B44CF9" w14:paraId="2130798E" w14:textId="77777777" w:rsidTr="001439A9">
        <w:tc>
          <w:tcPr>
            <w:tcW w:w="5400" w:type="dxa"/>
          </w:tcPr>
          <w:p w14:paraId="56C1EB61" w14:textId="77777777" w:rsidR="001439A9" w:rsidRPr="00EF7CF9" w:rsidRDefault="001439A9" w:rsidP="001439A9">
            <w:pPr>
              <w:pStyle w:val="ProductList-OfferingBody"/>
              <w:jc w:val="center"/>
            </w:pPr>
            <w:r>
              <w:t>&lt; 99,9 %</w:t>
            </w:r>
          </w:p>
        </w:tc>
        <w:tc>
          <w:tcPr>
            <w:tcW w:w="5400" w:type="dxa"/>
          </w:tcPr>
          <w:p w14:paraId="686FB99C" w14:textId="77777777" w:rsidR="001439A9" w:rsidRPr="00EF7CF9" w:rsidRDefault="001439A9" w:rsidP="001439A9">
            <w:pPr>
              <w:pStyle w:val="ProductList-OfferingBody"/>
              <w:jc w:val="center"/>
            </w:pPr>
            <w:r>
              <w:t>25 %</w:t>
            </w:r>
          </w:p>
        </w:tc>
      </w:tr>
      <w:tr w:rsidR="001439A9" w:rsidRPr="00B44CF9" w14:paraId="1A28BC55" w14:textId="77777777" w:rsidTr="001439A9">
        <w:tc>
          <w:tcPr>
            <w:tcW w:w="5400" w:type="dxa"/>
          </w:tcPr>
          <w:p w14:paraId="5BB3F4EE" w14:textId="77777777" w:rsidR="001439A9" w:rsidRPr="00EF7CF9" w:rsidRDefault="001439A9" w:rsidP="001439A9">
            <w:pPr>
              <w:pStyle w:val="ProductList-OfferingBody"/>
              <w:jc w:val="center"/>
            </w:pPr>
            <w:r>
              <w:t>&lt; 99 %</w:t>
            </w:r>
          </w:p>
        </w:tc>
        <w:tc>
          <w:tcPr>
            <w:tcW w:w="5400" w:type="dxa"/>
          </w:tcPr>
          <w:p w14:paraId="21C83F15" w14:textId="77777777" w:rsidR="001439A9" w:rsidRPr="00EF7CF9" w:rsidRDefault="001439A9" w:rsidP="001439A9">
            <w:pPr>
              <w:pStyle w:val="ProductList-OfferingBody"/>
              <w:jc w:val="center"/>
            </w:pPr>
            <w:r>
              <w:t>50 %</w:t>
            </w:r>
          </w:p>
        </w:tc>
      </w:tr>
    </w:tbl>
    <w:p w14:paraId="1DCC583A" w14:textId="59A242B1" w:rsidR="00D67F75" w:rsidRPr="00D67F75" w:rsidRDefault="005F7C2C" w:rsidP="00D67F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7226BFA7" w14:textId="77777777" w:rsidR="00D50DE8" w:rsidRPr="00364EEB" w:rsidRDefault="00D50DE8" w:rsidP="00657A3A">
      <w:pPr>
        <w:pStyle w:val="ProductList-Offering2Heading"/>
        <w:keepNext/>
        <w:pBdr>
          <w:between w:val="single" w:sz="4" w:space="1" w:color="auto"/>
        </w:pBdr>
        <w:tabs>
          <w:tab w:val="clear" w:pos="360"/>
          <w:tab w:val="clear" w:pos="720"/>
          <w:tab w:val="clear" w:pos="1080"/>
        </w:tabs>
        <w:outlineLvl w:val="2"/>
        <w:rPr>
          <w:lang w:val="en-US"/>
        </w:rPr>
      </w:pPr>
      <w:bookmarkStart w:id="71" w:name="_Toc195543070"/>
      <w:bookmarkStart w:id="72" w:name="_Toc237448923"/>
      <w:r w:rsidRPr="00364EEB">
        <w:rPr>
          <w:lang w:val="en-US"/>
        </w:rPr>
        <w:t>Dynamics 365 Sales Enterprise, Dynamics 365 Sales Professional</w:t>
      </w:r>
      <w:bookmarkEnd w:id="71"/>
      <w:bookmarkEnd w:id="72"/>
    </w:p>
    <w:p w14:paraId="539367AE" w14:textId="77777777" w:rsidR="00D50DE8" w:rsidRPr="00EF7CF9" w:rsidRDefault="00D50DE8" w:rsidP="00657A3A">
      <w:pPr>
        <w:pStyle w:val="ProductList-Body"/>
      </w:pPr>
      <w:r>
        <w:rPr>
          <w:b/>
          <w:color w:val="00188F"/>
        </w:rPr>
        <w:t>Ausfallzeit</w:t>
      </w:r>
      <w:r w:rsidRPr="00ED75EB">
        <w:rPr>
          <w:b/>
          <w:color w:val="00188F"/>
        </w:rPr>
        <w:t>:</w:t>
      </w:r>
      <w:r>
        <w:t xml:space="preserve"> Jeder Zeitraum, in dem Endbenutzer nicht in der Lage sind, Servicedaten zu lesen oder zu schreiben, für die sie über eine entsprechende Berechtigung verfügen; dies schließt jedoch nicht die Nichtverfügbarkeit von Service-Add-On-Funktionen ein.</w:t>
      </w:r>
    </w:p>
    <w:p w14:paraId="58FD4D8F" w14:textId="1D9CA08A" w:rsidR="00D50DE8" w:rsidRDefault="00AC48A7" w:rsidP="00D50DE8">
      <w:pPr>
        <w:pStyle w:val="ProductList-Body"/>
      </w:pPr>
      <w:r>
        <w:rPr>
          <w:b/>
          <w:color w:val="00188F"/>
        </w:rPr>
        <w:t>Betriebszeitprozentsatz</w:t>
      </w:r>
      <w:r w:rsidRPr="00ED75EB">
        <w:rPr>
          <w:b/>
          <w:color w:val="00188F"/>
        </w:rPr>
        <w:t>:</w:t>
      </w:r>
      <w:r>
        <w:t xml:space="preserve"> Der Betriebszeitprozentsatz errechnet sich nach folgender Formel:</w:t>
      </w:r>
    </w:p>
    <w:p w14:paraId="08954E81" w14:textId="77777777" w:rsidR="00D50DE8" w:rsidRPr="00EF7CF9" w:rsidRDefault="00D50DE8" w:rsidP="00D50DE8">
      <w:pPr>
        <w:pStyle w:val="ProductList-Body"/>
      </w:pPr>
    </w:p>
    <w:p w14:paraId="62F15F63" w14:textId="6EADEE94" w:rsidR="00D50DE8" w:rsidRPr="00EF7CF9"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Nutzerminuten abzüglich Ausfallzeit</m:t>
              </m:r>
            </m:num>
            <m:den>
              <m:r>
                <m:rPr>
                  <m:nor/>
                </m:rPr>
                <w:rPr>
                  <w:rFonts w:ascii="Cambria Math" w:hAnsi="Cambria Math" w:cs="Calibri"/>
                  <w:i/>
                  <w:sz w:val="18"/>
                  <w:szCs w:val="18"/>
                </w:rPr>
                <m:t>Nutzerminuten</m:t>
              </m:r>
            </m:den>
          </m:f>
          <m:r>
            <w:rPr>
              <w:rFonts w:ascii="Cambria Math" w:hAnsi="Cambria Math" w:cs="Calibri"/>
              <w:sz w:val="18"/>
              <w:szCs w:val="18"/>
            </w:rPr>
            <m:t xml:space="preserve"> x 100</m:t>
          </m:r>
        </m:oMath>
      </m:oMathPara>
    </w:p>
    <w:p w14:paraId="60E53F77" w14:textId="2CE96DAA" w:rsidR="00D50DE8" w:rsidRPr="00EF7CF9" w:rsidRDefault="00AC48A7" w:rsidP="00D50DE8">
      <w:pPr>
        <w:pStyle w:val="ProductList-Body"/>
      </w:pPr>
      <w:r>
        <w:lastRenderedPageBreak/>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24090D09" w14:textId="77777777" w:rsidR="00657A3A" w:rsidRDefault="00657A3A" w:rsidP="00D50DE8">
      <w:pPr>
        <w:pStyle w:val="ProductList-Body"/>
        <w:rPr>
          <w:b/>
          <w:color w:val="00188F"/>
        </w:rPr>
      </w:pPr>
    </w:p>
    <w:p w14:paraId="55C0A4A7" w14:textId="5C6183C5" w:rsidR="00D50DE8" w:rsidRPr="00EF7CF9" w:rsidRDefault="00D50DE8" w:rsidP="00D50DE8">
      <w:pPr>
        <w:pStyle w:val="ProductList-Body"/>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63D1D83C" w14:textId="77777777" w:rsidTr="001439A9">
        <w:trPr>
          <w:tblHeader/>
        </w:trPr>
        <w:tc>
          <w:tcPr>
            <w:tcW w:w="5400" w:type="dxa"/>
            <w:shd w:val="clear" w:color="auto" w:fill="0072C6"/>
          </w:tcPr>
          <w:p w14:paraId="5A796E23" w14:textId="1220DCF1" w:rsidR="00D50DE8" w:rsidRPr="00EF7CF9" w:rsidRDefault="00AC48A7" w:rsidP="001439A9">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7F831BE3" w14:textId="77777777" w:rsidR="00D50DE8" w:rsidRPr="00EF7CF9" w:rsidRDefault="00D50DE8" w:rsidP="001439A9">
            <w:pPr>
              <w:pStyle w:val="ProductList-OfferingBody"/>
              <w:jc w:val="center"/>
              <w:rPr>
                <w:color w:val="FFFFFF" w:themeColor="background1"/>
              </w:rPr>
            </w:pPr>
            <w:r>
              <w:rPr>
                <w:color w:val="FFFFFF" w:themeColor="background1"/>
              </w:rPr>
              <w:t>Servicegutschrift</w:t>
            </w:r>
          </w:p>
        </w:tc>
      </w:tr>
      <w:tr w:rsidR="00D50DE8" w:rsidRPr="00B44CF9" w14:paraId="79C4124E" w14:textId="77777777" w:rsidTr="001439A9">
        <w:tc>
          <w:tcPr>
            <w:tcW w:w="5400" w:type="dxa"/>
          </w:tcPr>
          <w:p w14:paraId="046170E8" w14:textId="77777777" w:rsidR="00D50DE8" w:rsidRPr="00EF7CF9" w:rsidRDefault="00D50DE8" w:rsidP="001439A9">
            <w:pPr>
              <w:pStyle w:val="ProductList-OfferingBody"/>
              <w:jc w:val="center"/>
            </w:pPr>
            <w:r>
              <w:t>&lt; 99,9 %</w:t>
            </w:r>
          </w:p>
        </w:tc>
        <w:tc>
          <w:tcPr>
            <w:tcW w:w="5400" w:type="dxa"/>
          </w:tcPr>
          <w:p w14:paraId="29353878" w14:textId="77777777" w:rsidR="00D50DE8" w:rsidRPr="00EF7CF9" w:rsidRDefault="00D50DE8" w:rsidP="001439A9">
            <w:pPr>
              <w:pStyle w:val="ProductList-OfferingBody"/>
              <w:jc w:val="center"/>
            </w:pPr>
            <w:r>
              <w:t>25 %</w:t>
            </w:r>
          </w:p>
        </w:tc>
      </w:tr>
      <w:tr w:rsidR="00D50DE8" w:rsidRPr="00B44CF9" w14:paraId="77146D70" w14:textId="77777777" w:rsidTr="001439A9">
        <w:tc>
          <w:tcPr>
            <w:tcW w:w="5400" w:type="dxa"/>
          </w:tcPr>
          <w:p w14:paraId="71FF3BCF" w14:textId="77777777" w:rsidR="00D50DE8" w:rsidRPr="00EF7CF9" w:rsidRDefault="00D50DE8" w:rsidP="001439A9">
            <w:pPr>
              <w:pStyle w:val="ProductList-OfferingBody"/>
              <w:jc w:val="center"/>
            </w:pPr>
            <w:r>
              <w:t>&lt; 99 %</w:t>
            </w:r>
          </w:p>
        </w:tc>
        <w:tc>
          <w:tcPr>
            <w:tcW w:w="5400" w:type="dxa"/>
          </w:tcPr>
          <w:p w14:paraId="67A66F9B" w14:textId="77777777" w:rsidR="00D50DE8" w:rsidRPr="00EF7CF9" w:rsidRDefault="00D50DE8" w:rsidP="001439A9">
            <w:pPr>
              <w:pStyle w:val="ProductList-OfferingBody"/>
              <w:jc w:val="center"/>
            </w:pPr>
            <w:r>
              <w:t>50 %</w:t>
            </w:r>
          </w:p>
        </w:tc>
      </w:tr>
      <w:tr w:rsidR="00D50DE8" w:rsidRPr="00B44CF9" w14:paraId="7B8B001D" w14:textId="77777777" w:rsidTr="001439A9">
        <w:tc>
          <w:tcPr>
            <w:tcW w:w="5400" w:type="dxa"/>
          </w:tcPr>
          <w:p w14:paraId="65B7639C" w14:textId="77777777" w:rsidR="00D50DE8" w:rsidRPr="00EF7CF9" w:rsidRDefault="00D50DE8" w:rsidP="001439A9">
            <w:pPr>
              <w:pStyle w:val="ProductList-OfferingBody"/>
              <w:jc w:val="center"/>
            </w:pPr>
            <w:r>
              <w:t>&lt; 95 %</w:t>
            </w:r>
          </w:p>
        </w:tc>
        <w:tc>
          <w:tcPr>
            <w:tcW w:w="5400" w:type="dxa"/>
          </w:tcPr>
          <w:p w14:paraId="477556AD" w14:textId="77777777" w:rsidR="00D50DE8" w:rsidRPr="00EF7CF9" w:rsidRDefault="00D50DE8" w:rsidP="001439A9">
            <w:pPr>
              <w:pStyle w:val="ProductList-OfferingBody"/>
              <w:jc w:val="center"/>
            </w:pPr>
            <w:r>
              <w:t>100 %</w:t>
            </w:r>
          </w:p>
        </w:tc>
      </w:tr>
    </w:tbl>
    <w:p w14:paraId="39BC4DA9" w14:textId="481D8EDB" w:rsidR="00D67F75" w:rsidRPr="00D67F75" w:rsidRDefault="005F7C2C" w:rsidP="00D67F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7682B31F" w14:textId="7AE67E3D" w:rsidR="00E044E6" w:rsidRPr="00364EEB" w:rsidRDefault="00E044E6" w:rsidP="00E044E6">
      <w:pPr>
        <w:pStyle w:val="ProductList-Offering2Heading"/>
        <w:pBdr>
          <w:between w:val="single" w:sz="4" w:space="1" w:color="auto"/>
        </w:pBdr>
        <w:tabs>
          <w:tab w:val="clear" w:pos="360"/>
          <w:tab w:val="clear" w:pos="720"/>
          <w:tab w:val="clear" w:pos="1080"/>
        </w:tabs>
        <w:outlineLvl w:val="2"/>
        <w:rPr>
          <w:lang w:val="en-US"/>
        </w:rPr>
      </w:pPr>
      <w:bookmarkStart w:id="73" w:name="_Toc195543071"/>
      <w:bookmarkStart w:id="74" w:name="_Toc237448924"/>
      <w:r w:rsidRPr="00364EEB">
        <w:rPr>
          <w:lang w:val="en-US"/>
        </w:rPr>
        <w:t xml:space="preserve">Dynamics 365 </w:t>
      </w:r>
      <w:bookmarkStart w:id="75" w:name="_Hlk19533710"/>
      <w:bookmarkEnd w:id="46"/>
      <w:bookmarkEnd w:id="47"/>
      <w:bookmarkEnd w:id="60"/>
      <w:r w:rsidRPr="00364EEB">
        <w:rPr>
          <w:lang w:val="en-US"/>
        </w:rPr>
        <w:t>Supply Chain Management, Dynamics 365 Finance</w:t>
      </w:r>
      <w:bookmarkStart w:id="76" w:name="_Hlk51044510"/>
      <w:bookmarkEnd w:id="75"/>
      <w:r w:rsidRPr="00364EEB">
        <w:rPr>
          <w:lang w:val="en-US"/>
        </w:rPr>
        <w:t>, Dynamics 365 Project Operations</w:t>
      </w:r>
      <w:bookmarkEnd w:id="73"/>
      <w:bookmarkEnd w:id="74"/>
      <w:bookmarkEnd w:id="76"/>
    </w:p>
    <w:p w14:paraId="0F1E9C48" w14:textId="77777777" w:rsidR="00E044E6" w:rsidRPr="00ED75EB" w:rsidRDefault="00E044E6" w:rsidP="00E044E6">
      <w:pPr>
        <w:pStyle w:val="ProductList-Body"/>
        <w:rPr>
          <w:szCs w:val="18"/>
        </w:rPr>
      </w:pPr>
      <w:r w:rsidRPr="00ED75EB">
        <w:rPr>
          <w:b/>
          <w:color w:val="00188F"/>
          <w:szCs w:val="18"/>
        </w:rPr>
        <w:t>Zusätzliche Definitionen:</w:t>
      </w:r>
    </w:p>
    <w:p w14:paraId="245E3EEA" w14:textId="033BDF37" w:rsidR="00E044E6" w:rsidRPr="00ED75EB" w:rsidRDefault="00EF7CF9" w:rsidP="00BE20CD">
      <w:pPr>
        <w:pStyle w:val="ProductList-Body"/>
        <w:tabs>
          <w:tab w:val="clear" w:pos="360"/>
          <w:tab w:val="clear" w:pos="720"/>
          <w:tab w:val="clear" w:pos="1080"/>
        </w:tabs>
        <w:rPr>
          <w:color w:val="000000" w:themeColor="text1"/>
          <w:szCs w:val="18"/>
        </w:rPr>
      </w:pPr>
      <w:r w:rsidRPr="00ED75EB">
        <w:rPr>
          <w:szCs w:val="18"/>
        </w:rPr>
        <w:t xml:space="preserve">Ein </w:t>
      </w:r>
      <w:r w:rsidRPr="00ED75EB">
        <w:rPr>
          <w:rFonts w:eastAsia="Segoe UI" w:cs="Segoe UI"/>
          <w:szCs w:val="18"/>
        </w:rPr>
        <w:t>„</w:t>
      </w:r>
      <w:r w:rsidRPr="00ED75EB">
        <w:rPr>
          <w:rFonts w:eastAsia="Segoe UI" w:cs="Segoe UI"/>
          <w:b/>
          <w:color w:val="00188F"/>
          <w:szCs w:val="18"/>
        </w:rPr>
        <w:t>Aktiver Mandant</w:t>
      </w:r>
      <w:r w:rsidRPr="00ED75EB">
        <w:rPr>
          <w:rFonts w:eastAsia="Segoe UI" w:cs="Segoe UI"/>
          <w:szCs w:val="18"/>
        </w:rPr>
        <w:t>“ ist ein Mandant mit einer aktiven Hochverfügbarkeits-Produktionstopologie im Verwaltungsportal, der (A) für einen Partneranwendungsdienst bereitgestellt wurde; und (B) über eine aktive Datenbank verfügt, an der sich Nutzer anmelden können.</w:t>
      </w:r>
    </w:p>
    <w:p w14:paraId="4EA058CB" w14:textId="7A423D85" w:rsidR="00E044E6" w:rsidRPr="00ED75EB" w:rsidRDefault="00EF7CF9" w:rsidP="00BE20CD">
      <w:pPr>
        <w:spacing w:after="0"/>
        <w:rPr>
          <w:rFonts w:cs="Segoe UI"/>
          <w:spacing w:val="-2"/>
          <w:sz w:val="18"/>
          <w:szCs w:val="18"/>
        </w:rPr>
      </w:pPr>
      <w:r w:rsidRPr="00ED75EB">
        <w:rPr>
          <w:spacing w:val="-2"/>
          <w:sz w:val="18"/>
          <w:szCs w:val="18"/>
        </w:rPr>
        <w:t xml:space="preserve">Ein </w:t>
      </w:r>
      <w:r w:rsidRPr="00ED75EB">
        <w:rPr>
          <w:rFonts w:cs="Segoe UI"/>
          <w:spacing w:val="-2"/>
          <w:sz w:val="18"/>
          <w:szCs w:val="18"/>
        </w:rPr>
        <w:t>„</w:t>
      </w:r>
      <w:r w:rsidRPr="00ED75EB">
        <w:rPr>
          <w:rFonts w:cs="Segoe UI"/>
          <w:b/>
          <w:color w:val="00188F"/>
          <w:spacing w:val="-2"/>
          <w:sz w:val="18"/>
          <w:szCs w:val="18"/>
        </w:rPr>
        <w:t>Partneranwendungsdienst</w:t>
      </w:r>
      <w:r w:rsidRPr="00ED75EB">
        <w:rPr>
          <w:rFonts w:cs="Segoe UI"/>
          <w:spacing w:val="-2"/>
          <w:sz w:val="18"/>
          <w:szCs w:val="18"/>
        </w:rPr>
        <w:t>“ ist eine Partneranwendung, die auf der Plattform entwickelt und mit dieser kombiniert wurde und (A) zur Verarbeitung der tatsächlichen Geschäftstransaktionen Ihrer Organisation verwendet wird; und (B) über Reserve-Computing- und -speicherressourcen verfügt, die gleich oder größer als eine der Skalierungseinheiten sind, die Ihr Partner für die entsprechende Partneranwendung ausgewählt hat.</w:t>
      </w:r>
    </w:p>
    <w:p w14:paraId="787B5004" w14:textId="130C1DF6" w:rsidR="00E044E6" w:rsidRPr="00ED75EB" w:rsidRDefault="00EF7CF9" w:rsidP="00BE20CD">
      <w:pPr>
        <w:pStyle w:val="ProductList-Body"/>
        <w:rPr>
          <w:szCs w:val="18"/>
        </w:rPr>
      </w:pPr>
      <w:r w:rsidRPr="00ED75EB">
        <w:rPr>
          <w:szCs w:val="18"/>
        </w:rPr>
        <w:t>„</w:t>
      </w:r>
      <w:r w:rsidRPr="00ED75EB">
        <w:rPr>
          <w:b/>
          <w:color w:val="00188F"/>
          <w:szCs w:val="18"/>
        </w:rPr>
        <w:t>Maximal Verfügbare Minuten</w:t>
      </w:r>
      <w:r w:rsidR="000269C5" w:rsidRPr="00ED75EB">
        <w:rPr>
          <w:rFonts w:eastAsia="Segoe UI" w:cs="Segoe UI"/>
          <w:szCs w:val="18"/>
        </w:rPr>
        <w:t>“</w:t>
      </w:r>
      <w:r w:rsidRPr="00ED75EB">
        <w:rPr>
          <w:szCs w:val="18"/>
        </w:rPr>
        <w:t xml:space="preserve"> ist die Gesamtzahl der Minuten, die während eines Anwendbaren Zeitraums angefallen sind, in der ein aktiver Mandant in einem Partneranwendungsdienst mittels einer aktiven Hochverfügbarkeits-Produktionstopologie bereitgestellt wurde.</w:t>
      </w:r>
    </w:p>
    <w:p w14:paraId="2DB9955A" w14:textId="746BC9C6" w:rsidR="00E044E6" w:rsidRPr="00ED75EB" w:rsidRDefault="00EF7CF9" w:rsidP="00BE20CD">
      <w:pPr>
        <w:pStyle w:val="ProductList-Body"/>
        <w:rPr>
          <w:rFonts w:cs="Segoe UI"/>
          <w:szCs w:val="18"/>
        </w:rPr>
      </w:pPr>
      <w:r w:rsidRPr="00ED75EB">
        <w:rPr>
          <w:rFonts w:cs="Segoe UI"/>
          <w:szCs w:val="18"/>
        </w:rPr>
        <w:t>„</w:t>
      </w:r>
      <w:r w:rsidRPr="00ED75EB">
        <w:rPr>
          <w:rFonts w:cs="Segoe UI"/>
          <w:b/>
          <w:color w:val="00188F"/>
          <w:szCs w:val="18"/>
        </w:rPr>
        <w:t>Plattform</w:t>
      </w:r>
      <w:r w:rsidR="000269C5" w:rsidRPr="00ED75EB">
        <w:rPr>
          <w:rFonts w:eastAsia="Segoe UI" w:cs="Segoe UI"/>
          <w:szCs w:val="18"/>
        </w:rPr>
        <w:t>“</w:t>
      </w:r>
      <w:r w:rsidRPr="00ED75EB">
        <w:rPr>
          <w:rFonts w:cs="Segoe UI"/>
          <w:szCs w:val="18"/>
        </w:rPr>
        <w:t xml:space="preserve"> sind die Client-Formulare, SQL Server-Berichte, Batch-Vorgänge und API-Endpunkte des Dienstes oder die Einzelhandels-APIs des Dienstes, die ausschließlich zu kommerziellen oder Einzelhandelszwecken verwendet werden.</w:t>
      </w:r>
    </w:p>
    <w:p w14:paraId="43A366C0" w14:textId="604F2714" w:rsidR="00E044E6" w:rsidRPr="00ED75EB" w:rsidRDefault="00EF7CF9" w:rsidP="00BE20CD">
      <w:pPr>
        <w:pStyle w:val="ProductList-Body"/>
        <w:rPr>
          <w:color w:val="000000" w:themeColor="text1"/>
          <w:szCs w:val="18"/>
        </w:rPr>
      </w:pPr>
      <w:r w:rsidRPr="00ED75EB">
        <w:rPr>
          <w:szCs w:val="18"/>
        </w:rPr>
        <w:t>„</w:t>
      </w:r>
      <w:r w:rsidRPr="00ED75EB">
        <w:rPr>
          <w:b/>
          <w:bCs/>
          <w:color w:val="00188F"/>
          <w:szCs w:val="18"/>
        </w:rPr>
        <w:t>Skalierungseinheit</w:t>
      </w:r>
      <w:r w:rsidR="000269C5" w:rsidRPr="00ED75EB">
        <w:rPr>
          <w:rFonts w:eastAsia="Segoe UI" w:cs="Segoe UI"/>
          <w:szCs w:val="18"/>
        </w:rPr>
        <w:t>“</w:t>
      </w:r>
      <w:r w:rsidRPr="00ED75EB">
        <w:rPr>
          <w:color w:val="000000" w:themeColor="text1"/>
          <w:szCs w:val="18"/>
        </w:rPr>
        <w:t xml:space="preserve"> sind die Inkremente, in denen Computer- oder Speicherressourcen einem Partneranwendungsdienst hinzugefügt oder aus diesem entfernt werden.</w:t>
      </w:r>
    </w:p>
    <w:p w14:paraId="6EA9B168" w14:textId="1F047F0F" w:rsidR="00E044E6" w:rsidRPr="00ED75EB" w:rsidRDefault="00EF7CF9" w:rsidP="00BE20CD">
      <w:pPr>
        <w:pStyle w:val="ProductList-Body"/>
        <w:rPr>
          <w:color w:val="000000" w:themeColor="text1"/>
          <w:szCs w:val="18"/>
        </w:rPr>
      </w:pPr>
      <w:r w:rsidRPr="00ED75EB">
        <w:rPr>
          <w:szCs w:val="18"/>
        </w:rPr>
        <w:t>„</w:t>
      </w:r>
      <w:r w:rsidRPr="00ED75EB">
        <w:rPr>
          <w:b/>
          <w:color w:val="00188F"/>
          <w:szCs w:val="18"/>
        </w:rPr>
        <w:t>Dienstinfrastruktur</w:t>
      </w:r>
      <w:r w:rsidRPr="00ED75EB">
        <w:rPr>
          <w:szCs w:val="18"/>
        </w:rPr>
        <w:t>“</w:t>
      </w:r>
      <w:r w:rsidRPr="00ED75EB">
        <w:rPr>
          <w:color w:val="000000" w:themeColor="text1"/>
          <w:szCs w:val="18"/>
        </w:rPr>
        <w:t xml:space="preserve"> sind die Authentifizierungs-, Computing- und Speicherressourcen, die von Microsoft in Verbindung mit dem Dienst bereitgestellt werden.</w:t>
      </w:r>
    </w:p>
    <w:p w14:paraId="6CE66BEE" w14:textId="7DD4B86A" w:rsidR="00E044E6" w:rsidRPr="00EF7CF9" w:rsidRDefault="00E044E6" w:rsidP="00BE20CD">
      <w:pPr>
        <w:pStyle w:val="ProductList-Body"/>
      </w:pPr>
      <w:r>
        <w:rPr>
          <w:b/>
          <w:color w:val="00188F"/>
        </w:rPr>
        <w:t>Ausfallzeit</w:t>
      </w:r>
      <w:r w:rsidRPr="00ED75EB">
        <w:rPr>
          <w:b/>
          <w:color w:val="00188F"/>
        </w:rPr>
        <w:t>:</w:t>
      </w:r>
      <w:r>
        <w:t xml:space="preserve"> Ein Zeitraum, in dem sich Endnutzer aufgrund eines Fehlers der nicht abgelaufenen Plattform oder der Dienstinfrastruktur nicht am aktiven Mandanten anmelden können, wie von Microsoft anhand automatisierter Systemüberwachungs- und Systemprotokolle festgestellt. Ausfallzeiten umfassen keine geplanten Ausfallzeiten, die Nichtverfügbarkeit von Add-On-Features des Diensts, den fehlenden Zugriff auf den Dienst aufgrund Ihrer Änderungen des Diensts oder Zeiträume, in denen die Kapazität der Skalierungseinheit überschritten wird.</w:t>
      </w:r>
    </w:p>
    <w:p w14:paraId="2466F9A2" w14:textId="6C46BDD3" w:rsidR="00E044E6" w:rsidRDefault="00AC48A7" w:rsidP="00BE20CD">
      <w:pPr>
        <w:pStyle w:val="ProductList-Body"/>
      </w:pPr>
      <w:r>
        <w:rPr>
          <w:b/>
          <w:color w:val="00188F"/>
        </w:rPr>
        <w:t>Betriebszeitprozentsatz</w:t>
      </w:r>
      <w:r w:rsidRPr="00ED75EB">
        <w:rPr>
          <w:b/>
          <w:color w:val="00188F"/>
        </w:rPr>
        <w:t>:</w:t>
      </w:r>
      <w:r>
        <w:t xml:space="preserve"> Der Betriebszeitprozentsatz für einen bestimmten aktiven Mandanten in einem Anwendbaren Zeitraum wird anhand der folgenden Formel berechnet:</w:t>
      </w:r>
    </w:p>
    <w:p w14:paraId="58388555" w14:textId="21A68ED7" w:rsidR="00E044E6" w:rsidRPr="00EF7CF9" w:rsidRDefault="00000000" w:rsidP="00E044E6">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Nutzerminuten abzüglich Ausfallzeit</m:t>
              </m:r>
            </m:num>
            <m:den>
              <m:r>
                <m:rPr>
                  <m:nor/>
                </m:rPr>
                <w:rPr>
                  <w:rFonts w:ascii="Cambria Math" w:hAnsi="Cambria Math" w:cs="Calibri"/>
                  <w:i/>
                  <w:sz w:val="18"/>
                  <w:szCs w:val="18"/>
                </w:rPr>
                <m:t>Nutzerminuten</m:t>
              </m:r>
            </m:den>
          </m:f>
          <m:r>
            <w:rPr>
              <w:rFonts w:ascii="Cambria Math" w:hAnsi="Cambria Math" w:cs="Calibri"/>
              <w:sz w:val="18"/>
              <w:szCs w:val="18"/>
            </w:rPr>
            <m:t xml:space="preserve"> x 100</m:t>
          </m:r>
        </m:oMath>
      </m:oMathPara>
    </w:p>
    <w:p w14:paraId="2DDA59DB" w14:textId="565297B0" w:rsidR="009C64EA" w:rsidRPr="00EF7CF9" w:rsidRDefault="00AC48A7" w:rsidP="009C64EA">
      <w:pPr>
        <w:pStyle w:val="ProductList-Body"/>
      </w:pPr>
      <w: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38F97A49" w14:textId="77777777" w:rsidR="009C64EA" w:rsidRPr="00B0776A" w:rsidRDefault="009C64EA" w:rsidP="00E044E6">
      <w:pPr>
        <w:pStyle w:val="ProductList-Body"/>
      </w:pPr>
    </w:p>
    <w:p w14:paraId="7854FA81" w14:textId="28BC6D70" w:rsidR="00E044E6" w:rsidRPr="00EF7CF9" w:rsidRDefault="00E044E6" w:rsidP="00E044E6">
      <w:pPr>
        <w:pStyle w:val="ProductList-Body"/>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044E6" w:rsidRPr="00B44CF9" w14:paraId="5F7401A0" w14:textId="77777777" w:rsidTr="005326DD">
        <w:trPr>
          <w:tblHeader/>
        </w:trPr>
        <w:tc>
          <w:tcPr>
            <w:tcW w:w="5400" w:type="dxa"/>
            <w:shd w:val="clear" w:color="auto" w:fill="0072C6"/>
          </w:tcPr>
          <w:p w14:paraId="6F1B2BA2" w14:textId="399229C2" w:rsidR="00E044E6" w:rsidRPr="00EF7CF9" w:rsidRDefault="00AC48A7" w:rsidP="005326DD">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0065E0F7" w14:textId="77777777" w:rsidR="00E044E6" w:rsidRPr="00EF7CF9" w:rsidRDefault="00E044E6" w:rsidP="005326DD">
            <w:pPr>
              <w:pStyle w:val="ProductList-OfferingBody"/>
              <w:jc w:val="center"/>
              <w:rPr>
                <w:color w:val="FFFFFF" w:themeColor="background1"/>
              </w:rPr>
            </w:pPr>
            <w:r>
              <w:rPr>
                <w:color w:val="FFFFFF" w:themeColor="background1"/>
              </w:rPr>
              <w:t>Servicegutschrift</w:t>
            </w:r>
          </w:p>
        </w:tc>
      </w:tr>
      <w:tr w:rsidR="00E044E6" w:rsidRPr="00B44CF9" w14:paraId="4E8FC469" w14:textId="77777777" w:rsidTr="005326DD">
        <w:tc>
          <w:tcPr>
            <w:tcW w:w="5400" w:type="dxa"/>
          </w:tcPr>
          <w:p w14:paraId="006F432D" w14:textId="488AB23A" w:rsidR="00E044E6" w:rsidRPr="00EF7CF9" w:rsidRDefault="00E044E6" w:rsidP="005326DD">
            <w:pPr>
              <w:pStyle w:val="ProductList-OfferingBody"/>
              <w:jc w:val="center"/>
            </w:pPr>
            <w:r>
              <w:t>&lt; 99,9 %</w:t>
            </w:r>
          </w:p>
        </w:tc>
        <w:tc>
          <w:tcPr>
            <w:tcW w:w="5400" w:type="dxa"/>
          </w:tcPr>
          <w:p w14:paraId="4770D45D" w14:textId="77777777" w:rsidR="00E044E6" w:rsidRPr="00EF7CF9" w:rsidRDefault="00E044E6" w:rsidP="005326DD">
            <w:pPr>
              <w:pStyle w:val="ProductList-OfferingBody"/>
              <w:jc w:val="center"/>
            </w:pPr>
            <w:r>
              <w:t>25 %</w:t>
            </w:r>
          </w:p>
        </w:tc>
      </w:tr>
      <w:tr w:rsidR="00E044E6" w:rsidRPr="00B44CF9" w14:paraId="04EC0023" w14:textId="77777777" w:rsidTr="005326DD">
        <w:tc>
          <w:tcPr>
            <w:tcW w:w="5400" w:type="dxa"/>
          </w:tcPr>
          <w:p w14:paraId="7C6EC02A" w14:textId="77777777" w:rsidR="00E044E6" w:rsidRPr="00EF7CF9" w:rsidRDefault="00E044E6" w:rsidP="005326DD">
            <w:pPr>
              <w:pStyle w:val="ProductList-OfferingBody"/>
              <w:jc w:val="center"/>
            </w:pPr>
            <w:r>
              <w:t>&lt; 99 %</w:t>
            </w:r>
          </w:p>
        </w:tc>
        <w:tc>
          <w:tcPr>
            <w:tcW w:w="5400" w:type="dxa"/>
          </w:tcPr>
          <w:p w14:paraId="3FCF0B29" w14:textId="77777777" w:rsidR="00E044E6" w:rsidRPr="00EF7CF9" w:rsidRDefault="00E044E6" w:rsidP="005326DD">
            <w:pPr>
              <w:pStyle w:val="ProductList-OfferingBody"/>
              <w:jc w:val="center"/>
            </w:pPr>
            <w:r>
              <w:t>50 %</w:t>
            </w:r>
          </w:p>
        </w:tc>
      </w:tr>
      <w:tr w:rsidR="00E044E6" w:rsidRPr="00B44CF9" w14:paraId="288216D6" w14:textId="77777777" w:rsidTr="005326DD">
        <w:tc>
          <w:tcPr>
            <w:tcW w:w="5400" w:type="dxa"/>
          </w:tcPr>
          <w:p w14:paraId="6CCDE2D4" w14:textId="77777777" w:rsidR="00E044E6" w:rsidRPr="00EF7CF9" w:rsidRDefault="00E044E6" w:rsidP="005326DD">
            <w:pPr>
              <w:pStyle w:val="ProductList-OfferingBody"/>
              <w:jc w:val="center"/>
            </w:pPr>
            <w:r>
              <w:t>&lt; 95 %</w:t>
            </w:r>
          </w:p>
        </w:tc>
        <w:tc>
          <w:tcPr>
            <w:tcW w:w="5400" w:type="dxa"/>
          </w:tcPr>
          <w:p w14:paraId="3183CDFC" w14:textId="77777777" w:rsidR="00E044E6" w:rsidRPr="00EF7CF9" w:rsidRDefault="00E044E6" w:rsidP="005326DD">
            <w:pPr>
              <w:pStyle w:val="ProductList-OfferingBody"/>
              <w:jc w:val="center"/>
            </w:pPr>
            <w:r>
              <w:t>100 %</w:t>
            </w:r>
          </w:p>
        </w:tc>
      </w:tr>
    </w:tbl>
    <w:bookmarkStart w:id="77" w:name="_Toc457821511"/>
    <w:p w14:paraId="07FC1561" w14:textId="66C0F902" w:rsidR="00D67F75" w:rsidRPr="00D67F75" w:rsidRDefault="005F7C2C" w:rsidP="00D67F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00DD0F59" w14:textId="50C907E7" w:rsidR="00774CA1" w:rsidRPr="00EF7CF9" w:rsidRDefault="00774CA1" w:rsidP="00414402">
      <w:pPr>
        <w:pStyle w:val="ProductList-OfferingGroupHeading"/>
        <w:pageBreakBefore/>
        <w:tabs>
          <w:tab w:val="clear" w:pos="360"/>
          <w:tab w:val="clear" w:pos="720"/>
          <w:tab w:val="clear" w:pos="1080"/>
        </w:tabs>
        <w:outlineLvl w:val="1"/>
      </w:pPr>
      <w:bookmarkStart w:id="78" w:name="_Toc195543072"/>
      <w:bookmarkStart w:id="79" w:name="_Toc237448925"/>
      <w:r>
        <w:lastRenderedPageBreak/>
        <w:t>Office 365 Services</w:t>
      </w:r>
      <w:bookmarkEnd w:id="77"/>
      <w:bookmarkEnd w:id="78"/>
      <w:bookmarkEnd w:id="79"/>
    </w:p>
    <w:p w14:paraId="3BA27431" w14:textId="0D957E31" w:rsidR="00774CA1" w:rsidRPr="00EF7CF9" w:rsidRDefault="0076238C" w:rsidP="00B1426B">
      <w:pPr>
        <w:pStyle w:val="ProductList-Offering2Heading"/>
        <w:keepNext/>
        <w:keepLines/>
        <w:tabs>
          <w:tab w:val="clear" w:pos="360"/>
          <w:tab w:val="clear" w:pos="720"/>
          <w:tab w:val="clear" w:pos="1080"/>
        </w:tabs>
        <w:outlineLvl w:val="2"/>
      </w:pPr>
      <w:bookmarkStart w:id="80" w:name="_Toc457821512"/>
      <w:bookmarkStart w:id="81" w:name="_Toc195543073"/>
      <w:bookmarkStart w:id="82" w:name="_Toc237448926"/>
      <w:r>
        <w:t>Duet Enterprise Online</w:t>
      </w:r>
      <w:bookmarkEnd w:id="80"/>
      <w:bookmarkEnd w:id="81"/>
      <w:bookmarkEnd w:id="82"/>
    </w:p>
    <w:p w14:paraId="190CEC04" w14:textId="3CE98DC4" w:rsidR="00457D2C" w:rsidRPr="00EF7CF9" w:rsidRDefault="00457D2C" w:rsidP="00B1426B">
      <w:pPr>
        <w:pStyle w:val="ProductList-Body"/>
        <w:keepNext/>
        <w:keepLines/>
      </w:pPr>
      <w:r>
        <w:rPr>
          <w:b/>
          <w:color w:val="00188F"/>
        </w:rPr>
        <w:t>Ausfallzeit</w:t>
      </w:r>
      <w:r w:rsidRPr="00ED75EB">
        <w:rPr>
          <w:b/>
          <w:color w:val="00188F"/>
        </w:rPr>
        <w:t>:</w:t>
      </w:r>
      <w:r>
        <w:t xml:space="preserve"> Jeder Zeitraum, in dem die Nutzer keinen Lese- oder Schreibzugriff auf einen Teil einer SharePoint Online-Websitesammlung haben, für</w:t>
      </w:r>
      <w:r w:rsidR="00097657">
        <w:t> </w:t>
      </w:r>
      <w:r>
        <w:t>den sie die erforderlichen Berechtigungen besitzen.</w:t>
      </w:r>
    </w:p>
    <w:p w14:paraId="243E6003" w14:textId="635A9981" w:rsidR="00457D2C" w:rsidRDefault="00AC48A7" w:rsidP="002A586E">
      <w:pPr>
        <w:pStyle w:val="ProductList-Body"/>
      </w:pPr>
      <w:r>
        <w:rPr>
          <w:b/>
          <w:color w:val="00188F"/>
        </w:rPr>
        <w:t>Betriebszeitprozentsatz</w:t>
      </w:r>
      <w:r w:rsidRPr="00ED75EB">
        <w:rPr>
          <w:b/>
          <w:color w:val="00188F"/>
        </w:rPr>
        <w:t>:</w:t>
      </w:r>
      <w:r>
        <w:t xml:space="preserve"> Der Betriebszeitprozentsatz errechnet sich nach folgender Formel:</w:t>
      </w:r>
    </w:p>
    <w:p w14:paraId="1004673B" w14:textId="77777777" w:rsidR="001A6663" w:rsidRPr="00EF7CF9" w:rsidRDefault="001A6663" w:rsidP="002A586E">
      <w:pPr>
        <w:pStyle w:val="ProductList-Body"/>
      </w:pPr>
    </w:p>
    <w:p w14:paraId="05C84A72" w14:textId="1599E53A" w:rsidR="00457D2C"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Nutzerminuten abzüglich Ausfallzeit</m:t>
              </m:r>
            </m:num>
            <m:den>
              <m:r>
                <m:rPr>
                  <m:nor/>
                </m:rPr>
                <w:rPr>
                  <w:rFonts w:ascii="Cambria Math" w:hAnsi="Cambria Math" w:cs="Calibri"/>
                  <w:i/>
                  <w:sz w:val="18"/>
                  <w:szCs w:val="18"/>
                </w:rPr>
                <m:t>Nutzerminuten</m:t>
              </m:r>
            </m:den>
          </m:f>
          <m:r>
            <w:rPr>
              <w:rFonts w:ascii="Cambria Math" w:hAnsi="Cambria Math" w:cs="Calibri"/>
              <w:sz w:val="18"/>
              <w:szCs w:val="18"/>
            </w:rPr>
            <m:t xml:space="preserve"> x 100</m:t>
          </m:r>
        </m:oMath>
      </m:oMathPara>
    </w:p>
    <w:p w14:paraId="6FDCA245" w14:textId="4B3EE57B" w:rsidR="00457D2C" w:rsidRPr="00EF7CF9" w:rsidRDefault="00AC48A7" w:rsidP="002A586E">
      <w:pPr>
        <w:pStyle w:val="ProductList-Body"/>
      </w:pPr>
      <w: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0F6A470D" w14:textId="77777777" w:rsidR="00657A3A" w:rsidRDefault="00657A3A" w:rsidP="002A586E">
      <w:pPr>
        <w:pStyle w:val="ProductList-Body"/>
        <w:rPr>
          <w:b/>
          <w:color w:val="00188F"/>
        </w:rPr>
      </w:pPr>
    </w:p>
    <w:p w14:paraId="7EBB7C89" w14:textId="19EF6109" w:rsidR="00457D2C" w:rsidRPr="00EF7CF9" w:rsidRDefault="00457D2C" w:rsidP="00FD5737">
      <w:pPr>
        <w:pStyle w:val="ProductList-Body"/>
        <w:keepNext/>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57D2C" w:rsidRPr="00B44CF9" w14:paraId="70C325E1" w14:textId="77777777" w:rsidTr="00C86427">
        <w:trPr>
          <w:tblHeader/>
        </w:trPr>
        <w:tc>
          <w:tcPr>
            <w:tcW w:w="5400" w:type="dxa"/>
            <w:shd w:val="clear" w:color="auto" w:fill="0072C6"/>
          </w:tcPr>
          <w:p w14:paraId="79A58AAD" w14:textId="46F6830A" w:rsidR="00457D2C" w:rsidRPr="00EF7CF9" w:rsidRDefault="00AC48A7" w:rsidP="002A586E">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5EC6193D" w14:textId="77777777" w:rsidR="00457D2C" w:rsidRPr="00EF7CF9" w:rsidRDefault="00457D2C" w:rsidP="002A586E">
            <w:pPr>
              <w:pStyle w:val="ProductList-OfferingBody"/>
              <w:jc w:val="center"/>
              <w:rPr>
                <w:color w:val="FFFFFF" w:themeColor="background1"/>
              </w:rPr>
            </w:pPr>
            <w:r>
              <w:rPr>
                <w:color w:val="FFFFFF" w:themeColor="background1"/>
              </w:rPr>
              <w:t>Servicegutschrift</w:t>
            </w:r>
          </w:p>
        </w:tc>
      </w:tr>
      <w:tr w:rsidR="00457D2C" w:rsidRPr="00B44CF9" w14:paraId="58F94D70" w14:textId="77777777" w:rsidTr="00C86427">
        <w:tc>
          <w:tcPr>
            <w:tcW w:w="5400" w:type="dxa"/>
          </w:tcPr>
          <w:p w14:paraId="09911816" w14:textId="6F60CB41" w:rsidR="00457D2C" w:rsidRPr="00EF7CF9" w:rsidRDefault="00457D2C" w:rsidP="002A586E">
            <w:pPr>
              <w:pStyle w:val="ProductList-OfferingBody"/>
              <w:jc w:val="center"/>
            </w:pPr>
            <w:r>
              <w:t>&lt; 99,9 %</w:t>
            </w:r>
          </w:p>
        </w:tc>
        <w:tc>
          <w:tcPr>
            <w:tcW w:w="5400" w:type="dxa"/>
          </w:tcPr>
          <w:p w14:paraId="1E55B479" w14:textId="77777777" w:rsidR="00457D2C" w:rsidRPr="00EF7CF9" w:rsidRDefault="00457D2C" w:rsidP="002A586E">
            <w:pPr>
              <w:pStyle w:val="ProductList-OfferingBody"/>
              <w:jc w:val="center"/>
            </w:pPr>
            <w:r>
              <w:t>25 %</w:t>
            </w:r>
          </w:p>
        </w:tc>
      </w:tr>
      <w:tr w:rsidR="00457D2C" w:rsidRPr="00B44CF9" w14:paraId="42FEB8E8" w14:textId="77777777" w:rsidTr="00C86427">
        <w:tc>
          <w:tcPr>
            <w:tcW w:w="5400" w:type="dxa"/>
          </w:tcPr>
          <w:p w14:paraId="6F1CA677" w14:textId="6F627B9D" w:rsidR="00457D2C" w:rsidRPr="00EF7CF9" w:rsidRDefault="00457D2C" w:rsidP="002A586E">
            <w:pPr>
              <w:pStyle w:val="ProductList-OfferingBody"/>
              <w:jc w:val="center"/>
            </w:pPr>
            <w:r>
              <w:t>&lt; 99 %</w:t>
            </w:r>
          </w:p>
        </w:tc>
        <w:tc>
          <w:tcPr>
            <w:tcW w:w="5400" w:type="dxa"/>
          </w:tcPr>
          <w:p w14:paraId="392B08D5" w14:textId="77777777" w:rsidR="00457D2C" w:rsidRPr="00EF7CF9" w:rsidRDefault="00457D2C" w:rsidP="002A586E">
            <w:pPr>
              <w:pStyle w:val="ProductList-OfferingBody"/>
              <w:jc w:val="center"/>
            </w:pPr>
            <w:r>
              <w:t>50 %</w:t>
            </w:r>
          </w:p>
        </w:tc>
      </w:tr>
      <w:tr w:rsidR="00457D2C" w:rsidRPr="00B44CF9" w14:paraId="04233D54" w14:textId="77777777" w:rsidTr="00C86427">
        <w:tc>
          <w:tcPr>
            <w:tcW w:w="5400" w:type="dxa"/>
          </w:tcPr>
          <w:p w14:paraId="41087AD7" w14:textId="77777777" w:rsidR="00457D2C" w:rsidRPr="00EF7CF9" w:rsidRDefault="00457D2C" w:rsidP="002A586E">
            <w:pPr>
              <w:pStyle w:val="ProductList-OfferingBody"/>
              <w:jc w:val="center"/>
            </w:pPr>
            <w:r>
              <w:t>&lt; 95 %</w:t>
            </w:r>
          </w:p>
        </w:tc>
        <w:tc>
          <w:tcPr>
            <w:tcW w:w="5400" w:type="dxa"/>
          </w:tcPr>
          <w:p w14:paraId="7D5D6CC8" w14:textId="77777777" w:rsidR="00457D2C" w:rsidRPr="00EF7CF9" w:rsidRDefault="00457D2C" w:rsidP="002A586E">
            <w:pPr>
              <w:pStyle w:val="ProductList-OfferingBody"/>
              <w:jc w:val="center"/>
            </w:pPr>
            <w:r>
              <w:t>100 %</w:t>
            </w:r>
          </w:p>
        </w:tc>
      </w:tr>
    </w:tbl>
    <w:p w14:paraId="08E6E950" w14:textId="6CA9EF10" w:rsidR="00457D2C" w:rsidRPr="00EF7CF9" w:rsidRDefault="00457D2C" w:rsidP="00E3485F">
      <w:pPr>
        <w:pStyle w:val="ProductList-Body"/>
        <w:spacing w:before="120"/>
      </w:pPr>
      <w:r>
        <w:rPr>
          <w:b/>
          <w:color w:val="00188F"/>
        </w:rPr>
        <w:t>Service-Level-Ausnahmen</w:t>
      </w:r>
      <w:r w:rsidRPr="00ED75EB">
        <w:rPr>
          <w:b/>
          <w:color w:val="00188F"/>
        </w:rPr>
        <w:t>:</w:t>
      </w:r>
      <w:r>
        <w:t xml:space="preserve"> Diese SLA findet keine Anwendung, wenn der Lese- oder Schreibzugriff auf einen Teil einer SharePoint Online-Website infolge eines Ausfalls der Software, Geräte oder Dienste Dritter, die nicht von Microsoft kontrolliert werden, oder infolge eines Ausfalls der Software von Microsoft, die nicht von Microsoft selbst als Teil des Diensts ausgeführt wird, nicht möglich ist.</w:t>
      </w:r>
    </w:p>
    <w:p w14:paraId="0A933C0E" w14:textId="4D0B89D8" w:rsidR="00457D2C" w:rsidRPr="00B1426B" w:rsidRDefault="00457D2C" w:rsidP="00E3485F">
      <w:pPr>
        <w:pStyle w:val="ProductList-Body"/>
        <w:spacing w:before="120"/>
        <w:rPr>
          <w:spacing w:val="-2"/>
        </w:rPr>
      </w:pPr>
      <w:r w:rsidRPr="00B1426B">
        <w:rPr>
          <w:b/>
          <w:color w:val="00188F"/>
          <w:spacing w:val="-2"/>
        </w:rPr>
        <w:t>Zusatzbestimmungen</w:t>
      </w:r>
      <w:r w:rsidRPr="00ED75EB">
        <w:rPr>
          <w:b/>
          <w:color w:val="00188F"/>
        </w:rPr>
        <w:t>:</w:t>
      </w:r>
      <w:r w:rsidRPr="00B1426B">
        <w:rPr>
          <w:spacing w:val="-2"/>
        </w:rPr>
        <w:t xml:space="preserve"> Sie haben nur dann Anspruch auf eine Servicegutschrift für Duet Enterprise Online, wenn Sie auch Anspruch auf eine Servicegutschrift für die SharePoint Online Plan 2 User SLs haben, die Sie als Voraussetzung für Ihre Duet Enterprise Online User SLs erworben haben.</w:t>
      </w:r>
    </w:p>
    <w:bookmarkStart w:id="83" w:name="_Toc457821513"/>
    <w:p w14:paraId="04C69C9B" w14:textId="4CA7D560" w:rsidR="00D67F75" w:rsidRPr="00D67F75" w:rsidRDefault="005F7C2C" w:rsidP="00D67F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1EE46691" w14:textId="63634FA2" w:rsidR="00D1684A" w:rsidRPr="00EF7CF9" w:rsidRDefault="00457D2C" w:rsidP="002A586E">
      <w:pPr>
        <w:pStyle w:val="ProductList-Offering2Heading"/>
        <w:outlineLvl w:val="2"/>
      </w:pPr>
      <w:bookmarkStart w:id="84" w:name="_Toc195543074"/>
      <w:bookmarkStart w:id="85" w:name="_Toc237448927"/>
      <w:r>
        <w:t>Exchange Online</w:t>
      </w:r>
      <w:bookmarkEnd w:id="83"/>
      <w:bookmarkEnd w:id="84"/>
      <w:bookmarkEnd w:id="85"/>
    </w:p>
    <w:p w14:paraId="52A01D9F" w14:textId="77777777" w:rsidR="0033448B" w:rsidRPr="00F9236E" w:rsidRDefault="0033448B" w:rsidP="0033448B">
      <w:pPr>
        <w:pStyle w:val="ProductList-Body"/>
        <w:rPr>
          <w:rFonts w:ascii="Calibri" w:hAnsi="Calibri" w:cs="Calibri"/>
        </w:rPr>
      </w:pPr>
      <w:r>
        <w:rPr>
          <w:rFonts w:ascii="Calibri" w:hAnsi="Calibri" w:cs="Calibri"/>
          <w:b/>
          <w:color w:val="00188F"/>
        </w:rPr>
        <w:t>Ausfallzeit</w:t>
      </w:r>
      <w:r w:rsidRPr="00C615FA">
        <w:rPr>
          <w:rFonts w:ascii="Calibri" w:hAnsi="Calibri" w:cs="Calibri"/>
          <w:b/>
          <w:bCs/>
        </w:rPr>
        <w:t>:</w:t>
      </w:r>
      <w:r>
        <w:rPr>
          <w:rFonts w:ascii="Calibri" w:hAnsi="Calibri" w:cs="Calibri"/>
        </w:rPr>
        <w:t xml:space="preserve"> Jeder Zeitraum, in dem Nutzer nicht in der Lage sind, E-Mails mit Outlook Web Access zu senden oder zu empfangen Für diesen Service ist keine planmäßige Downtime vorgesehen.</w:t>
      </w:r>
    </w:p>
    <w:p w14:paraId="21614253" w14:textId="77777777" w:rsidR="0033448B" w:rsidRPr="00F9236E" w:rsidRDefault="0033448B" w:rsidP="0033448B">
      <w:pPr>
        <w:pStyle w:val="ProductList-Body"/>
        <w:rPr>
          <w:rFonts w:ascii="Calibri" w:hAnsi="Calibri" w:cs="Calibri"/>
        </w:rPr>
      </w:pPr>
      <w:r>
        <w:rPr>
          <w:rFonts w:ascii="Calibri" w:hAnsi="Calibri" w:cs="Calibri"/>
          <w:b/>
          <w:color w:val="00188F"/>
        </w:rPr>
        <w:t>Betriebszeitprozentsatz</w:t>
      </w:r>
      <w:r w:rsidRPr="00C615FA">
        <w:rPr>
          <w:rFonts w:ascii="Calibri" w:hAnsi="Calibri" w:cs="Calibri"/>
          <w:b/>
          <w:bCs/>
        </w:rPr>
        <w:t>:</w:t>
      </w:r>
      <w:r>
        <w:rPr>
          <w:rFonts w:ascii="Calibri" w:hAnsi="Calibri" w:cs="Calibri"/>
        </w:rPr>
        <w:t xml:space="preserve"> Der Betriebszeitprozentsatz errechnet sich nach folgender Formel:</w:t>
      </w:r>
    </w:p>
    <w:p w14:paraId="2B3A40B2" w14:textId="77777777" w:rsidR="0033448B" w:rsidRPr="00EF7CF9" w:rsidRDefault="0033448B" w:rsidP="0033448B">
      <w:pPr>
        <w:pStyle w:val="ProductList-Body"/>
      </w:pPr>
    </w:p>
    <w:p w14:paraId="74D0BEA2" w14:textId="77777777" w:rsidR="0033448B" w:rsidRPr="00EF7CF9" w:rsidRDefault="00000000" w:rsidP="0033448B">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Nutzerminuten - Ausfallzeiten </m:t>
              </m:r>
            </m:num>
            <m:den>
              <m:r>
                <w:rPr>
                  <w:rFonts w:ascii="Cambria Math" w:hAnsi="Cambria Math" w:cs="Calibri"/>
                  <w:sz w:val="18"/>
                  <w:szCs w:val="18"/>
                </w:rPr>
                <m:t>Nutzerminuten</m:t>
              </m:r>
            </m:den>
          </m:f>
          <m:r>
            <w:rPr>
              <w:rFonts w:ascii="Cambria Math" w:hAnsi="Cambria Math" w:cs="Calibri"/>
              <w:sz w:val="18"/>
              <w:szCs w:val="18"/>
            </w:rPr>
            <m:t xml:space="preserve"> x 100</m:t>
          </m:r>
        </m:oMath>
      </m:oMathPara>
    </w:p>
    <w:p w14:paraId="072E421E" w14:textId="77777777" w:rsidR="0033448B" w:rsidRPr="00F9236E" w:rsidRDefault="0033448B" w:rsidP="0033448B">
      <w:pPr>
        <w:pStyle w:val="ProductList-Body"/>
        <w:rPr>
          <w:rFonts w:ascii="Calibri" w:hAnsi="Calibri" w:cs="Calibri"/>
        </w:rPr>
      </w:pPr>
      <w:r>
        <w:rPr>
          <w:rFonts w:ascii="Calibri" w:hAnsi="Calibri" w:cs="Calibri"/>
        </w:rP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7213B916" w14:textId="77777777" w:rsidR="008C5EDB" w:rsidRPr="00EF7CF9" w:rsidRDefault="008C5EDB" w:rsidP="002A586E">
      <w:pPr>
        <w:pStyle w:val="ProductList-Body"/>
      </w:pPr>
    </w:p>
    <w:p w14:paraId="79B064B8" w14:textId="190589DB" w:rsidR="008C5EDB" w:rsidRPr="00EF7CF9" w:rsidRDefault="008C5EDB" w:rsidP="002A586E">
      <w:pPr>
        <w:pStyle w:val="ProductList-Body"/>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78C70E5C" w14:textId="77777777" w:rsidTr="00C86427">
        <w:trPr>
          <w:tblHeader/>
        </w:trPr>
        <w:tc>
          <w:tcPr>
            <w:tcW w:w="5400" w:type="dxa"/>
            <w:shd w:val="clear" w:color="auto" w:fill="0072C6"/>
          </w:tcPr>
          <w:p w14:paraId="7F14DE0D" w14:textId="1A98262F" w:rsidR="008C5EDB" w:rsidRPr="00EF7CF9" w:rsidRDefault="00AC48A7" w:rsidP="002A586E">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5E9798A0" w14:textId="77777777" w:rsidR="008C5EDB" w:rsidRPr="00EF7CF9" w:rsidRDefault="008C5EDB" w:rsidP="002A586E">
            <w:pPr>
              <w:pStyle w:val="ProductList-OfferingBody"/>
              <w:jc w:val="center"/>
              <w:rPr>
                <w:color w:val="FFFFFF" w:themeColor="background1"/>
              </w:rPr>
            </w:pPr>
            <w:r>
              <w:rPr>
                <w:color w:val="FFFFFF" w:themeColor="background1"/>
              </w:rPr>
              <w:t>Servicegutschrift</w:t>
            </w:r>
          </w:p>
        </w:tc>
      </w:tr>
      <w:tr w:rsidR="008C5EDB" w:rsidRPr="00B44CF9" w14:paraId="0D8E35A8" w14:textId="77777777" w:rsidTr="00C86427">
        <w:tc>
          <w:tcPr>
            <w:tcW w:w="5400" w:type="dxa"/>
          </w:tcPr>
          <w:p w14:paraId="077ED045" w14:textId="1ECDA385" w:rsidR="008C5EDB" w:rsidRPr="00EF7CF9" w:rsidRDefault="008C5EDB" w:rsidP="002A586E">
            <w:pPr>
              <w:pStyle w:val="ProductList-OfferingBody"/>
              <w:jc w:val="center"/>
            </w:pPr>
            <w:r>
              <w:t>&lt; 99,9 %</w:t>
            </w:r>
          </w:p>
        </w:tc>
        <w:tc>
          <w:tcPr>
            <w:tcW w:w="5400" w:type="dxa"/>
          </w:tcPr>
          <w:p w14:paraId="27088976" w14:textId="77777777" w:rsidR="008C5EDB" w:rsidRPr="00EF7CF9" w:rsidRDefault="008C5EDB" w:rsidP="002A586E">
            <w:pPr>
              <w:pStyle w:val="ProductList-OfferingBody"/>
              <w:jc w:val="center"/>
            </w:pPr>
            <w:r>
              <w:t>25 %</w:t>
            </w:r>
          </w:p>
        </w:tc>
      </w:tr>
      <w:tr w:rsidR="008C5EDB" w:rsidRPr="00B44CF9" w14:paraId="2C28970C" w14:textId="77777777" w:rsidTr="00C86427">
        <w:tc>
          <w:tcPr>
            <w:tcW w:w="5400" w:type="dxa"/>
          </w:tcPr>
          <w:p w14:paraId="23AD33F1" w14:textId="5206F138" w:rsidR="008C5EDB" w:rsidRPr="00EF7CF9" w:rsidRDefault="008C5EDB" w:rsidP="002A586E">
            <w:pPr>
              <w:pStyle w:val="ProductList-OfferingBody"/>
              <w:jc w:val="center"/>
            </w:pPr>
            <w:r>
              <w:t>&lt; 99 %</w:t>
            </w:r>
          </w:p>
        </w:tc>
        <w:tc>
          <w:tcPr>
            <w:tcW w:w="5400" w:type="dxa"/>
          </w:tcPr>
          <w:p w14:paraId="46AE6A16" w14:textId="77777777" w:rsidR="008C5EDB" w:rsidRPr="00EF7CF9" w:rsidRDefault="008C5EDB" w:rsidP="002A586E">
            <w:pPr>
              <w:pStyle w:val="ProductList-OfferingBody"/>
              <w:jc w:val="center"/>
            </w:pPr>
            <w:r>
              <w:t>50 %</w:t>
            </w:r>
          </w:p>
        </w:tc>
      </w:tr>
      <w:tr w:rsidR="008C5EDB" w:rsidRPr="00B44CF9" w14:paraId="63DFBD57" w14:textId="77777777" w:rsidTr="00C86427">
        <w:tc>
          <w:tcPr>
            <w:tcW w:w="5400" w:type="dxa"/>
          </w:tcPr>
          <w:p w14:paraId="2C378505" w14:textId="77777777" w:rsidR="008C5EDB" w:rsidRPr="00EF7CF9" w:rsidRDefault="008C5EDB" w:rsidP="002A586E">
            <w:pPr>
              <w:pStyle w:val="ProductList-OfferingBody"/>
              <w:jc w:val="center"/>
            </w:pPr>
            <w:r>
              <w:t>&lt; 95 %</w:t>
            </w:r>
          </w:p>
        </w:tc>
        <w:tc>
          <w:tcPr>
            <w:tcW w:w="5400" w:type="dxa"/>
          </w:tcPr>
          <w:p w14:paraId="68F6EC9A" w14:textId="77777777" w:rsidR="008C5EDB" w:rsidRPr="00EF7CF9" w:rsidRDefault="008C5EDB" w:rsidP="002A586E">
            <w:pPr>
              <w:pStyle w:val="ProductList-OfferingBody"/>
              <w:jc w:val="center"/>
            </w:pPr>
            <w:r>
              <w:t>100 %</w:t>
            </w:r>
          </w:p>
        </w:tc>
      </w:tr>
    </w:tbl>
    <w:p w14:paraId="3DA5C22D" w14:textId="77777777" w:rsidR="00272A94" w:rsidRPr="00D81517" w:rsidRDefault="00272A94" w:rsidP="00E3485F">
      <w:pPr>
        <w:pStyle w:val="ProductList-Body"/>
        <w:spacing w:before="120"/>
        <w:rPr>
          <w:rFonts w:ascii="Calibri" w:hAnsi="Calibri" w:cs="Calibri"/>
          <w:b/>
          <w:color w:val="00188F"/>
        </w:rPr>
      </w:pPr>
      <w:bookmarkStart w:id="86" w:name="_Toc457821514"/>
      <w:r>
        <w:rPr>
          <w:rFonts w:ascii="Calibri" w:hAnsi="Calibri" w:cs="Calibri"/>
          <w:b/>
          <w:color w:val="00188F"/>
        </w:rPr>
        <w:t>Der Servicelevel „OWA-Verfügbarkeit“ gilt nicht für die folgenden Szenarien:</w:t>
      </w:r>
    </w:p>
    <w:p w14:paraId="1B171AF5" w14:textId="77777777" w:rsidR="00272A94" w:rsidRPr="00322CF1" w:rsidRDefault="00272A94">
      <w:pPr>
        <w:pStyle w:val="ProductList-Body"/>
        <w:numPr>
          <w:ilvl w:val="0"/>
          <w:numId w:val="29"/>
        </w:numPr>
        <w:rPr>
          <w:rFonts w:ascii="Calibri" w:hAnsi="Calibri" w:cs="Calibri"/>
          <w:lang w:val="en-US"/>
        </w:rPr>
      </w:pPr>
      <w:r w:rsidRPr="00322CF1">
        <w:rPr>
          <w:rFonts w:ascii="Calibri" w:hAnsi="Calibri" w:cs="Calibri"/>
          <w:lang w:val="en-US"/>
        </w:rPr>
        <w:t>Denial-of-Service-Angriffe (DoS)</w:t>
      </w:r>
    </w:p>
    <w:p w14:paraId="6071DDFA" w14:textId="77777777" w:rsidR="00272A94" w:rsidRPr="00D81517" w:rsidRDefault="00272A94">
      <w:pPr>
        <w:pStyle w:val="ProductList-Body"/>
        <w:numPr>
          <w:ilvl w:val="0"/>
          <w:numId w:val="29"/>
        </w:numPr>
        <w:rPr>
          <w:rFonts w:ascii="Calibri" w:hAnsi="Calibri" w:cs="Calibri"/>
        </w:rPr>
      </w:pPr>
      <w:r>
        <w:rPr>
          <w:rFonts w:ascii="Calibri" w:hAnsi="Calibri" w:cs="Calibri"/>
        </w:rPr>
        <w:t>Fehlkonfiguration des Microsoft 365-Mandanten</w:t>
      </w:r>
    </w:p>
    <w:p w14:paraId="0B5DA9C6" w14:textId="77777777" w:rsidR="00272A94" w:rsidRPr="00D81517" w:rsidRDefault="00272A94">
      <w:pPr>
        <w:pStyle w:val="ProductList-Body"/>
        <w:numPr>
          <w:ilvl w:val="0"/>
          <w:numId w:val="29"/>
        </w:numPr>
        <w:rPr>
          <w:rFonts w:ascii="Calibri" w:hAnsi="Calibri" w:cs="Calibri"/>
        </w:rPr>
      </w:pPr>
      <w:r>
        <w:rPr>
          <w:rFonts w:ascii="Calibri" w:hAnsi="Calibri" w:cs="Calibri"/>
        </w:rPr>
        <w:t>Netzwerkprobleme außerhalb der Microsoft 365-Grenze</w:t>
      </w:r>
    </w:p>
    <w:p w14:paraId="2346BE43" w14:textId="77777777" w:rsidR="00272A94" w:rsidRPr="00D81517" w:rsidRDefault="00272A94">
      <w:pPr>
        <w:pStyle w:val="ProductList-Body"/>
        <w:numPr>
          <w:ilvl w:val="0"/>
          <w:numId w:val="29"/>
        </w:numPr>
        <w:rPr>
          <w:rFonts w:ascii="Calibri" w:hAnsi="Calibri" w:cs="Calibri"/>
        </w:rPr>
      </w:pPr>
      <w:r>
        <w:rPr>
          <w:rFonts w:ascii="Calibri" w:hAnsi="Calibri" w:cs="Calibri"/>
        </w:rPr>
        <w:t>Überschreiten der Sende-/Empfangsgrenzwerte von Microsoft 365</w:t>
      </w:r>
    </w:p>
    <w:p w14:paraId="6BFDE60E" w14:textId="77777777" w:rsidR="00272A94" w:rsidRPr="00D81517" w:rsidRDefault="00272A94">
      <w:pPr>
        <w:pStyle w:val="ProductList-Body"/>
        <w:numPr>
          <w:ilvl w:val="0"/>
          <w:numId w:val="29"/>
        </w:numPr>
        <w:rPr>
          <w:rFonts w:ascii="Calibri" w:hAnsi="Calibri" w:cs="Calibri"/>
        </w:rPr>
      </w:pPr>
      <w:r>
        <w:rPr>
          <w:rFonts w:ascii="Calibri" w:hAnsi="Calibri" w:cs="Calibri"/>
        </w:rPr>
        <w:t>Probleme aufgrund von Erweiterungen (z. B. benutzerdefinierte Richtlinien von Mandanten, Apps)</w:t>
      </w:r>
    </w:p>
    <w:p w14:paraId="066F9F80" w14:textId="77777777" w:rsidR="00272A94" w:rsidRPr="00D81517" w:rsidRDefault="00272A94">
      <w:pPr>
        <w:pStyle w:val="ProductList-Body"/>
        <w:numPr>
          <w:ilvl w:val="0"/>
          <w:numId w:val="29"/>
        </w:numPr>
        <w:rPr>
          <w:rFonts w:ascii="Calibri" w:hAnsi="Calibri" w:cs="Calibri"/>
        </w:rPr>
      </w:pPr>
      <w:r>
        <w:rPr>
          <w:rFonts w:ascii="Calibri" w:hAnsi="Calibri" w:cs="Calibri"/>
        </w:rPr>
        <w:t>Von Dritten verursachte Vorfälle (z. B. ISP, OnPrem usw.)</w:t>
      </w:r>
    </w:p>
    <w:p w14:paraId="7E0EC1F3" w14:textId="1D9D7B06" w:rsidR="00226D9E" w:rsidRPr="00545240" w:rsidRDefault="00226D9E" w:rsidP="00E3485F">
      <w:pPr>
        <w:pStyle w:val="ProductList-Body"/>
        <w:spacing w:before="120"/>
        <w:rPr>
          <w:rFonts w:ascii="Calibri" w:hAnsi="Calibri" w:cs="Calibri"/>
          <w:color w:val="00188F"/>
          <w:szCs w:val="18"/>
        </w:rPr>
      </w:pPr>
      <w:r>
        <w:rPr>
          <w:rFonts w:ascii="Calibri" w:hAnsi="Calibri" w:cs="Calibri"/>
          <w:b/>
          <w:color w:val="00188F"/>
          <w:szCs w:val="18"/>
        </w:rPr>
        <w:t>Betriebszeitprozentsatz für die Exchange-E-Mail-Zustellzeit</w:t>
      </w:r>
    </w:p>
    <w:p w14:paraId="173389A8" w14:textId="77777777" w:rsidR="00226D9E" w:rsidRPr="00CD6A13" w:rsidRDefault="00226D9E" w:rsidP="00226D9E">
      <w:pPr>
        <w:pStyle w:val="ProductList-Body"/>
        <w:rPr>
          <w:rFonts w:ascii="Calibri" w:hAnsi="Calibri" w:cs="Calibri"/>
          <w:b/>
          <w:color w:val="00188F"/>
          <w:szCs w:val="18"/>
        </w:rPr>
      </w:pPr>
      <w:r>
        <w:rPr>
          <w:rFonts w:ascii="Calibri" w:hAnsi="Calibri" w:cs="Calibri"/>
          <w:b/>
          <w:color w:val="00188F"/>
          <w:szCs w:val="18"/>
        </w:rPr>
        <w:t>M365 Interne E-Mail-Zustellung</w:t>
      </w:r>
    </w:p>
    <w:p w14:paraId="2F34A79B" w14:textId="77777777" w:rsidR="00226D9E" w:rsidRPr="00545240" w:rsidRDefault="00226D9E" w:rsidP="00226D9E">
      <w:pPr>
        <w:pStyle w:val="ProductList-Body"/>
        <w:rPr>
          <w:rFonts w:ascii="Calibri" w:hAnsi="Calibri" w:cs="Calibri"/>
          <w:szCs w:val="18"/>
        </w:rPr>
      </w:pPr>
      <w:r>
        <w:rPr>
          <w:rFonts w:ascii="Calibri" w:hAnsi="Calibri" w:cs="Calibri"/>
          <w:szCs w:val="18"/>
        </w:rPr>
        <w:t>Die M365 Interne E-Mail-Zustellung ist definiert als die schnellsten 95 % der Nachrichten, gemessen in Sekunden über einen Anwendbaren Zeitraum innerhalb der Microsoft 365-Grenze, und gilt für die folgenden Szenarien:</w:t>
      </w:r>
    </w:p>
    <w:p w14:paraId="120EBA48" w14:textId="77777777" w:rsidR="00226D9E" w:rsidRPr="00545240" w:rsidRDefault="00226D9E">
      <w:pPr>
        <w:pStyle w:val="ProductList-Body"/>
        <w:numPr>
          <w:ilvl w:val="0"/>
          <w:numId w:val="20"/>
        </w:numPr>
        <w:ind w:left="720"/>
        <w:rPr>
          <w:rFonts w:ascii="Calibri" w:hAnsi="Calibri" w:cs="Calibri"/>
          <w:szCs w:val="18"/>
        </w:rPr>
      </w:pPr>
      <w:r>
        <w:rPr>
          <w:rFonts w:ascii="Calibri" w:eastAsia="Times New Roman" w:hAnsi="Calibri" w:cs="Calibri"/>
          <w:b/>
          <w:bCs/>
          <w:color w:val="000000"/>
          <w:szCs w:val="18"/>
        </w:rPr>
        <w:lastRenderedPageBreak/>
        <w:t>Eingehend an das in der Microsoft 365-Cloud gehostete Postfach</w:t>
      </w:r>
      <w:r w:rsidRPr="000336E1">
        <w:rPr>
          <w:rFonts w:ascii="Calibri" w:eastAsia="Times New Roman" w:hAnsi="Calibri" w:cs="Calibri"/>
          <w:b/>
          <w:bCs/>
          <w:color w:val="000000"/>
          <w:szCs w:val="18"/>
        </w:rPr>
        <w:t>:</w:t>
      </w:r>
      <w:r>
        <w:rPr>
          <w:rFonts w:ascii="Calibri" w:eastAsia="Times New Roman" w:hAnsi="Calibri" w:cs="Calibri"/>
          <w:color w:val="000000"/>
          <w:szCs w:val="18"/>
        </w:rPr>
        <w:t xml:space="preserve"> Die benötigte Zeit vom Eintritt einer E-Mail in die Microsoft 365-Grenze bis zur Zustellung der E-Mail an das in der Microsoft 365-Cloud gehostete Postfach</w:t>
      </w:r>
      <w:r>
        <w:rPr>
          <w:rFonts w:ascii="Calibri" w:hAnsi="Calibri" w:cs="Calibri"/>
          <w:szCs w:val="18"/>
        </w:rPr>
        <w:t xml:space="preserve"> .</w:t>
      </w:r>
    </w:p>
    <w:p w14:paraId="5A0D0EE2" w14:textId="77777777" w:rsidR="00226D9E" w:rsidRPr="00545240" w:rsidRDefault="00226D9E">
      <w:pPr>
        <w:pStyle w:val="ProductList-Body"/>
        <w:numPr>
          <w:ilvl w:val="0"/>
          <w:numId w:val="20"/>
        </w:numPr>
        <w:ind w:left="720"/>
        <w:rPr>
          <w:rFonts w:ascii="Calibri" w:hAnsi="Calibri" w:cs="Calibri"/>
          <w:szCs w:val="18"/>
        </w:rPr>
      </w:pPr>
      <w:r>
        <w:rPr>
          <w:rFonts w:ascii="Calibri" w:eastAsia="Times New Roman" w:hAnsi="Calibri" w:cs="Calibri"/>
          <w:b/>
          <w:bCs/>
          <w:color w:val="000000"/>
          <w:szCs w:val="18"/>
        </w:rPr>
        <w:t>Mandanteninternes in der Microsoft 365-zu-Microsoft 365-Cloud gehostete Postfach (mandantenübergreifend ausgeschlossen)</w:t>
      </w:r>
      <w:r w:rsidRPr="000336E1">
        <w:rPr>
          <w:rFonts w:ascii="Calibri" w:eastAsia="Times New Roman" w:hAnsi="Calibri" w:cs="Calibri"/>
          <w:b/>
          <w:bCs/>
          <w:color w:val="000000"/>
          <w:szCs w:val="18"/>
        </w:rPr>
        <w:t>:</w:t>
      </w:r>
      <w:r>
        <w:rPr>
          <w:rFonts w:ascii="Calibri" w:eastAsia="Times New Roman" w:hAnsi="Calibri" w:cs="Calibri"/>
          <w:color w:val="000000"/>
          <w:szCs w:val="18"/>
        </w:rPr>
        <w:t xml:space="preserve"> Die verstrichene Zeit vom Senden einer E-Mails durch ein in der Microsoft 365-Cloud gehostetes Postfach bis zur Zustellung dieser E-Mails an ein anderes in der Microsoft 365-Cloud gehostetes Postfach</w:t>
      </w:r>
      <w:r>
        <w:rPr>
          <w:rFonts w:ascii="Calibri" w:hAnsi="Calibri" w:cs="Calibri"/>
          <w:szCs w:val="18"/>
        </w:rPr>
        <w:t xml:space="preserve"> .</w:t>
      </w:r>
    </w:p>
    <w:p w14:paraId="4200CCD1" w14:textId="77777777" w:rsidR="00226D9E" w:rsidRPr="00545240" w:rsidRDefault="00226D9E">
      <w:pPr>
        <w:pStyle w:val="ProductList-Body"/>
        <w:numPr>
          <w:ilvl w:val="0"/>
          <w:numId w:val="20"/>
        </w:numPr>
        <w:ind w:left="720"/>
        <w:rPr>
          <w:rFonts w:ascii="Calibri" w:hAnsi="Calibri" w:cs="Calibri"/>
          <w:b/>
          <w:bCs/>
          <w:szCs w:val="18"/>
        </w:rPr>
      </w:pPr>
      <w:r>
        <w:rPr>
          <w:rFonts w:ascii="Calibri" w:eastAsia="Times New Roman" w:hAnsi="Calibri" w:cs="Calibri"/>
          <w:b/>
          <w:bCs/>
          <w:color w:val="000000"/>
          <w:szCs w:val="18"/>
        </w:rPr>
        <w:t>In der Cloud gehostetes Microsoft 365-Postfach an einen externen Empfänger</w:t>
      </w:r>
      <w:r w:rsidRPr="000336E1">
        <w:rPr>
          <w:rFonts w:ascii="Calibri" w:eastAsia="Times New Roman" w:hAnsi="Calibri" w:cs="Calibri"/>
          <w:b/>
          <w:bCs/>
          <w:color w:val="000000"/>
          <w:szCs w:val="18"/>
        </w:rPr>
        <w:t>:</w:t>
      </w:r>
      <w:r>
        <w:rPr>
          <w:rFonts w:ascii="Calibri" w:eastAsia="Times New Roman" w:hAnsi="Calibri" w:cs="Calibri"/>
          <w:color w:val="000000"/>
          <w:szCs w:val="18"/>
        </w:rPr>
        <w:t xml:space="preserve"> Die verstrichene Zeit vom Senden einer E-Mail an einen externen Empfänger durch ein in der Microsoft 365-Cloud gehostetes Postfach, wobei die Verzögerung als Fehler innerhalb der Microsoft 365-Mandantengrenze identifiziert wurde</w:t>
      </w:r>
      <w:r>
        <w:rPr>
          <w:rFonts w:ascii="Calibri" w:hAnsi="Calibri" w:cs="Calibri"/>
          <w:szCs w:val="18"/>
        </w:rPr>
        <w:t xml:space="preserve"> .</w:t>
      </w:r>
    </w:p>
    <w:p w14:paraId="33BE4A2A" w14:textId="77777777" w:rsidR="00226D9E" w:rsidRPr="00545240" w:rsidRDefault="00226D9E">
      <w:pPr>
        <w:pStyle w:val="ProductList-Body"/>
        <w:numPr>
          <w:ilvl w:val="0"/>
          <w:numId w:val="20"/>
        </w:numPr>
        <w:ind w:left="720"/>
        <w:rPr>
          <w:rFonts w:ascii="Calibri" w:hAnsi="Calibri" w:cs="Calibri"/>
          <w:szCs w:val="18"/>
        </w:rPr>
      </w:pPr>
      <w:r>
        <w:rPr>
          <w:rFonts w:ascii="Calibri" w:eastAsia="Times New Roman" w:hAnsi="Calibri" w:cs="Calibri"/>
          <w:b/>
          <w:bCs/>
          <w:color w:val="000000"/>
          <w:szCs w:val="18"/>
        </w:rPr>
        <w:t>Microsoft 365-Weiterleitung an einen externen Empfänger</w:t>
      </w:r>
      <w:r w:rsidRPr="000336E1">
        <w:rPr>
          <w:rFonts w:ascii="Calibri" w:eastAsia="Times New Roman" w:hAnsi="Calibri" w:cs="Calibri"/>
          <w:b/>
          <w:bCs/>
          <w:color w:val="000000"/>
          <w:szCs w:val="18"/>
        </w:rPr>
        <w:t>:</w:t>
      </w:r>
      <w:r>
        <w:rPr>
          <w:rFonts w:ascii="Calibri" w:eastAsia="Times New Roman" w:hAnsi="Calibri" w:cs="Calibri"/>
          <w:color w:val="000000"/>
          <w:szCs w:val="18"/>
        </w:rPr>
        <w:t xml:space="preserve"> Die verstrichene Zeit zwischen dem Eintreffen einer E-Mail in der Microsoft 365-Grenze aus der lokalen Umgebung eines Kunden über einen eingehenden Connector und dem Verlassen der Microsoft 365-Mandantengrenze. Die Verzögerung wurde als Fehler innerhalb der Microsoft 365-Grenze identifiziert.</w:t>
      </w:r>
    </w:p>
    <w:p w14:paraId="193FD645" w14:textId="77777777" w:rsidR="00226D9E" w:rsidRPr="00545240" w:rsidRDefault="00226D9E" w:rsidP="00E3485F">
      <w:pPr>
        <w:pStyle w:val="ProductList-Body"/>
        <w:spacing w:before="120"/>
        <w:rPr>
          <w:rFonts w:ascii="Calibri" w:hAnsi="Calibri" w:cs="Calibri"/>
          <w:bCs/>
          <w:szCs w:val="18"/>
        </w:rPr>
      </w:pPr>
      <w:r>
        <w:rPr>
          <w:rFonts w:ascii="Calibri" w:hAnsi="Calibri" w:cs="Calibri"/>
          <w:bCs/>
          <w:szCs w:val="18"/>
        </w:rPr>
        <w:t>Die M365 Interne E-Mail-Zustellung wird gemessen und nach der jeweils benötigten Zeit sortiert. Die schnellsten 95 % der gemessenen Zeiten werden zur Berechnung der durchschnittlichen Zustellzeit für den Anwendbaren Zeitraum herangezogen.</w:t>
      </w:r>
    </w:p>
    <w:p w14:paraId="410BC8EB" w14:textId="77777777" w:rsidR="00226D9E" w:rsidRPr="00545240" w:rsidRDefault="00226D9E" w:rsidP="00226D9E">
      <w:pPr>
        <w:pStyle w:val="ProductList-Body"/>
        <w:rPr>
          <w:rFonts w:ascii="Calibri" w:hAnsi="Calibri" w:cs="Calibri"/>
          <w:szCs w:val="18"/>
        </w:rPr>
      </w:pPr>
    </w:p>
    <w:p w14:paraId="7C27AD85" w14:textId="77777777" w:rsidR="00226D9E" w:rsidRPr="00545240" w:rsidRDefault="00226D9E" w:rsidP="00226D9E">
      <w:pPr>
        <w:pStyle w:val="ProductList-Body"/>
        <w:rPr>
          <w:rFonts w:ascii="Calibri" w:hAnsi="Calibri" w:cs="Calibri"/>
          <w:szCs w:val="18"/>
        </w:rPr>
      </w:pPr>
      <w:r>
        <w:rPr>
          <w:rFonts w:ascii="Calibri" w:eastAsia="Times New Roman" w:hAnsi="Calibri" w:cs="Calibri"/>
          <w:color w:val="000000"/>
          <w:szCs w:val="18"/>
        </w:rPr>
        <w:t>Kunden haben Anspruch auf eine Servicegutschrift, wenn die schnellsten 95 % der E-Mail-Zustellung für den Anwendbaren Zeitraum die folgenden Schwellenwerte überschreiten</w:t>
      </w:r>
      <w:r>
        <w:rPr>
          <w:rFonts w:ascii="Calibri" w:hAnsi="Calibri" w:cs="Calibri"/>
          <w:szCs w:val="18"/>
        </w:rPr>
        <w:t>:</w:t>
      </w:r>
    </w:p>
    <w:tbl>
      <w:tblPr>
        <w:tblW w:w="5005"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30"/>
        <w:gridCol w:w="5671"/>
      </w:tblGrid>
      <w:tr w:rsidR="00226D9E" w14:paraId="78ACE9C3" w14:textId="77777777" w:rsidTr="000A3F1F">
        <w:trPr>
          <w:trHeight w:val="170"/>
          <w:tblHeader/>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938B277" w14:textId="77777777" w:rsidR="00226D9E" w:rsidRPr="00726397" w:rsidRDefault="00226D9E" w:rsidP="000A3F1F">
            <w:pPr>
              <w:pStyle w:val="ProductList-OfferingBody"/>
              <w:spacing w:line="256" w:lineRule="auto"/>
              <w:jc w:val="center"/>
              <w:rPr>
                <w:rFonts w:ascii="Calibri" w:hAnsi="Calibri" w:cs="Calibri"/>
                <w:bCs/>
                <w:color w:val="FFFFFF" w:themeColor="background1"/>
                <w:szCs w:val="16"/>
                <w:lang w:eastAsia="ko-KR"/>
              </w:rPr>
            </w:pPr>
            <w:r>
              <w:rPr>
                <w:rFonts w:ascii="Calibri" w:hAnsi="Calibri" w:cs="Calibri"/>
                <w:bCs/>
                <w:color w:val="FFFFFF" w:themeColor="background1"/>
                <w:szCs w:val="16"/>
              </w:rPr>
              <w:tab/>
              <w:t>Durchschnittlich für die E-Mail-Zustellung benötigte Zeit</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F234F7B" w14:textId="77777777" w:rsidR="00226D9E" w:rsidRPr="00726397" w:rsidRDefault="00226D9E" w:rsidP="000A3F1F">
            <w:pPr>
              <w:pStyle w:val="ProductList-OfferingBody"/>
              <w:spacing w:line="256" w:lineRule="auto"/>
              <w:jc w:val="center"/>
              <w:rPr>
                <w:rFonts w:ascii="Calibri" w:hAnsi="Calibri" w:cs="Calibri"/>
                <w:bCs/>
                <w:color w:val="FFFFFF" w:themeColor="background1"/>
                <w:szCs w:val="16"/>
                <w:lang w:eastAsia="ko-KR"/>
              </w:rPr>
            </w:pPr>
            <w:r>
              <w:rPr>
                <w:rFonts w:ascii="Calibri" w:hAnsi="Calibri" w:cs="Calibri"/>
                <w:bCs/>
                <w:color w:val="FFFFFF" w:themeColor="background1"/>
                <w:szCs w:val="16"/>
              </w:rPr>
              <w:t>Servicegutschrift</w:t>
            </w:r>
          </w:p>
        </w:tc>
      </w:tr>
      <w:tr w:rsidR="00226D9E" w14:paraId="5FDD7508" w14:textId="77777777" w:rsidTr="000A3F1F">
        <w:trPr>
          <w:trHeight w:val="242"/>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90D401" w14:textId="77777777" w:rsidR="00226D9E" w:rsidRPr="00726397" w:rsidRDefault="00226D9E" w:rsidP="000A3F1F">
            <w:pPr>
              <w:pStyle w:val="ProductList-OfferingBody"/>
              <w:spacing w:line="257" w:lineRule="auto"/>
              <w:jc w:val="center"/>
              <w:rPr>
                <w:rFonts w:ascii="Calibri" w:hAnsi="Calibri" w:cs="Calibri"/>
                <w:szCs w:val="16"/>
                <w:lang w:eastAsia="ko-KR"/>
              </w:rPr>
            </w:pPr>
            <w:r>
              <w:rPr>
                <w:rFonts w:ascii="Calibri" w:hAnsi="Calibri" w:cs="Calibri"/>
                <w:szCs w:val="16"/>
              </w:rPr>
              <w:t>&gt;1 Minute</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21EF12" w14:textId="77777777" w:rsidR="00226D9E" w:rsidRPr="00726397" w:rsidRDefault="00226D9E" w:rsidP="000A3F1F">
            <w:pPr>
              <w:pStyle w:val="ProductList-OfferingBody"/>
              <w:spacing w:line="257" w:lineRule="auto"/>
              <w:jc w:val="center"/>
              <w:rPr>
                <w:rFonts w:ascii="Calibri" w:hAnsi="Calibri" w:cs="Calibri"/>
                <w:szCs w:val="16"/>
                <w:lang w:eastAsia="ko-KR"/>
              </w:rPr>
            </w:pPr>
            <w:r>
              <w:rPr>
                <w:rFonts w:ascii="Calibri" w:hAnsi="Calibri" w:cs="Calibri"/>
                <w:szCs w:val="16"/>
              </w:rPr>
              <w:t>25 %</w:t>
            </w:r>
          </w:p>
        </w:tc>
      </w:tr>
      <w:tr w:rsidR="00226D9E" w14:paraId="0A1D6B19" w14:textId="77777777" w:rsidTr="000A3F1F">
        <w:trPr>
          <w:trHeight w:val="170"/>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DF9889" w14:textId="77777777" w:rsidR="00226D9E" w:rsidRPr="00726397" w:rsidRDefault="00226D9E" w:rsidP="000A3F1F">
            <w:pPr>
              <w:pStyle w:val="ProductList-OfferingBody"/>
              <w:spacing w:line="257" w:lineRule="auto"/>
              <w:jc w:val="center"/>
              <w:rPr>
                <w:rFonts w:ascii="Calibri" w:hAnsi="Calibri" w:cs="Calibri"/>
                <w:bCs/>
                <w:szCs w:val="16"/>
                <w:lang w:eastAsia="ko-KR"/>
              </w:rPr>
            </w:pPr>
            <w:r>
              <w:rPr>
                <w:rFonts w:ascii="Calibri" w:hAnsi="Calibri" w:cs="Calibri"/>
                <w:bCs/>
                <w:szCs w:val="16"/>
              </w:rPr>
              <w:t>&gt;4 Minuten</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EB9770" w14:textId="77777777" w:rsidR="00226D9E" w:rsidRPr="00726397" w:rsidRDefault="00226D9E" w:rsidP="000A3F1F">
            <w:pPr>
              <w:pStyle w:val="ProductList-OfferingBody"/>
              <w:spacing w:line="257" w:lineRule="auto"/>
              <w:jc w:val="center"/>
              <w:rPr>
                <w:rFonts w:ascii="Calibri" w:hAnsi="Calibri" w:cs="Calibri"/>
                <w:bCs/>
                <w:szCs w:val="16"/>
                <w:lang w:eastAsia="ko-KR"/>
              </w:rPr>
            </w:pPr>
            <w:r>
              <w:rPr>
                <w:rFonts w:ascii="Calibri" w:hAnsi="Calibri" w:cs="Calibri"/>
                <w:bCs/>
                <w:szCs w:val="16"/>
              </w:rPr>
              <w:t>50 %</w:t>
            </w:r>
          </w:p>
        </w:tc>
      </w:tr>
      <w:tr w:rsidR="00226D9E" w14:paraId="31C2155C" w14:textId="77777777" w:rsidTr="000A3F1F">
        <w:trPr>
          <w:trHeight w:val="188"/>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A25588" w14:textId="77777777" w:rsidR="00226D9E" w:rsidRPr="00726397" w:rsidRDefault="00226D9E" w:rsidP="000A3F1F">
            <w:pPr>
              <w:pStyle w:val="ProductList-OfferingBody"/>
              <w:spacing w:line="257" w:lineRule="auto"/>
              <w:jc w:val="center"/>
              <w:rPr>
                <w:rFonts w:ascii="Calibri" w:hAnsi="Calibri" w:cs="Calibri"/>
                <w:bCs/>
                <w:szCs w:val="16"/>
                <w:lang w:eastAsia="ko-KR"/>
              </w:rPr>
            </w:pPr>
            <w:r>
              <w:rPr>
                <w:rFonts w:ascii="Calibri" w:hAnsi="Calibri" w:cs="Calibri"/>
                <w:bCs/>
                <w:szCs w:val="16"/>
              </w:rPr>
              <w:t>&gt;10 Minuten</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B805C4" w14:textId="77777777" w:rsidR="00226D9E" w:rsidRPr="00726397" w:rsidRDefault="00226D9E" w:rsidP="000A3F1F">
            <w:pPr>
              <w:pStyle w:val="ProductList-OfferingBody"/>
              <w:spacing w:line="257" w:lineRule="auto"/>
              <w:jc w:val="center"/>
              <w:rPr>
                <w:rFonts w:ascii="Calibri" w:hAnsi="Calibri" w:cs="Calibri"/>
                <w:bCs/>
                <w:szCs w:val="16"/>
                <w:lang w:eastAsia="ko-KR"/>
              </w:rPr>
            </w:pPr>
            <w:r>
              <w:rPr>
                <w:rFonts w:ascii="Calibri" w:hAnsi="Calibri" w:cs="Calibri"/>
                <w:bCs/>
                <w:szCs w:val="16"/>
              </w:rPr>
              <w:t>100 %</w:t>
            </w:r>
          </w:p>
        </w:tc>
      </w:tr>
    </w:tbl>
    <w:p w14:paraId="69560400" w14:textId="77777777" w:rsidR="00226D9E" w:rsidRPr="00B44AB7" w:rsidRDefault="00226D9E" w:rsidP="00E3485F">
      <w:pPr>
        <w:pStyle w:val="ProductList-Body"/>
        <w:spacing w:before="120"/>
        <w:rPr>
          <w:rFonts w:ascii="Calibri" w:hAnsi="Calibri" w:cs="Calibri"/>
          <w:b/>
          <w:color w:val="00188F"/>
          <w:szCs w:val="18"/>
        </w:rPr>
      </w:pPr>
      <w:r w:rsidRPr="00B44AB7">
        <w:rPr>
          <w:rFonts w:ascii="Calibri" w:hAnsi="Calibri" w:cs="Calibri"/>
          <w:b/>
          <w:color w:val="00188F"/>
          <w:szCs w:val="18"/>
        </w:rPr>
        <w:t>Garantierte E-Mail-Zustellung</w:t>
      </w:r>
    </w:p>
    <w:p w14:paraId="23E4546F" w14:textId="77777777" w:rsidR="00226D9E" w:rsidRPr="00B44AB7" w:rsidRDefault="00226D9E" w:rsidP="00226D9E">
      <w:pPr>
        <w:pStyle w:val="ProductList-Body"/>
        <w:rPr>
          <w:rFonts w:ascii="Calibri" w:hAnsi="Calibri" w:cs="Calibri"/>
          <w:b/>
          <w:bCs/>
          <w:szCs w:val="18"/>
        </w:rPr>
      </w:pPr>
      <w:r w:rsidRPr="00B44AB7">
        <w:rPr>
          <w:rFonts w:ascii="Calibri" w:hAnsi="Calibri" w:cs="Calibri"/>
        </w:rPr>
        <w:t>Garantierte E-Mail-Zustellung</w:t>
      </w:r>
      <w:r w:rsidRPr="00B44AB7">
        <w:rPr>
          <w:rFonts w:ascii="Calibri" w:hAnsi="Calibri" w:cs="Calibri"/>
          <w:bCs/>
          <w:szCs w:val="18"/>
        </w:rPr>
        <w:t xml:space="preserve"> innerhalb der Grenzen von Microsoft 365 bezieht sich auf die erfolgreiche Zustellung von E-Mail-Nachrichten. Es gibt hierfür keine geplante Ausfallzeit und es trifft nur auf Ausfälle innerhalb der M365-Grenze zu.</w:t>
      </w:r>
    </w:p>
    <w:p w14:paraId="0987F766" w14:textId="77777777" w:rsidR="00226D9E" w:rsidRPr="002A0A04" w:rsidRDefault="00226D9E" w:rsidP="00226D9E">
      <w:pPr>
        <w:pStyle w:val="ProductList-Body"/>
        <w:rPr>
          <w:rFonts w:ascii="Calibri" w:hAnsi="Calibri" w:cs="Calibri"/>
          <w:bCs/>
        </w:rPr>
      </w:pPr>
    </w:p>
    <w:p w14:paraId="402ACC10" w14:textId="77777777" w:rsidR="00226D9E" w:rsidRPr="003B48E1" w:rsidRDefault="00226D9E" w:rsidP="00226D9E">
      <w:pPr>
        <w:pStyle w:val="ProductList-Body"/>
        <w:rPr>
          <w:rFonts w:ascii="Calibri" w:hAnsi="Calibri" w:cs="Calibri"/>
          <w:b/>
          <w:bCs/>
          <w:szCs w:val="18"/>
        </w:rPr>
      </w:pPr>
      <w:r>
        <w:rPr>
          <w:rFonts w:ascii="Calibri" w:hAnsi="Calibri" w:cs="Calibri"/>
        </w:rPr>
        <w:t xml:space="preserve">Prozentsatz </w:t>
      </w:r>
      <w:r>
        <w:rPr>
          <w:rFonts w:ascii="Calibri" w:hAnsi="Calibri" w:cs="Calibri"/>
          <w:szCs w:val="18"/>
        </w:rPr>
        <w:t>der Betriebszeit:</w:t>
      </w:r>
      <w:r>
        <w:rPr>
          <w:rFonts w:ascii="Calibri" w:hAnsi="Calibri" w:cs="Calibri"/>
          <w:bCs/>
          <w:szCs w:val="18"/>
        </w:rPr>
        <w:t xml:space="preserve"> Der Betriebszeitprozentsatz errechnet sich nach folgender Formel:</w:t>
      </w:r>
    </w:p>
    <w:p w14:paraId="44E34AA5" w14:textId="77777777" w:rsidR="00226D9E" w:rsidRPr="002A0A04" w:rsidRDefault="00226D9E" w:rsidP="00226D9E">
      <w:pPr>
        <w:pStyle w:val="ProductList-Body"/>
        <w:rPr>
          <w:rFonts w:ascii="Calibri" w:hAnsi="Calibri" w:cs="Calibri"/>
          <w:bCs/>
        </w:rPr>
      </w:pPr>
    </w:p>
    <w:p w14:paraId="5EB364B2" w14:textId="77777777" w:rsidR="00226D9E" w:rsidRPr="002A0A04" w:rsidRDefault="00000000" w:rsidP="00226D9E">
      <w:pPr>
        <w:pStyle w:val="ProductList-Body"/>
        <w:rPr>
          <w:rFonts w:ascii="Calibri" w:eastAsiaTheme="minorEastAsia" w:hAnsi="Calibri" w:cs="Calibri"/>
          <w:b/>
        </w:rPr>
      </w:pPr>
      <m:oMathPara>
        <m:oMath>
          <m:f>
            <m:fPr>
              <m:ctrlPr>
                <w:rPr>
                  <w:rFonts w:ascii="Cambria Math" w:hAnsi="Cambria Math" w:cs="Calibri"/>
                  <w:bCs/>
                  <w:i/>
                </w:rPr>
              </m:ctrlPr>
            </m:fPr>
            <m:num>
              <m:r>
                <w:rPr>
                  <w:rFonts w:ascii="Cambria Math" w:hAnsi="Cambria Math" w:cs="Calibri"/>
                </w:rPr>
                <m:t>Gesamtanzahl der Minuten in einem Monat - Ausfallzeit</m:t>
              </m:r>
            </m:num>
            <m:den>
              <m:r>
                <w:rPr>
                  <w:rFonts w:ascii="Cambria Math" w:hAnsi="Cambria Math" w:cs="Calibri"/>
                </w:rPr>
                <m:t>Gesamtanzahl der Minuten in einem Monat</m:t>
              </m:r>
            </m:den>
          </m:f>
          <m:r>
            <m:rPr>
              <m:sty m:val="bi"/>
            </m:rPr>
            <w:rPr>
              <w:rFonts w:ascii="Cambria Math" w:hAnsi="Cambria Math" w:cs="Calibri"/>
            </w:rPr>
            <m:t xml:space="preserve"> </m:t>
          </m:r>
          <m:r>
            <w:rPr>
              <w:rFonts w:ascii="Cambria Math" w:hAnsi="Cambria Math" w:cs="Calibri"/>
            </w:rPr>
            <m:t>x 100</m:t>
          </m:r>
        </m:oMath>
      </m:oMathPara>
    </w:p>
    <w:p w14:paraId="232AE8D1" w14:textId="77777777" w:rsidR="00226D9E" w:rsidRPr="002A0A04" w:rsidRDefault="00226D9E" w:rsidP="00226D9E">
      <w:pPr>
        <w:pStyle w:val="ProductList-Body"/>
        <w:rPr>
          <w:rFonts w:ascii="Calibri" w:hAnsi="Calibri" w:cs="Calibri"/>
          <w:bCs/>
        </w:rPr>
      </w:pPr>
    </w:p>
    <w:p w14:paraId="40325FD6" w14:textId="77777777" w:rsidR="00226D9E" w:rsidRPr="003B48E1" w:rsidRDefault="00226D9E" w:rsidP="00226D9E">
      <w:pPr>
        <w:pStyle w:val="ProductList-Body"/>
        <w:rPr>
          <w:rFonts w:ascii="Calibri" w:hAnsi="Calibri" w:cs="Calibri"/>
          <w:b/>
          <w:bCs/>
          <w:szCs w:val="18"/>
        </w:rPr>
      </w:pPr>
      <w:r>
        <w:rPr>
          <w:rFonts w:ascii="Calibri" w:hAnsi="Calibri" w:cs="Calibri"/>
        </w:rPr>
        <w:t>wobei die Ausfallzeit die Summe der Zeit (in Minuten) multipliziert mit dem Teil des Dienstes ist, der über den Kalendermonat hinweg nicht verfügbar ist.</w:t>
      </w:r>
    </w:p>
    <w:p w14:paraId="67935A46" w14:textId="77777777" w:rsidR="00226D9E" w:rsidRPr="002A0A04" w:rsidRDefault="00226D9E" w:rsidP="00226D9E">
      <w:pPr>
        <w:pStyle w:val="ProductList-Body"/>
        <w:rPr>
          <w:rFonts w:ascii="Calibri" w:hAnsi="Calibri" w:cs="Calibri"/>
          <w:bCs/>
        </w:rPr>
      </w:pPr>
    </w:p>
    <w:p w14:paraId="1AFB1EDA" w14:textId="77777777" w:rsidR="00226D9E" w:rsidRDefault="00226D9E" w:rsidP="00226D9E">
      <w:pPr>
        <w:pStyle w:val="ProductList-Body"/>
        <w:rPr>
          <w:rFonts w:ascii="Calibri" w:hAnsi="Calibri" w:cs="Calibri"/>
          <w:szCs w:val="18"/>
        </w:rPr>
      </w:pPr>
      <w:r>
        <w:rPr>
          <w:rFonts w:ascii="Calibri" w:hAnsi="Calibri" w:cs="Calibri"/>
          <w:b/>
          <w:color w:val="00188F"/>
        </w:rPr>
        <w:t>Servicegutschrift:</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226D9E" w:rsidRPr="00C574D6" w14:paraId="120B8C59" w14:textId="77777777" w:rsidTr="000A3F1F">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2EDB487E" w14:textId="77777777" w:rsidR="00226D9E" w:rsidRPr="002A0A04" w:rsidRDefault="00226D9E" w:rsidP="000A3F1F">
            <w:pPr>
              <w:pStyle w:val="ProductList-OfferingBody"/>
              <w:jc w:val="center"/>
              <w:rPr>
                <w:rFonts w:ascii="Calibri" w:hAnsi="Calibri" w:cs="Calibri"/>
                <w:color w:val="FFFFFF" w:themeColor="background1"/>
              </w:rPr>
            </w:pPr>
            <w:r>
              <w:rPr>
                <w:rFonts w:ascii="Calibri" w:hAnsi="Calibri" w:cs="Calibri"/>
                <w:color w:val="FFFFFF" w:themeColor="background1"/>
              </w:rPr>
              <w:t>Betriebszeitprozentsatz</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2D78E590" w14:textId="77777777" w:rsidR="00226D9E" w:rsidRPr="002A0A04" w:rsidRDefault="00226D9E" w:rsidP="000A3F1F">
            <w:pPr>
              <w:pStyle w:val="ProductList-OfferingBody"/>
              <w:jc w:val="center"/>
              <w:rPr>
                <w:rFonts w:ascii="Calibri" w:hAnsi="Calibri" w:cs="Calibri"/>
                <w:color w:val="FFFFFF" w:themeColor="background1"/>
              </w:rPr>
            </w:pPr>
            <w:r>
              <w:rPr>
                <w:rFonts w:ascii="Calibri" w:hAnsi="Calibri" w:cs="Calibri"/>
                <w:color w:val="FFFFFF" w:themeColor="background1"/>
              </w:rPr>
              <w:t>Servicegutschrift </w:t>
            </w:r>
          </w:p>
        </w:tc>
      </w:tr>
      <w:tr w:rsidR="00226D9E" w:rsidRPr="000F19E0" w14:paraId="0A102C79" w14:textId="77777777" w:rsidTr="000A3F1F">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6013ED4D" w14:textId="77777777" w:rsidR="00226D9E" w:rsidRPr="002B6E2A" w:rsidRDefault="00226D9E" w:rsidP="000A3F1F">
            <w:pPr>
              <w:pStyle w:val="ProductList-OfferingBody"/>
              <w:jc w:val="center"/>
              <w:rPr>
                <w:rFonts w:ascii="Calibri" w:hAnsi="Calibri" w:cs="Calibri"/>
                <w:szCs w:val="16"/>
                <w:lang w:eastAsia="ko-KR"/>
              </w:rPr>
            </w:pPr>
            <w:r>
              <w:rPr>
                <w:rFonts w:ascii="Calibri" w:hAnsi="Calibri" w:cs="Calibri"/>
                <w:szCs w:val="16"/>
              </w:rPr>
              <w:t>&lt; 99,9 % </w:t>
            </w:r>
          </w:p>
        </w:tc>
        <w:tc>
          <w:tcPr>
            <w:tcW w:w="5670" w:type="dxa"/>
            <w:tcBorders>
              <w:top w:val="single" w:sz="6" w:space="0" w:color="000000"/>
              <w:left w:val="single" w:sz="6" w:space="0" w:color="000000"/>
              <w:bottom w:val="single" w:sz="6" w:space="0" w:color="000000"/>
              <w:right w:val="single" w:sz="6" w:space="0" w:color="000000"/>
            </w:tcBorders>
            <w:hideMark/>
          </w:tcPr>
          <w:p w14:paraId="77837AEF" w14:textId="77777777" w:rsidR="00226D9E" w:rsidRPr="002B6E2A" w:rsidRDefault="00226D9E" w:rsidP="000A3F1F">
            <w:pPr>
              <w:pStyle w:val="ProductList-OfferingBody"/>
              <w:jc w:val="center"/>
              <w:rPr>
                <w:rFonts w:ascii="Calibri" w:hAnsi="Calibri" w:cs="Calibri"/>
                <w:szCs w:val="16"/>
                <w:lang w:eastAsia="ko-KR"/>
              </w:rPr>
            </w:pPr>
            <w:r>
              <w:rPr>
                <w:rFonts w:ascii="Calibri" w:hAnsi="Calibri" w:cs="Calibri"/>
                <w:szCs w:val="16"/>
              </w:rPr>
              <w:t>25 % </w:t>
            </w:r>
          </w:p>
        </w:tc>
      </w:tr>
      <w:tr w:rsidR="00226D9E" w:rsidRPr="000F19E0" w14:paraId="6476462D" w14:textId="77777777" w:rsidTr="000A3F1F">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2986C4FF" w14:textId="77777777" w:rsidR="00226D9E" w:rsidRPr="002B6E2A" w:rsidRDefault="00226D9E" w:rsidP="000A3F1F">
            <w:pPr>
              <w:pStyle w:val="ProductList-OfferingBody"/>
              <w:jc w:val="center"/>
              <w:rPr>
                <w:rFonts w:ascii="Calibri" w:hAnsi="Calibri" w:cs="Calibri"/>
                <w:szCs w:val="16"/>
                <w:lang w:eastAsia="ko-KR"/>
              </w:rPr>
            </w:pPr>
            <w:r>
              <w:rPr>
                <w:rFonts w:ascii="Calibri" w:hAnsi="Calibri" w:cs="Calibri"/>
                <w:szCs w:val="16"/>
              </w:rPr>
              <w:t>&lt; 99 % </w:t>
            </w:r>
          </w:p>
        </w:tc>
        <w:tc>
          <w:tcPr>
            <w:tcW w:w="5670" w:type="dxa"/>
            <w:tcBorders>
              <w:top w:val="single" w:sz="6" w:space="0" w:color="000000"/>
              <w:left w:val="single" w:sz="6" w:space="0" w:color="000000"/>
              <w:bottom w:val="single" w:sz="6" w:space="0" w:color="000000"/>
              <w:right w:val="single" w:sz="6" w:space="0" w:color="000000"/>
            </w:tcBorders>
            <w:hideMark/>
          </w:tcPr>
          <w:p w14:paraId="32403677" w14:textId="77777777" w:rsidR="00226D9E" w:rsidRPr="002B6E2A" w:rsidRDefault="00226D9E" w:rsidP="000A3F1F">
            <w:pPr>
              <w:pStyle w:val="ProductList-OfferingBody"/>
              <w:jc w:val="center"/>
              <w:rPr>
                <w:rFonts w:ascii="Calibri" w:hAnsi="Calibri" w:cs="Calibri"/>
                <w:szCs w:val="16"/>
                <w:lang w:eastAsia="ko-KR"/>
              </w:rPr>
            </w:pPr>
            <w:r>
              <w:rPr>
                <w:rFonts w:ascii="Calibri" w:hAnsi="Calibri" w:cs="Calibri"/>
                <w:szCs w:val="16"/>
              </w:rPr>
              <w:t>50 % </w:t>
            </w:r>
          </w:p>
        </w:tc>
      </w:tr>
      <w:tr w:rsidR="00226D9E" w:rsidRPr="000F19E0" w14:paraId="671BFA4C" w14:textId="77777777" w:rsidTr="000A3F1F">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286F091C" w14:textId="77777777" w:rsidR="00226D9E" w:rsidRPr="002B6E2A" w:rsidRDefault="00226D9E" w:rsidP="000A3F1F">
            <w:pPr>
              <w:pStyle w:val="ProductList-OfferingBody"/>
              <w:jc w:val="center"/>
              <w:rPr>
                <w:rFonts w:ascii="Calibri" w:hAnsi="Calibri" w:cs="Calibri"/>
                <w:szCs w:val="16"/>
                <w:lang w:eastAsia="ko-KR"/>
              </w:rPr>
            </w:pPr>
            <w:r>
              <w:rPr>
                <w:rFonts w:ascii="Calibri" w:hAnsi="Calibri" w:cs="Calibri"/>
                <w:szCs w:val="16"/>
              </w:rPr>
              <w:t>&lt; 95 % </w:t>
            </w:r>
          </w:p>
        </w:tc>
        <w:tc>
          <w:tcPr>
            <w:tcW w:w="5670" w:type="dxa"/>
            <w:tcBorders>
              <w:top w:val="single" w:sz="6" w:space="0" w:color="000000"/>
              <w:left w:val="single" w:sz="6" w:space="0" w:color="000000"/>
              <w:bottom w:val="single" w:sz="6" w:space="0" w:color="000000"/>
              <w:right w:val="single" w:sz="6" w:space="0" w:color="000000"/>
            </w:tcBorders>
            <w:hideMark/>
          </w:tcPr>
          <w:p w14:paraId="46BD4C11" w14:textId="77777777" w:rsidR="00226D9E" w:rsidRPr="002B6E2A" w:rsidRDefault="00226D9E" w:rsidP="000A3F1F">
            <w:pPr>
              <w:pStyle w:val="ProductList-OfferingBody"/>
              <w:jc w:val="center"/>
              <w:rPr>
                <w:rFonts w:ascii="Calibri" w:hAnsi="Calibri" w:cs="Calibri"/>
                <w:szCs w:val="16"/>
                <w:lang w:eastAsia="ko-KR"/>
              </w:rPr>
            </w:pPr>
            <w:r>
              <w:rPr>
                <w:rFonts w:ascii="Calibri" w:hAnsi="Calibri" w:cs="Calibri"/>
                <w:szCs w:val="16"/>
              </w:rPr>
              <w:t>100 % </w:t>
            </w:r>
          </w:p>
        </w:tc>
      </w:tr>
    </w:tbl>
    <w:p w14:paraId="2EF67B47" w14:textId="77777777" w:rsidR="00226D9E" w:rsidRPr="00074E40" w:rsidRDefault="00226D9E" w:rsidP="00E3485F">
      <w:pPr>
        <w:spacing w:before="120" w:after="0" w:line="240" w:lineRule="auto"/>
        <w:rPr>
          <w:rFonts w:ascii="Calibri" w:hAnsi="Calibri" w:cs="Calibri"/>
          <w:b/>
          <w:color w:val="00188F"/>
          <w:sz w:val="18"/>
        </w:rPr>
      </w:pPr>
      <w:r>
        <w:rPr>
          <w:rFonts w:ascii="Calibri" w:hAnsi="Calibri" w:cs="Calibri"/>
          <w:b/>
          <w:color w:val="00188F"/>
          <w:sz w:val="18"/>
        </w:rPr>
        <w:t>M365 E-Mail-Verfügbarkeit Eingang/Ausgang </w:t>
      </w:r>
    </w:p>
    <w:p w14:paraId="40E420CB" w14:textId="77777777" w:rsidR="00226D9E" w:rsidRPr="00D30804" w:rsidRDefault="00226D9E" w:rsidP="00226D9E">
      <w:pPr>
        <w:rPr>
          <w:rFonts w:ascii="Calibri" w:hAnsi="Calibri" w:cs="Calibri"/>
          <w:sz w:val="18"/>
          <w:szCs w:val="18"/>
        </w:rPr>
      </w:pPr>
      <w:r>
        <w:rPr>
          <w:rFonts w:ascii="Calibri" w:hAnsi="Calibri" w:cs="Calibri"/>
          <w:sz w:val="18"/>
          <w:szCs w:val="18"/>
        </w:rPr>
        <w:t>M365 E-Mail-Verfügbarkeit Eingang/Ausgang ist definiert als beliebiger Zeitraum, in dem M365 aufgrund eines Problems innerhalb der M365-Grenzen keine E-Mail-Nachrichten empfangen oder senden kann. Dafür ist keine planmäßige Ausfallzeit vorgesehen. </w:t>
      </w:r>
    </w:p>
    <w:p w14:paraId="0ACAE8F6" w14:textId="77777777" w:rsidR="00226D9E" w:rsidRPr="00D30804" w:rsidRDefault="00226D9E" w:rsidP="00E3485F">
      <w:pPr>
        <w:spacing w:after="0" w:line="240" w:lineRule="auto"/>
        <w:rPr>
          <w:rFonts w:ascii="Calibri" w:hAnsi="Calibri" w:cs="Calibri"/>
          <w:sz w:val="18"/>
          <w:szCs w:val="18"/>
        </w:rPr>
      </w:pPr>
      <w:r>
        <w:rPr>
          <w:rFonts w:ascii="Calibri" w:hAnsi="Calibri" w:cs="Calibri"/>
          <w:sz w:val="18"/>
          <w:szCs w:val="18"/>
        </w:rPr>
        <w:t>Die Verfügbarkeit ist in zwei Kategorien unterteilt:</w:t>
      </w:r>
    </w:p>
    <w:p w14:paraId="2557D759" w14:textId="77777777" w:rsidR="00226D9E" w:rsidRPr="00D30804" w:rsidRDefault="00226D9E">
      <w:pPr>
        <w:numPr>
          <w:ilvl w:val="0"/>
          <w:numId w:val="25"/>
        </w:numPr>
        <w:spacing w:after="0"/>
        <w:rPr>
          <w:rFonts w:ascii="Calibri" w:hAnsi="Calibri" w:cs="Calibri"/>
          <w:sz w:val="18"/>
          <w:szCs w:val="18"/>
        </w:rPr>
      </w:pPr>
      <w:r>
        <w:rPr>
          <w:rFonts w:ascii="Calibri" w:hAnsi="Calibri" w:cs="Calibri"/>
          <w:sz w:val="18"/>
          <w:szCs w:val="18"/>
        </w:rPr>
        <w:t>Dauerhafte Zurückweisungen aufgrund von M365-Problemen </w:t>
      </w:r>
    </w:p>
    <w:p w14:paraId="35ED2ABA" w14:textId="77777777" w:rsidR="00226D9E" w:rsidRPr="00D30804" w:rsidRDefault="00226D9E">
      <w:pPr>
        <w:numPr>
          <w:ilvl w:val="0"/>
          <w:numId w:val="26"/>
        </w:numPr>
        <w:spacing w:after="0"/>
        <w:rPr>
          <w:rFonts w:ascii="Calibri" w:hAnsi="Calibri" w:cs="Calibri"/>
          <w:sz w:val="18"/>
          <w:szCs w:val="18"/>
        </w:rPr>
      </w:pPr>
      <w:r>
        <w:rPr>
          <w:rFonts w:ascii="Calibri" w:hAnsi="Calibri" w:cs="Calibri"/>
          <w:sz w:val="18"/>
          <w:szCs w:val="18"/>
        </w:rPr>
        <w:t>Vorübergehende Zurückweisungen aufgrund von M365-Problemen </w:t>
      </w:r>
    </w:p>
    <w:p w14:paraId="668D00A7" w14:textId="77777777" w:rsidR="00226D9E" w:rsidRPr="00D30804" w:rsidRDefault="00226D9E" w:rsidP="00226D9E">
      <w:pPr>
        <w:spacing w:after="0"/>
        <w:rPr>
          <w:rFonts w:ascii="Calibri" w:hAnsi="Calibri" w:cs="Calibri"/>
          <w:sz w:val="18"/>
          <w:szCs w:val="18"/>
        </w:rPr>
      </w:pPr>
    </w:p>
    <w:p w14:paraId="4A5EF3C3" w14:textId="77777777" w:rsidR="00226D9E" w:rsidRPr="00074E40" w:rsidRDefault="00226D9E" w:rsidP="00226D9E">
      <w:pPr>
        <w:spacing w:after="0"/>
        <w:rPr>
          <w:rFonts w:ascii="Calibri" w:hAnsi="Calibri" w:cs="Calibri"/>
          <w:b/>
          <w:color w:val="00188F"/>
          <w:sz w:val="18"/>
        </w:rPr>
      </w:pPr>
      <w:r>
        <w:rPr>
          <w:rFonts w:ascii="Calibri" w:hAnsi="Calibri" w:cs="Calibri"/>
          <w:b/>
          <w:color w:val="00188F"/>
          <w:sz w:val="18"/>
        </w:rPr>
        <w:t>Betriebszeitprozentsatz </w:t>
      </w:r>
    </w:p>
    <w:p w14:paraId="37BA6BAA" w14:textId="77777777" w:rsidR="00226D9E" w:rsidRPr="00D30804" w:rsidRDefault="00226D9E">
      <w:pPr>
        <w:numPr>
          <w:ilvl w:val="0"/>
          <w:numId w:val="27"/>
        </w:numPr>
        <w:rPr>
          <w:rFonts w:ascii="Calibri" w:hAnsi="Calibri" w:cs="Calibri"/>
          <w:sz w:val="18"/>
          <w:szCs w:val="18"/>
        </w:rPr>
      </w:pPr>
      <w:r>
        <w:rPr>
          <w:rFonts w:ascii="Calibri" w:hAnsi="Calibri" w:cs="Calibri"/>
          <w:sz w:val="18"/>
          <w:szCs w:val="18"/>
        </w:rPr>
        <w:t>Dauerhafte Zurückweisungen aufgrund von M365-Problemen </w:t>
      </w:r>
    </w:p>
    <w:p w14:paraId="05C11AD9" w14:textId="77777777" w:rsidR="00226D9E" w:rsidRDefault="00226D9E" w:rsidP="00226D9E">
      <w:pPr>
        <w:pStyle w:val="ProductList-Body"/>
        <w:rPr>
          <w:rFonts w:ascii="Calibri" w:hAnsi="Calibri" w:cs="Calibri"/>
        </w:rPr>
      </w:pPr>
      <w:r>
        <w:rPr>
          <w:rFonts w:ascii="Calibri" w:hAnsi="Calibri" w:cs="Calibri"/>
        </w:rPr>
        <w:t>Der Betriebszeitprozentsatz errechnet sich nach folgender Formel:</w:t>
      </w:r>
    </w:p>
    <w:p w14:paraId="5C2FB240" w14:textId="77777777" w:rsidR="00226D9E" w:rsidRPr="00545240" w:rsidRDefault="00226D9E" w:rsidP="00226D9E">
      <w:pPr>
        <w:pStyle w:val="ProductList-Body"/>
        <w:rPr>
          <w:rFonts w:ascii="Calibri" w:hAnsi="Calibri" w:cs="Calibri"/>
        </w:rPr>
      </w:pPr>
    </w:p>
    <w:p w14:paraId="2CD61CAA" w14:textId="77777777" w:rsidR="00226D9E" w:rsidRPr="002A0A04" w:rsidRDefault="00000000" w:rsidP="00226D9E">
      <w:pPr>
        <w:pStyle w:val="ProductList-Body"/>
        <w:rPr>
          <w:rFonts w:ascii="Cambria Math" w:hAnsi="Cambria Math" w:cs="Calibri"/>
          <w:b/>
          <w:i/>
        </w:rPr>
      </w:pPr>
      <m:oMathPara>
        <m:oMath>
          <m:f>
            <m:fPr>
              <m:ctrlPr>
                <w:rPr>
                  <w:rFonts w:ascii="Cambria Math" w:hAnsi="Cambria Math" w:cs="Calibri"/>
                  <w:i/>
                </w:rPr>
              </m:ctrlPr>
            </m:fPr>
            <m:num>
              <m:r>
                <w:rPr>
                  <w:rFonts w:ascii="Cambria Math" w:hAnsi="Cambria Math" w:cs="Calibri"/>
                </w:rPr>
                <m:t>Gesamtanzahl der Minuten in einem Monat - Ausfallzeit</m:t>
              </m:r>
            </m:num>
            <m:den>
              <m:r>
                <w:rPr>
                  <w:rFonts w:ascii="Cambria Math" w:hAnsi="Cambria Math" w:cs="Calibri"/>
                </w:rPr>
                <m:t>Gesamtanzahl der Minuten in einem Monat</m:t>
              </m:r>
            </m:den>
          </m:f>
          <m:r>
            <w:rPr>
              <w:rFonts w:ascii="Cambria Math" w:hAnsi="Cambria Math" w:cs="Calibri"/>
            </w:rPr>
            <m:t xml:space="preserve"> x 100</m:t>
          </m:r>
        </m:oMath>
      </m:oMathPara>
    </w:p>
    <w:p w14:paraId="2D167050" w14:textId="77777777" w:rsidR="00226D9E" w:rsidRDefault="00226D9E" w:rsidP="00226D9E">
      <w:pPr>
        <w:pStyle w:val="ProductList-Body"/>
      </w:pPr>
    </w:p>
    <w:p w14:paraId="50DF7CA3" w14:textId="77777777" w:rsidR="00226D9E" w:rsidRDefault="00226D9E" w:rsidP="00226D9E">
      <w:pPr>
        <w:pStyle w:val="ProductList-Body"/>
        <w:rPr>
          <w:rFonts w:ascii="Calibri" w:hAnsi="Calibri" w:cs="Calibri"/>
        </w:rPr>
      </w:pPr>
      <w:r>
        <w:rPr>
          <w:rFonts w:ascii="Calibri" w:hAnsi="Calibri" w:cs="Calibri"/>
        </w:rPr>
        <w:t>wobei die Ausfallzeit die Summe der Zeit (in Minuten) multipliziert mit dem Teil des Dienstes ist, der über den Kalendermonat hinweg nicht verfügbar ist.</w:t>
      </w:r>
    </w:p>
    <w:p w14:paraId="28BD4F4F" w14:textId="77777777" w:rsidR="00226D9E" w:rsidRPr="002A0A04" w:rsidRDefault="00226D9E" w:rsidP="00226D9E">
      <w:pPr>
        <w:pStyle w:val="ProductList-Body"/>
        <w:rPr>
          <w:rFonts w:ascii="Calibri" w:hAnsi="Calibri" w:cs="Calibri"/>
        </w:rPr>
      </w:pPr>
    </w:p>
    <w:p w14:paraId="0198583A" w14:textId="77777777" w:rsidR="00226D9E" w:rsidRPr="008F32C8" w:rsidRDefault="00226D9E">
      <w:pPr>
        <w:numPr>
          <w:ilvl w:val="0"/>
          <w:numId w:val="27"/>
        </w:numPr>
        <w:rPr>
          <w:rFonts w:ascii="Calibri" w:hAnsi="Calibri" w:cs="Calibri"/>
          <w:b/>
          <w:bCs/>
          <w:sz w:val="18"/>
          <w:szCs w:val="18"/>
        </w:rPr>
      </w:pPr>
      <w:r>
        <w:rPr>
          <w:rFonts w:ascii="Calibri" w:hAnsi="Calibri" w:cs="Calibri"/>
          <w:sz w:val="18"/>
          <w:szCs w:val="18"/>
        </w:rPr>
        <w:lastRenderedPageBreak/>
        <w:t>Vorübergehende Zurückweisungen aufgrund von M365-Problemen</w:t>
      </w:r>
    </w:p>
    <w:p w14:paraId="4C7D6A55" w14:textId="77777777" w:rsidR="00226D9E" w:rsidRPr="00C56933" w:rsidRDefault="00226D9E" w:rsidP="00226D9E">
      <w:pPr>
        <w:spacing w:after="0"/>
        <w:rPr>
          <w:rFonts w:ascii="Calibri" w:hAnsi="Calibri" w:cs="Calibri"/>
          <w:sz w:val="18"/>
        </w:rPr>
      </w:pPr>
      <w:r>
        <w:rPr>
          <w:rFonts w:ascii="Calibri" w:hAnsi="Calibri" w:cs="Calibri"/>
          <w:b/>
          <w:color w:val="00188F"/>
          <w:sz w:val="18"/>
        </w:rPr>
        <w:t>Betriebszeitprozentsatz</w:t>
      </w:r>
    </w:p>
    <w:p w14:paraId="026520BE" w14:textId="4E2B9D8E" w:rsidR="00226D9E" w:rsidRPr="002A0A04" w:rsidRDefault="00000000" w:rsidP="00226D9E">
      <w:pPr>
        <w:pStyle w:val="ProductList-Body"/>
        <w:rPr>
          <w:rFonts w:ascii="Calibri" w:hAnsi="Calibri" w:cs="Calibri"/>
          <w:b/>
          <w:i/>
        </w:rPr>
      </w:pPr>
      <m:oMathPara>
        <m:oMath>
          <m:f>
            <m:fPr>
              <m:ctrlPr>
                <w:rPr>
                  <w:rFonts w:ascii="Cambria Math" w:hAnsi="Cambria Math" w:cs="Calibri"/>
                  <w:i/>
                </w:rPr>
              </m:ctrlPr>
            </m:fPr>
            <m:num>
              <m:r>
                <w:rPr>
                  <w:rFonts w:ascii="Cambria Math" w:hAnsi="Cambria Math" w:cs="Calibri"/>
                </w:rPr>
                <m:t xml:space="preserve">Gesamtzahl der Nachrichten in einem Monat - betroffene Nachrichten </m:t>
              </m:r>
            </m:num>
            <m:den>
              <m:r>
                <w:rPr>
                  <w:rFonts w:ascii="Cambria Math" w:hAnsi="Cambria Math" w:cs="Calibri"/>
                </w:rPr>
                <m:t>Gesamtzahl der Nachrichten für den Monat</m:t>
              </m:r>
            </m:den>
          </m:f>
          <m:r>
            <w:rPr>
              <w:rFonts w:ascii="Cambria Math" w:hAnsi="Cambria Math" w:cs="Calibri"/>
            </w:rPr>
            <m:t xml:space="preserve"> x 100</m:t>
          </m:r>
        </m:oMath>
      </m:oMathPara>
    </w:p>
    <w:p w14:paraId="7CA5BA23" w14:textId="77777777" w:rsidR="00226D9E" w:rsidRPr="002A0A04" w:rsidRDefault="00226D9E" w:rsidP="00226D9E">
      <w:pPr>
        <w:pStyle w:val="ProductList-Body"/>
        <w:rPr>
          <w:rFonts w:ascii="Calibri" w:hAnsi="Calibri" w:cs="Calibri"/>
          <w:b/>
        </w:rPr>
      </w:pPr>
    </w:p>
    <w:p w14:paraId="7CE2DBDB" w14:textId="77777777" w:rsidR="00226D9E" w:rsidRPr="002A0A04" w:rsidRDefault="00226D9E" w:rsidP="00226D9E">
      <w:pPr>
        <w:pStyle w:val="ProductList-Body"/>
        <w:rPr>
          <w:rFonts w:ascii="Calibri" w:hAnsi="Calibri" w:cs="Calibri"/>
        </w:rPr>
      </w:pPr>
      <w:r>
        <w:rPr>
          <w:rFonts w:ascii="Calibri" w:hAnsi="Calibri" w:cs="Calibri"/>
        </w:rPr>
        <w:t>Betroffene Nachrichten sind als Nachrichten definiert, die während der Probleme im gesamten Kalendermonat um mehr als (10) Minuten verzögert werden.</w:t>
      </w:r>
    </w:p>
    <w:p w14:paraId="26195D2B" w14:textId="77777777" w:rsidR="00226D9E" w:rsidRPr="00DE2B55" w:rsidRDefault="00226D9E" w:rsidP="00226D9E">
      <w:pPr>
        <w:pStyle w:val="ProductList-Body"/>
        <w:rPr>
          <w:rFonts w:ascii="Calibri" w:hAnsi="Calibri" w:cs="Calibri"/>
        </w:rPr>
      </w:pPr>
    </w:p>
    <w:p w14:paraId="3617F0CC" w14:textId="77777777" w:rsidR="00226D9E" w:rsidRPr="00C56933" w:rsidRDefault="00226D9E" w:rsidP="00226D9E">
      <w:pPr>
        <w:pStyle w:val="ProductList-Body"/>
        <w:rPr>
          <w:rFonts w:ascii="Calibri" w:hAnsi="Calibri" w:cs="Calibri"/>
        </w:rPr>
      </w:pPr>
      <w:r>
        <w:rPr>
          <w:rFonts w:ascii="Calibri" w:hAnsi="Calibri" w:cs="Calibri"/>
          <w:b/>
          <w:color w:val="00188F"/>
        </w:rPr>
        <w:t>Servicegutschrift</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226D9E" w:rsidRPr="00C574D6" w14:paraId="77FEB163" w14:textId="77777777" w:rsidTr="000A3F1F">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4F7D8219" w14:textId="77777777" w:rsidR="00226D9E" w:rsidRPr="00787DF4" w:rsidRDefault="00226D9E" w:rsidP="000A3F1F">
            <w:pPr>
              <w:pStyle w:val="ProductList-OfferingBody"/>
              <w:jc w:val="center"/>
              <w:rPr>
                <w:rFonts w:ascii="Calibri" w:hAnsi="Calibri" w:cs="Calibri"/>
                <w:b/>
                <w:bCs/>
                <w:color w:val="FFFFFF" w:themeColor="background1"/>
              </w:rPr>
            </w:pPr>
            <w:r>
              <w:rPr>
                <w:rFonts w:ascii="Calibri" w:hAnsi="Calibri" w:cs="Calibri"/>
                <w:b/>
                <w:bCs/>
                <w:color w:val="FFFFFF" w:themeColor="background1"/>
              </w:rPr>
              <w:t>Betriebszeitprozentsatz </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1CF4D792" w14:textId="77777777" w:rsidR="00226D9E" w:rsidRPr="00787DF4" w:rsidRDefault="00226D9E" w:rsidP="000A3F1F">
            <w:pPr>
              <w:pStyle w:val="ProductList-OfferingBody"/>
              <w:jc w:val="center"/>
              <w:rPr>
                <w:rFonts w:ascii="Calibri" w:hAnsi="Calibri" w:cs="Calibri"/>
                <w:b/>
                <w:bCs/>
                <w:color w:val="FFFFFF" w:themeColor="background1"/>
              </w:rPr>
            </w:pPr>
            <w:r>
              <w:rPr>
                <w:rFonts w:ascii="Calibri" w:hAnsi="Calibri" w:cs="Calibri"/>
                <w:b/>
                <w:bCs/>
                <w:color w:val="FFFFFF" w:themeColor="background1"/>
              </w:rPr>
              <w:t>Servicegutschrift </w:t>
            </w:r>
          </w:p>
        </w:tc>
      </w:tr>
      <w:tr w:rsidR="00226D9E" w:rsidRPr="000F19E0" w14:paraId="53887E1E" w14:textId="77777777" w:rsidTr="000A3F1F">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00E80965" w14:textId="77777777" w:rsidR="00226D9E" w:rsidRPr="000F19E0" w:rsidRDefault="00226D9E" w:rsidP="000A3F1F">
            <w:pPr>
              <w:pStyle w:val="ProductList-OfferingBody"/>
              <w:jc w:val="center"/>
              <w:rPr>
                <w:rFonts w:ascii="Calibri" w:hAnsi="Calibri" w:cs="Calibri"/>
              </w:rPr>
            </w:pPr>
            <w:r>
              <w:rPr>
                <w:rFonts w:ascii="Calibri" w:hAnsi="Calibri" w:cs="Calibri"/>
              </w:rPr>
              <w:t>&lt; 99,9 % </w:t>
            </w:r>
          </w:p>
        </w:tc>
        <w:tc>
          <w:tcPr>
            <w:tcW w:w="5670" w:type="dxa"/>
            <w:tcBorders>
              <w:top w:val="single" w:sz="6" w:space="0" w:color="000000"/>
              <w:left w:val="single" w:sz="6" w:space="0" w:color="000000"/>
              <w:bottom w:val="single" w:sz="6" w:space="0" w:color="000000"/>
              <w:right w:val="single" w:sz="6" w:space="0" w:color="000000"/>
            </w:tcBorders>
            <w:hideMark/>
          </w:tcPr>
          <w:p w14:paraId="60BD26DB" w14:textId="77777777" w:rsidR="00226D9E" w:rsidRPr="000F19E0" w:rsidRDefault="00226D9E" w:rsidP="000A3F1F">
            <w:pPr>
              <w:pStyle w:val="ProductList-OfferingBody"/>
              <w:jc w:val="center"/>
              <w:rPr>
                <w:rFonts w:ascii="Calibri" w:hAnsi="Calibri" w:cs="Calibri"/>
              </w:rPr>
            </w:pPr>
            <w:r>
              <w:rPr>
                <w:rFonts w:ascii="Calibri" w:hAnsi="Calibri" w:cs="Calibri"/>
              </w:rPr>
              <w:t>25 % </w:t>
            </w:r>
          </w:p>
        </w:tc>
      </w:tr>
      <w:tr w:rsidR="00226D9E" w:rsidRPr="000F19E0" w14:paraId="259E50A4" w14:textId="77777777" w:rsidTr="000A3F1F">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365B330B" w14:textId="77777777" w:rsidR="00226D9E" w:rsidRPr="000F19E0" w:rsidRDefault="00226D9E" w:rsidP="000A3F1F">
            <w:pPr>
              <w:pStyle w:val="ProductList-OfferingBody"/>
              <w:jc w:val="center"/>
              <w:rPr>
                <w:rFonts w:ascii="Calibri" w:hAnsi="Calibri" w:cs="Calibri"/>
              </w:rPr>
            </w:pPr>
            <w:r>
              <w:rPr>
                <w:rFonts w:ascii="Calibri" w:hAnsi="Calibri" w:cs="Calibri"/>
              </w:rPr>
              <w:t>&lt; 99 % </w:t>
            </w:r>
          </w:p>
        </w:tc>
        <w:tc>
          <w:tcPr>
            <w:tcW w:w="5670" w:type="dxa"/>
            <w:tcBorders>
              <w:top w:val="single" w:sz="6" w:space="0" w:color="000000"/>
              <w:left w:val="single" w:sz="6" w:space="0" w:color="000000"/>
              <w:bottom w:val="single" w:sz="6" w:space="0" w:color="000000"/>
              <w:right w:val="single" w:sz="6" w:space="0" w:color="000000"/>
            </w:tcBorders>
            <w:hideMark/>
          </w:tcPr>
          <w:p w14:paraId="63C20748" w14:textId="77777777" w:rsidR="00226D9E" w:rsidRPr="000F19E0" w:rsidRDefault="00226D9E" w:rsidP="000A3F1F">
            <w:pPr>
              <w:pStyle w:val="ProductList-OfferingBody"/>
              <w:jc w:val="center"/>
              <w:rPr>
                <w:rFonts w:ascii="Calibri" w:hAnsi="Calibri" w:cs="Calibri"/>
              </w:rPr>
            </w:pPr>
            <w:r>
              <w:rPr>
                <w:rFonts w:ascii="Calibri" w:hAnsi="Calibri" w:cs="Calibri"/>
              </w:rPr>
              <w:t>50 % </w:t>
            </w:r>
          </w:p>
        </w:tc>
      </w:tr>
      <w:tr w:rsidR="00226D9E" w:rsidRPr="000F19E0" w14:paraId="200109A0" w14:textId="77777777" w:rsidTr="000A3F1F">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4588643E" w14:textId="77777777" w:rsidR="00226D9E" w:rsidRPr="000F19E0" w:rsidRDefault="00226D9E" w:rsidP="000A3F1F">
            <w:pPr>
              <w:pStyle w:val="ProductList-OfferingBody"/>
              <w:jc w:val="center"/>
              <w:rPr>
                <w:rFonts w:ascii="Calibri" w:hAnsi="Calibri" w:cs="Calibri"/>
              </w:rPr>
            </w:pPr>
            <w:r>
              <w:rPr>
                <w:rFonts w:ascii="Calibri" w:hAnsi="Calibri" w:cs="Calibri"/>
              </w:rPr>
              <w:t>&lt; 95 % </w:t>
            </w:r>
          </w:p>
        </w:tc>
        <w:tc>
          <w:tcPr>
            <w:tcW w:w="5670" w:type="dxa"/>
            <w:tcBorders>
              <w:top w:val="single" w:sz="6" w:space="0" w:color="000000"/>
              <w:left w:val="single" w:sz="6" w:space="0" w:color="000000"/>
              <w:bottom w:val="single" w:sz="6" w:space="0" w:color="000000"/>
              <w:right w:val="single" w:sz="6" w:space="0" w:color="000000"/>
            </w:tcBorders>
            <w:hideMark/>
          </w:tcPr>
          <w:p w14:paraId="1C7A6F00" w14:textId="77777777" w:rsidR="00226D9E" w:rsidRPr="000F19E0" w:rsidRDefault="00226D9E" w:rsidP="000A3F1F">
            <w:pPr>
              <w:pStyle w:val="ProductList-OfferingBody"/>
              <w:jc w:val="center"/>
              <w:rPr>
                <w:rFonts w:ascii="Calibri" w:hAnsi="Calibri" w:cs="Calibri"/>
              </w:rPr>
            </w:pPr>
            <w:r>
              <w:rPr>
                <w:rFonts w:ascii="Calibri" w:hAnsi="Calibri" w:cs="Calibri"/>
              </w:rPr>
              <w:t>100 % </w:t>
            </w:r>
          </w:p>
        </w:tc>
      </w:tr>
    </w:tbl>
    <w:p w14:paraId="06FE1413" w14:textId="77777777" w:rsidR="00226D9E" w:rsidRPr="002A0A04" w:rsidRDefault="00226D9E" w:rsidP="00E3485F">
      <w:pPr>
        <w:pStyle w:val="ProductList-Body"/>
        <w:spacing w:before="120"/>
        <w:rPr>
          <w:rFonts w:ascii="Calibri" w:hAnsi="Calibri" w:cs="Calibri"/>
          <w:szCs w:val="18"/>
        </w:rPr>
      </w:pPr>
      <w:r>
        <w:rPr>
          <w:rFonts w:ascii="Calibri" w:hAnsi="Calibri" w:cs="Calibri"/>
          <w:szCs w:val="18"/>
        </w:rPr>
        <w:t>Der Servicelevel „E-Mail-Zustellung“ gilt nur für seriöse geschäftliche E-Mails, die an gültige von Microsoft 365 lizenzierte E-Mail-Konten zugestellt bzw. von diesen gesendet werden. In folgenden Fällen gilt der Servicelevel „E-Mail-Zustellung“ nicht:</w:t>
      </w:r>
    </w:p>
    <w:p w14:paraId="5C54D47F" w14:textId="77777777" w:rsidR="00226D9E" w:rsidRPr="002A0A04" w:rsidRDefault="00226D9E">
      <w:pPr>
        <w:pStyle w:val="ProductList-Body"/>
        <w:numPr>
          <w:ilvl w:val="0"/>
          <w:numId w:val="21"/>
        </w:numPr>
        <w:ind w:left="720"/>
        <w:rPr>
          <w:rFonts w:ascii="Calibri" w:hAnsi="Calibri" w:cs="Calibri"/>
          <w:szCs w:val="18"/>
        </w:rPr>
      </w:pPr>
      <w:r>
        <w:rPr>
          <w:rFonts w:ascii="Calibri" w:hAnsi="Calibri" w:cs="Calibri"/>
          <w:szCs w:val="18"/>
        </w:rPr>
        <w:t>Vom Kunden verursachte E-Mail-Stürme</w:t>
      </w:r>
    </w:p>
    <w:p w14:paraId="3D6903CC" w14:textId="77777777" w:rsidR="00226D9E" w:rsidRPr="002A0A04" w:rsidRDefault="00226D9E">
      <w:pPr>
        <w:pStyle w:val="ProductList-Body"/>
        <w:numPr>
          <w:ilvl w:val="0"/>
          <w:numId w:val="21"/>
        </w:numPr>
        <w:ind w:left="720"/>
        <w:rPr>
          <w:rFonts w:ascii="Calibri" w:hAnsi="Calibri" w:cs="Calibri"/>
          <w:szCs w:val="18"/>
        </w:rPr>
      </w:pPr>
      <w:r>
        <w:rPr>
          <w:rFonts w:ascii="Calibri" w:hAnsi="Calibri" w:cs="Calibri"/>
          <w:szCs w:val="18"/>
        </w:rPr>
        <w:t>Massen-E-Mails (Kunden-Mailer, Newsletter usw.)</w:t>
      </w:r>
    </w:p>
    <w:p w14:paraId="00C38606" w14:textId="77777777" w:rsidR="00226D9E" w:rsidRPr="002A0A04" w:rsidRDefault="00226D9E">
      <w:pPr>
        <w:pStyle w:val="ProductList-Body"/>
        <w:numPr>
          <w:ilvl w:val="0"/>
          <w:numId w:val="21"/>
        </w:numPr>
        <w:ind w:left="720"/>
        <w:rPr>
          <w:rFonts w:ascii="Calibri" w:hAnsi="Calibri" w:cs="Calibri"/>
          <w:szCs w:val="18"/>
        </w:rPr>
      </w:pPr>
      <w:r>
        <w:rPr>
          <w:rFonts w:ascii="Calibri" w:hAnsi="Calibri" w:cs="Calibri"/>
          <w:szCs w:val="18"/>
        </w:rPr>
        <w:t>Zustellung von E-Mails an ein Archiv</w:t>
      </w:r>
    </w:p>
    <w:p w14:paraId="67F950A5" w14:textId="77777777" w:rsidR="00226D9E" w:rsidRPr="004059F7" w:rsidRDefault="00226D9E">
      <w:pPr>
        <w:pStyle w:val="ProductList-Body"/>
        <w:numPr>
          <w:ilvl w:val="0"/>
          <w:numId w:val="21"/>
        </w:numPr>
        <w:ind w:left="720"/>
        <w:rPr>
          <w:rFonts w:ascii="Calibri" w:hAnsi="Calibri" w:cs="Calibri"/>
          <w:szCs w:val="18"/>
          <w:lang w:val="en-IN"/>
        </w:rPr>
      </w:pPr>
      <w:r w:rsidRPr="004059F7">
        <w:rPr>
          <w:rFonts w:ascii="Calibri" w:hAnsi="Calibri" w:cs="Calibri"/>
          <w:szCs w:val="18"/>
          <w:lang w:val="en-IN"/>
        </w:rPr>
        <w:t>Denial-of-Service-Angriffe (DoS)</w:t>
      </w:r>
    </w:p>
    <w:p w14:paraId="6297BA2F" w14:textId="77777777" w:rsidR="00226D9E" w:rsidRPr="002A0A04" w:rsidRDefault="00226D9E">
      <w:pPr>
        <w:pStyle w:val="ProductList-Body"/>
        <w:numPr>
          <w:ilvl w:val="0"/>
          <w:numId w:val="21"/>
        </w:numPr>
        <w:ind w:left="720"/>
        <w:rPr>
          <w:rFonts w:ascii="Calibri" w:hAnsi="Calibri" w:cs="Calibri"/>
          <w:szCs w:val="18"/>
        </w:rPr>
      </w:pPr>
      <w:r>
        <w:rPr>
          <w:rFonts w:ascii="Calibri" w:hAnsi="Calibri" w:cs="Calibri"/>
          <w:szCs w:val="18"/>
        </w:rPr>
        <w:t>Fehlkonfiguration des Microsoft 365-Mandanten</w:t>
      </w:r>
    </w:p>
    <w:p w14:paraId="71CE861F" w14:textId="77777777" w:rsidR="00226D9E" w:rsidRPr="002A0A04" w:rsidRDefault="00226D9E">
      <w:pPr>
        <w:pStyle w:val="ProductList-Body"/>
        <w:numPr>
          <w:ilvl w:val="0"/>
          <w:numId w:val="21"/>
        </w:numPr>
        <w:ind w:left="720"/>
        <w:rPr>
          <w:rFonts w:ascii="Calibri" w:hAnsi="Calibri" w:cs="Calibri"/>
          <w:szCs w:val="18"/>
        </w:rPr>
      </w:pPr>
      <w:r>
        <w:rPr>
          <w:rFonts w:ascii="Calibri" w:eastAsia="Times New Roman" w:hAnsi="Calibri" w:cs="Calibri"/>
          <w:color w:val="000000"/>
          <w:szCs w:val="18"/>
        </w:rPr>
        <w:t>E-Mail-Verzögerungen, wenn der Fehlermodus innerhalb der lokalen Grenzen des Kunden und/oder bei Drittanbietern liegt.</w:t>
      </w:r>
    </w:p>
    <w:p w14:paraId="1AFC466E" w14:textId="77777777" w:rsidR="00226D9E" w:rsidRPr="002A0A04" w:rsidRDefault="00226D9E">
      <w:pPr>
        <w:pStyle w:val="ProductList-Body"/>
        <w:numPr>
          <w:ilvl w:val="0"/>
          <w:numId w:val="21"/>
        </w:numPr>
        <w:ind w:left="720"/>
        <w:rPr>
          <w:rFonts w:ascii="Calibri" w:hAnsi="Calibri" w:cs="Calibri"/>
          <w:szCs w:val="18"/>
        </w:rPr>
      </w:pPr>
      <w:r>
        <w:rPr>
          <w:rFonts w:ascii="Calibri" w:hAnsi="Calibri" w:cs="Calibri"/>
          <w:szCs w:val="18"/>
        </w:rPr>
        <w:t>Netzwerklatenz zwischen Microsoft 365 und Endnutzer-E-Mail-Clients</w:t>
      </w:r>
    </w:p>
    <w:p w14:paraId="5B26A47B" w14:textId="77777777" w:rsidR="00226D9E" w:rsidRPr="002A0A04" w:rsidRDefault="00226D9E">
      <w:pPr>
        <w:pStyle w:val="ProductList-Body"/>
        <w:numPr>
          <w:ilvl w:val="0"/>
          <w:numId w:val="21"/>
        </w:numPr>
        <w:ind w:left="720"/>
        <w:rPr>
          <w:rFonts w:ascii="Calibri" w:hAnsi="Calibri" w:cs="Calibri"/>
          <w:szCs w:val="18"/>
        </w:rPr>
      </w:pPr>
      <w:r>
        <w:rPr>
          <w:rFonts w:ascii="Calibri" w:eastAsia="Times New Roman" w:hAnsi="Calibri" w:cs="Calibri"/>
          <w:color w:val="000000"/>
          <w:szCs w:val="18"/>
        </w:rPr>
        <w:t>E-Mails, die von Microsoft 365 gedrosselt werden, um die Integrität des Dienstes zu wahren oder weil ein Mandant definierte Grenzwerte für das Senden und/oder Empfangen von Nachrichten überschritten hat</w:t>
      </w:r>
      <w:r>
        <w:rPr>
          <w:rFonts w:ascii="Calibri" w:hAnsi="Calibri" w:cs="Calibri"/>
          <w:szCs w:val="18"/>
        </w:rPr>
        <w:t xml:space="preserve"> .</w:t>
      </w:r>
    </w:p>
    <w:p w14:paraId="7480D733" w14:textId="77777777" w:rsidR="00226D9E" w:rsidRPr="002A0A04" w:rsidRDefault="00226D9E">
      <w:pPr>
        <w:pStyle w:val="ProductList-Body"/>
        <w:numPr>
          <w:ilvl w:val="0"/>
          <w:numId w:val="21"/>
        </w:numPr>
        <w:ind w:left="720"/>
        <w:rPr>
          <w:rFonts w:ascii="Calibri" w:hAnsi="Calibri" w:cs="Calibri"/>
          <w:szCs w:val="18"/>
        </w:rPr>
      </w:pPr>
      <w:r>
        <w:rPr>
          <w:rFonts w:ascii="Calibri" w:hAnsi="Calibri" w:cs="Calibri"/>
          <w:szCs w:val="18"/>
        </w:rPr>
        <w:t>Von Microsoft 365 depriorisierte Nachrichten, um den Gesamtzustand des Diensts zu schützen (z. B. große Nachrichten, Nachrichten, die an eine große Anzahl von Empfängern oder Verteilerlisten gesendet werden, die eine bedeutende Anzahl von Empfängern aufweisen).</w:t>
      </w:r>
    </w:p>
    <w:p w14:paraId="0DCCBB89" w14:textId="77777777" w:rsidR="00226D9E" w:rsidRDefault="00226D9E">
      <w:pPr>
        <w:pStyle w:val="ProductList-Body"/>
        <w:numPr>
          <w:ilvl w:val="0"/>
          <w:numId w:val="21"/>
        </w:numPr>
        <w:ind w:left="720"/>
        <w:rPr>
          <w:rFonts w:ascii="Calibri" w:hAnsi="Calibri" w:cs="Calibri"/>
          <w:szCs w:val="18"/>
        </w:rPr>
      </w:pPr>
      <w:r>
        <w:rPr>
          <w:rFonts w:ascii="Calibri" w:hAnsi="Calibri" w:cs="Calibri"/>
          <w:szCs w:val="18"/>
        </w:rPr>
        <w:t>Aufgrund von teuren, vom Kunden konfigurierten Regeln und Richtlinien kommt es zu Verzögerungen bei den Nachrichten.</w:t>
      </w:r>
    </w:p>
    <w:p w14:paraId="024341ED" w14:textId="77777777" w:rsidR="00226D9E" w:rsidRPr="002A0A04" w:rsidRDefault="00226D9E" w:rsidP="00226D9E">
      <w:pPr>
        <w:pStyle w:val="ProductList-Body"/>
        <w:rPr>
          <w:rFonts w:ascii="Calibri" w:hAnsi="Calibri" w:cs="Calibri"/>
          <w:szCs w:val="18"/>
        </w:rPr>
      </w:pPr>
    </w:p>
    <w:p w14:paraId="6944DBB0" w14:textId="77777777" w:rsidR="00226D9E" w:rsidRPr="002A0A04" w:rsidRDefault="00226D9E" w:rsidP="00226D9E">
      <w:pPr>
        <w:pStyle w:val="ProductList-Body"/>
        <w:tabs>
          <w:tab w:val="clear" w:pos="360"/>
          <w:tab w:val="clear" w:pos="720"/>
          <w:tab w:val="clear" w:pos="1080"/>
        </w:tabs>
        <w:rPr>
          <w:rFonts w:ascii="Calibri" w:hAnsi="Calibri" w:cs="Calibri"/>
          <w:szCs w:val="18"/>
        </w:rPr>
      </w:pPr>
      <w:r>
        <w:rPr>
          <w:rFonts w:ascii="Calibri" w:hAnsi="Calibri" w:cs="Calibri"/>
          <w:b/>
          <w:color w:val="00188F"/>
          <w:szCs w:val="18"/>
        </w:rPr>
        <w:t>Zusätzliche Bestimmungen</w:t>
      </w:r>
      <w:r w:rsidRPr="000336E1">
        <w:rPr>
          <w:rFonts w:ascii="Calibri" w:hAnsi="Calibri" w:cs="Calibri"/>
          <w:b/>
          <w:bCs/>
          <w:szCs w:val="18"/>
        </w:rPr>
        <w:t>:</w:t>
      </w:r>
      <w:r>
        <w:rPr>
          <w:rFonts w:ascii="Calibri" w:hAnsi="Calibri" w:cs="Calibri"/>
          <w:szCs w:val="18"/>
        </w:rPr>
        <w:t xml:space="preserve"> Siehe Anhang 1 – Service-Level-Verpflichtung für Virenerkennung und -blockierung, Spam-Wirksamkeit oder Falschmeldungen.</w:t>
      </w:r>
    </w:p>
    <w:p w14:paraId="5272A15A" w14:textId="75D4232D" w:rsidR="00D67F75" w:rsidRPr="00D67F75" w:rsidRDefault="005F7C2C" w:rsidP="00D67F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24A7A089" w14:textId="11E22E78" w:rsidR="008C5EDB" w:rsidRPr="00EF7CF9" w:rsidRDefault="008C5EDB" w:rsidP="002A586E">
      <w:pPr>
        <w:pStyle w:val="ProductList-Offering2Heading"/>
        <w:outlineLvl w:val="2"/>
      </w:pPr>
      <w:bookmarkStart w:id="87" w:name="_Toc195543075"/>
      <w:bookmarkStart w:id="88" w:name="_Toc237448928"/>
      <w:r>
        <w:t>Exchange Online-Archivierung</w:t>
      </w:r>
      <w:bookmarkEnd w:id="86"/>
      <w:bookmarkEnd w:id="87"/>
      <w:bookmarkEnd w:id="88"/>
    </w:p>
    <w:p w14:paraId="4DC67B77" w14:textId="3471ADC7" w:rsidR="008C5EDB" w:rsidRPr="00EF7CF9" w:rsidRDefault="008C5EDB" w:rsidP="002A586E">
      <w:pPr>
        <w:pStyle w:val="ProductList-Body"/>
      </w:pPr>
      <w:r>
        <w:rPr>
          <w:b/>
          <w:color w:val="00188F"/>
        </w:rPr>
        <w:t>Ausfallzeit</w:t>
      </w:r>
      <w:r w:rsidRPr="00ED75EB">
        <w:rPr>
          <w:b/>
          <w:color w:val="00188F"/>
        </w:rPr>
        <w:t>:</w:t>
      </w:r>
      <w:r>
        <w:t xml:space="preserve"> Jeder Zeitraum, in dem Nutzer nicht auf in ihrem Archiv gespeicherte E-Mail-Nachrichten zugreifen können. Für diesen Service ist keine planmäßige Downtime vorgesehen.</w:t>
      </w:r>
    </w:p>
    <w:p w14:paraId="61369152" w14:textId="21C6E652" w:rsidR="008C5EDB" w:rsidRDefault="00AC48A7" w:rsidP="00657A3A">
      <w:pPr>
        <w:pStyle w:val="ProductList-Body"/>
      </w:pPr>
      <w:r>
        <w:rPr>
          <w:b/>
          <w:color w:val="00188F"/>
        </w:rPr>
        <w:t>Betriebszeitprozentsatz</w:t>
      </w:r>
      <w:r w:rsidRPr="00ED75EB">
        <w:rPr>
          <w:b/>
          <w:color w:val="00188F"/>
        </w:rPr>
        <w:t>:</w:t>
      </w:r>
      <w:r>
        <w:t xml:space="preserve"> Der Betriebszeitprozentsatz errechnet sich nach folgender Formel:</w:t>
      </w:r>
    </w:p>
    <w:p w14:paraId="2C4BD72B" w14:textId="77777777" w:rsidR="001A6663" w:rsidRPr="00EF7CF9" w:rsidRDefault="001A6663" w:rsidP="00657A3A">
      <w:pPr>
        <w:pStyle w:val="ProductList-Body"/>
      </w:pPr>
    </w:p>
    <w:p w14:paraId="7F84E6CC" w14:textId="0C51BCCC" w:rsidR="008C5EDB"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Nutzerminuten abzüglich Ausfallzeit</m:t>
              </m:r>
            </m:num>
            <m:den>
              <m:r>
                <m:rPr>
                  <m:nor/>
                </m:rPr>
                <w:rPr>
                  <w:rFonts w:ascii="Cambria Math" w:hAnsi="Cambria Math" w:cs="Calibri"/>
                  <w:i/>
                  <w:sz w:val="18"/>
                  <w:szCs w:val="18"/>
                </w:rPr>
                <m:t>Nutzerminuten</m:t>
              </m:r>
            </m:den>
          </m:f>
          <m:r>
            <w:rPr>
              <w:rFonts w:ascii="Cambria Math" w:hAnsi="Cambria Math" w:cs="Calibri"/>
              <w:sz w:val="18"/>
              <w:szCs w:val="18"/>
            </w:rPr>
            <m:t xml:space="preserve"> x 100</m:t>
          </m:r>
        </m:oMath>
      </m:oMathPara>
    </w:p>
    <w:p w14:paraId="2897141A" w14:textId="24E46580" w:rsidR="008C5EDB" w:rsidRPr="00EF7CF9" w:rsidRDefault="00AC48A7" w:rsidP="002A586E">
      <w:pPr>
        <w:pStyle w:val="ProductList-Body"/>
      </w:pPr>
      <w: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46EAE3D0" w14:textId="77777777" w:rsidR="008C5EDB" w:rsidRPr="00EF7CF9" w:rsidRDefault="008C5EDB" w:rsidP="002A586E">
      <w:pPr>
        <w:pStyle w:val="ProductList-Body"/>
      </w:pPr>
    </w:p>
    <w:p w14:paraId="3C328F82" w14:textId="3776FCBA" w:rsidR="008C5EDB" w:rsidRPr="00EF7CF9" w:rsidRDefault="008C5EDB" w:rsidP="002A586E">
      <w:pPr>
        <w:pStyle w:val="ProductList-Body"/>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1A430552" w14:textId="77777777" w:rsidTr="00C86427">
        <w:trPr>
          <w:tblHeader/>
        </w:trPr>
        <w:tc>
          <w:tcPr>
            <w:tcW w:w="5400" w:type="dxa"/>
            <w:shd w:val="clear" w:color="auto" w:fill="0072C6"/>
          </w:tcPr>
          <w:p w14:paraId="7AB84C1C" w14:textId="69169CA4" w:rsidR="008C5EDB" w:rsidRPr="00EF7CF9" w:rsidRDefault="00AC48A7" w:rsidP="002A586E">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0B4CBEDE" w14:textId="77777777" w:rsidR="008C5EDB" w:rsidRPr="00EF7CF9" w:rsidRDefault="008C5EDB" w:rsidP="002A586E">
            <w:pPr>
              <w:pStyle w:val="ProductList-OfferingBody"/>
              <w:jc w:val="center"/>
              <w:rPr>
                <w:color w:val="FFFFFF" w:themeColor="background1"/>
              </w:rPr>
            </w:pPr>
            <w:r>
              <w:rPr>
                <w:color w:val="FFFFFF" w:themeColor="background1"/>
              </w:rPr>
              <w:t>Servicegutschrift</w:t>
            </w:r>
          </w:p>
        </w:tc>
      </w:tr>
      <w:tr w:rsidR="008C5EDB" w:rsidRPr="00B44CF9" w14:paraId="610345B0" w14:textId="77777777" w:rsidTr="00C86427">
        <w:tc>
          <w:tcPr>
            <w:tcW w:w="5400" w:type="dxa"/>
          </w:tcPr>
          <w:p w14:paraId="182FD6E2" w14:textId="21EC2136" w:rsidR="008C5EDB" w:rsidRPr="00EF7CF9" w:rsidRDefault="008C5EDB" w:rsidP="002A586E">
            <w:pPr>
              <w:pStyle w:val="ProductList-OfferingBody"/>
              <w:jc w:val="center"/>
            </w:pPr>
            <w:r>
              <w:t>&lt; 99,9 %</w:t>
            </w:r>
          </w:p>
        </w:tc>
        <w:tc>
          <w:tcPr>
            <w:tcW w:w="5400" w:type="dxa"/>
          </w:tcPr>
          <w:p w14:paraId="7E536980" w14:textId="77777777" w:rsidR="008C5EDB" w:rsidRPr="00EF7CF9" w:rsidRDefault="008C5EDB" w:rsidP="002A586E">
            <w:pPr>
              <w:pStyle w:val="ProductList-OfferingBody"/>
              <w:jc w:val="center"/>
            </w:pPr>
            <w:r>
              <w:t>25 %</w:t>
            </w:r>
          </w:p>
        </w:tc>
      </w:tr>
      <w:tr w:rsidR="008C5EDB" w:rsidRPr="00B44CF9" w14:paraId="593FE832" w14:textId="77777777" w:rsidTr="00C86427">
        <w:tc>
          <w:tcPr>
            <w:tcW w:w="5400" w:type="dxa"/>
          </w:tcPr>
          <w:p w14:paraId="55956A3F" w14:textId="7AC2D0B5" w:rsidR="008C5EDB" w:rsidRPr="00EF7CF9" w:rsidRDefault="008C5EDB" w:rsidP="002A586E">
            <w:pPr>
              <w:pStyle w:val="ProductList-OfferingBody"/>
              <w:jc w:val="center"/>
            </w:pPr>
            <w:r>
              <w:t>&lt; 99 %</w:t>
            </w:r>
          </w:p>
        </w:tc>
        <w:tc>
          <w:tcPr>
            <w:tcW w:w="5400" w:type="dxa"/>
          </w:tcPr>
          <w:p w14:paraId="6019CFA5" w14:textId="77777777" w:rsidR="008C5EDB" w:rsidRPr="00EF7CF9" w:rsidRDefault="008C5EDB" w:rsidP="002A586E">
            <w:pPr>
              <w:pStyle w:val="ProductList-OfferingBody"/>
              <w:jc w:val="center"/>
            </w:pPr>
            <w:r>
              <w:t>50 %</w:t>
            </w:r>
          </w:p>
        </w:tc>
      </w:tr>
      <w:tr w:rsidR="008C5EDB" w:rsidRPr="00B44CF9" w14:paraId="5D8417F0" w14:textId="77777777" w:rsidTr="00C86427">
        <w:tc>
          <w:tcPr>
            <w:tcW w:w="5400" w:type="dxa"/>
          </w:tcPr>
          <w:p w14:paraId="03BBBEA7" w14:textId="77777777" w:rsidR="008C5EDB" w:rsidRPr="00EF7CF9" w:rsidRDefault="008C5EDB" w:rsidP="002A586E">
            <w:pPr>
              <w:pStyle w:val="ProductList-OfferingBody"/>
              <w:jc w:val="center"/>
            </w:pPr>
            <w:r>
              <w:t>&lt; 95 %</w:t>
            </w:r>
          </w:p>
        </w:tc>
        <w:tc>
          <w:tcPr>
            <w:tcW w:w="5400" w:type="dxa"/>
          </w:tcPr>
          <w:p w14:paraId="548DC324" w14:textId="77777777" w:rsidR="008C5EDB" w:rsidRPr="00EF7CF9" w:rsidRDefault="008C5EDB" w:rsidP="002A586E">
            <w:pPr>
              <w:pStyle w:val="ProductList-OfferingBody"/>
              <w:jc w:val="center"/>
            </w:pPr>
            <w:r>
              <w:t>100 %</w:t>
            </w:r>
          </w:p>
        </w:tc>
      </w:tr>
    </w:tbl>
    <w:p w14:paraId="597A6C6F" w14:textId="7CA5BD00" w:rsidR="008C5EDB" w:rsidRPr="00EF7CF9" w:rsidRDefault="008C5EDB" w:rsidP="00E3485F">
      <w:pPr>
        <w:pStyle w:val="ProductList-Body"/>
        <w:spacing w:before="120"/>
      </w:pPr>
      <w:r>
        <w:rPr>
          <w:b/>
          <w:color w:val="00188F"/>
        </w:rPr>
        <w:t>Service-Level-Ausnahmen</w:t>
      </w:r>
      <w:r w:rsidRPr="00ED75EB">
        <w:rPr>
          <w:b/>
          <w:color w:val="00188F"/>
        </w:rPr>
        <w:t>:</w:t>
      </w:r>
      <w:r>
        <w:t xml:space="preserve"> Diese SLA gilt nicht für den Erwerb der Enterprise CAL Suite über Open Value und Open Value Subscription-Volumenlizenzverträge.</w:t>
      </w:r>
    </w:p>
    <w:bookmarkStart w:id="89" w:name="_Toc457821515"/>
    <w:p w14:paraId="7A5A55A2" w14:textId="5408CAC8" w:rsidR="00D67F75" w:rsidRPr="00D67F75" w:rsidRDefault="005F7C2C" w:rsidP="00D67F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34F2BB32" w14:textId="123C632E" w:rsidR="008C5EDB" w:rsidRPr="00EF7CF9" w:rsidRDefault="008C5EDB" w:rsidP="003F76B9">
      <w:pPr>
        <w:pStyle w:val="ProductList-Offering2Heading"/>
        <w:keepNext/>
        <w:outlineLvl w:val="2"/>
      </w:pPr>
      <w:bookmarkStart w:id="90" w:name="_Toc195543076"/>
      <w:bookmarkStart w:id="91" w:name="_Toc237448929"/>
      <w:r>
        <w:lastRenderedPageBreak/>
        <w:t>Exchange Online Protection</w:t>
      </w:r>
      <w:bookmarkEnd w:id="89"/>
      <w:bookmarkEnd w:id="90"/>
      <w:bookmarkEnd w:id="91"/>
    </w:p>
    <w:p w14:paraId="6C54AD93" w14:textId="77777777" w:rsidR="00C757DB" w:rsidRPr="00F44E97" w:rsidRDefault="008C5EDB" w:rsidP="00C757DB">
      <w:pPr>
        <w:pStyle w:val="ProductList-Body"/>
        <w:rPr>
          <w:rFonts w:ascii="Calibri" w:hAnsi="Calibri" w:cs="Calibri"/>
        </w:rPr>
      </w:pPr>
      <w:r>
        <w:rPr>
          <w:b/>
          <w:color w:val="00188F"/>
        </w:rPr>
        <w:t>Ausfallzeit</w:t>
      </w:r>
      <w:r w:rsidRPr="00ED75EB">
        <w:rPr>
          <w:b/>
          <w:color w:val="00188F"/>
        </w:rPr>
        <w:t>:</w:t>
      </w:r>
      <w:r>
        <w:t xml:space="preserve"> </w:t>
      </w:r>
      <w:bookmarkStart w:id="92" w:name="_Toc526859624"/>
      <w:bookmarkStart w:id="93" w:name="_Toc457821516"/>
      <w:r w:rsidR="00C757DB">
        <w:rPr>
          <w:rFonts w:ascii="Calibri" w:hAnsi="Calibri" w:cs="Calibri"/>
        </w:rPr>
        <w:t>Für eine bestimmte Zeit ist Microsoft 365 aufgrund eines Problems innerhalb der Microsoft 365-Grenzen nicht in der Lage, E-Mail-Nachrichten anzunehmen oder zu senden. Für diesen Service ist keine geplante Ausfallzeit vorgesehen.</w:t>
      </w:r>
    </w:p>
    <w:p w14:paraId="0793DAFD" w14:textId="77777777" w:rsidR="00C757DB" w:rsidRDefault="00C757DB" w:rsidP="00C757DB">
      <w:pPr>
        <w:pStyle w:val="ProductList-Body"/>
      </w:pPr>
    </w:p>
    <w:p w14:paraId="4E44D5AE" w14:textId="77777777" w:rsidR="00C757DB" w:rsidRPr="005F70A3" w:rsidRDefault="00C757DB" w:rsidP="00C757DB">
      <w:pPr>
        <w:pStyle w:val="ProductList-Body"/>
        <w:rPr>
          <w:rFonts w:ascii="Calibri" w:hAnsi="Calibri" w:cs="Calibri"/>
          <w:bCs/>
        </w:rPr>
      </w:pPr>
      <w:r>
        <w:rPr>
          <w:rFonts w:ascii="Calibri" w:hAnsi="Calibri" w:cs="Calibri"/>
          <w:bCs/>
        </w:rPr>
        <w:t>Die Verfügbarkeit von Exchange Online Protection ist in zwei Kategorien unterteilt:</w:t>
      </w:r>
    </w:p>
    <w:p w14:paraId="41C64FC6" w14:textId="77777777" w:rsidR="00C757DB" w:rsidRPr="00F44E97" w:rsidRDefault="00C757DB">
      <w:pPr>
        <w:pStyle w:val="ProductList-Body"/>
        <w:numPr>
          <w:ilvl w:val="0"/>
          <w:numId w:val="31"/>
        </w:numPr>
        <w:rPr>
          <w:rFonts w:ascii="Calibri" w:hAnsi="Calibri" w:cs="Calibri"/>
        </w:rPr>
      </w:pPr>
      <w:r>
        <w:rPr>
          <w:rFonts w:ascii="Calibri" w:hAnsi="Calibri" w:cs="Calibri"/>
        </w:rPr>
        <w:t>Dauerhafte Zurückweisungen aufgrund von Microsoft 365-Problemen.</w:t>
      </w:r>
    </w:p>
    <w:p w14:paraId="6FEF376B" w14:textId="77777777" w:rsidR="00C757DB" w:rsidRPr="00F44E97" w:rsidRDefault="00C757DB">
      <w:pPr>
        <w:pStyle w:val="ProductList-Body"/>
        <w:numPr>
          <w:ilvl w:val="0"/>
          <w:numId w:val="31"/>
        </w:numPr>
        <w:rPr>
          <w:rFonts w:ascii="Calibri" w:hAnsi="Calibri" w:cs="Calibri"/>
        </w:rPr>
      </w:pPr>
      <w:r>
        <w:rPr>
          <w:rFonts w:ascii="Calibri" w:hAnsi="Calibri" w:cs="Calibri"/>
        </w:rPr>
        <w:t>Vorübergehende Zurückweisungen aufgrund von Microsoft 365-Problemen.</w:t>
      </w:r>
    </w:p>
    <w:p w14:paraId="472DF191" w14:textId="77777777" w:rsidR="00C757DB" w:rsidRPr="00EF7CF9" w:rsidRDefault="00C757DB" w:rsidP="00C757DB">
      <w:pPr>
        <w:pStyle w:val="ProductList-Body"/>
      </w:pPr>
    </w:p>
    <w:p w14:paraId="48991E84" w14:textId="77777777" w:rsidR="00C757DB" w:rsidRDefault="00C757DB" w:rsidP="00C757DB">
      <w:pPr>
        <w:pStyle w:val="ProductList-Body"/>
        <w:rPr>
          <w:rFonts w:ascii="Calibri" w:hAnsi="Calibri" w:cs="Calibri"/>
        </w:rPr>
      </w:pPr>
      <w:r>
        <w:rPr>
          <w:rFonts w:ascii="Calibri" w:hAnsi="Calibri" w:cs="Calibri"/>
          <w:b/>
          <w:color w:val="00188F"/>
        </w:rPr>
        <w:t>Betriebszeitprozentsatz</w:t>
      </w:r>
      <w:r>
        <w:rPr>
          <w:rFonts w:ascii="Calibri" w:hAnsi="Calibri" w:cs="Calibri"/>
        </w:rPr>
        <w:t xml:space="preserve">: </w:t>
      </w:r>
    </w:p>
    <w:p w14:paraId="35349BCD" w14:textId="77777777" w:rsidR="00C757DB" w:rsidRDefault="00C757DB">
      <w:pPr>
        <w:pStyle w:val="ProductList-Body"/>
        <w:numPr>
          <w:ilvl w:val="0"/>
          <w:numId w:val="33"/>
        </w:numPr>
        <w:spacing w:after="120"/>
        <w:rPr>
          <w:rFonts w:ascii="Calibri" w:hAnsi="Calibri" w:cs="Calibri"/>
        </w:rPr>
      </w:pPr>
      <w:r>
        <w:rPr>
          <w:rFonts w:ascii="Calibri" w:hAnsi="Calibri" w:cs="Calibri"/>
        </w:rPr>
        <w:t xml:space="preserve">Dauerhafte Zurückweisungen aufgrund von Microsoft 365-Problemen. </w:t>
      </w:r>
    </w:p>
    <w:p w14:paraId="3E49C5E3" w14:textId="77777777" w:rsidR="00C757DB" w:rsidRPr="00F44E97" w:rsidRDefault="00C757DB" w:rsidP="00C757DB">
      <w:pPr>
        <w:pStyle w:val="ProductList-Body"/>
        <w:rPr>
          <w:rFonts w:ascii="Calibri" w:hAnsi="Calibri" w:cs="Calibri"/>
        </w:rPr>
      </w:pPr>
      <w:r>
        <w:rPr>
          <w:rFonts w:ascii="Calibri" w:hAnsi="Calibri" w:cs="Calibri"/>
        </w:rPr>
        <w:t>Der Betriebszeitprozentsatz errechnet sich nach folgender Formel:</w:t>
      </w:r>
    </w:p>
    <w:p w14:paraId="2F397B12" w14:textId="77777777" w:rsidR="00C757DB" w:rsidRPr="00EF7CF9" w:rsidRDefault="00C757DB" w:rsidP="00C757DB">
      <w:pPr>
        <w:pStyle w:val="ProductList-Body"/>
      </w:pPr>
    </w:p>
    <w:p w14:paraId="4B3320B4" w14:textId="77777777" w:rsidR="00C757DB" w:rsidRPr="002270F1" w:rsidRDefault="00000000" w:rsidP="00C757DB">
      <w:pPr>
        <w:jc w:val="both"/>
        <w:rPr>
          <w:rFonts w:eastAsiaTheme="minorEastAsia"/>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Gesamtanzahl der Minuten in einem Monat - Ausfallzeit </m:t>
              </m:r>
            </m:num>
            <m:den>
              <m:r>
                <w:rPr>
                  <w:rFonts w:ascii="Cambria Math" w:hAnsi="Cambria Math" w:cs="Calibri"/>
                  <w:sz w:val="18"/>
                  <w:szCs w:val="18"/>
                </w:rPr>
                <m:t>Gesamtanzahl der Minuten in einem Monat</m:t>
              </m:r>
            </m:den>
          </m:f>
          <m:r>
            <w:rPr>
              <w:rFonts w:ascii="Cambria Math" w:hAnsi="Cambria Math" w:cs="Calibri"/>
              <w:sz w:val="18"/>
              <w:szCs w:val="18"/>
            </w:rPr>
            <m:t xml:space="preserve"> x 100</m:t>
          </m:r>
        </m:oMath>
      </m:oMathPara>
    </w:p>
    <w:p w14:paraId="0C5887F6" w14:textId="77777777" w:rsidR="00C757DB" w:rsidRPr="00F44E97" w:rsidRDefault="00C757DB" w:rsidP="00C757DB">
      <w:pPr>
        <w:pStyle w:val="ProductList-Body"/>
        <w:rPr>
          <w:rFonts w:ascii="Calibri" w:hAnsi="Calibri" w:cs="Calibri"/>
        </w:rPr>
      </w:pPr>
      <w:r>
        <w:rPr>
          <w:rFonts w:ascii="Calibri" w:hAnsi="Calibri" w:cs="Calibri"/>
        </w:rPr>
        <w:t xml:space="preserve">wobei die Ausfallzeit die Dauer der Probleme (in Minuten) multipliziert mit dem Teil des Dienstes ist, der über den Kalendermonat hinweg nicht verfügbar ist. </w:t>
      </w:r>
    </w:p>
    <w:p w14:paraId="3B64A44F" w14:textId="77777777" w:rsidR="00C757DB" w:rsidRPr="00F44E97" w:rsidRDefault="00C757DB" w:rsidP="00C757DB">
      <w:pPr>
        <w:pStyle w:val="ProductList-Body"/>
        <w:rPr>
          <w:rFonts w:ascii="Calibri" w:hAnsi="Calibri" w:cs="Calibri"/>
        </w:rPr>
      </w:pPr>
    </w:p>
    <w:p w14:paraId="1F005087" w14:textId="77777777" w:rsidR="00C757DB" w:rsidRDefault="00C757DB">
      <w:pPr>
        <w:pStyle w:val="ProductList-Body"/>
        <w:numPr>
          <w:ilvl w:val="0"/>
          <w:numId w:val="33"/>
        </w:numPr>
        <w:spacing w:after="120"/>
        <w:rPr>
          <w:rFonts w:ascii="Calibri" w:hAnsi="Calibri" w:cs="Calibri"/>
        </w:rPr>
      </w:pPr>
      <w:r>
        <w:rPr>
          <w:rFonts w:ascii="Calibri" w:hAnsi="Calibri" w:cs="Calibri"/>
        </w:rPr>
        <w:t>Vorübergehende Zurückweisungen aufgrund von Microsoft 365-Problemen</w:t>
      </w:r>
    </w:p>
    <w:p w14:paraId="6A1E1F1C" w14:textId="77777777" w:rsidR="00C757DB" w:rsidRDefault="00C757DB" w:rsidP="00C757DB">
      <w:pPr>
        <w:pStyle w:val="ProductList-Body"/>
        <w:rPr>
          <w:rFonts w:ascii="Calibri" w:hAnsi="Calibri" w:cs="Calibri"/>
        </w:rPr>
      </w:pPr>
      <w:r>
        <w:rPr>
          <w:rFonts w:ascii="Calibri" w:hAnsi="Calibri" w:cs="Calibri"/>
          <w:b/>
          <w:color w:val="00188F"/>
        </w:rPr>
        <w:t>Betriebszeitprozentsatz</w:t>
      </w:r>
      <w:r>
        <w:rPr>
          <w:rFonts w:ascii="Calibri" w:hAnsi="Calibri" w:cs="Calibri"/>
        </w:rPr>
        <w:t xml:space="preserve">: </w:t>
      </w:r>
    </w:p>
    <w:p w14:paraId="209C6DBC" w14:textId="77777777" w:rsidR="00C757DB" w:rsidRPr="00EF7CF9" w:rsidRDefault="00000000" w:rsidP="00C757DB">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Gesamtzahl der Nachrichten für den Monat - betroffene Nachrichten </m:t>
              </m:r>
            </m:num>
            <m:den>
              <m:r>
                <w:rPr>
                  <w:rFonts w:ascii="Cambria Math" w:hAnsi="Cambria Math" w:cs="Calibri"/>
                  <w:sz w:val="18"/>
                  <w:szCs w:val="18"/>
                </w:rPr>
                <m:t>Gesamtzahl der Nachrichten für den Monat</m:t>
              </m:r>
            </m:den>
          </m:f>
          <m:r>
            <w:rPr>
              <w:rFonts w:ascii="Cambria Math" w:hAnsi="Cambria Math" w:cs="Calibri"/>
              <w:sz w:val="18"/>
              <w:szCs w:val="18"/>
            </w:rPr>
            <m:t xml:space="preserve"> x 100</m:t>
          </m:r>
        </m:oMath>
      </m:oMathPara>
    </w:p>
    <w:p w14:paraId="2C2A82BD" w14:textId="77777777" w:rsidR="00C757DB" w:rsidRPr="00FF1ABA" w:rsidRDefault="00C757DB" w:rsidP="00C757DB">
      <w:pPr>
        <w:pStyle w:val="ProductList-Body"/>
        <w:rPr>
          <w:rFonts w:ascii="Calibri" w:hAnsi="Calibri" w:cs="Calibri"/>
        </w:rPr>
      </w:pPr>
      <w:r>
        <w:rPr>
          <w:rFonts w:ascii="Calibri" w:hAnsi="Calibri" w:cs="Calibri"/>
        </w:rPr>
        <w:t>Betroffene Nachrichten sind als Nachrichten definiert, die während der Probleme im gesamten Kalendermonat um mehr als (10) Minuten verzögert werden.</w:t>
      </w:r>
    </w:p>
    <w:p w14:paraId="75E66466" w14:textId="77777777" w:rsidR="00C757DB" w:rsidRPr="00EF7CF9" w:rsidRDefault="00C757DB" w:rsidP="00C757DB">
      <w:pPr>
        <w:pStyle w:val="ProductList-Body"/>
      </w:pPr>
    </w:p>
    <w:p w14:paraId="22A691CC" w14:textId="77777777" w:rsidR="00C757DB" w:rsidRPr="00F44E97" w:rsidRDefault="00C757DB" w:rsidP="00C757DB">
      <w:pPr>
        <w:pStyle w:val="ProductList-Body"/>
        <w:rPr>
          <w:rFonts w:ascii="Calibri" w:hAnsi="Calibri" w:cs="Calibri"/>
        </w:rPr>
      </w:pPr>
      <w:r>
        <w:rPr>
          <w:rFonts w:ascii="Calibri" w:hAnsi="Calibri" w:cs="Calibri"/>
          <w:b/>
          <w:color w:val="00188F"/>
        </w:rPr>
        <w:t>Servicegutschrift</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757DB" w14:paraId="47A0C2CC" w14:textId="77777777" w:rsidTr="00B74CA0">
        <w:trPr>
          <w:tblHeader/>
        </w:trPr>
        <w:tc>
          <w:tcPr>
            <w:tcW w:w="5400" w:type="dxa"/>
            <w:shd w:val="clear" w:color="auto" w:fill="0072C6"/>
          </w:tcPr>
          <w:p w14:paraId="6B33F295" w14:textId="77777777" w:rsidR="00C757DB" w:rsidRPr="00FF1ABA" w:rsidRDefault="00C757DB" w:rsidP="00B74CA0">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Betriebszeitprozentsatz</w:t>
            </w:r>
          </w:p>
        </w:tc>
        <w:tc>
          <w:tcPr>
            <w:tcW w:w="5400" w:type="dxa"/>
            <w:shd w:val="clear" w:color="auto" w:fill="0072C6"/>
          </w:tcPr>
          <w:p w14:paraId="42EE362A" w14:textId="77777777" w:rsidR="00C757DB" w:rsidRPr="00FF1ABA" w:rsidRDefault="00C757DB" w:rsidP="00B74CA0">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Servicegutschrift</w:t>
            </w:r>
          </w:p>
        </w:tc>
      </w:tr>
      <w:tr w:rsidR="00C757DB" w14:paraId="4126525A" w14:textId="77777777" w:rsidTr="00B74CA0">
        <w:tc>
          <w:tcPr>
            <w:tcW w:w="5400" w:type="dxa"/>
          </w:tcPr>
          <w:p w14:paraId="7D5DE845" w14:textId="77777777" w:rsidR="00C757DB" w:rsidRPr="00FF1ABA" w:rsidRDefault="00C757DB" w:rsidP="00B74CA0">
            <w:pPr>
              <w:pStyle w:val="ProductList-OfferingBody"/>
              <w:jc w:val="center"/>
              <w:rPr>
                <w:rFonts w:ascii="Calibri" w:hAnsi="Calibri" w:cs="Calibri"/>
                <w:szCs w:val="16"/>
              </w:rPr>
            </w:pPr>
            <w:r>
              <w:rPr>
                <w:rFonts w:ascii="Calibri" w:hAnsi="Calibri" w:cs="Calibri"/>
                <w:szCs w:val="16"/>
              </w:rPr>
              <w:t>&lt; 99,9 %</w:t>
            </w:r>
          </w:p>
        </w:tc>
        <w:tc>
          <w:tcPr>
            <w:tcW w:w="5400" w:type="dxa"/>
          </w:tcPr>
          <w:p w14:paraId="16A488F1" w14:textId="77777777" w:rsidR="00C757DB" w:rsidRPr="00FF1ABA" w:rsidRDefault="00C757DB" w:rsidP="00B74CA0">
            <w:pPr>
              <w:pStyle w:val="ProductList-OfferingBody"/>
              <w:jc w:val="center"/>
              <w:rPr>
                <w:rFonts w:ascii="Calibri" w:hAnsi="Calibri" w:cs="Calibri"/>
                <w:szCs w:val="16"/>
              </w:rPr>
            </w:pPr>
            <w:r>
              <w:rPr>
                <w:rFonts w:ascii="Calibri" w:hAnsi="Calibri" w:cs="Calibri"/>
                <w:szCs w:val="16"/>
              </w:rPr>
              <w:t>25%</w:t>
            </w:r>
          </w:p>
        </w:tc>
      </w:tr>
      <w:tr w:rsidR="00C757DB" w14:paraId="2800B559" w14:textId="77777777" w:rsidTr="00B74CA0">
        <w:tc>
          <w:tcPr>
            <w:tcW w:w="5400" w:type="dxa"/>
          </w:tcPr>
          <w:p w14:paraId="76322780" w14:textId="77777777" w:rsidR="00C757DB" w:rsidRPr="00FF1ABA" w:rsidRDefault="00C757DB" w:rsidP="00B74CA0">
            <w:pPr>
              <w:pStyle w:val="ProductList-OfferingBody"/>
              <w:jc w:val="center"/>
              <w:rPr>
                <w:rFonts w:ascii="Calibri" w:hAnsi="Calibri" w:cs="Calibri"/>
                <w:szCs w:val="16"/>
              </w:rPr>
            </w:pPr>
            <w:r>
              <w:rPr>
                <w:rFonts w:ascii="Calibri" w:hAnsi="Calibri" w:cs="Calibri"/>
                <w:szCs w:val="16"/>
              </w:rPr>
              <w:t>&lt; 99 %</w:t>
            </w:r>
          </w:p>
        </w:tc>
        <w:tc>
          <w:tcPr>
            <w:tcW w:w="5400" w:type="dxa"/>
          </w:tcPr>
          <w:p w14:paraId="7D224D69" w14:textId="77777777" w:rsidR="00C757DB" w:rsidRPr="00FF1ABA" w:rsidRDefault="00C757DB" w:rsidP="00B74CA0">
            <w:pPr>
              <w:pStyle w:val="ProductList-OfferingBody"/>
              <w:jc w:val="center"/>
              <w:rPr>
                <w:rFonts w:ascii="Calibri" w:hAnsi="Calibri" w:cs="Calibri"/>
                <w:szCs w:val="16"/>
              </w:rPr>
            </w:pPr>
            <w:r>
              <w:rPr>
                <w:rFonts w:ascii="Calibri" w:hAnsi="Calibri" w:cs="Calibri"/>
                <w:szCs w:val="16"/>
              </w:rPr>
              <w:t>50%</w:t>
            </w:r>
          </w:p>
        </w:tc>
      </w:tr>
      <w:tr w:rsidR="00C757DB" w14:paraId="3E7FB83B" w14:textId="77777777" w:rsidTr="00B74CA0">
        <w:tc>
          <w:tcPr>
            <w:tcW w:w="5400" w:type="dxa"/>
          </w:tcPr>
          <w:p w14:paraId="3E39E914" w14:textId="77777777" w:rsidR="00C757DB" w:rsidRPr="00FF1ABA" w:rsidRDefault="00C757DB" w:rsidP="00B74CA0">
            <w:pPr>
              <w:pStyle w:val="ProductList-OfferingBody"/>
              <w:jc w:val="center"/>
              <w:rPr>
                <w:rFonts w:ascii="Calibri" w:hAnsi="Calibri" w:cs="Calibri"/>
                <w:szCs w:val="16"/>
              </w:rPr>
            </w:pPr>
            <w:r>
              <w:rPr>
                <w:rFonts w:ascii="Calibri" w:hAnsi="Calibri" w:cs="Calibri"/>
                <w:szCs w:val="16"/>
              </w:rPr>
              <w:t>&lt; 95 %</w:t>
            </w:r>
          </w:p>
        </w:tc>
        <w:tc>
          <w:tcPr>
            <w:tcW w:w="5400" w:type="dxa"/>
          </w:tcPr>
          <w:p w14:paraId="4EAF849F" w14:textId="77777777" w:rsidR="00C757DB" w:rsidRPr="00FF1ABA" w:rsidRDefault="00C757DB" w:rsidP="00B74CA0">
            <w:pPr>
              <w:pStyle w:val="ProductList-OfferingBody"/>
              <w:jc w:val="center"/>
              <w:rPr>
                <w:rFonts w:ascii="Calibri" w:hAnsi="Calibri" w:cs="Calibri"/>
                <w:szCs w:val="16"/>
              </w:rPr>
            </w:pPr>
            <w:r>
              <w:rPr>
                <w:rFonts w:ascii="Calibri" w:hAnsi="Calibri" w:cs="Calibri"/>
                <w:szCs w:val="16"/>
              </w:rPr>
              <w:t>100%</w:t>
            </w:r>
          </w:p>
        </w:tc>
      </w:tr>
    </w:tbl>
    <w:p w14:paraId="44CB7B90" w14:textId="77777777" w:rsidR="00C757DB" w:rsidRPr="00FF1ABA" w:rsidRDefault="00C757DB" w:rsidP="00C757DB">
      <w:pPr>
        <w:pStyle w:val="ProductList-Body"/>
        <w:spacing w:before="120"/>
        <w:rPr>
          <w:rFonts w:ascii="Calibri" w:hAnsi="Calibri" w:cs="Calibri"/>
        </w:rPr>
      </w:pPr>
      <w:r>
        <w:rPr>
          <w:rFonts w:ascii="Calibri" w:hAnsi="Calibri" w:cs="Calibri"/>
        </w:rPr>
        <w:t>Exchange Online Protection gilt nur für seriöse geschäftliche E-Mails, die an gültige von Microsoft 365 lizenzierte E-Mail-Konten zugestellt bzw. von diesen gesendet werden. Dies gilt nicht für: </w:t>
      </w:r>
    </w:p>
    <w:p w14:paraId="4D500BC5" w14:textId="77777777" w:rsidR="00C757DB" w:rsidRPr="00FF1ABA" w:rsidRDefault="00C757DB">
      <w:pPr>
        <w:pStyle w:val="ProductList-Body"/>
        <w:numPr>
          <w:ilvl w:val="0"/>
          <w:numId w:val="32"/>
        </w:numPr>
        <w:tabs>
          <w:tab w:val="left" w:pos="720"/>
        </w:tabs>
        <w:rPr>
          <w:rFonts w:ascii="Calibri" w:hAnsi="Calibri" w:cs="Calibri"/>
          <w:bCs/>
        </w:rPr>
      </w:pPr>
      <w:r>
        <w:rPr>
          <w:rFonts w:ascii="Calibri" w:hAnsi="Calibri" w:cs="Calibri"/>
          <w:bCs/>
        </w:rPr>
        <w:t>Vom Kunden verursachte E-Mail-Stürme</w:t>
      </w:r>
    </w:p>
    <w:p w14:paraId="12E050D9" w14:textId="77777777" w:rsidR="00C757DB" w:rsidRPr="00FF1ABA" w:rsidRDefault="00C757DB">
      <w:pPr>
        <w:pStyle w:val="ProductList-Body"/>
        <w:numPr>
          <w:ilvl w:val="0"/>
          <w:numId w:val="32"/>
        </w:numPr>
        <w:tabs>
          <w:tab w:val="left" w:pos="720"/>
        </w:tabs>
        <w:rPr>
          <w:rFonts w:ascii="Calibri" w:hAnsi="Calibri" w:cs="Calibri"/>
          <w:bCs/>
        </w:rPr>
      </w:pPr>
      <w:r>
        <w:rPr>
          <w:rFonts w:ascii="Calibri" w:hAnsi="Calibri" w:cs="Calibri"/>
          <w:bCs/>
        </w:rPr>
        <w:t>Massen-E-Mails (Kunden-Mailer, Newsletter usw.)</w:t>
      </w:r>
    </w:p>
    <w:p w14:paraId="428A44DC" w14:textId="77777777" w:rsidR="00C757DB" w:rsidRPr="00FF1ABA" w:rsidRDefault="00C757DB">
      <w:pPr>
        <w:pStyle w:val="ProductList-Body"/>
        <w:numPr>
          <w:ilvl w:val="0"/>
          <w:numId w:val="32"/>
        </w:numPr>
        <w:tabs>
          <w:tab w:val="left" w:pos="720"/>
        </w:tabs>
        <w:rPr>
          <w:rFonts w:ascii="Calibri" w:hAnsi="Calibri" w:cs="Calibri"/>
          <w:bCs/>
        </w:rPr>
      </w:pPr>
      <w:r>
        <w:rPr>
          <w:rFonts w:ascii="Calibri" w:hAnsi="Calibri" w:cs="Calibri"/>
          <w:bCs/>
        </w:rPr>
        <w:t>Zustellung von E-Mails an ein Archiv</w:t>
      </w:r>
    </w:p>
    <w:p w14:paraId="4D809652" w14:textId="77777777" w:rsidR="00C757DB" w:rsidRPr="002E1AAF" w:rsidRDefault="00C757DB">
      <w:pPr>
        <w:pStyle w:val="ProductList-Body"/>
        <w:numPr>
          <w:ilvl w:val="0"/>
          <w:numId w:val="32"/>
        </w:numPr>
        <w:tabs>
          <w:tab w:val="left" w:pos="720"/>
        </w:tabs>
        <w:rPr>
          <w:rFonts w:ascii="Calibri" w:hAnsi="Calibri" w:cs="Calibri"/>
          <w:bCs/>
          <w:lang w:val="en-US"/>
        </w:rPr>
      </w:pPr>
      <w:r w:rsidRPr="002E1AAF">
        <w:rPr>
          <w:rFonts w:ascii="Calibri" w:hAnsi="Calibri" w:cs="Calibri"/>
          <w:bCs/>
          <w:lang w:val="en-US"/>
        </w:rPr>
        <w:t>Denial-of-Service-Angriffe (DoS)</w:t>
      </w:r>
    </w:p>
    <w:p w14:paraId="59139EEE" w14:textId="77777777" w:rsidR="00C757DB" w:rsidRPr="00FF1ABA" w:rsidRDefault="00C757DB">
      <w:pPr>
        <w:pStyle w:val="ProductList-Body"/>
        <w:numPr>
          <w:ilvl w:val="0"/>
          <w:numId w:val="32"/>
        </w:numPr>
        <w:tabs>
          <w:tab w:val="left" w:pos="720"/>
        </w:tabs>
        <w:rPr>
          <w:rFonts w:ascii="Calibri" w:hAnsi="Calibri" w:cs="Calibri"/>
          <w:bCs/>
        </w:rPr>
      </w:pPr>
      <w:r>
        <w:rPr>
          <w:rFonts w:ascii="Calibri" w:hAnsi="Calibri" w:cs="Calibri"/>
          <w:bCs/>
        </w:rPr>
        <w:t>Fehlkonfiguration des Microsoft 365-Mandanten</w:t>
      </w:r>
    </w:p>
    <w:p w14:paraId="60C4F3D0" w14:textId="77777777" w:rsidR="00C757DB" w:rsidRPr="00FF1ABA" w:rsidRDefault="00C757DB">
      <w:pPr>
        <w:pStyle w:val="ProductList-Body"/>
        <w:numPr>
          <w:ilvl w:val="0"/>
          <w:numId w:val="32"/>
        </w:numPr>
        <w:tabs>
          <w:tab w:val="left" w:pos="720"/>
        </w:tabs>
        <w:rPr>
          <w:rFonts w:ascii="Calibri" w:hAnsi="Calibri" w:cs="Calibri"/>
          <w:bCs/>
        </w:rPr>
      </w:pPr>
      <w:r>
        <w:rPr>
          <w:rFonts w:ascii="Calibri" w:hAnsi="Calibri" w:cs="Calibri"/>
          <w:bCs/>
        </w:rPr>
        <w:t>E-Mail-Verzögerungen, wenn der Fehlermodus innerhalb der lokalen Grenzen des Kunden und/oder bei Drittanbietern liegt.</w:t>
      </w:r>
    </w:p>
    <w:p w14:paraId="7ECA6D37" w14:textId="77777777" w:rsidR="00C757DB" w:rsidRPr="00FF1ABA" w:rsidRDefault="00C757DB">
      <w:pPr>
        <w:pStyle w:val="ProductList-Body"/>
        <w:numPr>
          <w:ilvl w:val="0"/>
          <w:numId w:val="32"/>
        </w:numPr>
        <w:tabs>
          <w:tab w:val="left" w:pos="720"/>
        </w:tabs>
        <w:rPr>
          <w:rFonts w:ascii="Calibri" w:hAnsi="Calibri" w:cs="Calibri"/>
          <w:bCs/>
        </w:rPr>
      </w:pPr>
      <w:r>
        <w:rPr>
          <w:rFonts w:ascii="Calibri" w:hAnsi="Calibri" w:cs="Calibri"/>
          <w:bCs/>
        </w:rPr>
        <w:t>Netzwerklatenz zwischen Microsoft 365 und Endnutzer-E-Mail-Clients</w:t>
      </w:r>
    </w:p>
    <w:p w14:paraId="36CCE472" w14:textId="77777777" w:rsidR="00C757DB" w:rsidRPr="00FF1ABA" w:rsidRDefault="00C757DB">
      <w:pPr>
        <w:pStyle w:val="ProductList-Body"/>
        <w:numPr>
          <w:ilvl w:val="0"/>
          <w:numId w:val="32"/>
        </w:numPr>
        <w:tabs>
          <w:tab w:val="left" w:pos="720"/>
        </w:tabs>
        <w:rPr>
          <w:rFonts w:ascii="Calibri" w:hAnsi="Calibri" w:cs="Calibri"/>
          <w:bCs/>
        </w:rPr>
      </w:pPr>
      <w:r>
        <w:rPr>
          <w:rFonts w:ascii="Calibri" w:hAnsi="Calibri" w:cs="Calibri"/>
          <w:bCs/>
        </w:rPr>
        <w:t>E-Mails, die von Microsoft 365 gedrosselt werden, um die Integrität des Dienstes zu wahren oder weil ein Mandant definierte Grenzwerte für das Senden und/oder Empfangen von Nachrichten überschritten hat.</w:t>
      </w:r>
    </w:p>
    <w:p w14:paraId="6D64C0DA" w14:textId="77777777" w:rsidR="00C757DB" w:rsidRPr="00FF1ABA" w:rsidRDefault="00C757DB">
      <w:pPr>
        <w:pStyle w:val="ProductList-Body"/>
        <w:numPr>
          <w:ilvl w:val="0"/>
          <w:numId w:val="32"/>
        </w:numPr>
        <w:tabs>
          <w:tab w:val="left" w:pos="720"/>
        </w:tabs>
        <w:rPr>
          <w:rFonts w:ascii="Calibri" w:hAnsi="Calibri" w:cs="Calibri"/>
          <w:bCs/>
        </w:rPr>
      </w:pPr>
      <w:r>
        <w:rPr>
          <w:rFonts w:ascii="Calibri" w:hAnsi="Calibri" w:cs="Calibri"/>
          <w:bCs/>
        </w:rPr>
        <w:t>Von Microsoft 365 depriorisierte Nachrichten, um den Gesamtzustand des Diensts zu schützen (Beispiel: z. B. große Nachrichten, Nachrichten, die an eine große Anzahl von Empfängern oder Verteilerlisten gesendet werden, die eine bedeutende Anzahl von Empfängern aufweisen)</w:t>
      </w:r>
    </w:p>
    <w:p w14:paraId="4D476A6C" w14:textId="77777777" w:rsidR="00C757DB" w:rsidRPr="00FF1ABA" w:rsidRDefault="00C757DB">
      <w:pPr>
        <w:pStyle w:val="ProductList-Body"/>
        <w:numPr>
          <w:ilvl w:val="0"/>
          <w:numId w:val="32"/>
        </w:numPr>
        <w:tabs>
          <w:tab w:val="left" w:pos="720"/>
        </w:tabs>
        <w:rPr>
          <w:rFonts w:ascii="Calibri" w:hAnsi="Calibri" w:cs="Calibri"/>
          <w:bCs/>
        </w:rPr>
      </w:pPr>
      <w:r>
        <w:rPr>
          <w:rFonts w:ascii="Calibri" w:hAnsi="Calibri" w:cs="Calibri"/>
          <w:bCs/>
        </w:rPr>
        <w:t>Aufgrund von teuren, vom Kunden konfigurierten Regeln und Richtlinien kommt es zu Verzögerungen bei den Nachrichten</w:t>
      </w:r>
    </w:p>
    <w:p w14:paraId="47CA9B8F" w14:textId="77777777" w:rsidR="00C757DB" w:rsidRPr="00EF7CF9" w:rsidRDefault="00C757DB" w:rsidP="00C757DB">
      <w:pPr>
        <w:pStyle w:val="ProductList-Body"/>
      </w:pPr>
    </w:p>
    <w:p w14:paraId="42BE8D1F" w14:textId="77777777" w:rsidR="00C757DB" w:rsidRPr="00F44E97" w:rsidRDefault="00C757DB" w:rsidP="00C757DB">
      <w:pPr>
        <w:rPr>
          <w:rFonts w:ascii="Calibri" w:hAnsi="Calibri" w:cs="Calibri"/>
          <w:sz w:val="18"/>
        </w:rPr>
      </w:pPr>
      <w:r>
        <w:rPr>
          <w:rFonts w:ascii="Calibri" w:hAnsi="Calibri" w:cs="Calibri"/>
          <w:b/>
          <w:color w:val="00188F"/>
          <w:sz w:val="18"/>
        </w:rPr>
        <w:t>Zusatzbestimmungen:</w:t>
      </w:r>
      <w:r>
        <w:rPr>
          <w:rFonts w:ascii="Calibri" w:hAnsi="Calibri" w:cs="Calibri"/>
          <w:sz w:val="18"/>
        </w:rPr>
        <w:t xml:space="preserve"> Siehe (i) Anhang 1 – Service-Level-Verpflichtung für Virenerkennung und -blockierung, Spam-Wirksamkeit oder Falschmeldungen.</w:t>
      </w:r>
    </w:p>
    <w:p w14:paraId="36ED52F7" w14:textId="77777777" w:rsidR="00C757DB" w:rsidRPr="00D67F75" w:rsidRDefault="00C757DB" w:rsidP="00C757D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2A160DBF" w14:textId="77777777" w:rsidR="008937E8" w:rsidRDefault="008937E8">
      <w:pPr>
        <w:rPr>
          <w:rFonts w:asciiTheme="majorHAnsi" w:hAnsiTheme="majorHAnsi"/>
          <w:b/>
          <w:color w:val="0072C6"/>
          <w:sz w:val="28"/>
        </w:rPr>
      </w:pPr>
      <w:r>
        <w:br w:type="page"/>
      </w:r>
    </w:p>
    <w:p w14:paraId="4DBC3626" w14:textId="1069134C" w:rsidR="00F601F4" w:rsidRDefault="00F601F4" w:rsidP="00CC3273">
      <w:pPr>
        <w:pStyle w:val="ProductList-Offering2Heading"/>
        <w:outlineLvl w:val="2"/>
      </w:pPr>
      <w:bookmarkStart w:id="94" w:name="_Toc195543077"/>
      <w:bookmarkStart w:id="95" w:name="_Toc237448930"/>
      <w:r>
        <w:lastRenderedPageBreak/>
        <w:t>Microsoft MyAnalytics</w:t>
      </w:r>
      <w:bookmarkEnd w:id="92"/>
      <w:bookmarkEnd w:id="94"/>
      <w:bookmarkEnd w:id="95"/>
    </w:p>
    <w:p w14:paraId="48761BDB" w14:textId="77777777" w:rsidR="00F601F4" w:rsidRPr="00C27DCF" w:rsidRDefault="00F601F4" w:rsidP="002A586E">
      <w:pPr>
        <w:pStyle w:val="ProductList-Body"/>
        <w:rPr>
          <w:i/>
        </w:rPr>
      </w:pPr>
      <w:r>
        <w:rPr>
          <w:b/>
          <w:color w:val="00188F"/>
        </w:rPr>
        <w:t>Ausfallzeit</w:t>
      </w:r>
      <w:r w:rsidRPr="00ED75EB">
        <w:rPr>
          <w:b/>
          <w:color w:val="00188F"/>
        </w:rPr>
        <w:t>:</w:t>
      </w:r>
      <w:r>
        <w:t xml:space="preserve"> </w:t>
      </w:r>
      <w:r>
        <w:rPr>
          <w:iCs/>
        </w:rPr>
        <w:t>Jeder Zeitraum, in dem Nutzer nicht auf das MyAnalytics-Dashboard zugreifen können</w:t>
      </w:r>
      <w:r>
        <w:rPr>
          <w:i/>
        </w:rPr>
        <w:t>.</w:t>
      </w:r>
    </w:p>
    <w:p w14:paraId="0529F6AA" w14:textId="36F9EF92" w:rsidR="00D64CD1" w:rsidRDefault="00AC48A7" w:rsidP="00943212">
      <w:pPr>
        <w:pStyle w:val="ProductList-Body"/>
      </w:pPr>
      <w:r>
        <w:rPr>
          <w:b/>
          <w:color w:val="00188F"/>
        </w:rPr>
        <w:t>Betriebszeitprozentsatz</w:t>
      </w:r>
      <w:r w:rsidRPr="00ED75EB">
        <w:rPr>
          <w:b/>
          <w:color w:val="00188F"/>
        </w:rPr>
        <w:t>:</w:t>
      </w:r>
      <w:r>
        <w:t xml:space="preserve"> Der Betriebszeitprozentsatz errechnet sich nach folgender Formel:</w:t>
      </w:r>
    </w:p>
    <w:p w14:paraId="32BFAAAA" w14:textId="2C238F69" w:rsidR="00D64CD1" w:rsidRPr="00EF7CF9" w:rsidRDefault="00000000" w:rsidP="00CC3609">
      <w:pPr>
        <w:spacing w:before="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Nutzerminuten abzüglich Ausfallzeit</m:t>
              </m:r>
            </m:num>
            <m:den>
              <m:r>
                <m:rPr>
                  <m:nor/>
                </m:rPr>
                <w:rPr>
                  <w:rFonts w:ascii="Cambria Math" w:hAnsi="Cambria Math" w:cs="Calibri"/>
                  <w:i/>
                  <w:sz w:val="18"/>
                  <w:szCs w:val="18"/>
                </w:rPr>
                <m:t>Nutzerminuten</m:t>
              </m:r>
            </m:den>
          </m:f>
          <m:r>
            <w:rPr>
              <w:rFonts w:ascii="Cambria Math" w:hAnsi="Cambria Math" w:cs="Calibri"/>
              <w:sz w:val="18"/>
              <w:szCs w:val="18"/>
            </w:rPr>
            <m:t xml:space="preserve"> x 100</m:t>
          </m:r>
        </m:oMath>
      </m:oMathPara>
    </w:p>
    <w:p w14:paraId="7E02FED1" w14:textId="1FB8BB2C" w:rsidR="00D64CD1" w:rsidRPr="00EF7CF9" w:rsidRDefault="00AC48A7" w:rsidP="002A586E">
      <w:pPr>
        <w:pStyle w:val="ProductList-Body"/>
      </w:pPr>
      <w: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53F68791" w14:textId="77777777" w:rsidR="00D64CD1" w:rsidRPr="00EF7CF9" w:rsidRDefault="00D64CD1" w:rsidP="002A586E">
      <w:pPr>
        <w:pStyle w:val="ProductList-Body"/>
      </w:pPr>
    </w:p>
    <w:p w14:paraId="33BBB864" w14:textId="77777777" w:rsidR="00D64CD1" w:rsidRPr="00EF7CF9" w:rsidRDefault="00D64CD1" w:rsidP="00BA33EB">
      <w:pPr>
        <w:pStyle w:val="ProductList-Body"/>
        <w:keepNext/>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64CD1" w:rsidRPr="00B44CF9" w14:paraId="5E3A7C7F" w14:textId="77777777" w:rsidTr="00C626F4">
        <w:trPr>
          <w:tblHeader/>
        </w:trPr>
        <w:tc>
          <w:tcPr>
            <w:tcW w:w="5400" w:type="dxa"/>
            <w:shd w:val="clear" w:color="auto" w:fill="0072C6"/>
          </w:tcPr>
          <w:p w14:paraId="439DB1B0" w14:textId="0CF1396A" w:rsidR="00D64CD1" w:rsidRPr="00EF7CF9" w:rsidRDefault="00AC48A7" w:rsidP="002A586E">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13B69338" w14:textId="77777777" w:rsidR="00D64CD1" w:rsidRPr="00EF7CF9" w:rsidRDefault="00D64CD1" w:rsidP="002A586E">
            <w:pPr>
              <w:pStyle w:val="ProductList-OfferingBody"/>
              <w:jc w:val="center"/>
              <w:rPr>
                <w:color w:val="FFFFFF" w:themeColor="background1"/>
              </w:rPr>
            </w:pPr>
            <w:r>
              <w:rPr>
                <w:color w:val="FFFFFF" w:themeColor="background1"/>
              </w:rPr>
              <w:t>Servicegutschrift</w:t>
            </w:r>
          </w:p>
        </w:tc>
      </w:tr>
      <w:tr w:rsidR="00D64CD1" w:rsidRPr="00B44CF9" w14:paraId="593E0F6A" w14:textId="77777777" w:rsidTr="00C626F4">
        <w:tc>
          <w:tcPr>
            <w:tcW w:w="5400" w:type="dxa"/>
          </w:tcPr>
          <w:p w14:paraId="04C6F3F9" w14:textId="77777777" w:rsidR="00D64CD1" w:rsidRPr="00EF7CF9" w:rsidRDefault="00D64CD1" w:rsidP="002A586E">
            <w:pPr>
              <w:pStyle w:val="ProductList-OfferingBody"/>
              <w:jc w:val="center"/>
            </w:pPr>
            <w:r>
              <w:t>&lt; 99,9 %</w:t>
            </w:r>
          </w:p>
        </w:tc>
        <w:tc>
          <w:tcPr>
            <w:tcW w:w="5400" w:type="dxa"/>
          </w:tcPr>
          <w:p w14:paraId="5F8A5725" w14:textId="77777777" w:rsidR="00D64CD1" w:rsidRPr="00EF7CF9" w:rsidRDefault="00D64CD1" w:rsidP="002A586E">
            <w:pPr>
              <w:pStyle w:val="ProductList-OfferingBody"/>
              <w:jc w:val="center"/>
            </w:pPr>
            <w:r>
              <w:t>25 %</w:t>
            </w:r>
          </w:p>
        </w:tc>
      </w:tr>
      <w:tr w:rsidR="00D64CD1" w:rsidRPr="00B44CF9" w14:paraId="3A2AC5F7" w14:textId="77777777" w:rsidTr="00C626F4">
        <w:tc>
          <w:tcPr>
            <w:tcW w:w="5400" w:type="dxa"/>
          </w:tcPr>
          <w:p w14:paraId="3CE241B4" w14:textId="77777777" w:rsidR="00D64CD1" w:rsidRPr="00EF7CF9" w:rsidRDefault="00D64CD1" w:rsidP="002A586E">
            <w:pPr>
              <w:pStyle w:val="ProductList-OfferingBody"/>
              <w:jc w:val="center"/>
            </w:pPr>
            <w:r>
              <w:t>&lt; 99 %</w:t>
            </w:r>
          </w:p>
        </w:tc>
        <w:tc>
          <w:tcPr>
            <w:tcW w:w="5400" w:type="dxa"/>
          </w:tcPr>
          <w:p w14:paraId="4EFF7B52" w14:textId="77777777" w:rsidR="00D64CD1" w:rsidRPr="00EF7CF9" w:rsidRDefault="00D64CD1" w:rsidP="002A586E">
            <w:pPr>
              <w:pStyle w:val="ProductList-OfferingBody"/>
              <w:jc w:val="center"/>
            </w:pPr>
            <w:r>
              <w:t>50 %</w:t>
            </w:r>
          </w:p>
        </w:tc>
      </w:tr>
      <w:tr w:rsidR="00D64CD1" w:rsidRPr="00B44CF9" w14:paraId="66E32E7A" w14:textId="77777777" w:rsidTr="00C626F4">
        <w:tc>
          <w:tcPr>
            <w:tcW w:w="5400" w:type="dxa"/>
          </w:tcPr>
          <w:p w14:paraId="15F97205" w14:textId="77777777" w:rsidR="00D64CD1" w:rsidRPr="00EF7CF9" w:rsidRDefault="00D64CD1" w:rsidP="003C0B57">
            <w:pPr>
              <w:pStyle w:val="ProductList-OfferingBody"/>
              <w:jc w:val="center"/>
            </w:pPr>
            <w:r>
              <w:t>&lt; 95 %</w:t>
            </w:r>
          </w:p>
        </w:tc>
        <w:tc>
          <w:tcPr>
            <w:tcW w:w="5400" w:type="dxa"/>
          </w:tcPr>
          <w:p w14:paraId="1D97E2C4" w14:textId="77777777" w:rsidR="00D64CD1" w:rsidRPr="00EF7CF9" w:rsidRDefault="00D64CD1" w:rsidP="001439A9">
            <w:pPr>
              <w:pStyle w:val="ProductList-OfferingBody"/>
              <w:keepNext/>
              <w:jc w:val="center"/>
            </w:pPr>
            <w:r>
              <w:t>100 %</w:t>
            </w:r>
          </w:p>
        </w:tc>
      </w:tr>
    </w:tbl>
    <w:bookmarkStart w:id="96" w:name="Stream"/>
    <w:bookmarkStart w:id="97" w:name="_Toc526859625"/>
    <w:p w14:paraId="2D7B0B47" w14:textId="4A311EDC" w:rsidR="00D67F75" w:rsidRPr="00D67F75" w:rsidRDefault="005F7C2C" w:rsidP="00D67F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33403EA1" w14:textId="3B77B166" w:rsidR="00DD02FA" w:rsidRPr="00EF7CF9" w:rsidRDefault="00DD02FA" w:rsidP="002A586E">
      <w:pPr>
        <w:pStyle w:val="ProductList-Offering2Heading"/>
        <w:outlineLvl w:val="2"/>
      </w:pPr>
      <w:bookmarkStart w:id="98" w:name="_Toc195543078"/>
      <w:bookmarkStart w:id="99" w:name="_Toc237448931"/>
      <w:r>
        <w:t>Microsoft Stream (Classic)</w:t>
      </w:r>
      <w:bookmarkEnd w:id="98"/>
      <w:bookmarkEnd w:id="99"/>
    </w:p>
    <w:bookmarkEnd w:id="96"/>
    <w:p w14:paraId="42AF82E0" w14:textId="77777777" w:rsidR="00DD02FA" w:rsidRPr="00EF7CF9" w:rsidRDefault="00DD02FA" w:rsidP="002A586E">
      <w:pPr>
        <w:pStyle w:val="ProductList-Body"/>
      </w:pPr>
      <w:r>
        <w:rPr>
          <w:b/>
          <w:color w:val="00188F"/>
        </w:rPr>
        <w:t>Ausfallzeit</w:t>
      </w:r>
      <w:r w:rsidRPr="00ED75EB">
        <w:rPr>
          <w:b/>
          <w:color w:val="00188F"/>
        </w:rPr>
        <w:t>:</w:t>
      </w:r>
      <w:r>
        <w:t xml:space="preserve"> </w:t>
      </w:r>
      <w:r>
        <w:rPr>
          <w:szCs w:val="18"/>
        </w:rPr>
        <w:t>Jede Zeitspanne, in der die Benutzer nicht hochladen, wiedergeben, Videos löschen oder Video-Metadaten bearbeiten können, wenn sie über entsprechende Berechtigungen und Inhalte verfügen, ist gültig, ausschließlich nicht unterstützte Szenarien</w:t>
      </w:r>
      <w:r>
        <w:rPr>
          <w:szCs w:val="18"/>
          <w:vertAlign w:val="superscript"/>
        </w:rPr>
        <w:t>1</w:t>
      </w:r>
      <w:r>
        <w:rPr>
          <w:szCs w:val="18"/>
        </w:rPr>
        <w:t>.</w:t>
      </w:r>
    </w:p>
    <w:p w14:paraId="4B64631C" w14:textId="7B94C70D" w:rsidR="00DD02FA" w:rsidRPr="00EF7CF9" w:rsidRDefault="00AC48A7" w:rsidP="002A586E">
      <w:pPr>
        <w:pStyle w:val="ProductList-Body"/>
      </w:pPr>
      <w:r>
        <w:rPr>
          <w:b/>
          <w:color w:val="00188F"/>
        </w:rPr>
        <w:t>Betriebszeitprozentsatz</w:t>
      </w:r>
      <w:r w:rsidRPr="00ED75EB">
        <w:rPr>
          <w:b/>
          <w:color w:val="00188F"/>
        </w:rPr>
        <w:t>:</w:t>
      </w:r>
      <w:r>
        <w:t xml:space="preserve"> Der Betriebszeitprozentsatz errechnet sich nach folgender Formel:</w:t>
      </w:r>
    </w:p>
    <w:p w14:paraId="241A79D3" w14:textId="6B417473" w:rsidR="00DD02FA" w:rsidRPr="00EF7CF9" w:rsidRDefault="00000000" w:rsidP="00CC3609">
      <w:pPr>
        <w:spacing w:before="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Nutzerminuten abzüglich Ausfallzeit</m:t>
              </m:r>
            </m:num>
            <m:den>
              <m:r>
                <m:rPr>
                  <m:nor/>
                </m:rPr>
                <w:rPr>
                  <w:rFonts w:ascii="Cambria Math" w:hAnsi="Cambria Math" w:cs="Calibri"/>
                  <w:i/>
                  <w:sz w:val="18"/>
                  <w:szCs w:val="18"/>
                </w:rPr>
                <m:t>Nutzerminuten</m:t>
              </m:r>
            </m:den>
          </m:f>
          <m:r>
            <w:rPr>
              <w:rFonts w:ascii="Cambria Math" w:hAnsi="Cambria Math" w:cs="Calibri"/>
              <w:sz w:val="18"/>
              <w:szCs w:val="18"/>
            </w:rPr>
            <m:t xml:space="preserve"> x 100</m:t>
          </m:r>
        </m:oMath>
      </m:oMathPara>
    </w:p>
    <w:p w14:paraId="26C05597" w14:textId="7CBEBC04" w:rsidR="00DD02FA" w:rsidRDefault="00AC48A7" w:rsidP="002A586E">
      <w:pPr>
        <w:pStyle w:val="ProductList-Body"/>
      </w:pPr>
      <w: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110497AF" w14:textId="77777777" w:rsidR="00DD02FA" w:rsidRPr="00EF7CF9" w:rsidRDefault="00DD02FA" w:rsidP="002A586E">
      <w:pPr>
        <w:pStyle w:val="ProductList-Body"/>
      </w:pPr>
      <w:r>
        <w:rPr>
          <w:b/>
          <w:color w:val="00188F"/>
        </w:rPr>
        <w:t>Servicelevelzusage</w:t>
      </w:r>
      <w:r w:rsidRPr="00ED75EB">
        <w:rPr>
          <w:b/>
          <w:color w:val="00188F"/>
        </w:rPr>
        <w:t>:</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DD02FA" w:rsidRPr="00B44CF9" w14:paraId="40207B80" w14:textId="77777777" w:rsidTr="00EA5FB1">
        <w:trPr>
          <w:tblHeader/>
        </w:trPr>
        <w:tc>
          <w:tcPr>
            <w:tcW w:w="2500" w:type="pct"/>
            <w:shd w:val="clear" w:color="auto" w:fill="0072C6"/>
          </w:tcPr>
          <w:p w14:paraId="783BDE60" w14:textId="3C3FD34C" w:rsidR="00DD02FA" w:rsidRPr="00EF7CF9" w:rsidRDefault="00AC48A7" w:rsidP="002A586E">
            <w:pPr>
              <w:pStyle w:val="ProductList-OfferingBody"/>
              <w:jc w:val="center"/>
              <w:rPr>
                <w:color w:val="FFFFFF" w:themeColor="background1"/>
              </w:rPr>
            </w:pPr>
            <w:r>
              <w:rPr>
                <w:color w:val="FFFFFF" w:themeColor="background1"/>
              </w:rPr>
              <w:t>Betriebszeitprozentsatz</w:t>
            </w:r>
          </w:p>
        </w:tc>
        <w:tc>
          <w:tcPr>
            <w:tcW w:w="2500" w:type="pct"/>
            <w:shd w:val="clear" w:color="auto" w:fill="0072C6"/>
          </w:tcPr>
          <w:p w14:paraId="2BCF05DB" w14:textId="77777777" w:rsidR="00DD02FA" w:rsidRPr="00EF7CF9" w:rsidRDefault="00DD02FA" w:rsidP="002A586E">
            <w:pPr>
              <w:pStyle w:val="ProductList-OfferingBody"/>
              <w:jc w:val="center"/>
              <w:rPr>
                <w:color w:val="FFFFFF" w:themeColor="background1"/>
              </w:rPr>
            </w:pPr>
            <w:r>
              <w:rPr>
                <w:color w:val="FFFFFF" w:themeColor="background1"/>
              </w:rPr>
              <w:t>Servicegutschrift</w:t>
            </w:r>
          </w:p>
        </w:tc>
      </w:tr>
      <w:tr w:rsidR="00DD02FA" w:rsidRPr="00B44CF9" w14:paraId="207D9729" w14:textId="77777777" w:rsidTr="00EA5FB1">
        <w:tc>
          <w:tcPr>
            <w:tcW w:w="2500" w:type="pct"/>
          </w:tcPr>
          <w:p w14:paraId="392EA847" w14:textId="77777777" w:rsidR="00DD02FA" w:rsidRPr="00EF7CF9" w:rsidRDefault="00DD02FA" w:rsidP="002A586E">
            <w:pPr>
              <w:pStyle w:val="ProductList-OfferingBody"/>
              <w:jc w:val="center"/>
            </w:pPr>
            <w:r>
              <w:t>&lt; 99,9 %</w:t>
            </w:r>
          </w:p>
        </w:tc>
        <w:tc>
          <w:tcPr>
            <w:tcW w:w="2500" w:type="pct"/>
          </w:tcPr>
          <w:p w14:paraId="4DFA9045" w14:textId="77777777" w:rsidR="00DD02FA" w:rsidRPr="00EF7CF9" w:rsidRDefault="00DD02FA" w:rsidP="002A586E">
            <w:pPr>
              <w:pStyle w:val="ProductList-OfferingBody"/>
              <w:jc w:val="center"/>
            </w:pPr>
            <w:r>
              <w:t>25 %</w:t>
            </w:r>
          </w:p>
        </w:tc>
      </w:tr>
      <w:tr w:rsidR="00DD02FA" w:rsidRPr="00B44CF9" w14:paraId="78170C5A" w14:textId="77777777" w:rsidTr="00EA5FB1">
        <w:tc>
          <w:tcPr>
            <w:tcW w:w="2500" w:type="pct"/>
          </w:tcPr>
          <w:p w14:paraId="0D1CCF8C" w14:textId="77777777" w:rsidR="00DD02FA" w:rsidRPr="00EF7CF9" w:rsidRDefault="00DD02FA" w:rsidP="002A586E">
            <w:pPr>
              <w:pStyle w:val="ProductList-OfferingBody"/>
              <w:jc w:val="center"/>
            </w:pPr>
            <w:r>
              <w:t>&lt; 99 %</w:t>
            </w:r>
          </w:p>
        </w:tc>
        <w:tc>
          <w:tcPr>
            <w:tcW w:w="2500" w:type="pct"/>
          </w:tcPr>
          <w:p w14:paraId="2552E48F" w14:textId="77777777" w:rsidR="00DD02FA" w:rsidRPr="00EF7CF9" w:rsidRDefault="00DD02FA" w:rsidP="002A586E">
            <w:pPr>
              <w:pStyle w:val="ProductList-OfferingBody"/>
              <w:jc w:val="center"/>
            </w:pPr>
            <w:r>
              <w:t>50 %</w:t>
            </w:r>
          </w:p>
        </w:tc>
      </w:tr>
      <w:tr w:rsidR="00DD02FA" w:rsidRPr="00B44CF9" w14:paraId="746C0CC6" w14:textId="77777777" w:rsidTr="00EA5FB1">
        <w:tc>
          <w:tcPr>
            <w:tcW w:w="2500" w:type="pct"/>
          </w:tcPr>
          <w:p w14:paraId="2741C0B3" w14:textId="77777777" w:rsidR="00DD02FA" w:rsidRPr="00EF7CF9" w:rsidRDefault="00DD02FA" w:rsidP="002A586E">
            <w:pPr>
              <w:pStyle w:val="ProductList-OfferingBody"/>
              <w:jc w:val="center"/>
            </w:pPr>
            <w:r>
              <w:t>&lt; 95 %</w:t>
            </w:r>
          </w:p>
        </w:tc>
        <w:tc>
          <w:tcPr>
            <w:tcW w:w="2500" w:type="pct"/>
          </w:tcPr>
          <w:p w14:paraId="208A4B00" w14:textId="77777777" w:rsidR="00DD02FA" w:rsidRPr="00EF7CF9" w:rsidRDefault="00DD02FA" w:rsidP="002A586E">
            <w:pPr>
              <w:pStyle w:val="ProductList-OfferingBody"/>
              <w:jc w:val="center"/>
            </w:pPr>
            <w:r>
              <w:t>100 %</w:t>
            </w:r>
          </w:p>
        </w:tc>
      </w:tr>
    </w:tbl>
    <w:p w14:paraId="09EB1F1A" w14:textId="77777777" w:rsidR="00DD02FA" w:rsidRPr="00EF7CF9" w:rsidRDefault="00DD02FA" w:rsidP="00CC3609">
      <w:pPr>
        <w:pStyle w:val="ProductList-Body"/>
        <w:spacing w:before="120"/>
      </w:pPr>
      <w:r>
        <w:rPr>
          <w:vertAlign w:val="superscript"/>
        </w:rPr>
        <w:t>1</w:t>
      </w:r>
      <w:r>
        <w:t>Nicht unterstützte Szenarien sind beispielsweise die Wiedergabe auf nicht unterstützten Geräten/Betriebssystemen, clientseitige Netzwerkprobleme oder Nutzerfehler.</w:t>
      </w:r>
    </w:p>
    <w:p w14:paraId="0D51F7E9" w14:textId="57A8A50B" w:rsidR="00D67F75" w:rsidRPr="00D67F75" w:rsidRDefault="005F7C2C" w:rsidP="00D67F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5144E1BC" w14:textId="05DE6084" w:rsidR="00F601F4" w:rsidRPr="00EF7CF9" w:rsidRDefault="00F601F4" w:rsidP="002A586E">
      <w:pPr>
        <w:pStyle w:val="ProductList-Offering2Heading"/>
        <w:outlineLvl w:val="2"/>
      </w:pPr>
      <w:bookmarkStart w:id="100" w:name="_Toc195543079"/>
      <w:bookmarkStart w:id="101" w:name="_Toc237448932"/>
      <w:r>
        <w:t>Microsoft-Teams</w:t>
      </w:r>
      <w:bookmarkEnd w:id="97"/>
      <w:bookmarkEnd w:id="100"/>
      <w:bookmarkEnd w:id="101"/>
    </w:p>
    <w:p w14:paraId="5A94C708" w14:textId="3A4B55CC" w:rsidR="00F601F4" w:rsidRPr="00C27DCF" w:rsidRDefault="00F601F4" w:rsidP="002A586E">
      <w:pPr>
        <w:pStyle w:val="ProductList-Body"/>
      </w:pPr>
      <w:r>
        <w:rPr>
          <w:b/>
          <w:color w:val="00188F"/>
        </w:rPr>
        <w:t>Ausfallzeit</w:t>
      </w:r>
      <w:r w:rsidRPr="00ED75EB">
        <w:rPr>
          <w:b/>
          <w:color w:val="00188F"/>
        </w:rPr>
        <w:t>:</w:t>
      </w:r>
      <w:r>
        <w:t xml:space="preserve"> </w:t>
      </w:r>
      <w:r w:rsidR="005F354A" w:rsidRPr="009C4E33">
        <w:rPr>
          <w:rFonts w:cstheme="minorHAnsi"/>
        </w:rPr>
        <w:t>Jeder Zeitraum, in dem Endbenutzer keine Konversationen per Sofortnachricht führen oder Onlinebesprechungen veranlassen können</w:t>
      </w:r>
      <w:r>
        <w:t>.</w:t>
      </w:r>
      <w:r>
        <w:rPr>
          <w:vertAlign w:val="superscript"/>
        </w:rPr>
        <w:t>1</w:t>
      </w:r>
    </w:p>
    <w:p w14:paraId="6E301193" w14:textId="7D95A798" w:rsidR="00111C8E" w:rsidRPr="00EF7CF9" w:rsidRDefault="00AC48A7" w:rsidP="002A586E">
      <w:pPr>
        <w:pStyle w:val="ProductList-Body"/>
      </w:pPr>
      <w:r>
        <w:rPr>
          <w:b/>
          <w:color w:val="00188F"/>
        </w:rPr>
        <w:t>Betriebszeitprozentsatz</w:t>
      </w:r>
      <w:r w:rsidRPr="00ED75EB">
        <w:rPr>
          <w:b/>
          <w:color w:val="00188F"/>
        </w:rPr>
        <w:t>:</w:t>
      </w:r>
      <w:r>
        <w:t xml:space="preserve"> Der Betriebszeitprozentsatz errechnet sich nach folgender Formel:</w:t>
      </w:r>
    </w:p>
    <w:p w14:paraId="5557FC57" w14:textId="491D60A7" w:rsidR="00111C8E" w:rsidRPr="00EF7CF9" w:rsidRDefault="00000000" w:rsidP="00CC3609">
      <w:pPr>
        <w:spacing w:before="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Nutzerminuten abzüglich Ausfallzeit</m:t>
              </m:r>
            </m:num>
            <m:den>
              <m:r>
                <m:rPr>
                  <m:nor/>
                </m:rPr>
                <w:rPr>
                  <w:rFonts w:ascii="Cambria Math" w:hAnsi="Cambria Math" w:cs="Calibri"/>
                  <w:i/>
                  <w:sz w:val="18"/>
                  <w:szCs w:val="18"/>
                </w:rPr>
                <m:t>Nutzerminuten</m:t>
              </m:r>
            </m:den>
          </m:f>
          <m:r>
            <w:rPr>
              <w:rFonts w:ascii="Cambria Math" w:hAnsi="Cambria Math" w:cs="Calibri"/>
              <w:sz w:val="18"/>
              <w:szCs w:val="18"/>
            </w:rPr>
            <m:t xml:space="preserve"> x 100</m:t>
          </m:r>
        </m:oMath>
      </m:oMathPara>
    </w:p>
    <w:p w14:paraId="2B786914" w14:textId="757A361A" w:rsidR="00111C8E" w:rsidRPr="00EF7CF9" w:rsidRDefault="00AC48A7" w:rsidP="002A586E">
      <w:pPr>
        <w:pStyle w:val="ProductList-Body"/>
      </w:pPr>
      <w: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4563E514" w14:textId="77777777" w:rsidR="00111C8E" w:rsidRPr="00EF7CF9" w:rsidRDefault="00111C8E" w:rsidP="002A586E">
      <w:pPr>
        <w:pStyle w:val="ProductList-Body"/>
      </w:pPr>
    </w:p>
    <w:p w14:paraId="24580EAD" w14:textId="77777777" w:rsidR="00111C8E" w:rsidRPr="00EF7CF9" w:rsidRDefault="00111C8E" w:rsidP="00CC3273">
      <w:pPr>
        <w:pStyle w:val="ProductList-Body"/>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11C8E" w:rsidRPr="00B44CF9" w14:paraId="353AA27F" w14:textId="77777777" w:rsidTr="00C626F4">
        <w:trPr>
          <w:tblHeader/>
        </w:trPr>
        <w:tc>
          <w:tcPr>
            <w:tcW w:w="5400" w:type="dxa"/>
            <w:shd w:val="clear" w:color="auto" w:fill="0072C6"/>
          </w:tcPr>
          <w:p w14:paraId="6137D797" w14:textId="6C7A6D04" w:rsidR="00111C8E" w:rsidRPr="00EF7CF9" w:rsidRDefault="00AC48A7" w:rsidP="002A586E">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3656A668" w14:textId="77777777" w:rsidR="00111C8E" w:rsidRPr="00EF7CF9" w:rsidRDefault="00111C8E" w:rsidP="002A586E">
            <w:pPr>
              <w:pStyle w:val="ProductList-OfferingBody"/>
              <w:jc w:val="center"/>
              <w:rPr>
                <w:color w:val="FFFFFF" w:themeColor="background1"/>
              </w:rPr>
            </w:pPr>
            <w:r>
              <w:rPr>
                <w:color w:val="FFFFFF" w:themeColor="background1"/>
              </w:rPr>
              <w:t>Servicegutschrift</w:t>
            </w:r>
          </w:p>
        </w:tc>
      </w:tr>
      <w:tr w:rsidR="00111C8E" w:rsidRPr="00B44CF9" w14:paraId="589ABE4E" w14:textId="77777777" w:rsidTr="00C626F4">
        <w:tc>
          <w:tcPr>
            <w:tcW w:w="5400" w:type="dxa"/>
          </w:tcPr>
          <w:p w14:paraId="2578BD40" w14:textId="77777777" w:rsidR="00111C8E" w:rsidRPr="00EF7CF9" w:rsidRDefault="00111C8E" w:rsidP="002A586E">
            <w:pPr>
              <w:pStyle w:val="ProductList-OfferingBody"/>
              <w:jc w:val="center"/>
            </w:pPr>
            <w:r>
              <w:t>&lt; 99,9 %</w:t>
            </w:r>
          </w:p>
        </w:tc>
        <w:tc>
          <w:tcPr>
            <w:tcW w:w="5400" w:type="dxa"/>
          </w:tcPr>
          <w:p w14:paraId="2401154C" w14:textId="77777777" w:rsidR="00111C8E" w:rsidRPr="00EF7CF9" w:rsidRDefault="00111C8E" w:rsidP="002A586E">
            <w:pPr>
              <w:pStyle w:val="ProductList-OfferingBody"/>
              <w:jc w:val="center"/>
            </w:pPr>
            <w:r>
              <w:t>25 %</w:t>
            </w:r>
          </w:p>
        </w:tc>
      </w:tr>
      <w:tr w:rsidR="00111C8E" w:rsidRPr="00B44CF9" w14:paraId="44E404DC" w14:textId="77777777" w:rsidTr="00C626F4">
        <w:tc>
          <w:tcPr>
            <w:tcW w:w="5400" w:type="dxa"/>
          </w:tcPr>
          <w:p w14:paraId="43838AEE" w14:textId="77777777" w:rsidR="00111C8E" w:rsidRPr="00EF7CF9" w:rsidRDefault="00111C8E" w:rsidP="002A586E">
            <w:pPr>
              <w:pStyle w:val="ProductList-OfferingBody"/>
              <w:jc w:val="center"/>
            </w:pPr>
            <w:r>
              <w:t>&lt; 99 %</w:t>
            </w:r>
          </w:p>
        </w:tc>
        <w:tc>
          <w:tcPr>
            <w:tcW w:w="5400" w:type="dxa"/>
          </w:tcPr>
          <w:p w14:paraId="2875A913" w14:textId="77777777" w:rsidR="00111C8E" w:rsidRPr="00EF7CF9" w:rsidRDefault="00111C8E" w:rsidP="002A586E">
            <w:pPr>
              <w:pStyle w:val="ProductList-OfferingBody"/>
              <w:jc w:val="center"/>
            </w:pPr>
            <w:r>
              <w:t>50 %</w:t>
            </w:r>
          </w:p>
        </w:tc>
      </w:tr>
      <w:tr w:rsidR="00111C8E" w:rsidRPr="00B44CF9" w14:paraId="1BA92F4B" w14:textId="77777777" w:rsidTr="00C626F4">
        <w:tc>
          <w:tcPr>
            <w:tcW w:w="5400" w:type="dxa"/>
          </w:tcPr>
          <w:p w14:paraId="7A9B4648" w14:textId="77777777" w:rsidR="00111C8E" w:rsidRPr="00EF7CF9" w:rsidRDefault="00111C8E" w:rsidP="002A586E">
            <w:pPr>
              <w:pStyle w:val="ProductList-OfferingBody"/>
              <w:keepNext/>
              <w:jc w:val="center"/>
            </w:pPr>
            <w:r>
              <w:t>&lt; 95 %</w:t>
            </w:r>
          </w:p>
        </w:tc>
        <w:tc>
          <w:tcPr>
            <w:tcW w:w="5400" w:type="dxa"/>
          </w:tcPr>
          <w:p w14:paraId="31E43A9C" w14:textId="77777777" w:rsidR="00111C8E" w:rsidRPr="00EF7CF9" w:rsidRDefault="00111C8E" w:rsidP="002A586E">
            <w:pPr>
              <w:pStyle w:val="ProductList-OfferingBody"/>
              <w:keepNext/>
              <w:jc w:val="center"/>
            </w:pPr>
            <w:r>
              <w:t>100 %</w:t>
            </w:r>
          </w:p>
        </w:tc>
      </w:tr>
    </w:tbl>
    <w:bookmarkStart w:id="102" w:name="_Hlk37926720"/>
    <w:bookmarkEnd w:id="93"/>
    <w:p w14:paraId="1CA0664F" w14:textId="787DACAB" w:rsidR="00D67F75" w:rsidRPr="00D67F75" w:rsidRDefault="005F7C2C" w:rsidP="00D67F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2595BD4C" w14:textId="77777777" w:rsidR="008937E8" w:rsidRDefault="008937E8">
      <w:pPr>
        <w:rPr>
          <w:rFonts w:asciiTheme="majorHAnsi" w:hAnsiTheme="majorHAnsi"/>
          <w:b/>
          <w:color w:val="0072C6"/>
          <w:sz w:val="28"/>
        </w:rPr>
      </w:pPr>
      <w:r>
        <w:br w:type="page"/>
      </w:r>
    </w:p>
    <w:p w14:paraId="2C31189D" w14:textId="2B1A28A3" w:rsidR="008C5EDB" w:rsidRPr="00EF7CF9" w:rsidRDefault="008E68F7" w:rsidP="002A586E">
      <w:pPr>
        <w:pStyle w:val="ProductList-Offering2Heading"/>
        <w:outlineLvl w:val="2"/>
      </w:pPr>
      <w:bookmarkStart w:id="103" w:name="_Toc195543080"/>
      <w:bookmarkStart w:id="104" w:name="_Toc237448933"/>
      <w:r>
        <w:lastRenderedPageBreak/>
        <w:t>Microsoft 365 Apps for Business</w:t>
      </w:r>
      <w:bookmarkEnd w:id="102"/>
      <w:bookmarkEnd w:id="103"/>
      <w:bookmarkEnd w:id="104"/>
    </w:p>
    <w:p w14:paraId="7289F7AE" w14:textId="59B03AB1" w:rsidR="008C5EDB" w:rsidRPr="00EF7CF9" w:rsidRDefault="008C5EDB" w:rsidP="002A586E">
      <w:pPr>
        <w:pStyle w:val="ProductList-Body"/>
      </w:pPr>
      <w:r>
        <w:rPr>
          <w:b/>
          <w:color w:val="00188F"/>
        </w:rPr>
        <w:t>Ausfallzeit</w:t>
      </w:r>
      <w:r w:rsidRPr="00ED75EB">
        <w:rPr>
          <w:b/>
          <w:color w:val="00188F"/>
        </w:rPr>
        <w:t>:</w:t>
      </w:r>
      <w:r>
        <w:t xml:space="preserve"> </w:t>
      </w:r>
      <w:r>
        <w:rPr>
          <w:szCs w:val="18"/>
        </w:rPr>
        <w:t>Jeder Zeitraum, in dem Office-Anwendungen aufgrund eines Problems mit der Aktivierung von Office 365 mit geringeren Funktionen ausgeführt werden</w:t>
      </w:r>
      <w:r>
        <w:t>.</w:t>
      </w:r>
    </w:p>
    <w:p w14:paraId="53E63742" w14:textId="44FD96EE" w:rsidR="008C5EDB" w:rsidRPr="00EF7CF9" w:rsidRDefault="00AC48A7" w:rsidP="002A586E">
      <w:pPr>
        <w:pStyle w:val="ProductList-Body"/>
      </w:pPr>
      <w:r>
        <w:rPr>
          <w:b/>
          <w:color w:val="00188F"/>
        </w:rPr>
        <w:t>Betriebszeitprozentsatz</w:t>
      </w:r>
      <w:r w:rsidRPr="00ED75EB">
        <w:rPr>
          <w:b/>
          <w:color w:val="00188F"/>
        </w:rPr>
        <w:t>:</w:t>
      </w:r>
      <w:r>
        <w:t xml:space="preserve"> Der Betriebszeitprozentsatz errechnet sich nach folgender Formel:</w:t>
      </w:r>
    </w:p>
    <w:p w14:paraId="35067700" w14:textId="0711D0B2" w:rsidR="008C5EDB" w:rsidRPr="00EF7CF9" w:rsidRDefault="00000000" w:rsidP="00CC3609">
      <w:pPr>
        <w:spacing w:before="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Nutzerminuten abzüglich Ausfallzeit</m:t>
              </m:r>
            </m:num>
            <m:den>
              <m:r>
                <m:rPr>
                  <m:nor/>
                </m:rPr>
                <w:rPr>
                  <w:rFonts w:ascii="Cambria Math" w:hAnsi="Cambria Math" w:cs="Calibri"/>
                  <w:i/>
                  <w:sz w:val="18"/>
                  <w:szCs w:val="18"/>
                </w:rPr>
                <m:t>Nutzerminuten</m:t>
              </m:r>
            </m:den>
          </m:f>
          <m:r>
            <w:rPr>
              <w:rFonts w:ascii="Cambria Math" w:hAnsi="Cambria Math" w:cs="Calibri"/>
              <w:sz w:val="18"/>
              <w:szCs w:val="18"/>
            </w:rPr>
            <m:t xml:space="preserve"> x 100</m:t>
          </m:r>
        </m:oMath>
      </m:oMathPara>
    </w:p>
    <w:p w14:paraId="54100507" w14:textId="7A6B89B0" w:rsidR="008C5EDB" w:rsidRPr="00EF7CF9" w:rsidRDefault="00AC48A7" w:rsidP="002A586E">
      <w:pPr>
        <w:pStyle w:val="ProductList-Body"/>
      </w:pPr>
      <w: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059DC912" w14:textId="77777777" w:rsidR="008C5EDB" w:rsidRPr="00EF7CF9" w:rsidRDefault="008C5EDB" w:rsidP="002A586E">
      <w:pPr>
        <w:pStyle w:val="ProductList-Body"/>
      </w:pPr>
    </w:p>
    <w:p w14:paraId="11375DC1" w14:textId="42DEC6C3" w:rsidR="008C5EDB" w:rsidRPr="00EF7CF9" w:rsidRDefault="008C5EDB" w:rsidP="002A586E">
      <w:pPr>
        <w:pStyle w:val="ProductList-Body"/>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1465FECB" w14:textId="77777777" w:rsidTr="00C86427">
        <w:trPr>
          <w:tblHeader/>
        </w:trPr>
        <w:tc>
          <w:tcPr>
            <w:tcW w:w="5400" w:type="dxa"/>
            <w:shd w:val="clear" w:color="auto" w:fill="0072C6"/>
          </w:tcPr>
          <w:p w14:paraId="14148105" w14:textId="0A8E1748" w:rsidR="008C5EDB" w:rsidRPr="00EF7CF9" w:rsidRDefault="00AC48A7" w:rsidP="002A586E">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71A6505D" w14:textId="77777777" w:rsidR="008C5EDB" w:rsidRPr="00EF7CF9" w:rsidRDefault="008C5EDB" w:rsidP="002A586E">
            <w:pPr>
              <w:pStyle w:val="ProductList-OfferingBody"/>
              <w:jc w:val="center"/>
              <w:rPr>
                <w:color w:val="FFFFFF" w:themeColor="background1"/>
              </w:rPr>
            </w:pPr>
            <w:r>
              <w:rPr>
                <w:color w:val="FFFFFF" w:themeColor="background1"/>
              </w:rPr>
              <w:t>Servicegutschrift</w:t>
            </w:r>
          </w:p>
        </w:tc>
      </w:tr>
      <w:tr w:rsidR="008C5EDB" w:rsidRPr="00B44CF9" w14:paraId="7F314A2F" w14:textId="77777777" w:rsidTr="00C86427">
        <w:tc>
          <w:tcPr>
            <w:tcW w:w="5400" w:type="dxa"/>
          </w:tcPr>
          <w:p w14:paraId="27EC60BA" w14:textId="491322A6" w:rsidR="008C5EDB" w:rsidRPr="00EF7CF9" w:rsidRDefault="008C5EDB" w:rsidP="002A586E">
            <w:pPr>
              <w:pStyle w:val="ProductList-OfferingBody"/>
              <w:jc w:val="center"/>
            </w:pPr>
            <w:r>
              <w:t>&lt; 99,9 %</w:t>
            </w:r>
          </w:p>
        </w:tc>
        <w:tc>
          <w:tcPr>
            <w:tcW w:w="5400" w:type="dxa"/>
          </w:tcPr>
          <w:p w14:paraId="32479524" w14:textId="77777777" w:rsidR="008C5EDB" w:rsidRPr="00EF7CF9" w:rsidRDefault="008C5EDB" w:rsidP="002A586E">
            <w:pPr>
              <w:pStyle w:val="ProductList-OfferingBody"/>
              <w:jc w:val="center"/>
            </w:pPr>
            <w:r>
              <w:t>25 %</w:t>
            </w:r>
          </w:p>
        </w:tc>
      </w:tr>
      <w:tr w:rsidR="008C5EDB" w:rsidRPr="00B44CF9" w14:paraId="3B51D863" w14:textId="77777777" w:rsidTr="00C86427">
        <w:tc>
          <w:tcPr>
            <w:tcW w:w="5400" w:type="dxa"/>
          </w:tcPr>
          <w:p w14:paraId="20F7F18D" w14:textId="7E2505C1" w:rsidR="008C5EDB" w:rsidRPr="00EF7CF9" w:rsidRDefault="008C5EDB" w:rsidP="002A586E">
            <w:pPr>
              <w:pStyle w:val="ProductList-OfferingBody"/>
              <w:jc w:val="center"/>
            </w:pPr>
            <w:r>
              <w:t>&lt; 99 %</w:t>
            </w:r>
          </w:p>
        </w:tc>
        <w:tc>
          <w:tcPr>
            <w:tcW w:w="5400" w:type="dxa"/>
          </w:tcPr>
          <w:p w14:paraId="62FA6717" w14:textId="77777777" w:rsidR="008C5EDB" w:rsidRPr="00EF7CF9" w:rsidRDefault="008C5EDB" w:rsidP="002A586E">
            <w:pPr>
              <w:pStyle w:val="ProductList-OfferingBody"/>
              <w:jc w:val="center"/>
            </w:pPr>
            <w:r>
              <w:t>50 %</w:t>
            </w:r>
          </w:p>
        </w:tc>
      </w:tr>
      <w:tr w:rsidR="008C5EDB" w:rsidRPr="00B44CF9" w14:paraId="6129A967" w14:textId="77777777" w:rsidTr="00C86427">
        <w:tc>
          <w:tcPr>
            <w:tcW w:w="5400" w:type="dxa"/>
          </w:tcPr>
          <w:p w14:paraId="4DE7318B" w14:textId="77777777" w:rsidR="008C5EDB" w:rsidRPr="00EF7CF9" w:rsidRDefault="008C5EDB" w:rsidP="002A586E">
            <w:pPr>
              <w:pStyle w:val="ProductList-OfferingBody"/>
              <w:jc w:val="center"/>
            </w:pPr>
            <w:r>
              <w:t>&lt; 95 %</w:t>
            </w:r>
          </w:p>
        </w:tc>
        <w:tc>
          <w:tcPr>
            <w:tcW w:w="5400" w:type="dxa"/>
          </w:tcPr>
          <w:p w14:paraId="39648AB2" w14:textId="77777777" w:rsidR="008C5EDB" w:rsidRPr="00EF7CF9" w:rsidRDefault="008C5EDB" w:rsidP="002A586E">
            <w:pPr>
              <w:pStyle w:val="ProductList-OfferingBody"/>
              <w:jc w:val="center"/>
            </w:pPr>
            <w:r>
              <w:t>100 %</w:t>
            </w:r>
          </w:p>
        </w:tc>
      </w:tr>
    </w:tbl>
    <w:bookmarkStart w:id="105" w:name="_Hlk37926721"/>
    <w:p w14:paraId="5081B52C" w14:textId="17C4BF80" w:rsidR="00D67F75" w:rsidRPr="00D67F75" w:rsidRDefault="005F7C2C" w:rsidP="00D67F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5FC93245" w14:textId="484C0EE9" w:rsidR="000C13D4" w:rsidRPr="00EF7CF9" w:rsidRDefault="008E68F7" w:rsidP="00414402">
      <w:pPr>
        <w:pStyle w:val="ProductList-Offering2Heading"/>
        <w:keepNext/>
        <w:outlineLvl w:val="2"/>
      </w:pPr>
      <w:bookmarkStart w:id="106" w:name="_Toc195543081"/>
      <w:bookmarkStart w:id="107" w:name="_Toc237448934"/>
      <w:r>
        <w:t>Microsoft 365 Apps für Unternehmen</w:t>
      </w:r>
      <w:bookmarkEnd w:id="105"/>
      <w:bookmarkEnd w:id="106"/>
      <w:bookmarkEnd w:id="107"/>
    </w:p>
    <w:p w14:paraId="449A5D9A" w14:textId="602C4994" w:rsidR="000C13D4" w:rsidRPr="00EF7CF9" w:rsidRDefault="000C13D4" w:rsidP="002A586E">
      <w:pPr>
        <w:pStyle w:val="ProductList-Body"/>
      </w:pPr>
      <w:r>
        <w:rPr>
          <w:b/>
          <w:color w:val="00188F"/>
        </w:rPr>
        <w:t>Ausfallzeit</w:t>
      </w:r>
      <w:r w:rsidRPr="00ED75EB">
        <w:rPr>
          <w:b/>
          <w:color w:val="00188F"/>
        </w:rPr>
        <w:t>:</w:t>
      </w:r>
      <w:r>
        <w:t xml:space="preserve"> </w:t>
      </w:r>
      <w:r>
        <w:rPr>
          <w:szCs w:val="18"/>
        </w:rPr>
        <w:t>Jeder Zeitraum, in dem Office-Anwendungen aufgrund eines Problems mit der Aktivierung von Office 365 mit geringeren Funktionen ausgeführt werden</w:t>
      </w:r>
    </w:p>
    <w:p w14:paraId="05221919" w14:textId="49DA841C" w:rsidR="000C13D4" w:rsidRPr="00EF7CF9" w:rsidRDefault="00AC48A7" w:rsidP="00DE2ADD">
      <w:pPr>
        <w:pStyle w:val="ProductList-Body"/>
      </w:pPr>
      <w:r>
        <w:rPr>
          <w:b/>
          <w:color w:val="00188F"/>
        </w:rPr>
        <w:t>Betriebszeitprozentsatz</w:t>
      </w:r>
      <w:r w:rsidRPr="00ED75EB">
        <w:rPr>
          <w:b/>
          <w:color w:val="00188F"/>
        </w:rPr>
        <w:t>:</w:t>
      </w:r>
      <w:r>
        <w:t xml:space="preserve"> Der Betriebszeitprozentsatz errechnet sich nach folgender Formel:</w:t>
      </w:r>
    </w:p>
    <w:p w14:paraId="3C8D0742" w14:textId="517FF0F7" w:rsidR="000C13D4" w:rsidRPr="00EF7CF9" w:rsidRDefault="00000000" w:rsidP="00123CD3">
      <w:pPr>
        <w:spacing w:before="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Nutzerminuten abzüglich Ausfallzeit</m:t>
              </m:r>
            </m:num>
            <m:den>
              <m:r>
                <m:rPr>
                  <m:nor/>
                </m:rPr>
                <w:rPr>
                  <w:rFonts w:ascii="Cambria Math" w:hAnsi="Cambria Math" w:cs="Calibri"/>
                  <w:i/>
                  <w:sz w:val="18"/>
                  <w:szCs w:val="18"/>
                </w:rPr>
                <m:t>Nutzerminuten</m:t>
              </m:r>
            </m:den>
          </m:f>
          <m:r>
            <w:rPr>
              <w:rFonts w:ascii="Cambria Math" w:hAnsi="Cambria Math" w:cs="Calibri"/>
              <w:sz w:val="18"/>
              <w:szCs w:val="18"/>
            </w:rPr>
            <m:t xml:space="preserve"> x 100</m:t>
          </m:r>
        </m:oMath>
      </m:oMathPara>
    </w:p>
    <w:p w14:paraId="095C5050" w14:textId="422F1A3B" w:rsidR="000C13D4" w:rsidRPr="00EF7CF9" w:rsidRDefault="00AC48A7" w:rsidP="002A586E">
      <w:pPr>
        <w:pStyle w:val="ProductList-Body"/>
      </w:pPr>
      <w: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3581BEAA" w14:textId="77777777" w:rsidR="000C13D4" w:rsidRPr="00EF7CF9" w:rsidRDefault="000C13D4" w:rsidP="002A586E">
      <w:pPr>
        <w:pStyle w:val="ProductList-Body"/>
      </w:pPr>
    </w:p>
    <w:p w14:paraId="4D7C630A" w14:textId="1FC61854" w:rsidR="000C13D4" w:rsidRPr="00EF7CF9" w:rsidRDefault="000C13D4" w:rsidP="003C0B57">
      <w:pPr>
        <w:pStyle w:val="ProductList-Body"/>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2444FD24" w14:textId="77777777" w:rsidTr="00C86427">
        <w:trPr>
          <w:tblHeader/>
        </w:trPr>
        <w:tc>
          <w:tcPr>
            <w:tcW w:w="5400" w:type="dxa"/>
            <w:shd w:val="clear" w:color="auto" w:fill="0072C6"/>
          </w:tcPr>
          <w:p w14:paraId="37F043F6" w14:textId="240E1C62" w:rsidR="000C13D4" w:rsidRPr="00EF7CF9" w:rsidRDefault="00AC48A7" w:rsidP="002A586E">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176BF93B" w14:textId="77777777" w:rsidR="000C13D4" w:rsidRPr="00EF7CF9" w:rsidRDefault="000C13D4" w:rsidP="002A586E">
            <w:pPr>
              <w:pStyle w:val="ProductList-OfferingBody"/>
              <w:jc w:val="center"/>
              <w:rPr>
                <w:color w:val="FFFFFF" w:themeColor="background1"/>
              </w:rPr>
            </w:pPr>
            <w:r>
              <w:rPr>
                <w:color w:val="FFFFFF" w:themeColor="background1"/>
              </w:rPr>
              <w:t>Servicegutschrift</w:t>
            </w:r>
          </w:p>
        </w:tc>
      </w:tr>
      <w:tr w:rsidR="000C13D4" w:rsidRPr="00B44CF9" w14:paraId="5277ABA6" w14:textId="77777777" w:rsidTr="00C86427">
        <w:tc>
          <w:tcPr>
            <w:tcW w:w="5400" w:type="dxa"/>
          </w:tcPr>
          <w:p w14:paraId="05B0041B" w14:textId="445FE07F" w:rsidR="000C13D4" w:rsidRPr="00EF7CF9" w:rsidRDefault="000C13D4" w:rsidP="002A586E">
            <w:pPr>
              <w:pStyle w:val="ProductList-OfferingBody"/>
              <w:jc w:val="center"/>
            </w:pPr>
            <w:r>
              <w:t>&lt; 99,9 %</w:t>
            </w:r>
          </w:p>
        </w:tc>
        <w:tc>
          <w:tcPr>
            <w:tcW w:w="5400" w:type="dxa"/>
          </w:tcPr>
          <w:p w14:paraId="4C9A31DC" w14:textId="77777777" w:rsidR="000C13D4" w:rsidRPr="00EF7CF9" w:rsidRDefault="000C13D4" w:rsidP="002A586E">
            <w:pPr>
              <w:pStyle w:val="ProductList-OfferingBody"/>
              <w:jc w:val="center"/>
            </w:pPr>
            <w:r>
              <w:t>25 %</w:t>
            </w:r>
          </w:p>
        </w:tc>
      </w:tr>
      <w:tr w:rsidR="000C13D4" w:rsidRPr="00B44CF9" w14:paraId="1C8A9049" w14:textId="77777777" w:rsidTr="00C86427">
        <w:tc>
          <w:tcPr>
            <w:tcW w:w="5400" w:type="dxa"/>
          </w:tcPr>
          <w:p w14:paraId="5400DA44" w14:textId="2D3443A0" w:rsidR="000C13D4" w:rsidRPr="00EF7CF9" w:rsidRDefault="000C13D4" w:rsidP="002A586E">
            <w:pPr>
              <w:pStyle w:val="ProductList-OfferingBody"/>
              <w:jc w:val="center"/>
            </w:pPr>
            <w:r>
              <w:t>&lt; 99 %</w:t>
            </w:r>
          </w:p>
        </w:tc>
        <w:tc>
          <w:tcPr>
            <w:tcW w:w="5400" w:type="dxa"/>
          </w:tcPr>
          <w:p w14:paraId="3FC2502C" w14:textId="77777777" w:rsidR="000C13D4" w:rsidRPr="00EF7CF9" w:rsidRDefault="000C13D4" w:rsidP="002A586E">
            <w:pPr>
              <w:pStyle w:val="ProductList-OfferingBody"/>
              <w:jc w:val="center"/>
            </w:pPr>
            <w:r>
              <w:t>50 %</w:t>
            </w:r>
          </w:p>
        </w:tc>
      </w:tr>
      <w:tr w:rsidR="000C13D4" w:rsidRPr="00B44CF9" w14:paraId="7BC013DA" w14:textId="77777777" w:rsidTr="00C86427">
        <w:tc>
          <w:tcPr>
            <w:tcW w:w="5400" w:type="dxa"/>
          </w:tcPr>
          <w:p w14:paraId="0ACE145E" w14:textId="77777777" w:rsidR="000C13D4" w:rsidRPr="00EF7CF9" w:rsidRDefault="000C13D4" w:rsidP="002A586E">
            <w:pPr>
              <w:pStyle w:val="ProductList-OfferingBody"/>
              <w:jc w:val="center"/>
            </w:pPr>
            <w:r>
              <w:t>&lt; 95 %</w:t>
            </w:r>
          </w:p>
        </w:tc>
        <w:tc>
          <w:tcPr>
            <w:tcW w:w="5400" w:type="dxa"/>
          </w:tcPr>
          <w:p w14:paraId="1EF01771" w14:textId="77777777" w:rsidR="000C13D4" w:rsidRPr="00EF7CF9" w:rsidRDefault="000C13D4" w:rsidP="002A586E">
            <w:pPr>
              <w:pStyle w:val="ProductList-OfferingBody"/>
              <w:jc w:val="center"/>
            </w:pPr>
            <w:r>
              <w:t>100 %</w:t>
            </w:r>
          </w:p>
        </w:tc>
      </w:tr>
    </w:tbl>
    <w:bookmarkStart w:id="108" w:name="_Toc457821519"/>
    <w:p w14:paraId="5F440775" w14:textId="63743A91" w:rsidR="00D67F75" w:rsidRPr="00D67F75" w:rsidRDefault="005F7C2C" w:rsidP="00D67F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46F6CEAF" w14:textId="77777777" w:rsidR="00B768EE" w:rsidRPr="00FC1992" w:rsidRDefault="00B768EE" w:rsidP="00B768EE">
      <w:pPr>
        <w:pStyle w:val="ProductList-Offering2Heading"/>
        <w:keepNext/>
        <w:tabs>
          <w:tab w:val="clear" w:pos="360"/>
          <w:tab w:val="clear" w:pos="720"/>
          <w:tab w:val="clear" w:pos="1080"/>
        </w:tabs>
        <w:outlineLvl w:val="2"/>
        <w:rPr>
          <w:rFonts w:ascii="Calibri Light" w:hAnsi="Calibri Light" w:cs="Calibri Light"/>
        </w:rPr>
      </w:pPr>
      <w:bookmarkStart w:id="109" w:name="_Toc237448935"/>
      <w:bookmarkStart w:id="110" w:name="_Toc225443066"/>
      <w:bookmarkStart w:id="111" w:name="_Toc195543082"/>
      <w:r>
        <w:rPr>
          <w:rFonts w:ascii="Calibri Light" w:hAnsi="Calibri Light" w:cs="Calibri Light"/>
        </w:rPr>
        <w:t>Microsoft 365 Copilot</w:t>
      </w:r>
      <w:bookmarkEnd w:id="109"/>
    </w:p>
    <w:bookmarkEnd w:id="110"/>
    <w:p w14:paraId="0563F8A1" w14:textId="77777777" w:rsidR="00B768EE" w:rsidRPr="0054418C" w:rsidRDefault="00B768EE" w:rsidP="00B768EE">
      <w:pPr>
        <w:spacing w:after="0"/>
        <w:rPr>
          <w:rFonts w:ascii="Calibri" w:eastAsia="Calibri" w:hAnsi="Calibri" w:cs="Arial"/>
        </w:rPr>
      </w:pPr>
      <w:r>
        <w:rPr>
          <w:rFonts w:ascii="Calibri" w:eastAsia="Calibri" w:hAnsi="Calibri" w:cs="Arial"/>
          <w:b/>
          <w:color w:val="00188F"/>
          <w:sz w:val="18"/>
        </w:rPr>
        <w:t>Downtime:</w:t>
      </w:r>
      <w:r>
        <w:rPr>
          <w:rFonts w:ascii="Calibri" w:eastAsia="Calibri" w:hAnsi="Calibri" w:cs="Arial"/>
          <w:sz w:val="18"/>
        </w:rPr>
        <w:t xml:space="preserve"> </w:t>
      </w:r>
      <w:r>
        <w:rPr>
          <w:rFonts w:ascii="Calibri" w:eastAsia="Calibri" w:hAnsi="Calibri" w:cs="Arial"/>
          <w:sz w:val="18"/>
          <w:szCs w:val="18"/>
        </w:rPr>
        <w:t>Wenn lizenzierte Microsoft 365 Copilot-Endbenutzer einen gültigen Prompt in Copilot Chat innerhalb der App Microsoft 365 Copilot (Web, Desktop, macOS und mobil) senden und aufgrund eines serverseitigen Fehlers des LLM eine nicht erfolgreiche Antwort von Copilot erhalten. Ein gültiger Prompt ist einer, der nicht von den Microsoft-Filtern für verantwortungsvolle KI oder anderen Systemsicherheitsmaßnahmen blockiert wird. Eine Antwort gilt als nicht erfolgreich, wenn das LLM einen serverseitigen Fehler zurückgibt. Diese SLA gilt für das LLM für KI-Modelle, die von Microsoft gehostet und betrieben werden. Diese SLA gilt nicht für Funktionen in Copilot, die Daten verbrauchen.</w:t>
      </w:r>
      <w:r>
        <w:rPr>
          <w:rFonts w:ascii="Calibri" w:eastAsia="Calibri" w:hAnsi="Calibri" w:cs="Arial"/>
        </w:rPr>
        <w:t xml:space="preserve"> </w:t>
      </w:r>
    </w:p>
    <w:p w14:paraId="6745DEED" w14:textId="77777777" w:rsidR="00B768EE" w:rsidRPr="0054418C" w:rsidRDefault="00B768EE" w:rsidP="00B768EE">
      <w:pPr>
        <w:spacing w:after="0"/>
        <w:rPr>
          <w:rFonts w:ascii="Calibri" w:eastAsia="Calibri" w:hAnsi="Calibri" w:cs="Arial"/>
          <w:sz w:val="18"/>
          <w:szCs w:val="18"/>
        </w:rPr>
      </w:pPr>
      <w:r>
        <w:rPr>
          <w:rFonts w:ascii="Calibri" w:eastAsia="Calibri" w:hAnsi="Calibri" w:cs="Arial"/>
          <w:b/>
          <w:bCs/>
          <w:color w:val="00188F"/>
          <w:sz w:val="18"/>
          <w:szCs w:val="18"/>
        </w:rPr>
        <w:t>Betriebszeitprozentsatz</w:t>
      </w:r>
      <w:r>
        <w:rPr>
          <w:rFonts w:ascii="Calibri" w:eastAsia="Calibri" w:hAnsi="Calibri" w:cs="Arial"/>
          <w:sz w:val="18"/>
          <w:szCs w:val="18"/>
        </w:rPr>
        <w:t xml:space="preserve">: Der Betriebszeitprozentsatz errechnet sich nach folgender Formel: </w:t>
      </w:r>
    </w:p>
    <w:p w14:paraId="7E860AE7" w14:textId="77777777" w:rsidR="00B768EE" w:rsidRPr="0054418C" w:rsidRDefault="00000000" w:rsidP="00B768EE">
      <w:pPr>
        <w:spacing w:before="120" w:after="120" w:line="240" w:lineRule="auto"/>
        <w:jc w:val="both"/>
        <w:rPr>
          <w:rFonts w:ascii="Calibri" w:eastAsia="Calibri" w:hAnsi="Calibri" w:cs="Arial"/>
          <w:sz w:val="18"/>
          <w:szCs w:val="18"/>
        </w:rPr>
      </w:pPr>
      <m:oMathPara>
        <m:oMathParaPr>
          <m:jc m:val="center"/>
        </m:oMathParaPr>
        <m:oMath>
          <m:f>
            <m:fPr>
              <m:ctrlPr>
                <w:rPr>
                  <w:rFonts w:ascii="Cambria Math" w:eastAsia="Calibri" w:hAnsi="Cambria Math" w:cs="Arial"/>
                  <w:i/>
                  <w:iCs/>
                  <w:sz w:val="18"/>
                  <w:szCs w:val="18"/>
                </w:rPr>
              </m:ctrlPr>
            </m:fPr>
            <m:num>
              <m:r>
                <w:rPr>
                  <w:rFonts w:ascii="Cambria Math" w:eastAsia="Calibri" w:hAnsi="Cambria Math" w:cs="Arial"/>
                  <w:sz w:val="18"/>
                  <w:szCs w:val="18"/>
                </w:rPr>
                <m:t xml:space="preserve">Gesamtzahl gültiger Prompts - nicht erfolgreiche Antworten </m:t>
              </m:r>
            </m:num>
            <m:den>
              <m:r>
                <w:rPr>
                  <w:rFonts w:ascii="Cambria Math" w:eastAsia="Calibri" w:hAnsi="Cambria Math" w:cs="Arial"/>
                  <w:sz w:val="18"/>
                  <w:szCs w:val="18"/>
                </w:rPr>
                <m:t>Gesamtzahl gültiger Prompts</m:t>
              </m:r>
            </m:den>
          </m:f>
          <m:r>
            <w:rPr>
              <w:rFonts w:ascii="Cambria Math" w:eastAsia="Calibri" w:hAnsi="Cambria Math" w:cs="Arial"/>
              <w:sz w:val="18"/>
              <w:szCs w:val="18"/>
            </w:rPr>
            <m:t xml:space="preserve"> x 100 </m:t>
          </m:r>
        </m:oMath>
      </m:oMathPara>
    </w:p>
    <w:p w14:paraId="775D33D4" w14:textId="77777777" w:rsidR="00B768EE" w:rsidRPr="0054418C" w:rsidRDefault="00B768EE" w:rsidP="00B768EE">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Downtime wird als Prozentsatz der nicht erfolgreichen Antworten während eines anwendbaren Zeitraums gemessen.</w:t>
      </w:r>
    </w:p>
    <w:p w14:paraId="4D9A4C38" w14:textId="77777777" w:rsidR="00B768EE" w:rsidRPr="0054418C" w:rsidRDefault="00B768EE" w:rsidP="00B768EE">
      <w:pPr>
        <w:keepNext/>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rPr>
        <w:t>Servicegutschrift</w:t>
      </w:r>
      <w:r>
        <w:rPr>
          <w:rFonts w:ascii="Calibri" w:eastAsia="Calibri" w:hAnsi="Calibri" w:cs="Arial"/>
          <w:sz w:val="18"/>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B768EE" w:rsidRPr="0054418C" w14:paraId="462AE296" w14:textId="77777777" w:rsidTr="00B21468">
        <w:trPr>
          <w:tblHeader/>
        </w:trPr>
        <w:tc>
          <w:tcPr>
            <w:tcW w:w="5400" w:type="dxa"/>
            <w:shd w:val="clear" w:color="auto" w:fill="0072C6"/>
            <w:tcMar>
              <w:top w:w="0" w:type="dxa"/>
              <w:left w:w="108" w:type="dxa"/>
              <w:bottom w:w="0" w:type="dxa"/>
              <w:right w:w="108" w:type="dxa"/>
            </w:tcMar>
            <w:hideMark/>
          </w:tcPr>
          <w:p w14:paraId="336AD217" w14:textId="77777777" w:rsidR="00B768EE" w:rsidRPr="0054418C" w:rsidRDefault="00B768EE" w:rsidP="00B21468">
            <w:pPr>
              <w:tabs>
                <w:tab w:val="left" w:pos="360"/>
                <w:tab w:val="left" w:pos="720"/>
                <w:tab w:val="left" w:pos="1080"/>
              </w:tabs>
              <w:spacing w:before="20" w:after="20" w:line="252" w:lineRule="auto"/>
              <w:ind w:left="-14" w:right="-101"/>
              <w:jc w:val="center"/>
              <w:rPr>
                <w:rFonts w:ascii="Calibri" w:eastAsia="Calibri" w:hAnsi="Calibri" w:cs="Arial"/>
                <w:color w:val="FFFFFF"/>
                <w:sz w:val="16"/>
              </w:rPr>
            </w:pPr>
            <w:r>
              <w:rPr>
                <w:rFonts w:ascii="Calibri" w:eastAsia="Calibri" w:hAnsi="Calibri" w:cs="Arial"/>
                <w:color w:val="FFFFFF"/>
                <w:sz w:val="16"/>
              </w:rPr>
              <w:t>Betriebszeitprozentsatz</w:t>
            </w:r>
          </w:p>
        </w:tc>
        <w:tc>
          <w:tcPr>
            <w:tcW w:w="5400" w:type="dxa"/>
            <w:shd w:val="clear" w:color="auto" w:fill="0072C6"/>
            <w:tcMar>
              <w:top w:w="0" w:type="dxa"/>
              <w:left w:w="108" w:type="dxa"/>
              <w:bottom w:w="0" w:type="dxa"/>
              <w:right w:w="108" w:type="dxa"/>
            </w:tcMar>
            <w:hideMark/>
          </w:tcPr>
          <w:p w14:paraId="240A9CB7" w14:textId="77777777" w:rsidR="00B768EE" w:rsidRPr="0054418C" w:rsidRDefault="00B768EE" w:rsidP="00B21468">
            <w:pPr>
              <w:tabs>
                <w:tab w:val="left" w:pos="360"/>
                <w:tab w:val="left" w:pos="720"/>
                <w:tab w:val="left" w:pos="1080"/>
              </w:tabs>
              <w:spacing w:before="20" w:after="20" w:line="252" w:lineRule="auto"/>
              <w:ind w:left="-14" w:right="-101"/>
              <w:jc w:val="center"/>
              <w:rPr>
                <w:rFonts w:ascii="Calibri" w:eastAsia="Calibri" w:hAnsi="Calibri" w:cs="Arial"/>
                <w:color w:val="FFFFFF"/>
                <w:sz w:val="16"/>
              </w:rPr>
            </w:pPr>
            <w:r>
              <w:rPr>
                <w:rFonts w:ascii="Calibri" w:eastAsia="Calibri" w:hAnsi="Calibri" w:cs="Arial"/>
                <w:color w:val="FFFFFF"/>
                <w:sz w:val="16"/>
              </w:rPr>
              <w:t>Servicegutschrift</w:t>
            </w:r>
          </w:p>
        </w:tc>
      </w:tr>
      <w:tr w:rsidR="00B768EE" w:rsidRPr="0054418C" w14:paraId="1F503CB3" w14:textId="77777777" w:rsidTr="00B21468">
        <w:tc>
          <w:tcPr>
            <w:tcW w:w="5400" w:type="dxa"/>
            <w:tcMar>
              <w:top w:w="0" w:type="dxa"/>
              <w:left w:w="108" w:type="dxa"/>
              <w:bottom w:w="0" w:type="dxa"/>
              <w:right w:w="108" w:type="dxa"/>
            </w:tcMar>
            <w:hideMark/>
          </w:tcPr>
          <w:p w14:paraId="7643609E" w14:textId="77777777" w:rsidR="00B768EE" w:rsidRPr="0054418C" w:rsidRDefault="00B768EE"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99,5 %</w:t>
            </w:r>
          </w:p>
        </w:tc>
        <w:tc>
          <w:tcPr>
            <w:tcW w:w="5400" w:type="dxa"/>
            <w:tcMar>
              <w:top w:w="0" w:type="dxa"/>
              <w:left w:w="108" w:type="dxa"/>
              <w:bottom w:w="0" w:type="dxa"/>
              <w:right w:w="108" w:type="dxa"/>
            </w:tcMar>
            <w:hideMark/>
          </w:tcPr>
          <w:p w14:paraId="11DE7C38" w14:textId="77777777" w:rsidR="00B768EE" w:rsidRPr="0054418C" w:rsidRDefault="00B768EE"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25 %</w:t>
            </w:r>
          </w:p>
        </w:tc>
      </w:tr>
      <w:tr w:rsidR="00B768EE" w:rsidRPr="0054418C" w14:paraId="33C80205" w14:textId="77777777" w:rsidTr="00B21468">
        <w:tc>
          <w:tcPr>
            <w:tcW w:w="5400" w:type="dxa"/>
            <w:tcMar>
              <w:top w:w="0" w:type="dxa"/>
              <w:left w:w="108" w:type="dxa"/>
              <w:bottom w:w="0" w:type="dxa"/>
              <w:right w:w="108" w:type="dxa"/>
            </w:tcMar>
            <w:hideMark/>
          </w:tcPr>
          <w:p w14:paraId="64355606" w14:textId="77777777" w:rsidR="00B768EE" w:rsidRPr="0054418C" w:rsidRDefault="00B768EE"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Mar>
              <w:top w:w="0" w:type="dxa"/>
              <w:left w:w="108" w:type="dxa"/>
              <w:bottom w:w="0" w:type="dxa"/>
              <w:right w:w="108" w:type="dxa"/>
            </w:tcMar>
            <w:hideMark/>
          </w:tcPr>
          <w:p w14:paraId="6D320A74" w14:textId="77777777" w:rsidR="00B768EE" w:rsidRPr="0054418C" w:rsidRDefault="00B768EE"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50 %</w:t>
            </w:r>
          </w:p>
        </w:tc>
      </w:tr>
      <w:tr w:rsidR="00B768EE" w:rsidRPr="0054418C" w14:paraId="6AC45B08" w14:textId="77777777" w:rsidTr="00B21468">
        <w:tc>
          <w:tcPr>
            <w:tcW w:w="5400" w:type="dxa"/>
            <w:tcMar>
              <w:top w:w="0" w:type="dxa"/>
              <w:left w:w="108" w:type="dxa"/>
              <w:bottom w:w="0" w:type="dxa"/>
              <w:right w:w="108" w:type="dxa"/>
            </w:tcMar>
          </w:tcPr>
          <w:p w14:paraId="1B0259A7" w14:textId="77777777" w:rsidR="00B768EE" w:rsidRPr="0054418C" w:rsidRDefault="00B768EE"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95 %</w:t>
            </w:r>
          </w:p>
        </w:tc>
        <w:tc>
          <w:tcPr>
            <w:tcW w:w="5400" w:type="dxa"/>
            <w:tcMar>
              <w:top w:w="0" w:type="dxa"/>
              <w:left w:w="108" w:type="dxa"/>
              <w:bottom w:w="0" w:type="dxa"/>
              <w:right w:w="108" w:type="dxa"/>
            </w:tcMar>
          </w:tcPr>
          <w:p w14:paraId="44361B5B" w14:textId="77777777" w:rsidR="00B768EE" w:rsidRPr="0054418C" w:rsidRDefault="00B768EE"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100 %</w:t>
            </w:r>
          </w:p>
        </w:tc>
      </w:tr>
    </w:tbl>
    <w:p w14:paraId="1385AA9D" w14:textId="77777777" w:rsidR="00B768EE" w:rsidRPr="00D67F75" w:rsidRDefault="00B768EE" w:rsidP="00B768E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3D4ACF6A" w14:textId="3065C6BD" w:rsidR="008E68F7" w:rsidRPr="00EF7CF9" w:rsidRDefault="008E68F7" w:rsidP="008E68F7">
      <w:pPr>
        <w:pStyle w:val="ProductList-Offering2Heading"/>
        <w:outlineLvl w:val="2"/>
      </w:pPr>
      <w:bookmarkStart w:id="112" w:name="_Toc237448936"/>
      <w:r>
        <w:lastRenderedPageBreak/>
        <w:t>Office 365 Advanced Compliance</w:t>
      </w:r>
      <w:bookmarkEnd w:id="111"/>
      <w:bookmarkEnd w:id="112"/>
    </w:p>
    <w:p w14:paraId="7A03DE1C" w14:textId="77777777" w:rsidR="008E68F7" w:rsidRPr="00EF7CF9" w:rsidRDefault="008E68F7" w:rsidP="008E68F7">
      <w:pPr>
        <w:pStyle w:val="ProductList-Body"/>
        <w:tabs>
          <w:tab w:val="clear" w:pos="360"/>
        </w:tabs>
      </w:pPr>
      <w:r>
        <w:rPr>
          <w:b/>
          <w:bCs/>
          <w:color w:val="00188F"/>
        </w:rPr>
        <w:t>Ausfallzeit</w:t>
      </w:r>
      <w:r w:rsidRPr="00ED75EB">
        <w:rPr>
          <w:b/>
          <w:color w:val="00188F"/>
        </w:rPr>
        <w:t>:</w:t>
      </w:r>
      <w:r>
        <w:t xml:space="preserve"> Jede Zeitspanne, in der die Kunden-Lockbox-Komponente von Office 365 Advanced Compliance aufgrund eines Problems mit Office 365 in einen reduzierten Funktionalitätsmodus versetzt wird.</w:t>
      </w:r>
    </w:p>
    <w:p w14:paraId="47C40BE6" w14:textId="4147C950" w:rsidR="008E68F7" w:rsidRPr="00EF7CF9" w:rsidRDefault="00AC48A7" w:rsidP="008E68F7">
      <w:pPr>
        <w:pStyle w:val="ProductList-Body"/>
        <w:tabs>
          <w:tab w:val="clear" w:pos="360"/>
        </w:tabs>
      </w:pPr>
      <w:r>
        <w:rPr>
          <w:b/>
          <w:bCs/>
          <w:color w:val="00188F"/>
        </w:rPr>
        <w:t>Betriebszeitprozentsatz</w:t>
      </w:r>
      <w:r w:rsidRPr="00ED75EB">
        <w:rPr>
          <w:b/>
          <w:color w:val="00188F"/>
        </w:rPr>
        <w:t>:</w:t>
      </w:r>
      <w:r>
        <w:t xml:space="preserve"> Der Betriebszeitprozentsatz errechnet sich nach folgender Formel:</w:t>
      </w:r>
    </w:p>
    <w:p w14:paraId="4DF611F4" w14:textId="3E04964E" w:rsidR="008E68F7" w:rsidRPr="00EF7CF9" w:rsidRDefault="00000000" w:rsidP="00123CD3">
      <w:pPr>
        <w:spacing w:before="120" w:line="240" w:lineRule="auto"/>
        <w:ind w:left="360"/>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Nutzerminuten abzüglich Ausfallzeit</m:t>
              </m:r>
            </m:num>
            <m:den>
              <m:r>
                <m:rPr>
                  <m:nor/>
                </m:rPr>
                <w:rPr>
                  <w:rFonts w:ascii="Cambria Math" w:hAnsi="Cambria Math" w:cs="Calibri"/>
                  <w:i/>
                  <w:sz w:val="18"/>
                  <w:szCs w:val="18"/>
                </w:rPr>
                <m:t>Nutzerminuten</m:t>
              </m:r>
            </m:den>
          </m:f>
          <m:r>
            <w:rPr>
              <w:rFonts w:ascii="Cambria Math" w:hAnsi="Cambria Math" w:cs="Calibri"/>
              <w:sz w:val="18"/>
              <w:szCs w:val="18"/>
            </w:rPr>
            <m:t xml:space="preserve"> x 100</m:t>
          </m:r>
        </m:oMath>
      </m:oMathPara>
    </w:p>
    <w:p w14:paraId="741B9621" w14:textId="5B2DF96A" w:rsidR="008E68F7" w:rsidRDefault="00AC48A7" w:rsidP="008E68F7">
      <w:pPr>
        <w:pStyle w:val="ProductList-Body"/>
        <w:tabs>
          <w:tab w:val="clear" w:pos="360"/>
        </w:tabs>
      </w:pPr>
      <w: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58F1987A" w14:textId="77777777" w:rsidR="00123CD3" w:rsidRPr="00EF7CF9" w:rsidRDefault="00123CD3" w:rsidP="008E68F7">
      <w:pPr>
        <w:pStyle w:val="ProductList-Body"/>
        <w:tabs>
          <w:tab w:val="clear" w:pos="360"/>
        </w:tabs>
        <w:rPr>
          <w:szCs w:val="18"/>
        </w:rPr>
      </w:pPr>
    </w:p>
    <w:p w14:paraId="0925D96B" w14:textId="77777777" w:rsidR="008E68F7" w:rsidRPr="00EF7CF9" w:rsidRDefault="008E68F7" w:rsidP="00943212">
      <w:pPr>
        <w:pStyle w:val="ProductList-Body"/>
      </w:pPr>
      <w:r>
        <w:rPr>
          <w:b/>
          <w:bCs/>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E68F7" w:rsidRPr="00B44CF9" w14:paraId="378ED190" w14:textId="77777777" w:rsidTr="00CC3273">
        <w:trPr>
          <w:tblHeader/>
        </w:trPr>
        <w:tc>
          <w:tcPr>
            <w:tcW w:w="5400" w:type="dxa"/>
            <w:shd w:val="clear" w:color="auto" w:fill="0072C6"/>
          </w:tcPr>
          <w:p w14:paraId="0C12A55B" w14:textId="0DC64C06" w:rsidR="008E68F7" w:rsidRPr="00EF7CF9" w:rsidRDefault="00AC48A7" w:rsidP="00CC3273">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425E5279" w14:textId="77777777" w:rsidR="008E68F7" w:rsidRPr="00EF7CF9" w:rsidRDefault="008E68F7" w:rsidP="00CC3273">
            <w:pPr>
              <w:pStyle w:val="ProductList-OfferingBody"/>
              <w:jc w:val="center"/>
              <w:rPr>
                <w:color w:val="FFFFFF" w:themeColor="background1"/>
              </w:rPr>
            </w:pPr>
            <w:r>
              <w:rPr>
                <w:color w:val="FFFFFF" w:themeColor="background1"/>
              </w:rPr>
              <w:t>Servicegutschrift</w:t>
            </w:r>
          </w:p>
        </w:tc>
      </w:tr>
      <w:tr w:rsidR="008E68F7" w:rsidRPr="00B44CF9" w14:paraId="136FA892" w14:textId="77777777" w:rsidTr="00CC3273">
        <w:tc>
          <w:tcPr>
            <w:tcW w:w="5400" w:type="dxa"/>
          </w:tcPr>
          <w:p w14:paraId="7D0A4079" w14:textId="77777777" w:rsidR="008E68F7" w:rsidRPr="00EF7CF9" w:rsidRDefault="008E68F7" w:rsidP="00CC3273">
            <w:pPr>
              <w:pStyle w:val="ProductList-OfferingBody"/>
              <w:jc w:val="center"/>
            </w:pPr>
            <w:r>
              <w:t>&lt; 99,9 %</w:t>
            </w:r>
          </w:p>
        </w:tc>
        <w:tc>
          <w:tcPr>
            <w:tcW w:w="5400" w:type="dxa"/>
          </w:tcPr>
          <w:p w14:paraId="0D5866E2" w14:textId="77777777" w:rsidR="008E68F7" w:rsidRPr="00EF7CF9" w:rsidRDefault="008E68F7" w:rsidP="00CC3273">
            <w:pPr>
              <w:pStyle w:val="ProductList-OfferingBody"/>
              <w:jc w:val="center"/>
            </w:pPr>
            <w:r>
              <w:t>25 %</w:t>
            </w:r>
          </w:p>
        </w:tc>
      </w:tr>
      <w:tr w:rsidR="008E68F7" w:rsidRPr="00B44CF9" w14:paraId="6EC891D2" w14:textId="77777777" w:rsidTr="00CC3273">
        <w:tc>
          <w:tcPr>
            <w:tcW w:w="5400" w:type="dxa"/>
          </w:tcPr>
          <w:p w14:paraId="3DA2B2EB" w14:textId="77777777" w:rsidR="008E68F7" w:rsidRPr="00EF7CF9" w:rsidRDefault="008E68F7" w:rsidP="00CC3273">
            <w:pPr>
              <w:pStyle w:val="ProductList-OfferingBody"/>
              <w:jc w:val="center"/>
            </w:pPr>
            <w:r>
              <w:t>&lt; 99 %</w:t>
            </w:r>
          </w:p>
        </w:tc>
        <w:tc>
          <w:tcPr>
            <w:tcW w:w="5400" w:type="dxa"/>
          </w:tcPr>
          <w:p w14:paraId="25B6BEF5" w14:textId="77777777" w:rsidR="008E68F7" w:rsidRPr="00EF7CF9" w:rsidRDefault="008E68F7" w:rsidP="00CC3273">
            <w:pPr>
              <w:pStyle w:val="ProductList-OfferingBody"/>
              <w:jc w:val="center"/>
            </w:pPr>
            <w:r>
              <w:t>50 %</w:t>
            </w:r>
          </w:p>
        </w:tc>
      </w:tr>
      <w:tr w:rsidR="008E68F7" w:rsidRPr="00B44CF9" w14:paraId="4D02D01B" w14:textId="77777777" w:rsidTr="00CC3273">
        <w:tc>
          <w:tcPr>
            <w:tcW w:w="5400" w:type="dxa"/>
          </w:tcPr>
          <w:p w14:paraId="1F8F16CF" w14:textId="77777777" w:rsidR="008E68F7" w:rsidRPr="00EF7CF9" w:rsidRDefault="008E68F7" w:rsidP="00CC3273">
            <w:pPr>
              <w:pStyle w:val="ProductList-OfferingBody"/>
              <w:jc w:val="center"/>
            </w:pPr>
            <w:r>
              <w:t>&lt; 95 %</w:t>
            </w:r>
          </w:p>
        </w:tc>
        <w:tc>
          <w:tcPr>
            <w:tcW w:w="5400" w:type="dxa"/>
          </w:tcPr>
          <w:p w14:paraId="4F6ABDDE" w14:textId="77777777" w:rsidR="008E68F7" w:rsidRPr="00EF7CF9" w:rsidRDefault="008E68F7" w:rsidP="00CC3273">
            <w:pPr>
              <w:pStyle w:val="ProductList-OfferingBody"/>
              <w:jc w:val="center"/>
            </w:pPr>
            <w:r>
              <w:t>100 %</w:t>
            </w:r>
          </w:p>
        </w:tc>
      </w:tr>
    </w:tbl>
    <w:p w14:paraId="2D94F9AC" w14:textId="07294371" w:rsidR="00D67F75" w:rsidRPr="00D67F75" w:rsidRDefault="005F7C2C" w:rsidP="00D67F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0F8FB09B" w14:textId="337A94B6" w:rsidR="000C13D4" w:rsidRPr="00EF7CF9" w:rsidRDefault="004F25AA" w:rsidP="00BA33EB">
      <w:pPr>
        <w:pStyle w:val="ProductList-Offering2Heading"/>
        <w:keepNext/>
        <w:outlineLvl w:val="2"/>
      </w:pPr>
      <w:bookmarkStart w:id="113" w:name="_Toc195543083"/>
      <w:bookmarkStart w:id="114" w:name="_Toc237448937"/>
      <w:r>
        <w:t>Office Online</w:t>
      </w:r>
      <w:bookmarkEnd w:id="108"/>
      <w:bookmarkEnd w:id="113"/>
      <w:bookmarkEnd w:id="114"/>
    </w:p>
    <w:p w14:paraId="1676D4F2" w14:textId="2F89AD95" w:rsidR="000C13D4" w:rsidRPr="00EF7CF9" w:rsidRDefault="000C13D4" w:rsidP="002A586E">
      <w:pPr>
        <w:pStyle w:val="ProductList-Body"/>
      </w:pPr>
      <w:r>
        <w:rPr>
          <w:b/>
          <w:color w:val="00188F"/>
        </w:rPr>
        <w:t>Ausfallzeit</w:t>
      </w:r>
      <w:r w:rsidRPr="00ED75EB">
        <w:rPr>
          <w:b/>
          <w:color w:val="00188F"/>
        </w:rPr>
        <w:t>:</w:t>
      </w:r>
      <w:r>
        <w:t xml:space="preserve"> </w:t>
      </w:r>
      <w:r>
        <w:rPr>
          <w:szCs w:val="18"/>
        </w:rPr>
        <w:t>Jeder Zeitraum, in dem Nutzer die Webanwendungen nicht zum Anzeigen und Bearbeiten von Office-Dokumenten verwenden können, die auf einer SharePoint Online-Website gespeichert sind, für die sie die geeigneten Berechtigungen besitzen</w:t>
      </w:r>
      <w:r>
        <w:t>.</w:t>
      </w:r>
    </w:p>
    <w:p w14:paraId="3050BD51" w14:textId="36B273B0" w:rsidR="00123CD3" w:rsidRPr="00EF7CF9" w:rsidRDefault="00AC48A7" w:rsidP="002A586E">
      <w:pPr>
        <w:pStyle w:val="ProductList-Body"/>
      </w:pPr>
      <w:r>
        <w:rPr>
          <w:b/>
          <w:color w:val="00188F"/>
        </w:rPr>
        <w:t>Betriebszeitprozentsatz</w:t>
      </w:r>
      <w:r w:rsidRPr="00ED75EB">
        <w:rPr>
          <w:b/>
          <w:color w:val="00188F"/>
        </w:rPr>
        <w:t>:</w:t>
      </w:r>
      <w:r>
        <w:t xml:space="preserve"> Der Betriebszeitprozentsatz errechnet sich nach folgender Formel: </w:t>
      </w:r>
    </w:p>
    <w:p w14:paraId="3217F941" w14:textId="5106FD76" w:rsidR="000C13D4" w:rsidRPr="00EF7CF9" w:rsidRDefault="00000000" w:rsidP="00123CD3">
      <w:pPr>
        <w:spacing w:before="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Nutzerminuten abzüglich Ausfallzeit</m:t>
              </m:r>
            </m:num>
            <m:den>
              <m:r>
                <m:rPr>
                  <m:nor/>
                </m:rPr>
                <w:rPr>
                  <w:rFonts w:ascii="Cambria Math" w:hAnsi="Cambria Math" w:cs="Calibri"/>
                  <w:i/>
                  <w:sz w:val="18"/>
                  <w:szCs w:val="18"/>
                </w:rPr>
                <m:t>Nutzerminuten</m:t>
              </m:r>
            </m:den>
          </m:f>
          <m:r>
            <w:rPr>
              <w:rFonts w:ascii="Cambria Math" w:hAnsi="Cambria Math" w:cs="Calibri"/>
              <w:sz w:val="18"/>
              <w:szCs w:val="18"/>
            </w:rPr>
            <m:t xml:space="preserve"> x 100</m:t>
          </m:r>
        </m:oMath>
      </m:oMathPara>
    </w:p>
    <w:p w14:paraId="5CC20D20" w14:textId="2176554C" w:rsidR="000C13D4" w:rsidRDefault="00AC48A7" w:rsidP="002A586E">
      <w:pPr>
        <w:pStyle w:val="ProductList-Body"/>
      </w:pPr>
      <w: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425E9504" w14:textId="77777777" w:rsidR="00123CD3" w:rsidRPr="00EF7CF9" w:rsidRDefault="00123CD3" w:rsidP="002A586E">
      <w:pPr>
        <w:pStyle w:val="ProductList-Body"/>
      </w:pPr>
    </w:p>
    <w:p w14:paraId="5C67B0F7" w14:textId="7D3AF8C9" w:rsidR="000C13D4" w:rsidRPr="00EF7CF9" w:rsidRDefault="000C13D4" w:rsidP="002A586E">
      <w:pPr>
        <w:pStyle w:val="ProductList-Body"/>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3497068E" w14:textId="77777777" w:rsidTr="00C86427">
        <w:trPr>
          <w:tblHeader/>
        </w:trPr>
        <w:tc>
          <w:tcPr>
            <w:tcW w:w="5400" w:type="dxa"/>
            <w:shd w:val="clear" w:color="auto" w:fill="0072C6"/>
          </w:tcPr>
          <w:p w14:paraId="10FCEBB2" w14:textId="53B30845" w:rsidR="000C13D4" w:rsidRPr="00EF7CF9" w:rsidRDefault="00AC48A7" w:rsidP="002A586E">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51EAB7B9" w14:textId="77777777" w:rsidR="000C13D4" w:rsidRPr="00EF7CF9" w:rsidRDefault="000C13D4" w:rsidP="002A586E">
            <w:pPr>
              <w:pStyle w:val="ProductList-OfferingBody"/>
              <w:jc w:val="center"/>
              <w:rPr>
                <w:color w:val="FFFFFF" w:themeColor="background1"/>
              </w:rPr>
            </w:pPr>
            <w:r>
              <w:rPr>
                <w:color w:val="FFFFFF" w:themeColor="background1"/>
              </w:rPr>
              <w:t>Servicegutschrift</w:t>
            </w:r>
          </w:p>
        </w:tc>
      </w:tr>
      <w:tr w:rsidR="000C13D4" w:rsidRPr="00B44CF9" w14:paraId="3A2E8D8F" w14:textId="77777777" w:rsidTr="00C86427">
        <w:tc>
          <w:tcPr>
            <w:tcW w:w="5400" w:type="dxa"/>
          </w:tcPr>
          <w:p w14:paraId="20E340F7" w14:textId="24EBE8E7" w:rsidR="000C13D4" w:rsidRPr="00EF7CF9" w:rsidRDefault="000C13D4" w:rsidP="002A586E">
            <w:pPr>
              <w:pStyle w:val="ProductList-OfferingBody"/>
              <w:jc w:val="center"/>
            </w:pPr>
            <w:r>
              <w:t>&lt; 99,9 %</w:t>
            </w:r>
          </w:p>
        </w:tc>
        <w:tc>
          <w:tcPr>
            <w:tcW w:w="5400" w:type="dxa"/>
          </w:tcPr>
          <w:p w14:paraId="4940133B" w14:textId="77777777" w:rsidR="000C13D4" w:rsidRPr="00EF7CF9" w:rsidRDefault="000C13D4" w:rsidP="002A586E">
            <w:pPr>
              <w:pStyle w:val="ProductList-OfferingBody"/>
              <w:jc w:val="center"/>
            </w:pPr>
            <w:r>
              <w:t>25 %</w:t>
            </w:r>
          </w:p>
        </w:tc>
      </w:tr>
      <w:tr w:rsidR="000C13D4" w:rsidRPr="00B44CF9" w14:paraId="521E17F9" w14:textId="77777777" w:rsidTr="00C86427">
        <w:tc>
          <w:tcPr>
            <w:tcW w:w="5400" w:type="dxa"/>
          </w:tcPr>
          <w:p w14:paraId="26F97999" w14:textId="0952B113" w:rsidR="000C13D4" w:rsidRPr="00EF7CF9" w:rsidRDefault="000C13D4" w:rsidP="002A586E">
            <w:pPr>
              <w:pStyle w:val="ProductList-OfferingBody"/>
              <w:jc w:val="center"/>
            </w:pPr>
            <w:r>
              <w:t>&lt; 99 %</w:t>
            </w:r>
          </w:p>
        </w:tc>
        <w:tc>
          <w:tcPr>
            <w:tcW w:w="5400" w:type="dxa"/>
          </w:tcPr>
          <w:p w14:paraId="4BBAA378" w14:textId="77777777" w:rsidR="000C13D4" w:rsidRPr="00EF7CF9" w:rsidRDefault="000C13D4" w:rsidP="002A586E">
            <w:pPr>
              <w:pStyle w:val="ProductList-OfferingBody"/>
              <w:jc w:val="center"/>
            </w:pPr>
            <w:r>
              <w:t>50 %</w:t>
            </w:r>
          </w:p>
        </w:tc>
      </w:tr>
      <w:tr w:rsidR="000C13D4" w:rsidRPr="00B44CF9" w14:paraId="59DF70FE" w14:textId="77777777" w:rsidTr="00C86427">
        <w:tc>
          <w:tcPr>
            <w:tcW w:w="5400" w:type="dxa"/>
          </w:tcPr>
          <w:p w14:paraId="678A7C14" w14:textId="77777777" w:rsidR="000C13D4" w:rsidRPr="00EF7CF9" w:rsidRDefault="000C13D4" w:rsidP="002A586E">
            <w:pPr>
              <w:pStyle w:val="ProductList-OfferingBody"/>
              <w:jc w:val="center"/>
            </w:pPr>
            <w:r>
              <w:t>&lt; 95 %</w:t>
            </w:r>
          </w:p>
        </w:tc>
        <w:tc>
          <w:tcPr>
            <w:tcW w:w="5400" w:type="dxa"/>
          </w:tcPr>
          <w:p w14:paraId="46C6F630" w14:textId="77777777" w:rsidR="000C13D4" w:rsidRPr="00EF7CF9" w:rsidRDefault="000C13D4" w:rsidP="002A586E">
            <w:pPr>
              <w:pStyle w:val="ProductList-OfferingBody"/>
              <w:jc w:val="center"/>
            </w:pPr>
            <w:r>
              <w:t>100 %</w:t>
            </w:r>
          </w:p>
        </w:tc>
      </w:tr>
    </w:tbl>
    <w:bookmarkStart w:id="115" w:name="_Toc457821520"/>
    <w:p w14:paraId="473B06A3" w14:textId="03BBE63C" w:rsidR="00D67F75" w:rsidRPr="00D67F75" w:rsidRDefault="005F7C2C" w:rsidP="00D67F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2D4E9369" w14:textId="591EABAD" w:rsidR="000C13D4" w:rsidRPr="00EF7CF9" w:rsidRDefault="000C13D4" w:rsidP="00FD5737">
      <w:pPr>
        <w:pStyle w:val="ProductList-Offering2Heading"/>
        <w:keepNext/>
        <w:outlineLvl w:val="2"/>
      </w:pPr>
      <w:bookmarkStart w:id="116" w:name="_Toc195543084"/>
      <w:bookmarkStart w:id="117" w:name="_Toc237448938"/>
      <w:r>
        <w:t>Office 365 Video</w:t>
      </w:r>
      <w:bookmarkEnd w:id="115"/>
      <w:bookmarkEnd w:id="116"/>
      <w:bookmarkEnd w:id="117"/>
    </w:p>
    <w:p w14:paraId="3A79F112" w14:textId="74321ABC" w:rsidR="000C13D4" w:rsidRPr="00EF7CF9" w:rsidRDefault="000C13D4" w:rsidP="002A586E">
      <w:pPr>
        <w:pStyle w:val="ProductList-Body"/>
      </w:pPr>
      <w:r>
        <w:rPr>
          <w:b/>
          <w:color w:val="00188F"/>
        </w:rPr>
        <w:t>Ausfallzeit</w:t>
      </w:r>
      <w:r w:rsidRPr="00ED75EB">
        <w:rPr>
          <w:b/>
          <w:color w:val="00188F"/>
        </w:rPr>
        <w:t>:</w:t>
      </w:r>
      <w:r>
        <w:t xml:space="preserve"> </w:t>
      </w:r>
      <w:r>
        <w:rPr>
          <w:szCs w:val="18"/>
        </w:rPr>
        <w:t>Jeder Zeitraum, in dem die Nutzer keine Videos im Videoportal hochladen, ansehen oder bearbeiten können, wenn sie die erforderlichen Berechtigungen und gültigen Inhalte besitzen.</w:t>
      </w:r>
    </w:p>
    <w:p w14:paraId="0762692A" w14:textId="57935927" w:rsidR="00123CD3" w:rsidRPr="00EF7CF9" w:rsidRDefault="00AC48A7" w:rsidP="002A586E">
      <w:pPr>
        <w:pStyle w:val="ProductList-Body"/>
      </w:pPr>
      <w:r>
        <w:rPr>
          <w:b/>
          <w:color w:val="00188F"/>
        </w:rPr>
        <w:t>Betriebszeitprozentsatz</w:t>
      </w:r>
      <w:r w:rsidRPr="00ED75EB">
        <w:rPr>
          <w:b/>
          <w:color w:val="00188F"/>
        </w:rPr>
        <w:t>:</w:t>
      </w:r>
      <w:r>
        <w:t xml:space="preserve"> Der Betriebszeitprozentsatz errechnet sich nach folgender Formel:</w:t>
      </w:r>
    </w:p>
    <w:p w14:paraId="12553895" w14:textId="14366A84" w:rsidR="000C13D4" w:rsidRPr="00EF7CF9" w:rsidRDefault="00000000" w:rsidP="00123CD3">
      <w:pPr>
        <w:spacing w:before="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Nutzerminuten abzüglich Ausfallzeit</m:t>
              </m:r>
            </m:num>
            <m:den>
              <m:r>
                <m:rPr>
                  <m:nor/>
                </m:rPr>
                <w:rPr>
                  <w:rFonts w:ascii="Cambria Math" w:hAnsi="Cambria Math" w:cs="Calibri"/>
                  <w:i/>
                  <w:sz w:val="18"/>
                  <w:szCs w:val="18"/>
                </w:rPr>
                <m:t>Nutzerminuten</m:t>
              </m:r>
            </m:den>
          </m:f>
          <m:r>
            <w:rPr>
              <w:rFonts w:ascii="Cambria Math" w:hAnsi="Cambria Math" w:cs="Calibri"/>
              <w:sz w:val="18"/>
              <w:szCs w:val="18"/>
            </w:rPr>
            <m:t xml:space="preserve"> x 100</m:t>
          </m:r>
        </m:oMath>
      </m:oMathPara>
    </w:p>
    <w:p w14:paraId="6A685FD4" w14:textId="2CB76A5D" w:rsidR="000C13D4" w:rsidRPr="00EF7CF9" w:rsidRDefault="00AC48A7" w:rsidP="002A586E">
      <w:pPr>
        <w:pStyle w:val="ProductList-Body"/>
      </w:pPr>
      <w: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41312E98" w14:textId="77777777" w:rsidR="000C13D4" w:rsidRPr="00EF7CF9" w:rsidRDefault="000C13D4" w:rsidP="002A586E">
      <w:pPr>
        <w:pStyle w:val="ProductList-Body"/>
      </w:pPr>
    </w:p>
    <w:p w14:paraId="16D54A3F" w14:textId="15B50594" w:rsidR="000C13D4" w:rsidRPr="00EF7CF9" w:rsidRDefault="000C13D4" w:rsidP="002A586E">
      <w:pPr>
        <w:pStyle w:val="ProductList-Body"/>
      </w:pPr>
      <w:r>
        <w:rPr>
          <w:b/>
          <w:color w:val="00188F"/>
        </w:rPr>
        <w:t>Servicelevelzusage</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35BF1439" w14:textId="77777777" w:rsidTr="00C86427">
        <w:trPr>
          <w:tblHeader/>
        </w:trPr>
        <w:tc>
          <w:tcPr>
            <w:tcW w:w="5400" w:type="dxa"/>
            <w:shd w:val="clear" w:color="auto" w:fill="0072C6"/>
          </w:tcPr>
          <w:p w14:paraId="0F8E223D" w14:textId="13783D2B" w:rsidR="000C13D4" w:rsidRPr="00EF7CF9" w:rsidRDefault="00AC48A7" w:rsidP="002A586E">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5AC43F59" w14:textId="77777777" w:rsidR="000C13D4" w:rsidRPr="00EF7CF9" w:rsidRDefault="000C13D4" w:rsidP="002A586E">
            <w:pPr>
              <w:pStyle w:val="ProductList-OfferingBody"/>
              <w:jc w:val="center"/>
              <w:rPr>
                <w:color w:val="FFFFFF" w:themeColor="background1"/>
              </w:rPr>
            </w:pPr>
            <w:r>
              <w:rPr>
                <w:color w:val="FFFFFF" w:themeColor="background1"/>
              </w:rPr>
              <w:t>Servicegutschrift</w:t>
            </w:r>
          </w:p>
        </w:tc>
      </w:tr>
      <w:tr w:rsidR="000C13D4" w:rsidRPr="00B44CF9" w14:paraId="35535E60" w14:textId="77777777" w:rsidTr="00C86427">
        <w:tc>
          <w:tcPr>
            <w:tcW w:w="5400" w:type="dxa"/>
          </w:tcPr>
          <w:p w14:paraId="7E778ED8" w14:textId="31E565B6" w:rsidR="000C13D4" w:rsidRPr="00EF7CF9" w:rsidRDefault="000C13D4" w:rsidP="002A586E">
            <w:pPr>
              <w:pStyle w:val="ProductList-OfferingBody"/>
              <w:jc w:val="center"/>
            </w:pPr>
            <w:r>
              <w:t>&lt; 99,9 %</w:t>
            </w:r>
          </w:p>
        </w:tc>
        <w:tc>
          <w:tcPr>
            <w:tcW w:w="5400" w:type="dxa"/>
          </w:tcPr>
          <w:p w14:paraId="4BAFE0E4" w14:textId="77777777" w:rsidR="000C13D4" w:rsidRPr="00EF7CF9" w:rsidRDefault="000C13D4" w:rsidP="002A586E">
            <w:pPr>
              <w:pStyle w:val="ProductList-OfferingBody"/>
              <w:jc w:val="center"/>
            </w:pPr>
            <w:r>
              <w:t>25 %</w:t>
            </w:r>
          </w:p>
        </w:tc>
      </w:tr>
      <w:tr w:rsidR="000C13D4" w:rsidRPr="00B44CF9" w14:paraId="6F5A79E8" w14:textId="77777777" w:rsidTr="00C86427">
        <w:tc>
          <w:tcPr>
            <w:tcW w:w="5400" w:type="dxa"/>
          </w:tcPr>
          <w:p w14:paraId="5A5850A8" w14:textId="487BB396" w:rsidR="000C13D4" w:rsidRPr="00EF7CF9" w:rsidRDefault="000C13D4" w:rsidP="002A586E">
            <w:pPr>
              <w:pStyle w:val="ProductList-OfferingBody"/>
              <w:jc w:val="center"/>
            </w:pPr>
            <w:r>
              <w:t>&lt; 99 %</w:t>
            </w:r>
          </w:p>
        </w:tc>
        <w:tc>
          <w:tcPr>
            <w:tcW w:w="5400" w:type="dxa"/>
          </w:tcPr>
          <w:p w14:paraId="091B1753" w14:textId="77777777" w:rsidR="000C13D4" w:rsidRPr="00EF7CF9" w:rsidRDefault="000C13D4" w:rsidP="002A586E">
            <w:pPr>
              <w:pStyle w:val="ProductList-OfferingBody"/>
              <w:jc w:val="center"/>
            </w:pPr>
            <w:r>
              <w:t>50 %</w:t>
            </w:r>
          </w:p>
        </w:tc>
      </w:tr>
      <w:tr w:rsidR="000C13D4" w:rsidRPr="00B44CF9" w14:paraId="50CD9FEA" w14:textId="77777777" w:rsidTr="00C86427">
        <w:tc>
          <w:tcPr>
            <w:tcW w:w="5400" w:type="dxa"/>
          </w:tcPr>
          <w:p w14:paraId="7D03A04E" w14:textId="77777777" w:rsidR="000C13D4" w:rsidRPr="00EF7CF9" w:rsidRDefault="000C13D4" w:rsidP="002A586E">
            <w:pPr>
              <w:pStyle w:val="ProductList-OfferingBody"/>
              <w:jc w:val="center"/>
            </w:pPr>
            <w:r>
              <w:t>&lt; 95 %</w:t>
            </w:r>
          </w:p>
        </w:tc>
        <w:tc>
          <w:tcPr>
            <w:tcW w:w="5400" w:type="dxa"/>
          </w:tcPr>
          <w:p w14:paraId="0F29C740" w14:textId="77777777" w:rsidR="000C13D4" w:rsidRPr="00EF7CF9" w:rsidRDefault="000C13D4" w:rsidP="002A586E">
            <w:pPr>
              <w:pStyle w:val="ProductList-OfferingBody"/>
              <w:jc w:val="center"/>
            </w:pPr>
            <w:r>
              <w:t>100 %</w:t>
            </w:r>
          </w:p>
        </w:tc>
      </w:tr>
    </w:tbl>
    <w:bookmarkStart w:id="118" w:name="_Toc457821521"/>
    <w:p w14:paraId="55D66D2E" w14:textId="340A1D76" w:rsidR="00D67F75" w:rsidRPr="00D67F75" w:rsidRDefault="005F7C2C" w:rsidP="00D67F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7FA062E2" w14:textId="631FF571" w:rsidR="000C13D4" w:rsidRPr="00EF7CF9" w:rsidRDefault="000C13D4" w:rsidP="00D76F8C">
      <w:pPr>
        <w:pStyle w:val="ProductList-Offering2Heading"/>
        <w:keepNext/>
        <w:outlineLvl w:val="2"/>
      </w:pPr>
      <w:bookmarkStart w:id="119" w:name="_Toc195543085"/>
      <w:bookmarkStart w:id="120" w:name="_Toc237448939"/>
      <w:r>
        <w:lastRenderedPageBreak/>
        <w:t xml:space="preserve">OneDrive </w:t>
      </w:r>
      <w:bookmarkEnd w:id="118"/>
      <w:bookmarkEnd w:id="119"/>
      <w:r w:rsidR="005C6909" w:rsidRPr="00322CF1">
        <w:t>Arbeitsplatz oder die Schule/Universität</w:t>
      </w:r>
      <w:bookmarkEnd w:id="120"/>
    </w:p>
    <w:p w14:paraId="46FE7562" w14:textId="1F26541A" w:rsidR="000C13D4" w:rsidRPr="0013092F" w:rsidRDefault="000C13D4" w:rsidP="002A586E">
      <w:pPr>
        <w:pStyle w:val="ProductList-Body"/>
        <w:rPr>
          <w:rFonts w:ascii="Calibri" w:hAnsi="Calibri" w:cs="Calibri"/>
          <w:b/>
          <w:bCs/>
          <w:color w:val="00188F"/>
          <w:szCs w:val="18"/>
        </w:rPr>
      </w:pPr>
      <w:r>
        <w:rPr>
          <w:b/>
          <w:color w:val="00188F"/>
        </w:rPr>
        <w:t>Ausfallzeit</w:t>
      </w:r>
      <w:r w:rsidRPr="00ED75EB">
        <w:rPr>
          <w:b/>
          <w:color w:val="00188F"/>
        </w:rPr>
        <w:t>:</w:t>
      </w:r>
      <w:r>
        <w:t xml:space="preserve"> </w:t>
      </w:r>
      <w:r w:rsidR="0039120A">
        <w:rPr>
          <w:rFonts w:ascii="Calibri" w:hAnsi="Calibri" w:cs="Calibri"/>
        </w:rPr>
        <w:t>Jeder Zeitraum, in dem die Nutzer Dateien, die in ihrem persönlichen OneDrive-Speicher (Arbeit/Schule) gespeichert sind, nicht anzeigen oder bearbeiten können.</w:t>
      </w:r>
      <w:r w:rsidR="0013092F" w:rsidRPr="0013092F">
        <w:rPr>
          <w:rFonts w:ascii="Calibri" w:hAnsi="Calibri" w:cs="Calibri"/>
          <w:szCs w:val="18"/>
        </w:rPr>
        <w:t>.</w:t>
      </w:r>
    </w:p>
    <w:p w14:paraId="6DEA7661" w14:textId="5867389A" w:rsidR="000C13D4" w:rsidRDefault="00AC48A7" w:rsidP="002A586E">
      <w:pPr>
        <w:pStyle w:val="ProductList-Body"/>
      </w:pPr>
      <w:r>
        <w:rPr>
          <w:b/>
          <w:color w:val="00188F"/>
        </w:rPr>
        <w:t>Betriebszeitprozentsatz</w:t>
      </w:r>
      <w:r w:rsidRPr="00ED75EB">
        <w:rPr>
          <w:b/>
          <w:color w:val="00188F"/>
        </w:rPr>
        <w:t>:</w:t>
      </w:r>
      <w:r>
        <w:t xml:space="preserve"> Der Betriebszeitprozentsatz errechnet sich nach folgender Formel:</w:t>
      </w:r>
    </w:p>
    <w:p w14:paraId="066E8318" w14:textId="77777777" w:rsidR="001A6663" w:rsidRPr="00EF7CF9" w:rsidRDefault="001A6663" w:rsidP="002A586E">
      <w:pPr>
        <w:pStyle w:val="ProductList-Body"/>
      </w:pPr>
    </w:p>
    <w:p w14:paraId="76BB190F" w14:textId="06A10AD8" w:rsidR="000C13D4"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Nutzerminuten abzüglich Ausfallzeit</m:t>
              </m:r>
            </m:num>
            <m:den>
              <m:r>
                <m:rPr>
                  <m:nor/>
                </m:rPr>
                <w:rPr>
                  <w:rFonts w:ascii="Cambria Math" w:hAnsi="Cambria Math" w:cs="Calibri"/>
                  <w:i/>
                  <w:sz w:val="18"/>
                  <w:szCs w:val="18"/>
                </w:rPr>
                <m:t>Nutzerminuten</m:t>
              </m:r>
            </m:den>
          </m:f>
          <m:r>
            <w:rPr>
              <w:rFonts w:ascii="Cambria Math" w:hAnsi="Cambria Math" w:cs="Calibri"/>
              <w:sz w:val="18"/>
              <w:szCs w:val="18"/>
            </w:rPr>
            <m:t xml:space="preserve"> x 100</m:t>
          </m:r>
        </m:oMath>
      </m:oMathPara>
    </w:p>
    <w:p w14:paraId="02BD4BBD" w14:textId="30B50E1C" w:rsidR="000C13D4" w:rsidRPr="00EF7CF9" w:rsidRDefault="00AC48A7" w:rsidP="002A586E">
      <w:pPr>
        <w:pStyle w:val="ProductList-Body"/>
      </w:pPr>
      <w: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330F4BBB" w14:textId="77777777" w:rsidR="000C13D4" w:rsidRPr="00EF7CF9" w:rsidRDefault="000C13D4" w:rsidP="002A586E">
      <w:pPr>
        <w:pStyle w:val="ProductList-Body"/>
      </w:pPr>
    </w:p>
    <w:p w14:paraId="6CD91602" w14:textId="66238D87" w:rsidR="000C13D4" w:rsidRPr="00EF7CF9" w:rsidRDefault="000C13D4" w:rsidP="002A586E">
      <w:pPr>
        <w:pStyle w:val="ProductList-Body"/>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7837DA2D" w14:textId="77777777" w:rsidTr="00C86427">
        <w:trPr>
          <w:tblHeader/>
        </w:trPr>
        <w:tc>
          <w:tcPr>
            <w:tcW w:w="5400" w:type="dxa"/>
            <w:shd w:val="clear" w:color="auto" w:fill="0072C6"/>
          </w:tcPr>
          <w:p w14:paraId="5F2E29BC" w14:textId="2CEB0730" w:rsidR="000C13D4" w:rsidRPr="00EF7CF9" w:rsidRDefault="00AC48A7" w:rsidP="002A586E">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0903F76E" w14:textId="77777777" w:rsidR="000C13D4" w:rsidRPr="00EF7CF9" w:rsidRDefault="000C13D4" w:rsidP="002A586E">
            <w:pPr>
              <w:pStyle w:val="ProductList-OfferingBody"/>
              <w:jc w:val="center"/>
              <w:rPr>
                <w:color w:val="FFFFFF" w:themeColor="background1"/>
              </w:rPr>
            </w:pPr>
            <w:r>
              <w:rPr>
                <w:color w:val="FFFFFF" w:themeColor="background1"/>
              </w:rPr>
              <w:t>Servicegutschrift</w:t>
            </w:r>
          </w:p>
        </w:tc>
      </w:tr>
      <w:tr w:rsidR="000C13D4" w:rsidRPr="00B44CF9" w14:paraId="0D0F33A9" w14:textId="77777777" w:rsidTr="00C86427">
        <w:tc>
          <w:tcPr>
            <w:tcW w:w="5400" w:type="dxa"/>
          </w:tcPr>
          <w:p w14:paraId="11B9D86D" w14:textId="4CA54B5F" w:rsidR="000C13D4" w:rsidRPr="00EF7CF9" w:rsidRDefault="000C13D4" w:rsidP="002A586E">
            <w:pPr>
              <w:pStyle w:val="ProductList-OfferingBody"/>
              <w:jc w:val="center"/>
            </w:pPr>
            <w:r>
              <w:t>&lt; 99,9 %</w:t>
            </w:r>
          </w:p>
        </w:tc>
        <w:tc>
          <w:tcPr>
            <w:tcW w:w="5400" w:type="dxa"/>
          </w:tcPr>
          <w:p w14:paraId="21B08C9D" w14:textId="77777777" w:rsidR="000C13D4" w:rsidRPr="00EF7CF9" w:rsidRDefault="000C13D4" w:rsidP="002A586E">
            <w:pPr>
              <w:pStyle w:val="ProductList-OfferingBody"/>
              <w:jc w:val="center"/>
            </w:pPr>
            <w:r>
              <w:t>25 %</w:t>
            </w:r>
          </w:p>
        </w:tc>
      </w:tr>
      <w:tr w:rsidR="000C13D4" w:rsidRPr="00B44CF9" w14:paraId="15FDE30A" w14:textId="77777777" w:rsidTr="00C86427">
        <w:tc>
          <w:tcPr>
            <w:tcW w:w="5400" w:type="dxa"/>
          </w:tcPr>
          <w:p w14:paraId="1B3D9EF5" w14:textId="7C495918" w:rsidR="000C13D4" w:rsidRPr="00EF7CF9" w:rsidRDefault="000C13D4" w:rsidP="002A586E">
            <w:pPr>
              <w:pStyle w:val="ProductList-OfferingBody"/>
              <w:jc w:val="center"/>
            </w:pPr>
            <w:r>
              <w:t>&lt; 99 %</w:t>
            </w:r>
          </w:p>
        </w:tc>
        <w:tc>
          <w:tcPr>
            <w:tcW w:w="5400" w:type="dxa"/>
          </w:tcPr>
          <w:p w14:paraId="2607D833" w14:textId="77777777" w:rsidR="000C13D4" w:rsidRPr="00EF7CF9" w:rsidRDefault="000C13D4" w:rsidP="002A586E">
            <w:pPr>
              <w:pStyle w:val="ProductList-OfferingBody"/>
              <w:jc w:val="center"/>
            </w:pPr>
            <w:r>
              <w:t>50 %</w:t>
            </w:r>
          </w:p>
        </w:tc>
      </w:tr>
      <w:tr w:rsidR="000C13D4" w:rsidRPr="00B44CF9" w14:paraId="512DA71F" w14:textId="77777777" w:rsidTr="00C86427">
        <w:tc>
          <w:tcPr>
            <w:tcW w:w="5400" w:type="dxa"/>
          </w:tcPr>
          <w:p w14:paraId="47FBA730" w14:textId="77777777" w:rsidR="000C13D4" w:rsidRPr="00EF7CF9" w:rsidRDefault="000C13D4" w:rsidP="00BA33EB">
            <w:pPr>
              <w:pStyle w:val="ProductList-OfferingBody"/>
              <w:keepNext/>
              <w:jc w:val="center"/>
            </w:pPr>
            <w:r>
              <w:t>&lt; 95 %</w:t>
            </w:r>
          </w:p>
        </w:tc>
        <w:tc>
          <w:tcPr>
            <w:tcW w:w="5400" w:type="dxa"/>
          </w:tcPr>
          <w:p w14:paraId="1C49AAE4" w14:textId="77777777" w:rsidR="000C13D4" w:rsidRPr="00EF7CF9" w:rsidRDefault="000C13D4" w:rsidP="002A586E">
            <w:pPr>
              <w:pStyle w:val="ProductList-OfferingBody"/>
              <w:jc w:val="center"/>
            </w:pPr>
            <w:r>
              <w:t>100 %</w:t>
            </w:r>
          </w:p>
        </w:tc>
      </w:tr>
    </w:tbl>
    <w:bookmarkStart w:id="121" w:name="_Toc457821522"/>
    <w:p w14:paraId="2414ADAE" w14:textId="4EEA98CF" w:rsidR="00D67F75" w:rsidRPr="00D67F75" w:rsidRDefault="005F7C2C" w:rsidP="00D67F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25750250" w14:textId="4BB04D05" w:rsidR="00C86427" w:rsidRPr="00EF7CF9" w:rsidRDefault="00C86427" w:rsidP="00BA33EB">
      <w:pPr>
        <w:pStyle w:val="ProductList-Offering2Heading"/>
        <w:outlineLvl w:val="2"/>
      </w:pPr>
      <w:bookmarkStart w:id="122" w:name="_Toc195543086"/>
      <w:bookmarkStart w:id="123" w:name="_Toc237448940"/>
      <w:r>
        <w:t>Project</w:t>
      </w:r>
      <w:bookmarkEnd w:id="121"/>
      <w:bookmarkEnd w:id="122"/>
      <w:bookmarkEnd w:id="123"/>
    </w:p>
    <w:p w14:paraId="14E68B6F" w14:textId="0B3F1D78" w:rsidR="00C86427" w:rsidRPr="00EF7CF9" w:rsidRDefault="00C86427" w:rsidP="002A586E">
      <w:pPr>
        <w:pStyle w:val="ProductList-Body"/>
      </w:pPr>
      <w:r>
        <w:rPr>
          <w:b/>
          <w:color w:val="00188F"/>
        </w:rPr>
        <w:t>Ausfallzeit</w:t>
      </w:r>
      <w:r w:rsidRPr="00ED75EB">
        <w:rPr>
          <w:b/>
          <w:color w:val="00188F"/>
        </w:rPr>
        <w:t>:</w:t>
      </w:r>
      <w:r>
        <w:t xml:space="preserve"> </w:t>
      </w:r>
      <w:r>
        <w:rPr>
          <w:szCs w:val="18"/>
        </w:rPr>
        <w:t>Jeder Zeitraum, in dem die Nutzer keinen Lese- oder Schreibzugriff auf einen Teil einer SharePoint Online-Websitesammlung mit Project Web App haben, für den sie die erforderlichen Berechtigungen besitzen.</w:t>
      </w:r>
    </w:p>
    <w:p w14:paraId="251BAB3A" w14:textId="6B53635F" w:rsidR="00C86427" w:rsidRPr="00EF7CF9" w:rsidRDefault="00AC48A7" w:rsidP="002A586E">
      <w:pPr>
        <w:pStyle w:val="ProductList-Body"/>
      </w:pPr>
      <w:r>
        <w:rPr>
          <w:b/>
          <w:color w:val="00188F"/>
        </w:rPr>
        <w:t>Betriebszeitprozentsatz</w:t>
      </w:r>
      <w:r w:rsidRPr="00ED75EB">
        <w:rPr>
          <w:b/>
          <w:color w:val="00188F"/>
        </w:rPr>
        <w:t>:</w:t>
      </w:r>
      <w:r>
        <w:t xml:space="preserve"> Der Betriebszeitprozentsatz errechnet sich nach folgender Formel:</w:t>
      </w:r>
    </w:p>
    <w:p w14:paraId="3184A950" w14:textId="77777777" w:rsidR="00C86427" w:rsidRPr="00EF7CF9" w:rsidRDefault="00C86427" w:rsidP="002A586E">
      <w:pPr>
        <w:pStyle w:val="ProductList-Body"/>
      </w:pPr>
    </w:p>
    <w:p w14:paraId="4960225A" w14:textId="6B29BF7B" w:rsidR="00C86427"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Nutzerminuten abzüglich Ausfallzeit</m:t>
              </m:r>
            </m:num>
            <m:den>
              <m:r>
                <m:rPr>
                  <m:nor/>
                </m:rPr>
                <w:rPr>
                  <w:rFonts w:ascii="Cambria Math" w:hAnsi="Cambria Math" w:cs="Calibri"/>
                  <w:i/>
                  <w:sz w:val="18"/>
                  <w:szCs w:val="18"/>
                </w:rPr>
                <m:t>Nutzerminuten</m:t>
              </m:r>
            </m:den>
          </m:f>
          <m:r>
            <w:rPr>
              <w:rFonts w:ascii="Cambria Math" w:hAnsi="Cambria Math" w:cs="Calibri"/>
              <w:sz w:val="18"/>
              <w:szCs w:val="18"/>
            </w:rPr>
            <m:t xml:space="preserve"> x 100</m:t>
          </m:r>
        </m:oMath>
      </m:oMathPara>
    </w:p>
    <w:p w14:paraId="0812AAB2" w14:textId="79181511" w:rsidR="00C86427" w:rsidRPr="00EF7CF9" w:rsidRDefault="00AC48A7" w:rsidP="002A586E">
      <w:pPr>
        <w:pStyle w:val="ProductList-Body"/>
      </w:pPr>
      <w: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4F2B1387" w14:textId="77777777" w:rsidR="00C86427" w:rsidRPr="00EF7CF9" w:rsidRDefault="00C86427" w:rsidP="002A586E">
      <w:pPr>
        <w:pStyle w:val="ProductList-Body"/>
      </w:pPr>
    </w:p>
    <w:p w14:paraId="429909F8" w14:textId="1AF0D3B0" w:rsidR="00C86427" w:rsidRPr="00EF7CF9" w:rsidRDefault="00C86427" w:rsidP="002A586E">
      <w:pPr>
        <w:pStyle w:val="ProductList-Body"/>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47439D22" w14:textId="77777777" w:rsidTr="00C86427">
        <w:trPr>
          <w:tblHeader/>
        </w:trPr>
        <w:tc>
          <w:tcPr>
            <w:tcW w:w="5400" w:type="dxa"/>
            <w:shd w:val="clear" w:color="auto" w:fill="0072C6"/>
          </w:tcPr>
          <w:p w14:paraId="04204677" w14:textId="2BED1A33" w:rsidR="00C86427" w:rsidRPr="00EF7CF9" w:rsidRDefault="00AC48A7" w:rsidP="002A586E">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653BEEC3" w14:textId="77777777" w:rsidR="00C86427" w:rsidRPr="00EF7CF9" w:rsidRDefault="00C86427" w:rsidP="002A586E">
            <w:pPr>
              <w:pStyle w:val="ProductList-OfferingBody"/>
              <w:jc w:val="center"/>
              <w:rPr>
                <w:color w:val="FFFFFF" w:themeColor="background1"/>
              </w:rPr>
            </w:pPr>
            <w:r>
              <w:rPr>
                <w:color w:val="FFFFFF" w:themeColor="background1"/>
              </w:rPr>
              <w:t>Servicegutschrift</w:t>
            </w:r>
          </w:p>
        </w:tc>
      </w:tr>
      <w:tr w:rsidR="00C86427" w:rsidRPr="00B44CF9" w14:paraId="51125E5A" w14:textId="77777777" w:rsidTr="00C86427">
        <w:tc>
          <w:tcPr>
            <w:tcW w:w="5400" w:type="dxa"/>
          </w:tcPr>
          <w:p w14:paraId="07F00995" w14:textId="576DCEAF" w:rsidR="00C86427" w:rsidRPr="00EF7CF9" w:rsidRDefault="00C86427" w:rsidP="002A586E">
            <w:pPr>
              <w:pStyle w:val="ProductList-OfferingBody"/>
              <w:jc w:val="center"/>
            </w:pPr>
            <w:r>
              <w:t>&lt; 99,9 %</w:t>
            </w:r>
          </w:p>
        </w:tc>
        <w:tc>
          <w:tcPr>
            <w:tcW w:w="5400" w:type="dxa"/>
          </w:tcPr>
          <w:p w14:paraId="1EAC3FA5" w14:textId="77777777" w:rsidR="00C86427" w:rsidRPr="00EF7CF9" w:rsidRDefault="00C86427" w:rsidP="002A586E">
            <w:pPr>
              <w:pStyle w:val="ProductList-OfferingBody"/>
              <w:jc w:val="center"/>
            </w:pPr>
            <w:r>
              <w:t>25 %</w:t>
            </w:r>
          </w:p>
        </w:tc>
      </w:tr>
      <w:tr w:rsidR="00C86427" w:rsidRPr="00B44CF9" w14:paraId="6BFFAB67" w14:textId="77777777" w:rsidTr="00C86427">
        <w:tc>
          <w:tcPr>
            <w:tcW w:w="5400" w:type="dxa"/>
          </w:tcPr>
          <w:p w14:paraId="48BA927D" w14:textId="2A9F073D" w:rsidR="00C86427" w:rsidRPr="00EF7CF9" w:rsidRDefault="00C86427" w:rsidP="002A586E">
            <w:pPr>
              <w:pStyle w:val="ProductList-OfferingBody"/>
              <w:jc w:val="center"/>
            </w:pPr>
            <w:r>
              <w:t>&lt; 99 %</w:t>
            </w:r>
          </w:p>
        </w:tc>
        <w:tc>
          <w:tcPr>
            <w:tcW w:w="5400" w:type="dxa"/>
          </w:tcPr>
          <w:p w14:paraId="38929F8D" w14:textId="77777777" w:rsidR="00C86427" w:rsidRPr="00EF7CF9" w:rsidRDefault="00C86427" w:rsidP="002A586E">
            <w:pPr>
              <w:pStyle w:val="ProductList-OfferingBody"/>
              <w:jc w:val="center"/>
            </w:pPr>
            <w:r>
              <w:t>50 %</w:t>
            </w:r>
          </w:p>
        </w:tc>
      </w:tr>
      <w:tr w:rsidR="00C86427" w:rsidRPr="00B44CF9" w14:paraId="70A14F4B" w14:textId="77777777" w:rsidTr="00C86427">
        <w:tc>
          <w:tcPr>
            <w:tcW w:w="5400" w:type="dxa"/>
          </w:tcPr>
          <w:p w14:paraId="4A5F7DB0" w14:textId="77777777" w:rsidR="00C86427" w:rsidRPr="00EF7CF9" w:rsidRDefault="00C86427" w:rsidP="002A586E">
            <w:pPr>
              <w:pStyle w:val="ProductList-OfferingBody"/>
              <w:jc w:val="center"/>
            </w:pPr>
            <w:r>
              <w:t>&lt; 95 %</w:t>
            </w:r>
          </w:p>
        </w:tc>
        <w:tc>
          <w:tcPr>
            <w:tcW w:w="5400" w:type="dxa"/>
          </w:tcPr>
          <w:p w14:paraId="4C6598BC" w14:textId="77777777" w:rsidR="00C86427" w:rsidRPr="00EF7CF9" w:rsidRDefault="00C86427" w:rsidP="002A586E">
            <w:pPr>
              <w:pStyle w:val="ProductList-OfferingBody"/>
              <w:jc w:val="center"/>
            </w:pPr>
            <w:r>
              <w:t>100 %</w:t>
            </w:r>
          </w:p>
        </w:tc>
      </w:tr>
    </w:tbl>
    <w:bookmarkStart w:id="124" w:name="_Toc457821523"/>
    <w:p w14:paraId="1758712D" w14:textId="71EE5736" w:rsidR="00D67F75" w:rsidRPr="00D67F75" w:rsidRDefault="005F7C2C" w:rsidP="00D67F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6051EC5D" w14:textId="20237168" w:rsidR="00C86427" w:rsidRPr="00EF7CF9" w:rsidRDefault="00C86427" w:rsidP="002A586E">
      <w:pPr>
        <w:pStyle w:val="ProductList-Offering2Heading"/>
        <w:outlineLvl w:val="2"/>
      </w:pPr>
      <w:bookmarkStart w:id="125" w:name="_Toc195543087"/>
      <w:bookmarkStart w:id="126" w:name="_Toc237448941"/>
      <w:r>
        <w:t>SharePoint Online</w:t>
      </w:r>
      <w:bookmarkEnd w:id="124"/>
      <w:bookmarkEnd w:id="125"/>
      <w:bookmarkEnd w:id="126"/>
    </w:p>
    <w:p w14:paraId="41E58B9E" w14:textId="0F2B3227" w:rsidR="00C86427" w:rsidRPr="00EF7CF9" w:rsidRDefault="00C86427" w:rsidP="002A586E">
      <w:pPr>
        <w:pStyle w:val="ProductList-Body"/>
      </w:pPr>
      <w:r>
        <w:rPr>
          <w:b/>
          <w:color w:val="00188F"/>
        </w:rPr>
        <w:t>Ausfallzeit</w:t>
      </w:r>
      <w:r w:rsidRPr="00ED75EB">
        <w:rPr>
          <w:b/>
          <w:color w:val="00188F"/>
        </w:rPr>
        <w:t>:</w:t>
      </w:r>
      <w:r>
        <w:t xml:space="preserve"> </w:t>
      </w:r>
      <w:r>
        <w:rPr>
          <w:szCs w:val="18"/>
        </w:rPr>
        <w:t>Jeder Zeitraum, in dem die Nutzer keinen Lese- oder Schreibzugriff auf einen Teil einer SharePoint Online-Websitesammlung haben, für den sie die erforderlichen Berechtigungen besitzen.</w:t>
      </w:r>
    </w:p>
    <w:p w14:paraId="4F12AEC0" w14:textId="6785C6E5" w:rsidR="00C86427" w:rsidRPr="00EF7CF9" w:rsidRDefault="00AC48A7" w:rsidP="003C0B57">
      <w:pPr>
        <w:pStyle w:val="ProductList-Body"/>
      </w:pPr>
      <w:r>
        <w:rPr>
          <w:b/>
          <w:color w:val="00188F"/>
        </w:rPr>
        <w:t>Betriebszeitprozentsatz</w:t>
      </w:r>
      <w:r w:rsidRPr="00ED75EB">
        <w:rPr>
          <w:b/>
          <w:color w:val="00188F"/>
        </w:rPr>
        <w:t>:</w:t>
      </w:r>
      <w:r>
        <w:t xml:space="preserve"> Der Betriebszeitprozentsatz errechnet sich nach folgender Formel: </w:t>
      </w:r>
    </w:p>
    <w:p w14:paraId="1AC6E7F3" w14:textId="77777777" w:rsidR="00C86427" w:rsidRPr="00EF7CF9" w:rsidRDefault="00C86427" w:rsidP="003C0B57">
      <w:pPr>
        <w:pStyle w:val="ProductList-Body"/>
      </w:pPr>
    </w:p>
    <w:p w14:paraId="5BBD13D7" w14:textId="3BA3C8AC" w:rsidR="00C86427"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Nutzerminuten abzüglich Ausfallzeit</m:t>
              </m:r>
            </m:num>
            <m:den>
              <m:r>
                <m:rPr>
                  <m:nor/>
                </m:rPr>
                <w:rPr>
                  <w:rFonts w:ascii="Cambria Math" w:hAnsi="Cambria Math" w:cs="Calibri"/>
                  <w:i/>
                  <w:sz w:val="18"/>
                  <w:szCs w:val="18"/>
                </w:rPr>
                <m:t>Nutzerminuten</m:t>
              </m:r>
            </m:den>
          </m:f>
          <m:r>
            <w:rPr>
              <w:rFonts w:ascii="Cambria Math" w:hAnsi="Cambria Math" w:cs="Calibri"/>
              <w:sz w:val="18"/>
              <w:szCs w:val="18"/>
            </w:rPr>
            <m:t xml:space="preserve"> x 100</m:t>
          </m:r>
        </m:oMath>
      </m:oMathPara>
    </w:p>
    <w:p w14:paraId="7FAF12A4" w14:textId="414D53A1" w:rsidR="00C86427" w:rsidRPr="00EF7CF9" w:rsidRDefault="00AC48A7" w:rsidP="002A586E">
      <w:pPr>
        <w:pStyle w:val="ProductList-Body"/>
      </w:pPr>
      <w: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7A6B2139" w14:textId="77777777" w:rsidR="00C86427" w:rsidRPr="00EF7CF9" w:rsidRDefault="00C86427" w:rsidP="002A586E">
      <w:pPr>
        <w:pStyle w:val="ProductList-Body"/>
      </w:pPr>
    </w:p>
    <w:p w14:paraId="7AE68D73" w14:textId="4FB1EB46" w:rsidR="00C86427" w:rsidRPr="00EF7CF9" w:rsidRDefault="00C86427" w:rsidP="002A586E">
      <w:pPr>
        <w:pStyle w:val="ProductList-Body"/>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2A3F63FE" w14:textId="77777777" w:rsidTr="00C86427">
        <w:trPr>
          <w:tblHeader/>
        </w:trPr>
        <w:tc>
          <w:tcPr>
            <w:tcW w:w="5400" w:type="dxa"/>
            <w:shd w:val="clear" w:color="auto" w:fill="0072C6"/>
          </w:tcPr>
          <w:p w14:paraId="79CD7DD1" w14:textId="4E8E2320" w:rsidR="00C86427" w:rsidRPr="00EF7CF9" w:rsidRDefault="00AC48A7" w:rsidP="002A586E">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5B60C3AB" w14:textId="77777777" w:rsidR="00C86427" w:rsidRPr="00EF7CF9" w:rsidRDefault="00C86427" w:rsidP="002A586E">
            <w:pPr>
              <w:pStyle w:val="ProductList-OfferingBody"/>
              <w:jc w:val="center"/>
              <w:rPr>
                <w:color w:val="FFFFFF" w:themeColor="background1"/>
              </w:rPr>
            </w:pPr>
            <w:r>
              <w:rPr>
                <w:color w:val="FFFFFF" w:themeColor="background1"/>
              </w:rPr>
              <w:t>Servicegutschrift</w:t>
            </w:r>
          </w:p>
        </w:tc>
      </w:tr>
      <w:tr w:rsidR="00C86427" w:rsidRPr="00B44CF9" w14:paraId="292393E9" w14:textId="77777777" w:rsidTr="00C86427">
        <w:tc>
          <w:tcPr>
            <w:tcW w:w="5400" w:type="dxa"/>
          </w:tcPr>
          <w:p w14:paraId="5CEBDE30" w14:textId="512D833F" w:rsidR="00C86427" w:rsidRPr="00EF7CF9" w:rsidRDefault="00C86427" w:rsidP="002A586E">
            <w:pPr>
              <w:pStyle w:val="ProductList-OfferingBody"/>
              <w:jc w:val="center"/>
            </w:pPr>
            <w:r>
              <w:t>&lt; 99,9 %</w:t>
            </w:r>
          </w:p>
        </w:tc>
        <w:tc>
          <w:tcPr>
            <w:tcW w:w="5400" w:type="dxa"/>
          </w:tcPr>
          <w:p w14:paraId="5FB7CC40" w14:textId="77777777" w:rsidR="00C86427" w:rsidRPr="00EF7CF9" w:rsidRDefault="00C86427" w:rsidP="002A586E">
            <w:pPr>
              <w:pStyle w:val="ProductList-OfferingBody"/>
              <w:jc w:val="center"/>
            </w:pPr>
            <w:r>
              <w:t>25 %</w:t>
            </w:r>
          </w:p>
        </w:tc>
      </w:tr>
      <w:tr w:rsidR="00C86427" w:rsidRPr="00B44CF9" w14:paraId="742E7780" w14:textId="77777777" w:rsidTr="00C86427">
        <w:tc>
          <w:tcPr>
            <w:tcW w:w="5400" w:type="dxa"/>
          </w:tcPr>
          <w:p w14:paraId="54EE1142" w14:textId="5A10F402" w:rsidR="00C86427" w:rsidRPr="00EF7CF9" w:rsidRDefault="00C86427" w:rsidP="002A586E">
            <w:pPr>
              <w:pStyle w:val="ProductList-OfferingBody"/>
              <w:jc w:val="center"/>
            </w:pPr>
            <w:r>
              <w:t>&lt; 99 %</w:t>
            </w:r>
          </w:p>
        </w:tc>
        <w:tc>
          <w:tcPr>
            <w:tcW w:w="5400" w:type="dxa"/>
          </w:tcPr>
          <w:p w14:paraId="4C18F2FB" w14:textId="77777777" w:rsidR="00C86427" w:rsidRPr="00EF7CF9" w:rsidRDefault="00C86427" w:rsidP="002A586E">
            <w:pPr>
              <w:pStyle w:val="ProductList-OfferingBody"/>
              <w:jc w:val="center"/>
            </w:pPr>
            <w:r>
              <w:t>50 %</w:t>
            </w:r>
          </w:p>
        </w:tc>
      </w:tr>
      <w:tr w:rsidR="00C86427" w:rsidRPr="00B44CF9" w14:paraId="74478D49" w14:textId="77777777" w:rsidTr="00C86427">
        <w:tc>
          <w:tcPr>
            <w:tcW w:w="5400" w:type="dxa"/>
          </w:tcPr>
          <w:p w14:paraId="35AB4E0E" w14:textId="77777777" w:rsidR="00C86427" w:rsidRPr="00EF7CF9" w:rsidRDefault="00C86427" w:rsidP="002A586E">
            <w:pPr>
              <w:pStyle w:val="ProductList-OfferingBody"/>
              <w:jc w:val="center"/>
            </w:pPr>
            <w:r>
              <w:t>&lt; 95 %</w:t>
            </w:r>
          </w:p>
        </w:tc>
        <w:tc>
          <w:tcPr>
            <w:tcW w:w="5400" w:type="dxa"/>
          </w:tcPr>
          <w:p w14:paraId="07DE3FF0" w14:textId="77777777" w:rsidR="00C86427" w:rsidRPr="00EF7CF9" w:rsidRDefault="00C86427" w:rsidP="002A586E">
            <w:pPr>
              <w:pStyle w:val="ProductList-OfferingBody"/>
              <w:jc w:val="center"/>
            </w:pPr>
            <w:r>
              <w:t>100 %</w:t>
            </w:r>
          </w:p>
        </w:tc>
      </w:tr>
    </w:tbl>
    <w:bookmarkStart w:id="127" w:name="_Toc457821524"/>
    <w:p w14:paraId="07C1DA22" w14:textId="6C1D4366" w:rsidR="00D67F75" w:rsidRPr="00D67F75" w:rsidRDefault="005F7C2C" w:rsidP="00D67F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35819662" w14:textId="41778DBA" w:rsidR="00F601F4" w:rsidRPr="00EF7CF9" w:rsidRDefault="00AF793E" w:rsidP="002A586E">
      <w:pPr>
        <w:pStyle w:val="ProductList-Offering2Heading"/>
        <w:outlineLvl w:val="2"/>
      </w:pPr>
      <w:bookmarkStart w:id="128" w:name="_Toc457821525"/>
      <w:bookmarkStart w:id="129" w:name="_Toc526859637"/>
      <w:bookmarkStart w:id="130" w:name="_Toc195543088"/>
      <w:bookmarkStart w:id="131" w:name="_Toc237448942"/>
      <w:bookmarkEnd w:id="127"/>
      <w:r>
        <w:lastRenderedPageBreak/>
        <w:t xml:space="preserve">Microsoft Teams – Anrufpläne, </w:t>
      </w:r>
      <w:r w:rsidR="008E63D8">
        <w:t xml:space="preserve">Teams </w:t>
      </w:r>
      <w:r>
        <w:t>Telefon und Audiokonferenzen</w:t>
      </w:r>
      <w:bookmarkEnd w:id="128"/>
      <w:bookmarkEnd w:id="129"/>
      <w:bookmarkEnd w:id="130"/>
      <w:bookmarkEnd w:id="131"/>
    </w:p>
    <w:p w14:paraId="4772F010" w14:textId="09B0C5FB" w:rsidR="00F601F4" w:rsidRPr="00EF7CF9" w:rsidRDefault="00F601F4" w:rsidP="002A586E">
      <w:pPr>
        <w:spacing w:after="0" w:line="240" w:lineRule="auto"/>
        <w:rPr>
          <w:rFonts w:ascii="Calibri" w:eastAsia="Calibri" w:hAnsi="Calibri" w:cs="Times New Roman"/>
          <w:sz w:val="18"/>
          <w:szCs w:val="18"/>
        </w:rPr>
      </w:pPr>
      <w:r>
        <w:rPr>
          <w:rFonts w:ascii="Calibri" w:eastAsia="Calibri" w:hAnsi="Calibri" w:cs="Times New Roman"/>
          <w:b/>
          <w:color w:val="00188F"/>
          <w:sz w:val="18"/>
        </w:rPr>
        <w:t>Ausfallzeiten</w:t>
      </w:r>
      <w:r w:rsidRPr="00ED75EB">
        <w:rPr>
          <w:b/>
          <w:color w:val="00188F"/>
          <w:sz w:val="18"/>
        </w:rPr>
        <w:t>:</w:t>
      </w:r>
      <w:r>
        <w:rPr>
          <w:rFonts w:ascii="Calibri" w:eastAsia="Calibri" w:hAnsi="Calibri" w:cs="Times New Roman"/>
          <w:sz w:val="18"/>
          <w:szCs w:val="18"/>
        </w:rPr>
        <w:t xml:space="preserve"> Jeder Zeitraum, in dem Endnutzer nicht in der Lage sind, einen Anruf im Telefonfestnetz (Public Switched Telephone Network – PSTN) zu initiieren oder sich über das PSTN in eine Audiokonferenz einzuwählen oder Anrufe mit Anrufwarteschlangen oder automatischer Telefonzentrale zu bearbeiten.</w:t>
      </w:r>
    </w:p>
    <w:p w14:paraId="7A5ADEFA" w14:textId="4C762566" w:rsidR="000D4219" w:rsidRPr="00EF7CF9" w:rsidRDefault="00AC48A7" w:rsidP="002A586E">
      <w:pPr>
        <w:spacing w:after="0" w:line="240" w:lineRule="auto"/>
        <w:rPr>
          <w:rFonts w:ascii="Calibri" w:eastAsia="Calibri" w:hAnsi="Calibri" w:cs="Times New Roman"/>
          <w:sz w:val="18"/>
          <w:szCs w:val="18"/>
        </w:rPr>
      </w:pPr>
      <w:r>
        <w:rPr>
          <w:rFonts w:ascii="Calibri" w:eastAsia="Calibri" w:hAnsi="Calibri" w:cs="Times New Roman"/>
          <w:b/>
          <w:color w:val="00188F"/>
          <w:sz w:val="18"/>
        </w:rPr>
        <w:t>Betriebszeitprozentsatz</w:t>
      </w:r>
      <w:r w:rsidRPr="00ED75EB">
        <w:rPr>
          <w:b/>
          <w:color w:val="00188F"/>
          <w:sz w:val="18"/>
        </w:rPr>
        <w:t>:</w:t>
      </w:r>
      <w:r>
        <w:rPr>
          <w:rFonts w:ascii="Calibri" w:eastAsia="Calibri" w:hAnsi="Calibri" w:cs="Times New Roman"/>
          <w:color w:val="002060"/>
          <w:sz w:val="18"/>
          <w:szCs w:val="18"/>
        </w:rPr>
        <w:t xml:space="preserve"> </w:t>
      </w:r>
      <w:r>
        <w:rPr>
          <w:rFonts w:ascii="Calibri" w:eastAsia="Calibri" w:hAnsi="Calibri" w:cs="Times New Roman"/>
          <w:sz w:val="18"/>
          <w:szCs w:val="18"/>
        </w:rPr>
        <w:t>Der Betriebszeitprozentsatz wird für jeden dieser Dienste mithilfe der folgenden Formel berechnet:</w:t>
      </w:r>
    </w:p>
    <w:p w14:paraId="0B291276" w14:textId="77777777" w:rsidR="000D4219" w:rsidRPr="00EF7CF9" w:rsidRDefault="000D4219" w:rsidP="002A586E">
      <w:pPr>
        <w:spacing w:after="0" w:line="240" w:lineRule="auto"/>
        <w:rPr>
          <w:rFonts w:ascii="Calibri" w:eastAsia="Calibri" w:hAnsi="Calibri" w:cs="Times New Roman"/>
          <w:sz w:val="18"/>
          <w:szCs w:val="18"/>
        </w:rPr>
      </w:pPr>
    </w:p>
    <w:p w14:paraId="41B5F33D" w14:textId="26F10E8E" w:rsidR="000D4219" w:rsidRPr="00EF7CF9" w:rsidRDefault="00000000" w:rsidP="002A586E">
      <w:pPr>
        <w:jc w:val="both"/>
        <w:rPr>
          <w:rFonts w:ascii="Calibri" w:eastAsia="Calibri" w:hAnsi="Calibri" w:cs="Times New Roman"/>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Nutzerminuten abzüglich Ausfallzeit</m:t>
              </m:r>
            </m:num>
            <m:den>
              <m:r>
                <m:rPr>
                  <m:nor/>
                </m:rPr>
                <w:rPr>
                  <w:rFonts w:ascii="Cambria Math" w:hAnsi="Cambria Math" w:cs="Calibri"/>
                  <w:i/>
                  <w:sz w:val="18"/>
                  <w:szCs w:val="18"/>
                </w:rPr>
                <m:t>Nutzerminuten</m:t>
              </m:r>
            </m:den>
          </m:f>
          <m:r>
            <w:rPr>
              <w:rFonts w:ascii="Cambria Math" w:hAnsi="Cambria Math" w:cs="Calibri"/>
              <w:sz w:val="18"/>
              <w:szCs w:val="18"/>
            </w:rPr>
            <m:t xml:space="preserve"> x 100</m:t>
          </m:r>
        </m:oMath>
      </m:oMathPara>
    </w:p>
    <w:p w14:paraId="1AE1DEBB" w14:textId="5D97402E" w:rsidR="0086376D" w:rsidRPr="0086376D" w:rsidRDefault="00331A48" w:rsidP="0086376D">
      <w:pPr>
        <w:spacing w:after="0" w:line="240" w:lineRule="auto"/>
        <w:rPr>
          <w:rFonts w:ascii="Calibri" w:eastAsia="Calibri" w:hAnsi="Calibri" w:cs="Times New Roman"/>
          <w:sz w:val="18"/>
          <w:szCs w:val="18"/>
        </w:rPr>
      </w:pPr>
      <w:r>
        <w:rPr>
          <w:rFonts w:ascii="Calibri" w:eastAsia="Calibri" w:hAnsi="Calibri" w:cs="Times New Roman"/>
          <w:sz w:val="18"/>
          <w:szCs w:val="18"/>
        </w:rP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 Eine Gutschrift wird nur für die tatsächlich betroffenen Dienste erteilt.</w:t>
      </w:r>
    </w:p>
    <w:p w14:paraId="662A6062" w14:textId="77777777" w:rsidR="0086376D" w:rsidRPr="0086376D" w:rsidRDefault="0086376D" w:rsidP="0086376D">
      <w:pPr>
        <w:spacing w:after="0" w:line="240" w:lineRule="auto"/>
        <w:rPr>
          <w:rFonts w:ascii="Calibri" w:eastAsia="Calibri" w:hAnsi="Calibri" w:cs="Times New Roman"/>
          <w:sz w:val="18"/>
          <w:szCs w:val="18"/>
        </w:rPr>
      </w:pPr>
    </w:p>
    <w:p w14:paraId="6C1E23E8" w14:textId="02C06F24" w:rsidR="000D4219" w:rsidRPr="00EF7CF9" w:rsidRDefault="0086376D" w:rsidP="0086376D">
      <w:pPr>
        <w:spacing w:after="0" w:line="240" w:lineRule="auto"/>
        <w:rPr>
          <w:rFonts w:ascii="Calibri" w:eastAsia="Calibri" w:hAnsi="Calibri" w:cs="Times New Roman"/>
          <w:sz w:val="18"/>
          <w:szCs w:val="18"/>
        </w:rPr>
      </w:pPr>
      <w:r>
        <w:rPr>
          <w:rFonts w:ascii="Calibri" w:eastAsia="Calibri" w:hAnsi="Calibri" w:cs="Times New Roman"/>
          <w:sz w:val="18"/>
          <w:szCs w:val="18"/>
        </w:rPr>
        <w:t>Diese SLA gilt nicht für Ausfälle, die durch einen Ausfall von Software, Geräten oder Diensten Dritter verursacht werden, die nicht von Microsoft kontrolliert werden, oder für Microsoft-Software, die nicht von Microsoft selbst als Teil des Dienstes ausgeführt wird.</w:t>
      </w:r>
    </w:p>
    <w:p w14:paraId="5B546C0C" w14:textId="336439D2" w:rsidR="000D4219" w:rsidRPr="001A6663" w:rsidRDefault="000D4219" w:rsidP="002A586E">
      <w:pPr>
        <w:spacing w:after="0" w:line="240" w:lineRule="auto"/>
        <w:rPr>
          <w:rFonts w:ascii="Calibri" w:eastAsia="Calibri" w:hAnsi="Calibri" w:cs="Times New Roman"/>
          <w:sz w:val="18"/>
          <w:szCs w:val="16"/>
        </w:rPr>
      </w:pPr>
    </w:p>
    <w:p w14:paraId="3C213E15" w14:textId="7E8E7A6A" w:rsidR="00204453" w:rsidRPr="00EF7CF9" w:rsidRDefault="00204453" w:rsidP="002A586E">
      <w:pPr>
        <w:pStyle w:val="ProductList-Body"/>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04453" w:rsidRPr="00B44CF9" w14:paraId="446D5C61" w14:textId="77777777" w:rsidTr="00204453">
        <w:trPr>
          <w:tblHeader/>
        </w:trPr>
        <w:tc>
          <w:tcPr>
            <w:tcW w:w="5400" w:type="dxa"/>
            <w:shd w:val="clear" w:color="auto" w:fill="0072C6"/>
          </w:tcPr>
          <w:p w14:paraId="625770B6" w14:textId="0E860838" w:rsidR="00204453" w:rsidRPr="00EF7CF9" w:rsidRDefault="00AC48A7" w:rsidP="002A586E">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4F8BE217" w14:textId="77777777" w:rsidR="00204453" w:rsidRPr="00EF7CF9" w:rsidRDefault="00204453" w:rsidP="002A586E">
            <w:pPr>
              <w:pStyle w:val="ProductList-OfferingBody"/>
              <w:jc w:val="center"/>
              <w:rPr>
                <w:color w:val="FFFFFF" w:themeColor="background1"/>
              </w:rPr>
            </w:pPr>
            <w:r>
              <w:rPr>
                <w:color w:val="FFFFFF" w:themeColor="background1"/>
              </w:rPr>
              <w:t>Servicegutschrift</w:t>
            </w:r>
          </w:p>
        </w:tc>
      </w:tr>
      <w:tr w:rsidR="00A06FAD" w:rsidRPr="00B44CF9" w14:paraId="15C2E05C" w14:textId="77777777" w:rsidTr="00204453">
        <w:tc>
          <w:tcPr>
            <w:tcW w:w="5400" w:type="dxa"/>
          </w:tcPr>
          <w:p w14:paraId="4D98B6EB" w14:textId="6742A0D9" w:rsidR="00A06FAD" w:rsidRDefault="00A06FAD" w:rsidP="00A06FAD">
            <w:pPr>
              <w:pStyle w:val="ProductList-OfferingBody"/>
              <w:jc w:val="center"/>
            </w:pPr>
            <w:r>
              <w:t>&lt; 99,999 %</w:t>
            </w:r>
          </w:p>
        </w:tc>
        <w:tc>
          <w:tcPr>
            <w:tcW w:w="5400" w:type="dxa"/>
          </w:tcPr>
          <w:p w14:paraId="76AE3F64" w14:textId="02219740" w:rsidR="00A06FAD" w:rsidRDefault="00A06FAD" w:rsidP="00A06FAD">
            <w:pPr>
              <w:pStyle w:val="ProductList-OfferingBody"/>
              <w:jc w:val="center"/>
            </w:pPr>
            <w:r>
              <w:t>5 %</w:t>
            </w:r>
          </w:p>
        </w:tc>
      </w:tr>
      <w:tr w:rsidR="0086376D" w:rsidRPr="00B44CF9" w14:paraId="4F8767F1" w14:textId="77777777" w:rsidTr="00204453">
        <w:tc>
          <w:tcPr>
            <w:tcW w:w="5400" w:type="dxa"/>
          </w:tcPr>
          <w:p w14:paraId="651A7938" w14:textId="79414888" w:rsidR="0086376D" w:rsidRPr="00EF7CF9" w:rsidRDefault="00A866B3" w:rsidP="002A586E">
            <w:pPr>
              <w:pStyle w:val="ProductList-OfferingBody"/>
              <w:jc w:val="center"/>
            </w:pPr>
            <w:r>
              <w:t>&lt; 99,99 %</w:t>
            </w:r>
          </w:p>
        </w:tc>
        <w:tc>
          <w:tcPr>
            <w:tcW w:w="5400" w:type="dxa"/>
          </w:tcPr>
          <w:p w14:paraId="43A9434B" w14:textId="60108545" w:rsidR="0086376D" w:rsidRPr="00EF7CF9" w:rsidRDefault="00A866B3" w:rsidP="002A586E">
            <w:pPr>
              <w:pStyle w:val="ProductList-OfferingBody"/>
              <w:jc w:val="center"/>
            </w:pPr>
            <w:r>
              <w:t>10 %</w:t>
            </w:r>
          </w:p>
        </w:tc>
      </w:tr>
      <w:tr w:rsidR="00204453" w:rsidRPr="00B44CF9" w14:paraId="07504005" w14:textId="77777777" w:rsidTr="00204453">
        <w:tc>
          <w:tcPr>
            <w:tcW w:w="5400" w:type="dxa"/>
          </w:tcPr>
          <w:p w14:paraId="327DCEC7" w14:textId="77777777" w:rsidR="00204453" w:rsidRPr="00EF7CF9" w:rsidRDefault="00204453" w:rsidP="002A586E">
            <w:pPr>
              <w:pStyle w:val="ProductList-OfferingBody"/>
              <w:jc w:val="center"/>
            </w:pPr>
            <w:r>
              <w:t>&lt; 99,9 %</w:t>
            </w:r>
          </w:p>
        </w:tc>
        <w:tc>
          <w:tcPr>
            <w:tcW w:w="5400" w:type="dxa"/>
          </w:tcPr>
          <w:p w14:paraId="1F728475" w14:textId="77777777" w:rsidR="00204453" w:rsidRPr="00EF7CF9" w:rsidRDefault="00204453" w:rsidP="002A586E">
            <w:pPr>
              <w:pStyle w:val="ProductList-OfferingBody"/>
              <w:jc w:val="center"/>
            </w:pPr>
            <w:r>
              <w:t>25 %</w:t>
            </w:r>
          </w:p>
        </w:tc>
      </w:tr>
      <w:tr w:rsidR="00204453" w:rsidRPr="00B44CF9" w14:paraId="31E64EE5" w14:textId="77777777" w:rsidTr="00204453">
        <w:tc>
          <w:tcPr>
            <w:tcW w:w="5400" w:type="dxa"/>
          </w:tcPr>
          <w:p w14:paraId="2CB4A62E" w14:textId="77777777" w:rsidR="00204453" w:rsidRPr="00EF7CF9" w:rsidRDefault="00204453" w:rsidP="002A586E">
            <w:pPr>
              <w:pStyle w:val="ProductList-OfferingBody"/>
              <w:jc w:val="center"/>
            </w:pPr>
            <w:r>
              <w:t>&lt; 99 %</w:t>
            </w:r>
          </w:p>
        </w:tc>
        <w:tc>
          <w:tcPr>
            <w:tcW w:w="5400" w:type="dxa"/>
          </w:tcPr>
          <w:p w14:paraId="29580C8D" w14:textId="77777777" w:rsidR="00204453" w:rsidRPr="00EF7CF9" w:rsidRDefault="00204453" w:rsidP="002A586E">
            <w:pPr>
              <w:pStyle w:val="ProductList-OfferingBody"/>
              <w:jc w:val="center"/>
            </w:pPr>
            <w:r>
              <w:t>50 %</w:t>
            </w:r>
          </w:p>
        </w:tc>
      </w:tr>
      <w:tr w:rsidR="00204453" w:rsidRPr="00B44CF9" w14:paraId="5E6348CF" w14:textId="77777777" w:rsidTr="00204453">
        <w:tc>
          <w:tcPr>
            <w:tcW w:w="5400" w:type="dxa"/>
          </w:tcPr>
          <w:p w14:paraId="6B6D8094" w14:textId="77777777" w:rsidR="00204453" w:rsidRPr="00EF7CF9" w:rsidRDefault="00204453" w:rsidP="002A586E">
            <w:pPr>
              <w:pStyle w:val="ProductList-OfferingBody"/>
              <w:jc w:val="center"/>
            </w:pPr>
            <w:r>
              <w:t>&lt; 95 %</w:t>
            </w:r>
          </w:p>
        </w:tc>
        <w:tc>
          <w:tcPr>
            <w:tcW w:w="5400" w:type="dxa"/>
          </w:tcPr>
          <w:p w14:paraId="62EAA25A" w14:textId="77777777" w:rsidR="00204453" w:rsidRPr="00EF7CF9" w:rsidRDefault="00204453" w:rsidP="002A586E">
            <w:pPr>
              <w:pStyle w:val="ProductList-OfferingBody"/>
              <w:jc w:val="center"/>
            </w:pPr>
            <w:r>
              <w:t>100 %</w:t>
            </w:r>
          </w:p>
        </w:tc>
      </w:tr>
    </w:tbl>
    <w:bookmarkStart w:id="132" w:name="_Toc457821526"/>
    <w:p w14:paraId="768E15BA" w14:textId="272CF742" w:rsidR="00D67F75" w:rsidRPr="00D67F75" w:rsidRDefault="005F7C2C" w:rsidP="00D67F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2EE9CF4D" w14:textId="3AC11209" w:rsidR="00E25E0F" w:rsidRPr="00EF7CF9" w:rsidRDefault="00AF793E" w:rsidP="002A586E">
      <w:pPr>
        <w:pStyle w:val="ProductList-Offering2Heading"/>
        <w:outlineLvl w:val="2"/>
      </w:pPr>
      <w:bookmarkStart w:id="133" w:name="_Toc195543089"/>
      <w:bookmarkStart w:id="134" w:name="_Toc237448943"/>
      <w:r>
        <w:t>Microsoft Teams – Sprachqualität</w:t>
      </w:r>
      <w:bookmarkEnd w:id="132"/>
      <w:bookmarkEnd w:id="133"/>
      <w:bookmarkEnd w:id="134"/>
    </w:p>
    <w:p w14:paraId="37E23CD8" w14:textId="77C686A7" w:rsidR="001D70B9" w:rsidRPr="00EF7CF9" w:rsidRDefault="001D70B9" w:rsidP="002A586E">
      <w:pPr>
        <w:pStyle w:val="ProductList-Body"/>
      </w:pPr>
      <w:r>
        <w:t>Dieser SLA gilt für alle berechtigten Anrufe, die von einem beliebigen Nutzer des Sprachdienstes im Rahmen des Abonnements getätigt werden (für</w:t>
      </w:r>
      <w:r w:rsidR="001304C9">
        <w:t> </w:t>
      </w:r>
      <w:r>
        <w:t>alle VOIP- oder PSTN-Anrufe aktiviert).</w:t>
      </w:r>
    </w:p>
    <w:p w14:paraId="5AC299E2" w14:textId="4B9CEFBE" w:rsidR="00E25E0F" w:rsidRPr="00EF7CF9" w:rsidRDefault="00E25E0F" w:rsidP="00C25AAC">
      <w:pPr>
        <w:pStyle w:val="ProductList-Body"/>
      </w:pPr>
      <w:r>
        <w:rPr>
          <w:b/>
          <w:color w:val="00188F"/>
        </w:rPr>
        <w:t>Zusätzliche Definitionen</w:t>
      </w:r>
      <w:r w:rsidRPr="00ED75EB">
        <w:rPr>
          <w:b/>
          <w:color w:val="00188F"/>
        </w:rPr>
        <w:t>:</w:t>
      </w:r>
    </w:p>
    <w:p w14:paraId="769655EE" w14:textId="3743AE87" w:rsidR="00E25E0F" w:rsidRPr="00EF7CF9" w:rsidRDefault="00EF7CF9" w:rsidP="002A586E">
      <w:pPr>
        <w:pStyle w:val="ProductList-Body"/>
      </w:pPr>
      <w:r>
        <w:t>Ein „</w:t>
      </w:r>
      <w:r>
        <w:rPr>
          <w:b/>
          <w:color w:val="00188F"/>
        </w:rPr>
        <w:t>Berechtigter Anruf</w:t>
      </w:r>
      <w:r>
        <w:t xml:space="preserve">“ ist ein mit Microsoft Teams getätigter Anruf (innerhalb eines Abonnements), der die beiden nachfolgenden Bedingungen erfüllt: </w:t>
      </w:r>
    </w:p>
    <w:p w14:paraId="006B7BB5" w14:textId="75ED5DB2" w:rsidR="00E25E0F" w:rsidRPr="00EF7CF9" w:rsidRDefault="00E25E0F">
      <w:pPr>
        <w:pStyle w:val="ProductList-Body"/>
        <w:numPr>
          <w:ilvl w:val="0"/>
          <w:numId w:val="7"/>
        </w:numPr>
      </w:pPr>
      <w:r>
        <w:t>Der Anruf wurde von einem Microsoft Teams Certified IP Desk-Telefon aus über kabelgebundenes Ethernet getätigt.</w:t>
      </w:r>
    </w:p>
    <w:p w14:paraId="36758620" w14:textId="77777777" w:rsidR="00E25E0F" w:rsidRPr="00EF7CF9" w:rsidRDefault="00E25E0F">
      <w:pPr>
        <w:pStyle w:val="ProductList-Body"/>
        <w:numPr>
          <w:ilvl w:val="0"/>
          <w:numId w:val="7"/>
        </w:numPr>
      </w:pPr>
      <w:r>
        <w:t xml:space="preserve">Ursache für Paketverlust-, Jitter- und Latenzprobleme während des Anrufs waren die von Microsoft verwalteten Netzwerke. </w:t>
      </w:r>
    </w:p>
    <w:p w14:paraId="55A75C61" w14:textId="58EFE431" w:rsidR="00E25E0F" w:rsidRPr="00EF7CF9" w:rsidRDefault="00EF7CF9" w:rsidP="002A586E">
      <w:pPr>
        <w:pStyle w:val="ProductList-Body"/>
      </w:pPr>
      <w:r>
        <w:t>„</w:t>
      </w:r>
      <w:r>
        <w:rPr>
          <w:b/>
          <w:color w:val="00188F"/>
        </w:rPr>
        <w:t>Anrufe insgesamt</w:t>
      </w:r>
      <w:r>
        <w:t>“ ist die Gesamtzahl der Berechtigten Anrufe.</w:t>
      </w:r>
    </w:p>
    <w:p w14:paraId="108FE9FB" w14:textId="75CE06C0" w:rsidR="00E25E0F" w:rsidRPr="00EF7CF9" w:rsidRDefault="00EF7CF9" w:rsidP="002A586E">
      <w:pPr>
        <w:pStyle w:val="ProductList-Body"/>
      </w:pPr>
      <w:r>
        <w:t>„</w:t>
      </w:r>
      <w:r>
        <w:rPr>
          <w:b/>
          <w:color w:val="00188F"/>
        </w:rPr>
        <w:t>Anrufe von Schlechter Qualität</w:t>
      </w:r>
      <w:r>
        <w:t>“ ist die Gesamtzahl der Berechtigten Anrufe, die aufgrund von zahlreichen Faktoren, die zu einer Verschlechterung der Anrufqualität führen können, in den von Microsoft verwalteten Netzwerken als schlecht eingestuft wurden. Der aktuelle Klassifizierer für Anrufe von Schlechter Qualität basiert hauptsächlich auf Netzwerkparametern wie Roundtrip Time (RTT), Paketverlustrate, Jitter und Paketverlust-Verzögerungsverbergungsfaktoren, ist aber dynamisch und wird auf Grundlage neuer Erkenntnisse, die aus der Analyse von Millionen Skype-, Skype for Business- und Microsoft Teams-Anrufen sowie Weiterentwicklungen von Geräten, Algorithmen und Endbenutzerbewertungen gewonnen werden, fortlaufend aktualisiert.</w:t>
      </w:r>
    </w:p>
    <w:p w14:paraId="7C0FF582" w14:textId="77777777" w:rsidR="00E25E0F" w:rsidRPr="00EF7CF9" w:rsidRDefault="00E25E0F" w:rsidP="002A586E">
      <w:pPr>
        <w:pStyle w:val="ProductList-Body"/>
      </w:pPr>
    </w:p>
    <w:p w14:paraId="0B4A6654" w14:textId="695DAAB0" w:rsidR="00E25E0F" w:rsidRPr="00EF7CF9" w:rsidRDefault="00E25E0F" w:rsidP="002A586E">
      <w:pPr>
        <w:spacing w:after="0" w:line="240" w:lineRule="auto"/>
        <w:rPr>
          <w:rFonts w:ascii="Calibri" w:eastAsia="Calibri" w:hAnsi="Calibri" w:cs="Times New Roman"/>
          <w:sz w:val="18"/>
          <w:szCs w:val="18"/>
        </w:rPr>
      </w:pPr>
      <w:r>
        <w:rPr>
          <w:rFonts w:ascii="Calibri" w:eastAsia="Calibri" w:hAnsi="Calibri" w:cs="Times New Roman"/>
          <w:b/>
          <w:color w:val="00188F"/>
          <w:sz w:val="18"/>
        </w:rPr>
        <w:t>Anzahl Guter Anrufe</w:t>
      </w:r>
      <w:r w:rsidRPr="00ED75EB">
        <w:rPr>
          <w:b/>
          <w:color w:val="00188F"/>
          <w:sz w:val="18"/>
        </w:rPr>
        <w:t>:</w:t>
      </w:r>
      <w:r>
        <w:rPr>
          <w:rFonts w:ascii="Calibri" w:eastAsia="Calibri" w:hAnsi="Calibri" w:cs="Times New Roman"/>
          <w:color w:val="002060"/>
          <w:sz w:val="18"/>
          <w:szCs w:val="18"/>
        </w:rPr>
        <w:t xml:space="preserve"> </w:t>
      </w:r>
      <w:r>
        <w:rPr>
          <w:rFonts w:ascii="Calibri" w:eastAsia="Calibri" w:hAnsi="Calibri" w:cs="Times New Roman"/>
          <w:sz w:val="18"/>
          <w:szCs w:val="18"/>
        </w:rPr>
        <w:t>Die Anzahl Guter Anrufe wird mithilfe der folgenden Formel berechnet:</w:t>
      </w:r>
    </w:p>
    <w:p w14:paraId="40445FC9" w14:textId="77777777" w:rsidR="00E25E0F" w:rsidRPr="00EF7CF9" w:rsidRDefault="00E25E0F" w:rsidP="002A586E">
      <w:pPr>
        <w:spacing w:after="0" w:line="240" w:lineRule="auto"/>
        <w:rPr>
          <w:rFonts w:ascii="Calibri" w:eastAsia="Calibri" w:hAnsi="Calibri" w:cs="Times New Roman"/>
          <w:sz w:val="18"/>
          <w:szCs w:val="18"/>
        </w:rPr>
      </w:pPr>
    </w:p>
    <w:p w14:paraId="1A1B6F7F" w14:textId="7194161B" w:rsidR="00E25E0F" w:rsidRPr="00EF7CF9" w:rsidRDefault="00000000" w:rsidP="00123CD3">
      <w:pPr>
        <w:spacing w:after="120" w:line="240" w:lineRule="auto"/>
        <w:jc w:val="both"/>
        <w:rPr>
          <w:rFonts w:ascii="Calibri" w:eastAsia="Calibri" w:hAnsi="Calibri" w:cs="Times New Roman"/>
          <w:sz w:val="18"/>
          <w:szCs w:val="18"/>
        </w:rPr>
      </w:pPr>
      <m:oMathPara>
        <m:oMathParaPr>
          <m:jc m:val="center"/>
        </m:oMathParaPr>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Anrufe insgesamt – Anrufe von Schlechter Qualität</m:t>
              </m:r>
            </m:num>
            <m:den>
              <m:r>
                <m:rPr>
                  <m:nor/>
                </m:rPr>
                <w:rPr>
                  <w:rFonts w:ascii="Cambria Math" w:eastAsia="Calibri" w:hAnsi="Cambria Math" w:cs="Calibri"/>
                  <w:i/>
                  <w:sz w:val="18"/>
                  <w:szCs w:val="18"/>
                </w:rPr>
                <m:t>Anrufe insgesamt</m:t>
              </m:r>
            </m:den>
          </m:f>
          <m:r>
            <w:rPr>
              <w:rFonts w:ascii="Cambria Math" w:eastAsia="Calibri" w:hAnsi="Cambria Math" w:cs="Calibri"/>
              <w:sz w:val="18"/>
              <w:szCs w:val="18"/>
            </w:rPr>
            <m:t xml:space="preserve"> x 100</m:t>
          </m:r>
        </m:oMath>
      </m:oMathPara>
    </w:p>
    <w:p w14:paraId="29912DEF" w14:textId="77777777" w:rsidR="00E25E0F" w:rsidRPr="00EF7CF9" w:rsidRDefault="00E25E0F" w:rsidP="002A586E">
      <w:pPr>
        <w:pStyle w:val="ProductList-Body"/>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25E0F" w:rsidRPr="00B44CF9" w14:paraId="436F216C" w14:textId="77777777" w:rsidTr="005326DD">
        <w:trPr>
          <w:tblHeader/>
        </w:trPr>
        <w:tc>
          <w:tcPr>
            <w:tcW w:w="5400" w:type="dxa"/>
            <w:shd w:val="clear" w:color="auto" w:fill="0072C6"/>
          </w:tcPr>
          <w:p w14:paraId="419BF8A6" w14:textId="496A0FC8" w:rsidR="00E25E0F" w:rsidRPr="00EF7CF9" w:rsidRDefault="00E25E0F" w:rsidP="002A586E">
            <w:pPr>
              <w:pStyle w:val="ProductList-OfferingBody"/>
              <w:jc w:val="center"/>
              <w:rPr>
                <w:color w:val="FFFFFF" w:themeColor="background1"/>
              </w:rPr>
            </w:pPr>
            <w:r>
              <w:rPr>
                <w:color w:val="FFFFFF" w:themeColor="background1"/>
              </w:rPr>
              <w:t>Anzahl Guter Anrufe</w:t>
            </w:r>
          </w:p>
        </w:tc>
        <w:tc>
          <w:tcPr>
            <w:tcW w:w="5400" w:type="dxa"/>
            <w:shd w:val="clear" w:color="auto" w:fill="0072C6"/>
          </w:tcPr>
          <w:p w14:paraId="179ED571" w14:textId="77777777" w:rsidR="00E25E0F" w:rsidRPr="00EF7CF9" w:rsidRDefault="00E25E0F" w:rsidP="002A586E">
            <w:pPr>
              <w:pStyle w:val="ProductList-OfferingBody"/>
              <w:jc w:val="center"/>
              <w:rPr>
                <w:color w:val="FFFFFF" w:themeColor="background1"/>
              </w:rPr>
            </w:pPr>
            <w:r>
              <w:rPr>
                <w:color w:val="FFFFFF" w:themeColor="background1"/>
              </w:rPr>
              <w:t>Servicegutschrift</w:t>
            </w:r>
          </w:p>
        </w:tc>
      </w:tr>
      <w:tr w:rsidR="00E25E0F" w:rsidRPr="00B44CF9" w14:paraId="424FC624" w14:textId="77777777" w:rsidTr="005326DD">
        <w:tc>
          <w:tcPr>
            <w:tcW w:w="5400" w:type="dxa"/>
          </w:tcPr>
          <w:p w14:paraId="1962101E" w14:textId="77777777" w:rsidR="00E25E0F" w:rsidRPr="00EF7CF9" w:rsidRDefault="00E25E0F" w:rsidP="002A586E">
            <w:pPr>
              <w:pStyle w:val="ProductList-OfferingBody"/>
              <w:jc w:val="center"/>
            </w:pPr>
            <w:r>
              <w:t>&lt; 99,9 %</w:t>
            </w:r>
          </w:p>
        </w:tc>
        <w:tc>
          <w:tcPr>
            <w:tcW w:w="5400" w:type="dxa"/>
          </w:tcPr>
          <w:p w14:paraId="6211073E" w14:textId="77777777" w:rsidR="00E25E0F" w:rsidRPr="00EF7CF9" w:rsidRDefault="00E25E0F" w:rsidP="002A586E">
            <w:pPr>
              <w:pStyle w:val="ProductList-OfferingBody"/>
              <w:jc w:val="center"/>
            </w:pPr>
            <w:r>
              <w:t>25 %</w:t>
            </w:r>
          </w:p>
        </w:tc>
      </w:tr>
      <w:tr w:rsidR="00E25E0F" w:rsidRPr="00B44CF9" w14:paraId="33028E0F" w14:textId="77777777" w:rsidTr="005326DD">
        <w:tc>
          <w:tcPr>
            <w:tcW w:w="5400" w:type="dxa"/>
          </w:tcPr>
          <w:p w14:paraId="09712D25" w14:textId="77777777" w:rsidR="00E25E0F" w:rsidRPr="00EF7CF9" w:rsidRDefault="00E25E0F" w:rsidP="002A586E">
            <w:pPr>
              <w:pStyle w:val="ProductList-OfferingBody"/>
              <w:jc w:val="center"/>
            </w:pPr>
            <w:r>
              <w:t>&lt; 99 %</w:t>
            </w:r>
          </w:p>
        </w:tc>
        <w:tc>
          <w:tcPr>
            <w:tcW w:w="5400" w:type="dxa"/>
          </w:tcPr>
          <w:p w14:paraId="55DDA4A7" w14:textId="77777777" w:rsidR="00E25E0F" w:rsidRPr="00EF7CF9" w:rsidRDefault="00E25E0F" w:rsidP="002A586E">
            <w:pPr>
              <w:pStyle w:val="ProductList-OfferingBody"/>
              <w:jc w:val="center"/>
            </w:pPr>
            <w:r>
              <w:t>50 %</w:t>
            </w:r>
          </w:p>
        </w:tc>
      </w:tr>
      <w:tr w:rsidR="00E25E0F" w:rsidRPr="00B44CF9" w14:paraId="440BE748" w14:textId="77777777" w:rsidTr="005326DD">
        <w:tc>
          <w:tcPr>
            <w:tcW w:w="5400" w:type="dxa"/>
          </w:tcPr>
          <w:p w14:paraId="0410A4CD" w14:textId="77777777" w:rsidR="00E25E0F" w:rsidRPr="00EF7CF9" w:rsidRDefault="00E25E0F" w:rsidP="00943212">
            <w:pPr>
              <w:pStyle w:val="ProductList-OfferingBody"/>
              <w:jc w:val="center"/>
            </w:pPr>
            <w:r>
              <w:t>&lt; 95 %</w:t>
            </w:r>
          </w:p>
        </w:tc>
        <w:tc>
          <w:tcPr>
            <w:tcW w:w="5400" w:type="dxa"/>
          </w:tcPr>
          <w:p w14:paraId="0D8F0DAA" w14:textId="77777777" w:rsidR="00E25E0F" w:rsidRPr="00EF7CF9" w:rsidRDefault="00E25E0F" w:rsidP="002A586E">
            <w:pPr>
              <w:pStyle w:val="ProductList-OfferingBody"/>
              <w:keepNext/>
              <w:jc w:val="center"/>
            </w:pPr>
            <w:r>
              <w:t>100 %</w:t>
            </w:r>
          </w:p>
        </w:tc>
      </w:tr>
    </w:tbl>
    <w:bookmarkStart w:id="135" w:name="_Toc457821527"/>
    <w:p w14:paraId="0D2E35F4" w14:textId="4BD11920" w:rsidR="00D67F75" w:rsidRPr="00D67F75" w:rsidRDefault="005F7C2C" w:rsidP="00D67F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78A2DD34" w14:textId="77777777" w:rsidR="007775B3" w:rsidRDefault="007775B3">
      <w:pPr>
        <w:rPr>
          <w:rFonts w:asciiTheme="majorHAnsi" w:hAnsiTheme="majorHAnsi"/>
          <w:b/>
          <w:color w:val="0072C6"/>
          <w:sz w:val="28"/>
        </w:rPr>
      </w:pPr>
      <w:bookmarkStart w:id="136" w:name="_Toc195543090"/>
      <w:r>
        <w:br w:type="page"/>
      </w:r>
    </w:p>
    <w:p w14:paraId="6B8073DE" w14:textId="3244133D" w:rsidR="00006365" w:rsidRPr="00EF7CF9" w:rsidRDefault="00006365" w:rsidP="002A586E">
      <w:pPr>
        <w:pStyle w:val="ProductList-Offering2Heading"/>
        <w:outlineLvl w:val="2"/>
      </w:pPr>
      <w:bookmarkStart w:id="137" w:name="_Toc237448944"/>
      <w:r>
        <w:lastRenderedPageBreak/>
        <w:t>Workplace Analytics</w:t>
      </w:r>
      <w:bookmarkEnd w:id="136"/>
      <w:bookmarkEnd w:id="137"/>
    </w:p>
    <w:p w14:paraId="39EA0E40" w14:textId="26873E2C" w:rsidR="00006365" w:rsidRPr="00EF7CF9" w:rsidRDefault="00006365" w:rsidP="002A586E">
      <w:pPr>
        <w:pStyle w:val="ProductList-Body"/>
      </w:pPr>
      <w:r>
        <w:rPr>
          <w:b/>
          <w:color w:val="00188F"/>
        </w:rPr>
        <w:t>Ausfallzeit</w:t>
      </w:r>
      <w:r w:rsidRPr="00ED75EB">
        <w:rPr>
          <w:b/>
          <w:color w:val="00188F"/>
        </w:rPr>
        <w:t>:</w:t>
      </w:r>
      <w:r>
        <w:t xml:space="preserve"> Jeder Zeitraum, in dem Nutzer nicht auf die Website von Workplace Analytics zugreifen können.</w:t>
      </w:r>
    </w:p>
    <w:p w14:paraId="7BCDE968" w14:textId="78D697ED" w:rsidR="00006365" w:rsidRPr="00EF7CF9" w:rsidRDefault="00AC48A7" w:rsidP="00BA33EB">
      <w:pPr>
        <w:pStyle w:val="ProductList-Body"/>
        <w:keepNext/>
      </w:pPr>
      <w:r>
        <w:rPr>
          <w:b/>
          <w:color w:val="00188F"/>
        </w:rPr>
        <w:t>Betriebszeitprozentsatz</w:t>
      </w:r>
      <w:r w:rsidRPr="00ED75EB">
        <w:rPr>
          <w:b/>
          <w:color w:val="00188F"/>
        </w:rPr>
        <w:t>:</w:t>
      </w:r>
      <w:r>
        <w:t xml:space="preserve"> Der Betriebszeitprozentsatz errechnet sich nach folgender Formel: </w:t>
      </w:r>
    </w:p>
    <w:p w14:paraId="2580373D" w14:textId="77777777" w:rsidR="00006365" w:rsidRPr="00EF7CF9" w:rsidRDefault="00006365" w:rsidP="002A586E">
      <w:pPr>
        <w:pStyle w:val="ProductList-Body"/>
      </w:pPr>
    </w:p>
    <w:p w14:paraId="42D3EDC3" w14:textId="592100DE" w:rsidR="00006365"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Nutzerminuten abzüglich Ausfallzeit</m:t>
              </m:r>
            </m:num>
            <m:den>
              <m:r>
                <m:rPr>
                  <m:nor/>
                </m:rPr>
                <w:rPr>
                  <w:rFonts w:ascii="Cambria Math" w:hAnsi="Cambria Math" w:cs="Calibri"/>
                  <w:i/>
                  <w:sz w:val="18"/>
                  <w:szCs w:val="18"/>
                </w:rPr>
                <m:t>Nutzerminuten</m:t>
              </m:r>
            </m:den>
          </m:f>
          <m:r>
            <w:rPr>
              <w:rFonts w:ascii="Cambria Math" w:hAnsi="Cambria Math" w:cs="Calibri"/>
              <w:sz w:val="18"/>
              <w:szCs w:val="18"/>
            </w:rPr>
            <m:t xml:space="preserve"> x 100</m:t>
          </m:r>
        </m:oMath>
      </m:oMathPara>
    </w:p>
    <w:p w14:paraId="76D60245" w14:textId="22488CC3" w:rsidR="00006365" w:rsidRPr="00EF7CF9" w:rsidRDefault="00AC48A7" w:rsidP="002A586E">
      <w:pPr>
        <w:pStyle w:val="ProductList-Body"/>
      </w:pPr>
      <w: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58A52B5D" w14:textId="77777777" w:rsidR="00CF3581" w:rsidRPr="00EF7CF9" w:rsidRDefault="00CF3581" w:rsidP="002A586E">
      <w:pPr>
        <w:pStyle w:val="ProductList-Body"/>
      </w:pPr>
    </w:p>
    <w:p w14:paraId="0B221A30" w14:textId="77777777" w:rsidR="00006365" w:rsidRPr="00EF7CF9" w:rsidRDefault="00006365" w:rsidP="00B1426B">
      <w:pPr>
        <w:pStyle w:val="ProductList-Body"/>
        <w:keepNext/>
        <w:keepLines/>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06365" w:rsidRPr="00B44CF9" w14:paraId="083A95DD" w14:textId="77777777" w:rsidTr="00EE6CC5">
        <w:trPr>
          <w:tblHeader/>
        </w:trPr>
        <w:tc>
          <w:tcPr>
            <w:tcW w:w="5400" w:type="dxa"/>
            <w:shd w:val="clear" w:color="auto" w:fill="0072C6"/>
          </w:tcPr>
          <w:p w14:paraId="36536680" w14:textId="544CD820" w:rsidR="00006365" w:rsidRPr="00EF7CF9" w:rsidRDefault="00AC48A7" w:rsidP="00B1426B">
            <w:pPr>
              <w:pStyle w:val="ProductList-OfferingBody"/>
              <w:keepNext/>
              <w:keepLines/>
              <w:jc w:val="center"/>
              <w:rPr>
                <w:color w:val="FFFFFF" w:themeColor="background1"/>
              </w:rPr>
            </w:pPr>
            <w:r>
              <w:rPr>
                <w:color w:val="FFFFFF" w:themeColor="background1"/>
              </w:rPr>
              <w:t>Betriebszeitprozentsatz</w:t>
            </w:r>
          </w:p>
        </w:tc>
        <w:tc>
          <w:tcPr>
            <w:tcW w:w="5400" w:type="dxa"/>
            <w:shd w:val="clear" w:color="auto" w:fill="0072C6"/>
          </w:tcPr>
          <w:p w14:paraId="389005C8" w14:textId="64D79297" w:rsidR="00006365" w:rsidRPr="00EF7CF9" w:rsidRDefault="00CF3581" w:rsidP="00B1426B">
            <w:pPr>
              <w:pStyle w:val="ProductList-OfferingBody"/>
              <w:keepNext/>
              <w:keepLines/>
              <w:jc w:val="center"/>
              <w:rPr>
                <w:color w:val="FFFFFF" w:themeColor="background1"/>
              </w:rPr>
            </w:pPr>
            <w:r>
              <w:rPr>
                <w:color w:val="FFFFFF" w:themeColor="background1"/>
              </w:rPr>
              <w:t>Servicegutschrift</w:t>
            </w:r>
          </w:p>
        </w:tc>
      </w:tr>
      <w:tr w:rsidR="00CF3581" w:rsidRPr="00B44CF9" w14:paraId="2C79A02E" w14:textId="77777777" w:rsidTr="00EE6CC5">
        <w:tc>
          <w:tcPr>
            <w:tcW w:w="5400" w:type="dxa"/>
          </w:tcPr>
          <w:p w14:paraId="4A93E858" w14:textId="165BBF89" w:rsidR="00CF3581" w:rsidRPr="00EF7CF9" w:rsidRDefault="00CF3581" w:rsidP="00B1426B">
            <w:pPr>
              <w:pStyle w:val="ProductList-OfferingBody"/>
              <w:keepNext/>
              <w:keepLines/>
              <w:jc w:val="center"/>
            </w:pPr>
            <w:r>
              <w:t>&lt; 99,9 %</w:t>
            </w:r>
          </w:p>
        </w:tc>
        <w:tc>
          <w:tcPr>
            <w:tcW w:w="5400" w:type="dxa"/>
          </w:tcPr>
          <w:p w14:paraId="2745667D" w14:textId="58CFB147" w:rsidR="00CF3581" w:rsidRPr="00EF7CF9" w:rsidRDefault="00CF3581" w:rsidP="00B1426B">
            <w:pPr>
              <w:pStyle w:val="ProductList-OfferingBody"/>
              <w:keepNext/>
              <w:keepLines/>
              <w:jc w:val="center"/>
            </w:pPr>
            <w:r>
              <w:t>25 %</w:t>
            </w:r>
          </w:p>
        </w:tc>
      </w:tr>
      <w:tr w:rsidR="00CF3581" w:rsidRPr="00B44CF9" w14:paraId="429E9389" w14:textId="77777777" w:rsidTr="00EE6CC5">
        <w:tc>
          <w:tcPr>
            <w:tcW w:w="5400" w:type="dxa"/>
          </w:tcPr>
          <w:p w14:paraId="5102C539" w14:textId="32D0C7B6" w:rsidR="00CF3581" w:rsidRPr="00EF7CF9" w:rsidRDefault="00CF3581" w:rsidP="002A586E">
            <w:pPr>
              <w:pStyle w:val="ProductList-OfferingBody"/>
              <w:jc w:val="center"/>
            </w:pPr>
            <w:r>
              <w:t>&lt; 99 %</w:t>
            </w:r>
          </w:p>
        </w:tc>
        <w:tc>
          <w:tcPr>
            <w:tcW w:w="5400" w:type="dxa"/>
          </w:tcPr>
          <w:p w14:paraId="7255049B" w14:textId="0E8A5F92" w:rsidR="00CF3581" w:rsidRPr="00EF7CF9" w:rsidRDefault="00CF3581" w:rsidP="002A586E">
            <w:pPr>
              <w:pStyle w:val="ProductList-OfferingBody"/>
              <w:jc w:val="center"/>
            </w:pPr>
            <w:r>
              <w:t>50 %</w:t>
            </w:r>
          </w:p>
        </w:tc>
      </w:tr>
      <w:tr w:rsidR="00CF3581" w:rsidRPr="00B44CF9" w14:paraId="608B9D0D" w14:textId="77777777" w:rsidTr="00EE6CC5">
        <w:tc>
          <w:tcPr>
            <w:tcW w:w="5400" w:type="dxa"/>
          </w:tcPr>
          <w:p w14:paraId="588ED7E5" w14:textId="6D811E55" w:rsidR="00CF3581" w:rsidRPr="00EF7CF9" w:rsidRDefault="00CF3581" w:rsidP="002A586E">
            <w:pPr>
              <w:pStyle w:val="ProductList-OfferingBody"/>
              <w:jc w:val="center"/>
            </w:pPr>
            <w:r>
              <w:t>&lt; 95 %</w:t>
            </w:r>
          </w:p>
        </w:tc>
        <w:tc>
          <w:tcPr>
            <w:tcW w:w="5400" w:type="dxa"/>
          </w:tcPr>
          <w:p w14:paraId="7AFD3FF5" w14:textId="0D7588DC" w:rsidR="00CF3581" w:rsidRPr="00EF7CF9" w:rsidRDefault="00CF3581" w:rsidP="002A586E">
            <w:pPr>
              <w:pStyle w:val="ProductList-OfferingBody"/>
              <w:jc w:val="center"/>
            </w:pPr>
            <w:r>
              <w:t>100 %</w:t>
            </w:r>
          </w:p>
        </w:tc>
      </w:tr>
    </w:tbl>
    <w:p w14:paraId="6C51FEBA" w14:textId="712A5FC9" w:rsidR="00D67F75" w:rsidRPr="00D67F75" w:rsidRDefault="005F7C2C" w:rsidP="00D67F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386C3629" w14:textId="5398B192" w:rsidR="00C86427" w:rsidRPr="00EF7CF9" w:rsidRDefault="00657FD0" w:rsidP="002A586E">
      <w:pPr>
        <w:pStyle w:val="ProductList-Offering2Heading"/>
        <w:outlineLvl w:val="2"/>
      </w:pPr>
      <w:bookmarkStart w:id="138" w:name="_Toc195543091"/>
      <w:bookmarkStart w:id="139" w:name="_Toc237448945"/>
      <w:bookmarkEnd w:id="135"/>
      <w:r>
        <w:t>V</w:t>
      </w:r>
      <w:r w:rsidR="00F223CC">
        <w:t>iva Engage</w:t>
      </w:r>
      <w:bookmarkEnd w:id="138"/>
      <w:bookmarkEnd w:id="139"/>
    </w:p>
    <w:p w14:paraId="2BC7EE59" w14:textId="77777777" w:rsidR="00B5095A" w:rsidRPr="00E36382" w:rsidRDefault="00B5095A" w:rsidP="00B5095A">
      <w:pPr>
        <w:pStyle w:val="ProductList-Body"/>
        <w:rPr>
          <w:rFonts w:ascii="Calibri" w:hAnsi="Calibri" w:cs="Calibri"/>
        </w:rPr>
      </w:pPr>
      <w:r>
        <w:rPr>
          <w:rFonts w:ascii="Calibri" w:hAnsi="Calibri" w:cs="Calibri"/>
          <w:b/>
          <w:color w:val="00188F"/>
        </w:rPr>
        <w:t>Ausfallzeit</w:t>
      </w:r>
      <w:r w:rsidRPr="00DB67B2">
        <w:rPr>
          <w:rFonts w:ascii="Calibri" w:hAnsi="Calibri" w:cs="Calibri"/>
          <w:b/>
          <w:color w:val="00188F"/>
        </w:rPr>
        <w:t>:</w:t>
      </w:r>
      <w:r>
        <w:rPr>
          <w:rFonts w:ascii="Calibri" w:hAnsi="Calibri" w:cs="Calibri"/>
        </w:rPr>
        <w:t xml:space="preserve"> </w:t>
      </w:r>
      <w:r>
        <w:rPr>
          <w:rFonts w:ascii="Calibri" w:hAnsi="Calibri" w:cs="Calibri"/>
          <w:szCs w:val="18"/>
        </w:rPr>
        <w:t>Jeder Zeitraum über zehn Minuten, in dem mehr als fünf Prozent der Endbenutzer in irgendeinem Teil des Viva Engage-Netzwerks, für den sie die erforderlichen Berechtigungen besitzen, keine Nachrichten veröffentlichen oder lesen können.</w:t>
      </w:r>
    </w:p>
    <w:p w14:paraId="476BDF33" w14:textId="5A43C8BF" w:rsidR="00C86427" w:rsidRPr="00EF7CF9" w:rsidRDefault="00AC48A7" w:rsidP="002A586E">
      <w:pPr>
        <w:pStyle w:val="ProductList-Body"/>
      </w:pPr>
      <w:r>
        <w:rPr>
          <w:b/>
          <w:color w:val="00188F"/>
        </w:rPr>
        <w:t>Betriebszeitprozentsatz</w:t>
      </w:r>
      <w:r w:rsidRPr="00ED75EB">
        <w:rPr>
          <w:b/>
          <w:color w:val="00188F"/>
        </w:rPr>
        <w:t>:</w:t>
      </w:r>
      <w:r>
        <w:t xml:space="preserve"> Der Betriebszeitprozentsatz errechnet sich nach folgender Formel:</w:t>
      </w:r>
    </w:p>
    <w:p w14:paraId="105E7767" w14:textId="77777777" w:rsidR="00C86427" w:rsidRPr="00EF7CF9" w:rsidRDefault="00C86427" w:rsidP="002A586E">
      <w:pPr>
        <w:pStyle w:val="ProductList-Body"/>
      </w:pPr>
    </w:p>
    <w:p w14:paraId="13177606" w14:textId="3B3B6291" w:rsidR="00C86427"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Nutzerminuten abzüglich Ausfallzeit</m:t>
              </m:r>
            </m:num>
            <m:den>
              <m:r>
                <m:rPr>
                  <m:nor/>
                </m:rPr>
                <w:rPr>
                  <w:rFonts w:ascii="Cambria Math" w:hAnsi="Cambria Math" w:cs="Calibri"/>
                  <w:i/>
                  <w:sz w:val="18"/>
                  <w:szCs w:val="18"/>
                </w:rPr>
                <m:t>Nutzerminuten</m:t>
              </m:r>
            </m:den>
          </m:f>
          <m:r>
            <w:rPr>
              <w:rFonts w:ascii="Cambria Math" w:hAnsi="Cambria Math" w:cs="Calibri"/>
              <w:sz w:val="18"/>
              <w:szCs w:val="18"/>
            </w:rPr>
            <m:t xml:space="preserve"> x 100</m:t>
          </m:r>
        </m:oMath>
      </m:oMathPara>
    </w:p>
    <w:p w14:paraId="06178239" w14:textId="43137EB5" w:rsidR="00C86427" w:rsidRPr="00EF7CF9" w:rsidRDefault="00AC48A7" w:rsidP="002A586E">
      <w:pPr>
        <w:pStyle w:val="ProductList-Body"/>
      </w:pPr>
      <w: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4EEB8778" w14:textId="77777777" w:rsidR="00C86427" w:rsidRPr="00EF7CF9" w:rsidRDefault="00C86427" w:rsidP="002A586E">
      <w:pPr>
        <w:pStyle w:val="ProductList-Body"/>
      </w:pPr>
    </w:p>
    <w:p w14:paraId="3CB8DA5D" w14:textId="10D482CB" w:rsidR="00C86427" w:rsidRPr="00EF7CF9" w:rsidRDefault="00C86427" w:rsidP="002A586E">
      <w:pPr>
        <w:pStyle w:val="ProductList-Body"/>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1977F559" w14:textId="77777777" w:rsidTr="00C86427">
        <w:trPr>
          <w:tblHeader/>
        </w:trPr>
        <w:tc>
          <w:tcPr>
            <w:tcW w:w="5400" w:type="dxa"/>
            <w:shd w:val="clear" w:color="auto" w:fill="0072C6"/>
          </w:tcPr>
          <w:p w14:paraId="1A9DFE79" w14:textId="5DF0C4B0" w:rsidR="00C86427" w:rsidRPr="00EF7CF9" w:rsidRDefault="00AC48A7" w:rsidP="002A586E">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3A3835E2" w14:textId="77777777" w:rsidR="00C86427" w:rsidRPr="00EF7CF9" w:rsidRDefault="00C86427" w:rsidP="002A586E">
            <w:pPr>
              <w:pStyle w:val="ProductList-OfferingBody"/>
              <w:jc w:val="center"/>
              <w:rPr>
                <w:color w:val="FFFFFF" w:themeColor="background1"/>
              </w:rPr>
            </w:pPr>
            <w:r>
              <w:rPr>
                <w:color w:val="FFFFFF" w:themeColor="background1"/>
              </w:rPr>
              <w:t>Servicegutschrift</w:t>
            </w:r>
          </w:p>
        </w:tc>
      </w:tr>
      <w:tr w:rsidR="00C86427" w:rsidRPr="00B44CF9" w14:paraId="6C555692" w14:textId="77777777" w:rsidTr="00C86427">
        <w:tc>
          <w:tcPr>
            <w:tcW w:w="5400" w:type="dxa"/>
          </w:tcPr>
          <w:p w14:paraId="2A0C0D6F" w14:textId="79723A54" w:rsidR="00C86427" w:rsidRPr="00EF7CF9" w:rsidRDefault="00C86427" w:rsidP="002A586E">
            <w:pPr>
              <w:pStyle w:val="ProductList-OfferingBody"/>
              <w:jc w:val="center"/>
            </w:pPr>
            <w:r>
              <w:t>&lt; 99,9 %</w:t>
            </w:r>
          </w:p>
        </w:tc>
        <w:tc>
          <w:tcPr>
            <w:tcW w:w="5400" w:type="dxa"/>
          </w:tcPr>
          <w:p w14:paraId="2B6C1459" w14:textId="77777777" w:rsidR="00C86427" w:rsidRPr="00EF7CF9" w:rsidRDefault="00C86427" w:rsidP="002A586E">
            <w:pPr>
              <w:pStyle w:val="ProductList-OfferingBody"/>
              <w:jc w:val="center"/>
            </w:pPr>
            <w:r>
              <w:t>25 %</w:t>
            </w:r>
          </w:p>
        </w:tc>
      </w:tr>
      <w:tr w:rsidR="00C86427" w:rsidRPr="00B44CF9" w14:paraId="7022003C" w14:textId="77777777" w:rsidTr="00C86427">
        <w:tc>
          <w:tcPr>
            <w:tcW w:w="5400" w:type="dxa"/>
          </w:tcPr>
          <w:p w14:paraId="20E720BE" w14:textId="2E34B42F" w:rsidR="00C86427" w:rsidRPr="00EF7CF9" w:rsidRDefault="00C86427" w:rsidP="002A586E">
            <w:pPr>
              <w:pStyle w:val="ProductList-OfferingBody"/>
              <w:jc w:val="center"/>
            </w:pPr>
            <w:r>
              <w:t>&lt; 99 %</w:t>
            </w:r>
          </w:p>
        </w:tc>
        <w:tc>
          <w:tcPr>
            <w:tcW w:w="5400" w:type="dxa"/>
          </w:tcPr>
          <w:p w14:paraId="5DDFDCAF" w14:textId="77777777" w:rsidR="00C86427" w:rsidRPr="00EF7CF9" w:rsidRDefault="00C86427" w:rsidP="002A586E">
            <w:pPr>
              <w:pStyle w:val="ProductList-OfferingBody"/>
              <w:jc w:val="center"/>
            </w:pPr>
            <w:r>
              <w:t>50 %</w:t>
            </w:r>
          </w:p>
        </w:tc>
      </w:tr>
      <w:tr w:rsidR="00C86427" w:rsidRPr="00B44CF9" w14:paraId="370A5AC6" w14:textId="77777777" w:rsidTr="00C86427">
        <w:tc>
          <w:tcPr>
            <w:tcW w:w="5400" w:type="dxa"/>
          </w:tcPr>
          <w:p w14:paraId="636FF5C1" w14:textId="77777777" w:rsidR="00C86427" w:rsidRPr="00EF7CF9" w:rsidRDefault="00C86427" w:rsidP="002A586E">
            <w:pPr>
              <w:pStyle w:val="ProductList-OfferingBody"/>
              <w:jc w:val="center"/>
            </w:pPr>
            <w:r>
              <w:t>&lt; 95 %</w:t>
            </w:r>
          </w:p>
        </w:tc>
        <w:tc>
          <w:tcPr>
            <w:tcW w:w="5400" w:type="dxa"/>
          </w:tcPr>
          <w:p w14:paraId="5933E5F9" w14:textId="77777777" w:rsidR="00C86427" w:rsidRPr="00EF7CF9" w:rsidRDefault="00C86427" w:rsidP="002A586E">
            <w:pPr>
              <w:pStyle w:val="ProductList-OfferingBody"/>
              <w:jc w:val="center"/>
            </w:pPr>
            <w:r>
              <w:t>100 %</w:t>
            </w:r>
          </w:p>
        </w:tc>
      </w:tr>
    </w:tbl>
    <w:bookmarkStart w:id="140" w:name="_Toc53474718"/>
    <w:bookmarkStart w:id="141" w:name="MicrosoftAzureServices"/>
    <w:p w14:paraId="20A604F5" w14:textId="35D11A15" w:rsidR="00D67F75" w:rsidRPr="00D67F75" w:rsidRDefault="005F7C2C" w:rsidP="00BF0B7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3D5F8587" w14:textId="191D8225" w:rsidR="00DC0631" w:rsidRPr="00EF7CF9" w:rsidRDefault="00DC0631" w:rsidP="00BF0B77">
      <w:pPr>
        <w:pStyle w:val="ProductList-OfferingGroupHeading"/>
        <w:keepNext/>
        <w:tabs>
          <w:tab w:val="clear" w:pos="360"/>
          <w:tab w:val="clear" w:pos="720"/>
          <w:tab w:val="clear" w:pos="1080"/>
        </w:tabs>
        <w:outlineLvl w:val="1"/>
      </w:pPr>
      <w:bookmarkStart w:id="142" w:name="_Toc195543092"/>
      <w:bookmarkStart w:id="143" w:name="_Toc237448946"/>
      <w:r>
        <w:t>Microsoft Azure</w:t>
      </w:r>
      <w:bookmarkEnd w:id="140"/>
      <w:r>
        <w:t>-Dienste und -Pläne</w:t>
      </w:r>
      <w:bookmarkEnd w:id="142"/>
      <w:bookmarkEnd w:id="143"/>
    </w:p>
    <w:p w14:paraId="0FE870F8" w14:textId="55758BD7" w:rsidR="00755B76" w:rsidRPr="00364EEB" w:rsidRDefault="00922FB8" w:rsidP="00755B76">
      <w:pPr>
        <w:pStyle w:val="ProductList-Offering2Heading"/>
        <w:tabs>
          <w:tab w:val="clear" w:pos="360"/>
          <w:tab w:val="clear" w:pos="720"/>
          <w:tab w:val="clear" w:pos="1080"/>
        </w:tabs>
        <w:outlineLvl w:val="2"/>
        <w:rPr>
          <w:lang w:val="en-US"/>
        </w:rPr>
      </w:pPr>
      <w:bookmarkStart w:id="144" w:name="_Toc195543093"/>
      <w:bookmarkStart w:id="145" w:name="_Toc237448947"/>
      <w:bookmarkStart w:id="146" w:name="_Toc52348916"/>
      <w:bookmarkStart w:id="147" w:name="_Toc457821535"/>
      <w:bookmarkStart w:id="148" w:name="_Toc457821591"/>
      <w:bookmarkEnd w:id="141"/>
      <w:r>
        <w:rPr>
          <w:lang w:val="en-US"/>
        </w:rPr>
        <w:t>Microsoft Entra ID</w:t>
      </w:r>
      <w:bookmarkEnd w:id="144"/>
      <w:bookmarkEnd w:id="145"/>
    </w:p>
    <w:p w14:paraId="634299DB" w14:textId="2BF29668" w:rsidR="00755B76" w:rsidRPr="00364EEB" w:rsidRDefault="00D67425" w:rsidP="00755B76">
      <w:pPr>
        <w:pStyle w:val="ProductList-Body"/>
        <w:rPr>
          <w:b/>
          <w:color w:val="00188F"/>
          <w:lang w:val="en-US"/>
        </w:rPr>
      </w:pPr>
      <w:r>
        <w:rPr>
          <w:b/>
          <w:color w:val="00188F"/>
          <w:lang w:val="en-US"/>
        </w:rPr>
        <w:t>Microsoft Entra ID</w:t>
      </w:r>
      <w:r w:rsidR="00755B76" w:rsidRPr="00364EEB">
        <w:rPr>
          <w:b/>
          <w:color w:val="00188F"/>
          <w:lang w:val="en-US"/>
        </w:rPr>
        <w:t xml:space="preserve"> Basic und </w:t>
      </w:r>
      <w:r>
        <w:rPr>
          <w:b/>
          <w:color w:val="00188F"/>
          <w:lang w:val="en-US"/>
        </w:rPr>
        <w:t>Microsoft Entra ID</w:t>
      </w:r>
      <w:r w:rsidRPr="00364EEB">
        <w:rPr>
          <w:b/>
          <w:color w:val="00188F"/>
          <w:lang w:val="en-US"/>
        </w:rPr>
        <w:t xml:space="preserve"> </w:t>
      </w:r>
      <w:r w:rsidR="00755B76" w:rsidRPr="00364EEB">
        <w:rPr>
          <w:b/>
          <w:color w:val="00188F"/>
          <w:lang w:val="en-US"/>
        </w:rPr>
        <w:t>Premium</w:t>
      </w:r>
    </w:p>
    <w:p w14:paraId="1D440397" w14:textId="77777777" w:rsidR="005E2EF6" w:rsidRPr="00EF7CF9" w:rsidRDefault="005E2EF6" w:rsidP="005E2EF6">
      <w:pPr>
        <w:pStyle w:val="ProductList-Body"/>
      </w:pPr>
      <w:r>
        <w:rPr>
          <w:b/>
          <w:color w:val="00188F"/>
        </w:rPr>
        <w:t>Zusätzliche Definitionen</w:t>
      </w:r>
      <w:r w:rsidRPr="00ED75EB">
        <w:rPr>
          <w:b/>
          <w:color w:val="00188F"/>
        </w:rPr>
        <w:t>:</w:t>
      </w:r>
    </w:p>
    <w:p w14:paraId="0D155681" w14:textId="2EF175C1" w:rsidR="00755B76" w:rsidRPr="00EF7CF9" w:rsidRDefault="00755B76" w:rsidP="00755B76">
      <w:pPr>
        <w:pStyle w:val="ProductList-Body"/>
      </w:pPr>
      <w:r>
        <w:rPr>
          <w:b/>
          <w:color w:val="00188F"/>
        </w:rPr>
        <w:t>Ausfallzeit</w:t>
      </w:r>
      <w:r w:rsidRPr="00ED75EB">
        <w:rPr>
          <w:b/>
          <w:color w:val="00188F"/>
        </w:rPr>
        <w:t>:</w:t>
      </w:r>
      <w:r>
        <w:t xml:space="preserve"> </w:t>
      </w:r>
      <w:r w:rsidR="0054095E" w:rsidRPr="0054095E">
        <w:rPr>
          <w:rFonts w:cstheme="minorHAnsi"/>
          <w:szCs w:val="18"/>
        </w:rPr>
        <w:t>Jeder Zeitraum, in dem sich Nutzer nicht beim Microsoft Entra ID-Dienst anmelden können oder in dem Microsoft Entra ID die Authentifizierungs- und Autorisierungs-Token, die Nutzer für die Anmeldung bei mit dem Dienst verbundenen Anwendungen benötigen, nicht erfolgreich ausgeben kann.</w:t>
      </w:r>
    </w:p>
    <w:p w14:paraId="06A45494" w14:textId="0A6A53C9" w:rsidR="00755B76" w:rsidRPr="00EF7CF9" w:rsidRDefault="00AC48A7" w:rsidP="00755B76">
      <w:pPr>
        <w:pStyle w:val="ProductList-Body"/>
      </w:pPr>
      <w:r>
        <w:rPr>
          <w:b/>
          <w:color w:val="00188F"/>
        </w:rPr>
        <w:t>Betriebszeitprozentsatz</w:t>
      </w:r>
      <w:r w:rsidRPr="00ED75EB">
        <w:rPr>
          <w:b/>
          <w:color w:val="00188F"/>
        </w:rPr>
        <w:t>:</w:t>
      </w:r>
      <w:r>
        <w:t xml:space="preserve"> Der Betriebszeitprozentsatz errechnet sich nach folgender Formel:</w:t>
      </w:r>
    </w:p>
    <w:p w14:paraId="694D70B4" w14:textId="77777777" w:rsidR="00755B76" w:rsidRPr="00EF7CF9" w:rsidRDefault="00755B76" w:rsidP="00755B76">
      <w:pPr>
        <w:pStyle w:val="ProductList-Body"/>
      </w:pPr>
    </w:p>
    <w:p w14:paraId="5AE99968" w14:textId="70412299" w:rsidR="00755B76" w:rsidRPr="00EF7CF9" w:rsidRDefault="00000000" w:rsidP="00755B76">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Nutzerminuten abzüglich Ausfallzeit</m:t>
              </m:r>
            </m:num>
            <m:den>
              <m:r>
                <m:rPr>
                  <m:nor/>
                </m:rPr>
                <w:rPr>
                  <w:rFonts w:ascii="Cambria Math" w:hAnsi="Cambria Math" w:cs="Calibri"/>
                  <w:i/>
                  <w:sz w:val="18"/>
                  <w:szCs w:val="18"/>
                </w:rPr>
                <m:t>Nutzerminuten</m:t>
              </m:r>
            </m:den>
          </m:f>
          <m:r>
            <w:rPr>
              <w:rFonts w:ascii="Cambria Math" w:hAnsi="Cambria Math" w:cs="Calibri"/>
              <w:sz w:val="18"/>
              <w:szCs w:val="18"/>
            </w:rPr>
            <m:t xml:space="preserve"> x 100</m:t>
          </m:r>
        </m:oMath>
      </m:oMathPara>
    </w:p>
    <w:p w14:paraId="4EAF19D3" w14:textId="70B2F6C0" w:rsidR="00755B76" w:rsidRPr="00EF7CF9" w:rsidRDefault="00AC48A7" w:rsidP="00755B76">
      <w:pPr>
        <w:pStyle w:val="ProductList-Body"/>
      </w:pPr>
      <w: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2E7E94D6" w14:textId="77777777" w:rsidR="00755B76" w:rsidRPr="00EF7CF9" w:rsidRDefault="00755B76" w:rsidP="00755B76">
      <w:pPr>
        <w:pStyle w:val="ProductList-Body"/>
      </w:pPr>
    </w:p>
    <w:p w14:paraId="49209FC5" w14:textId="77777777" w:rsidR="00755B76" w:rsidRPr="00EF7CF9" w:rsidRDefault="00755B76" w:rsidP="00755B76">
      <w:pPr>
        <w:pStyle w:val="ProductList-Body"/>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55B76" w:rsidRPr="00B44CF9" w14:paraId="48E5F6BA" w14:textId="77777777" w:rsidTr="00277097">
        <w:trPr>
          <w:tblHeader/>
        </w:trPr>
        <w:tc>
          <w:tcPr>
            <w:tcW w:w="5400" w:type="dxa"/>
            <w:shd w:val="clear" w:color="auto" w:fill="0072C6"/>
          </w:tcPr>
          <w:p w14:paraId="039E3418" w14:textId="1CB12441" w:rsidR="00755B76" w:rsidRPr="00EF7CF9" w:rsidRDefault="00AC48A7" w:rsidP="000F31B4">
            <w:pPr>
              <w:pStyle w:val="ProductList-OfferingBody"/>
              <w:jc w:val="center"/>
              <w:rPr>
                <w:color w:val="FFFFFF" w:themeColor="background1"/>
              </w:rPr>
            </w:pPr>
            <w:r>
              <w:rPr>
                <w:color w:val="FFFFFF" w:themeColor="background1"/>
              </w:rPr>
              <w:lastRenderedPageBreak/>
              <w:t>Betriebszeitprozentsatz</w:t>
            </w:r>
          </w:p>
        </w:tc>
        <w:tc>
          <w:tcPr>
            <w:tcW w:w="5400" w:type="dxa"/>
            <w:shd w:val="clear" w:color="auto" w:fill="0072C6"/>
          </w:tcPr>
          <w:p w14:paraId="674122EE" w14:textId="77777777" w:rsidR="00755B76" w:rsidRPr="00EF7CF9" w:rsidRDefault="00755B76" w:rsidP="000F31B4">
            <w:pPr>
              <w:pStyle w:val="ProductList-OfferingBody"/>
              <w:jc w:val="center"/>
              <w:rPr>
                <w:color w:val="FFFFFF" w:themeColor="background1"/>
              </w:rPr>
            </w:pPr>
            <w:r>
              <w:rPr>
                <w:color w:val="FFFFFF" w:themeColor="background1"/>
              </w:rPr>
              <w:t>Servicegutschrift</w:t>
            </w:r>
          </w:p>
        </w:tc>
      </w:tr>
      <w:tr w:rsidR="00755B76" w:rsidRPr="00B44CF9" w14:paraId="60FBDD34" w14:textId="77777777" w:rsidTr="00277097">
        <w:tc>
          <w:tcPr>
            <w:tcW w:w="5400" w:type="dxa"/>
          </w:tcPr>
          <w:p w14:paraId="3937177C" w14:textId="77777777" w:rsidR="00755B76" w:rsidRPr="00EF7CF9" w:rsidRDefault="00755B76" w:rsidP="000F31B4">
            <w:pPr>
              <w:pStyle w:val="ProductList-OfferingBody"/>
              <w:jc w:val="center"/>
            </w:pPr>
            <w:r>
              <w:t>&lt; 99,99 %</w:t>
            </w:r>
          </w:p>
        </w:tc>
        <w:tc>
          <w:tcPr>
            <w:tcW w:w="5400" w:type="dxa"/>
          </w:tcPr>
          <w:p w14:paraId="118CC8B1" w14:textId="77777777" w:rsidR="00755B76" w:rsidRPr="00EF7CF9" w:rsidRDefault="00755B76" w:rsidP="000F31B4">
            <w:pPr>
              <w:pStyle w:val="ProductList-OfferingBody"/>
              <w:jc w:val="center"/>
            </w:pPr>
            <w:r>
              <w:t>10 %</w:t>
            </w:r>
          </w:p>
        </w:tc>
      </w:tr>
      <w:tr w:rsidR="00755B76" w:rsidRPr="00B44CF9" w14:paraId="2552001F" w14:textId="77777777" w:rsidTr="00277097">
        <w:tc>
          <w:tcPr>
            <w:tcW w:w="5400" w:type="dxa"/>
          </w:tcPr>
          <w:p w14:paraId="396208DB" w14:textId="77777777" w:rsidR="00755B76" w:rsidRPr="00EF7CF9" w:rsidRDefault="00755B76" w:rsidP="000F31B4">
            <w:pPr>
              <w:pStyle w:val="ProductList-OfferingBody"/>
              <w:jc w:val="center"/>
            </w:pPr>
            <w:r>
              <w:t>&lt; 99,9 %</w:t>
            </w:r>
          </w:p>
        </w:tc>
        <w:tc>
          <w:tcPr>
            <w:tcW w:w="5400" w:type="dxa"/>
          </w:tcPr>
          <w:p w14:paraId="00FA81CB" w14:textId="77777777" w:rsidR="00755B76" w:rsidRPr="00EF7CF9" w:rsidRDefault="00755B76" w:rsidP="000F31B4">
            <w:pPr>
              <w:pStyle w:val="ProductList-OfferingBody"/>
              <w:jc w:val="center"/>
            </w:pPr>
            <w:r>
              <w:t>25 %</w:t>
            </w:r>
          </w:p>
        </w:tc>
      </w:tr>
      <w:tr w:rsidR="00755B76" w:rsidRPr="00B44CF9" w14:paraId="5A083771" w14:textId="77777777" w:rsidTr="00277097">
        <w:tc>
          <w:tcPr>
            <w:tcW w:w="5400" w:type="dxa"/>
          </w:tcPr>
          <w:p w14:paraId="55DB61A7" w14:textId="77777777" w:rsidR="00755B76" w:rsidRPr="00EF7CF9" w:rsidRDefault="00755B76" w:rsidP="000F31B4">
            <w:pPr>
              <w:pStyle w:val="ProductList-OfferingBody"/>
              <w:jc w:val="center"/>
            </w:pPr>
            <w:r>
              <w:t>&lt; 99 %</w:t>
            </w:r>
          </w:p>
        </w:tc>
        <w:tc>
          <w:tcPr>
            <w:tcW w:w="5400" w:type="dxa"/>
          </w:tcPr>
          <w:p w14:paraId="5C3E3871" w14:textId="77777777" w:rsidR="00755B76" w:rsidRPr="00EF7CF9" w:rsidRDefault="00755B76" w:rsidP="000F31B4">
            <w:pPr>
              <w:pStyle w:val="ProductList-OfferingBody"/>
              <w:jc w:val="center"/>
            </w:pPr>
            <w:r>
              <w:t>50 %</w:t>
            </w:r>
          </w:p>
        </w:tc>
      </w:tr>
      <w:tr w:rsidR="00755B76" w:rsidRPr="00B44CF9" w14:paraId="1EAE4D17" w14:textId="77777777" w:rsidTr="00277097">
        <w:tc>
          <w:tcPr>
            <w:tcW w:w="5400" w:type="dxa"/>
          </w:tcPr>
          <w:p w14:paraId="0843D594" w14:textId="77777777" w:rsidR="00755B76" w:rsidRPr="00EF7CF9" w:rsidRDefault="00755B76" w:rsidP="000F31B4">
            <w:pPr>
              <w:pStyle w:val="ProductList-OfferingBody"/>
              <w:jc w:val="center"/>
            </w:pPr>
            <w:r>
              <w:t>&lt; 95 %</w:t>
            </w:r>
          </w:p>
        </w:tc>
        <w:tc>
          <w:tcPr>
            <w:tcW w:w="5400" w:type="dxa"/>
          </w:tcPr>
          <w:p w14:paraId="2D6534FB" w14:textId="77777777" w:rsidR="00755B76" w:rsidRPr="00EF7CF9" w:rsidRDefault="00755B76" w:rsidP="000F31B4">
            <w:pPr>
              <w:pStyle w:val="ProductList-OfferingBody"/>
              <w:jc w:val="center"/>
            </w:pPr>
            <w:r>
              <w:t>100 %</w:t>
            </w:r>
          </w:p>
        </w:tc>
      </w:tr>
    </w:tbl>
    <w:bookmarkStart w:id="149" w:name="_Toc457821530"/>
    <w:bookmarkStart w:id="150" w:name="_Toc52349004"/>
    <w:p w14:paraId="3528CABC" w14:textId="176465B8" w:rsidR="00D67F75" w:rsidRPr="00D67F75" w:rsidRDefault="005F7C2C" w:rsidP="00D67F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67E0B282" w14:textId="77777777" w:rsidR="00755B76" w:rsidRPr="00EF7CF9" w:rsidRDefault="00755B76" w:rsidP="00B1426B">
      <w:pPr>
        <w:pStyle w:val="ProductList-Offering2Heading"/>
        <w:keepNext/>
        <w:keepLines/>
        <w:tabs>
          <w:tab w:val="clear" w:pos="360"/>
          <w:tab w:val="clear" w:pos="720"/>
          <w:tab w:val="clear" w:pos="1080"/>
        </w:tabs>
        <w:outlineLvl w:val="2"/>
      </w:pPr>
      <w:bookmarkStart w:id="151" w:name="_Toc195543094"/>
      <w:bookmarkStart w:id="152" w:name="_Toc237448948"/>
      <w:r>
        <w:t>Azure Active Directory B2C</w:t>
      </w:r>
      <w:bookmarkEnd w:id="149"/>
      <w:bookmarkEnd w:id="150"/>
      <w:bookmarkEnd w:id="151"/>
      <w:bookmarkEnd w:id="152"/>
    </w:p>
    <w:p w14:paraId="322D15EB" w14:textId="77777777" w:rsidR="00755B76" w:rsidRPr="00EF7CF9" w:rsidRDefault="00755B76" w:rsidP="00B1426B">
      <w:pPr>
        <w:pStyle w:val="ProductList-Body"/>
        <w:keepNext/>
        <w:keepLines/>
      </w:pPr>
      <w:r>
        <w:rPr>
          <w:b/>
          <w:color w:val="00188F"/>
        </w:rPr>
        <w:t>Zusätzliche Definitionen</w:t>
      </w:r>
      <w:r w:rsidRPr="00ED75EB">
        <w:rPr>
          <w:b/>
          <w:color w:val="00188F"/>
        </w:rPr>
        <w:t>:</w:t>
      </w:r>
    </w:p>
    <w:p w14:paraId="06AEB968" w14:textId="52C898DF" w:rsidR="00755B76" w:rsidRPr="00EF7CF9" w:rsidRDefault="00755B76" w:rsidP="00755B76">
      <w:pPr>
        <w:pStyle w:val="ProductList-Body"/>
      </w:pPr>
      <w:r>
        <w:t>„</w:t>
      </w:r>
      <w:r>
        <w:rPr>
          <w:b/>
          <w:color w:val="00188F"/>
        </w:rPr>
        <w:t>Bereitstellungsminuten</w:t>
      </w:r>
      <w:r>
        <w:t>“ ist die Gesamtzahl der Minuten, für die ein Azure AD B2C Directory während eines Anwendbaren Zeitraums der Rechnungsstellung bereitgestellt wurde.</w:t>
      </w:r>
    </w:p>
    <w:p w14:paraId="780B86DF" w14:textId="749D72E2" w:rsidR="00755B76" w:rsidRPr="00EF7CF9" w:rsidRDefault="00755B76" w:rsidP="00755B76">
      <w:pPr>
        <w:pStyle w:val="ProductList-Body"/>
      </w:pPr>
      <w:r>
        <w:t>„</w:t>
      </w:r>
      <w:r>
        <w:rPr>
          <w:b/>
          <w:color w:val="00188F"/>
        </w:rPr>
        <w:t>Maximal Verfügbare Minuten</w:t>
      </w:r>
      <w:r>
        <w:t xml:space="preserve">“ bezieht sich auf die Summe der Bereitstellungsminuten aller Azure AD B2C-Verzeichnisse, die in einem bestimmten Microsoft Azure-Abonnement während eines Anwendbaren Zeitraums bereitgestellt werden. </w:t>
      </w:r>
    </w:p>
    <w:p w14:paraId="19F0FA33" w14:textId="77777777" w:rsidR="00755B76" w:rsidRPr="00EF7CF9" w:rsidRDefault="00755B76" w:rsidP="00755B76">
      <w:pPr>
        <w:pStyle w:val="ProductList-Body"/>
      </w:pPr>
      <w:r>
        <w:rPr>
          <w:b/>
          <w:color w:val="00188F"/>
        </w:rPr>
        <w:t>Ausfallzeit</w:t>
      </w:r>
      <w:r w:rsidRPr="00ED75EB">
        <w:rPr>
          <w:b/>
          <w:color w:val="00188F"/>
        </w:rPr>
        <w:t>:</w:t>
      </w:r>
      <w:r>
        <w:t xml:space="preserve"> ist die Gesamtzahl der Minuten aller Azure AD B2C Directories, die vom Kunden in einem bestimmten Microsoft Azure-Abonnement bereitgestellt werden, während derer der Azure AD B2C-Dienst nicht verfügbar ist. Eine Minute gilt als nicht verfügbar, wenn alle Versuche, die Nutzerregistrierung und das Log-in zu verarbeiten, keine Token oder gültigen Fehlercodes zurückgeben oder innerhalb von zwei Minuten keine Antworten zurückgeben.</w:t>
      </w:r>
    </w:p>
    <w:p w14:paraId="434CF9C7" w14:textId="48B982A8" w:rsidR="00755B76" w:rsidRPr="00EF7CF9" w:rsidRDefault="00AC48A7" w:rsidP="00755B76">
      <w:pPr>
        <w:pStyle w:val="ProductList-Body"/>
      </w:pPr>
      <w:r>
        <w:rPr>
          <w:b/>
          <w:color w:val="00188F"/>
        </w:rPr>
        <w:t>Betriebszeitprozentsatz</w:t>
      </w:r>
      <w:r w:rsidRPr="00ED75EB">
        <w:rPr>
          <w:b/>
          <w:color w:val="00188F"/>
        </w:rPr>
        <w:t>:</w:t>
      </w:r>
      <w:r>
        <w:t xml:space="preserve"> Der Betriebszeitprozentsatz errechnet sich nach folgender Formel:</w:t>
      </w:r>
    </w:p>
    <w:p w14:paraId="40117607" w14:textId="15ACE2BA" w:rsidR="00755B76" w:rsidRPr="00EF7CF9" w:rsidRDefault="00000000" w:rsidP="00C12445">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78E9AF66" w14:textId="77777777" w:rsidR="00755B76" w:rsidRPr="00EF7CF9" w:rsidRDefault="00755B76" w:rsidP="00755B76">
      <w:pPr>
        <w:pStyle w:val="ProductList-Body"/>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55B76" w:rsidRPr="00B44CF9" w14:paraId="2D7EA87B" w14:textId="77777777" w:rsidTr="00277097">
        <w:trPr>
          <w:tblHeader/>
        </w:trPr>
        <w:tc>
          <w:tcPr>
            <w:tcW w:w="5400" w:type="dxa"/>
            <w:shd w:val="clear" w:color="auto" w:fill="0072C6"/>
          </w:tcPr>
          <w:p w14:paraId="37FAD97C" w14:textId="0FD630C4" w:rsidR="00755B76"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2D764696" w14:textId="77777777" w:rsidR="00755B76" w:rsidRPr="00EF7CF9" w:rsidRDefault="00755B76" w:rsidP="000F31B4">
            <w:pPr>
              <w:pStyle w:val="ProductList-OfferingBody"/>
              <w:jc w:val="center"/>
              <w:rPr>
                <w:color w:val="FFFFFF" w:themeColor="background1"/>
              </w:rPr>
            </w:pPr>
            <w:r>
              <w:rPr>
                <w:color w:val="FFFFFF" w:themeColor="background1"/>
              </w:rPr>
              <w:t>Servicegutschrift</w:t>
            </w:r>
          </w:p>
        </w:tc>
      </w:tr>
      <w:tr w:rsidR="00755B76" w:rsidRPr="00B44CF9" w14:paraId="77B0594E" w14:textId="77777777" w:rsidTr="00277097">
        <w:tc>
          <w:tcPr>
            <w:tcW w:w="5400" w:type="dxa"/>
          </w:tcPr>
          <w:p w14:paraId="6F12552A" w14:textId="77777777" w:rsidR="00755B76" w:rsidRPr="00EF7CF9" w:rsidRDefault="00755B76" w:rsidP="000F31B4">
            <w:pPr>
              <w:pStyle w:val="ProductList-OfferingBody"/>
              <w:jc w:val="center"/>
            </w:pPr>
            <w:r>
              <w:t>&lt; 99,99 %</w:t>
            </w:r>
          </w:p>
        </w:tc>
        <w:tc>
          <w:tcPr>
            <w:tcW w:w="5400" w:type="dxa"/>
          </w:tcPr>
          <w:p w14:paraId="2D5A2E56" w14:textId="77777777" w:rsidR="00755B76" w:rsidRPr="00EF7CF9" w:rsidRDefault="00755B76" w:rsidP="000F31B4">
            <w:pPr>
              <w:pStyle w:val="ProductList-OfferingBody"/>
              <w:jc w:val="center"/>
            </w:pPr>
            <w:r>
              <w:t>10 %</w:t>
            </w:r>
          </w:p>
        </w:tc>
      </w:tr>
      <w:tr w:rsidR="00755B76" w:rsidRPr="00B44CF9" w14:paraId="6E50DCFF" w14:textId="77777777" w:rsidTr="00277097">
        <w:tc>
          <w:tcPr>
            <w:tcW w:w="5400" w:type="dxa"/>
          </w:tcPr>
          <w:p w14:paraId="435EEACA" w14:textId="77777777" w:rsidR="00755B76" w:rsidRPr="00EF7CF9" w:rsidRDefault="00755B76" w:rsidP="000F31B4">
            <w:pPr>
              <w:pStyle w:val="ProductList-OfferingBody"/>
              <w:jc w:val="center"/>
            </w:pPr>
            <w:r>
              <w:t>&lt; 99,9 %</w:t>
            </w:r>
          </w:p>
        </w:tc>
        <w:tc>
          <w:tcPr>
            <w:tcW w:w="5400" w:type="dxa"/>
          </w:tcPr>
          <w:p w14:paraId="2B621F20" w14:textId="77777777" w:rsidR="00755B76" w:rsidRPr="00EF7CF9" w:rsidRDefault="00755B76" w:rsidP="000F31B4">
            <w:pPr>
              <w:pStyle w:val="ProductList-OfferingBody"/>
              <w:jc w:val="center"/>
            </w:pPr>
            <w:r>
              <w:t>25 %</w:t>
            </w:r>
          </w:p>
        </w:tc>
      </w:tr>
      <w:tr w:rsidR="00755B76" w:rsidRPr="00B44CF9" w14:paraId="68DAAEC5" w14:textId="77777777" w:rsidTr="00277097">
        <w:tc>
          <w:tcPr>
            <w:tcW w:w="5400" w:type="dxa"/>
          </w:tcPr>
          <w:p w14:paraId="2F3B22B1" w14:textId="77777777" w:rsidR="00755B76" w:rsidRPr="00EF7CF9" w:rsidRDefault="00755B76" w:rsidP="000F31B4">
            <w:pPr>
              <w:pStyle w:val="ProductList-OfferingBody"/>
              <w:jc w:val="center"/>
            </w:pPr>
            <w:r>
              <w:t>&lt; 99 %</w:t>
            </w:r>
          </w:p>
        </w:tc>
        <w:tc>
          <w:tcPr>
            <w:tcW w:w="5400" w:type="dxa"/>
          </w:tcPr>
          <w:p w14:paraId="0AAEA41D" w14:textId="77777777" w:rsidR="00755B76" w:rsidRPr="00EF7CF9" w:rsidRDefault="00755B76" w:rsidP="000F31B4">
            <w:pPr>
              <w:pStyle w:val="ProductList-OfferingBody"/>
              <w:jc w:val="center"/>
            </w:pPr>
            <w:r>
              <w:t>50 %</w:t>
            </w:r>
          </w:p>
        </w:tc>
      </w:tr>
      <w:tr w:rsidR="00755B76" w:rsidRPr="00B44CF9" w14:paraId="3FA76B9B" w14:textId="77777777" w:rsidTr="00277097">
        <w:tc>
          <w:tcPr>
            <w:tcW w:w="5400" w:type="dxa"/>
          </w:tcPr>
          <w:p w14:paraId="286FAB49" w14:textId="77777777" w:rsidR="00755B76" w:rsidRPr="00EF7CF9" w:rsidRDefault="00755B76" w:rsidP="000F31B4">
            <w:pPr>
              <w:pStyle w:val="ProductList-OfferingBody"/>
              <w:jc w:val="center"/>
            </w:pPr>
            <w:r>
              <w:t>&lt; 95 %</w:t>
            </w:r>
          </w:p>
        </w:tc>
        <w:tc>
          <w:tcPr>
            <w:tcW w:w="5400" w:type="dxa"/>
          </w:tcPr>
          <w:p w14:paraId="5F0AE2B0" w14:textId="77777777" w:rsidR="00755B76" w:rsidRPr="00EF7CF9" w:rsidRDefault="00755B76" w:rsidP="000F31B4">
            <w:pPr>
              <w:pStyle w:val="ProductList-OfferingBody"/>
              <w:jc w:val="center"/>
            </w:pPr>
            <w:r>
              <w:t>100 %</w:t>
            </w:r>
          </w:p>
        </w:tc>
      </w:tr>
    </w:tbl>
    <w:p w14:paraId="21DE9563" w14:textId="35B4B4D9" w:rsidR="00D67F75" w:rsidRPr="00D67F75" w:rsidRDefault="005F7C2C" w:rsidP="00D67F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4CD06780" w14:textId="30D62032" w:rsidR="004005AF" w:rsidRPr="00EF7CF9" w:rsidRDefault="00021E7A" w:rsidP="004005AF">
      <w:pPr>
        <w:pStyle w:val="ProductList-Offering2Heading"/>
        <w:tabs>
          <w:tab w:val="clear" w:pos="360"/>
          <w:tab w:val="clear" w:pos="720"/>
          <w:tab w:val="clear" w:pos="1080"/>
        </w:tabs>
        <w:outlineLvl w:val="2"/>
      </w:pPr>
      <w:bookmarkStart w:id="153" w:name="_Toc195543095"/>
      <w:bookmarkStart w:id="154" w:name="_Toc237448949"/>
      <w:r>
        <w:t>Microsoft Entra</w:t>
      </w:r>
      <w:r w:rsidR="004005AF">
        <w:t xml:space="preserve"> Domain</w:t>
      </w:r>
      <w:bookmarkEnd w:id="146"/>
      <w:r w:rsidR="0054095E">
        <w:t xml:space="preserve"> Services</w:t>
      </w:r>
      <w:bookmarkEnd w:id="153"/>
      <w:bookmarkEnd w:id="154"/>
    </w:p>
    <w:p w14:paraId="721F8060" w14:textId="77777777" w:rsidR="004005AF" w:rsidRPr="00EF7CF9" w:rsidRDefault="004005AF" w:rsidP="004005AF">
      <w:pPr>
        <w:pStyle w:val="ProductList-Body"/>
      </w:pPr>
      <w:r>
        <w:rPr>
          <w:b/>
          <w:color w:val="00188F"/>
        </w:rPr>
        <w:t>Zusätzliche Definitionen</w:t>
      </w:r>
      <w:r w:rsidRPr="00ED75EB">
        <w:rPr>
          <w:b/>
          <w:color w:val="00188F"/>
        </w:rPr>
        <w:t>:</w:t>
      </w:r>
    </w:p>
    <w:p w14:paraId="764A795E" w14:textId="77777777" w:rsidR="000B59B5" w:rsidRPr="00523950" w:rsidRDefault="004005AF" w:rsidP="000B59B5">
      <w:pPr>
        <w:spacing w:after="0" w:line="240" w:lineRule="auto"/>
        <w:rPr>
          <w:rFonts w:ascii="Calibri" w:hAnsi="Calibri" w:cs="Calibri"/>
          <w:sz w:val="18"/>
        </w:rPr>
      </w:pPr>
      <w:r>
        <w:rPr>
          <w:sz w:val="18"/>
        </w:rPr>
        <w:t>„</w:t>
      </w:r>
      <w:r>
        <w:rPr>
          <w:b/>
          <w:color w:val="00188F"/>
          <w:sz w:val="18"/>
        </w:rPr>
        <w:t>Verwaltete Domäne</w:t>
      </w:r>
      <w:r>
        <w:rPr>
          <w:sz w:val="18"/>
        </w:rPr>
        <w:t xml:space="preserve">“ </w:t>
      </w:r>
      <w:r w:rsidR="000B59B5">
        <w:rPr>
          <w:rFonts w:ascii="Calibri" w:hAnsi="Calibri" w:cs="Calibri"/>
          <w:sz w:val="18"/>
        </w:rPr>
        <w:t>bezieht sich auf eine Active Directory-Domäne, die von Microsoft Entra Domain Services bereitgestellt und verwaltet wird.</w:t>
      </w:r>
    </w:p>
    <w:p w14:paraId="5D725028" w14:textId="2719787E" w:rsidR="004005AF" w:rsidRPr="00EF7CF9" w:rsidRDefault="004005AF" w:rsidP="004005AF">
      <w:pPr>
        <w:spacing w:after="0" w:line="240" w:lineRule="auto"/>
        <w:rPr>
          <w:sz w:val="18"/>
        </w:rPr>
      </w:pPr>
      <w:r>
        <w:rPr>
          <w:sz w:val="18"/>
        </w:rPr>
        <w:t>„</w:t>
      </w:r>
      <w:r>
        <w:rPr>
          <w:b/>
          <w:color w:val="00188F"/>
          <w:sz w:val="18"/>
        </w:rPr>
        <w:t>Maximal Verfügbare Minuten</w:t>
      </w:r>
      <w:r>
        <w:rPr>
          <w:sz w:val="18"/>
        </w:rPr>
        <w:t xml:space="preserve">“ ist die Gesamtzahl der Minuten, die eine bestimmte Verwaltete Domäne vom Kunden in Microsoft Azure im Verlauf eines Anwendbaren Zeitraums in einem bestimmten Microsoft Azure-Abonnement bereitgestellt wurde. </w:t>
      </w:r>
    </w:p>
    <w:p w14:paraId="0579F796" w14:textId="17303079" w:rsidR="004005AF" w:rsidRPr="00EF7CF9" w:rsidRDefault="004005AF" w:rsidP="004005AF">
      <w:pPr>
        <w:spacing w:after="0" w:line="240" w:lineRule="auto"/>
        <w:rPr>
          <w:sz w:val="18"/>
        </w:rPr>
      </w:pPr>
      <w:r>
        <w:rPr>
          <w:sz w:val="18"/>
        </w:rPr>
        <w:t>„</w:t>
      </w:r>
      <w:r>
        <w:rPr>
          <w:b/>
          <w:color w:val="00188F"/>
          <w:sz w:val="18"/>
        </w:rPr>
        <w:t>Ausfallzeit</w:t>
      </w:r>
      <w:r>
        <w:rPr>
          <w:sz w:val="18"/>
        </w:rPr>
        <w:t>“ ist die Gesamtzahl der Minuten im Verlauf eines Anwendbaren Zeitraums für ein bestimmtes Microsoft Azure-Abonnement, in denen eine bestimmte Verwaltete Domäne nicht verfügbar ist. Eine Minute gilt als nicht verfügbar, wenn alle Domänenauthentifizierungsanforderungen für Nutzerkonten, die zu einer Verwalteten Domäne gehören, LDAP-Bindungen zum Stamm-DSE oder DNS-Lookups von Datensätzen, die in dem virtuellen Netzwerk erfolgen, in dem die Verwaltete Domäne aktiviert ist, innerhalb von 30 Sekunden entweder einen Fehlercode zurückgeben oder keinen Erfolgscode zurückgeben.</w:t>
      </w:r>
    </w:p>
    <w:p w14:paraId="331BDBEE" w14:textId="47099692" w:rsidR="004005AF" w:rsidRPr="00EF7CF9" w:rsidRDefault="00AC48A7" w:rsidP="004005AF">
      <w:pPr>
        <w:pStyle w:val="ProductList-Body"/>
      </w:pPr>
      <w:r>
        <w:rPr>
          <w:b/>
          <w:color w:val="00188F"/>
        </w:rPr>
        <w:t>Betriebszeitprozentsatz</w:t>
      </w:r>
      <w:r w:rsidRPr="00ED75EB">
        <w:rPr>
          <w:b/>
          <w:color w:val="00188F"/>
        </w:rPr>
        <w:t>:</w:t>
      </w:r>
      <w:r>
        <w:t xml:space="preserve"> Der Betriebszeitprozentsatz errechnet sich nach folgender Formel: </w:t>
      </w:r>
    </w:p>
    <w:p w14:paraId="46E9969E" w14:textId="555DB75C" w:rsidR="004005AF" w:rsidRPr="007C7313" w:rsidRDefault="00000000" w:rsidP="007775B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2E1EAF30" w14:textId="77777777" w:rsidR="006519CB" w:rsidRPr="006519CB" w:rsidRDefault="006519CB" w:rsidP="006519CB">
      <w:pPr>
        <w:pStyle w:val="ProductList-Body"/>
        <w:rPr>
          <w:rFonts w:cstheme="minorHAnsi"/>
        </w:rPr>
      </w:pPr>
      <w:r w:rsidRPr="006519CB">
        <w:rPr>
          <w:rFonts w:cstheme="minorHAnsi"/>
          <w:b/>
          <w:color w:val="00188F"/>
        </w:rPr>
        <w:t>Servicelevels und Servicegutschriften gelten für die Nutzung der Microsoft Entra Domain Services durch den Kunden</w:t>
      </w:r>
      <w:r w:rsidRPr="006519CB">
        <w:rPr>
          <w:rFonts w:cstheme="minorHAns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793AD96" w14:textId="77777777" w:rsidTr="00277097">
        <w:trPr>
          <w:tblHeader/>
        </w:trPr>
        <w:tc>
          <w:tcPr>
            <w:tcW w:w="5400" w:type="dxa"/>
            <w:shd w:val="clear" w:color="auto" w:fill="0072C6"/>
          </w:tcPr>
          <w:p w14:paraId="6E86E6F5" w14:textId="55E22CD0" w:rsidR="004005AF"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485748E1" w14:textId="77777777" w:rsidR="004005AF" w:rsidRPr="00EF7CF9" w:rsidRDefault="004005AF" w:rsidP="000F31B4">
            <w:pPr>
              <w:pStyle w:val="ProductList-OfferingBody"/>
              <w:jc w:val="center"/>
              <w:rPr>
                <w:color w:val="FFFFFF" w:themeColor="background1"/>
              </w:rPr>
            </w:pPr>
            <w:r>
              <w:rPr>
                <w:color w:val="FFFFFF" w:themeColor="background1"/>
              </w:rPr>
              <w:t>Servicegutschrift</w:t>
            </w:r>
          </w:p>
        </w:tc>
      </w:tr>
      <w:tr w:rsidR="004005AF" w:rsidRPr="00B44CF9" w14:paraId="4A555B0C" w14:textId="77777777" w:rsidTr="00277097">
        <w:tc>
          <w:tcPr>
            <w:tcW w:w="5400" w:type="dxa"/>
          </w:tcPr>
          <w:p w14:paraId="57774921" w14:textId="77777777" w:rsidR="004005AF" w:rsidRPr="00EF7CF9" w:rsidRDefault="004005AF" w:rsidP="000F31B4">
            <w:pPr>
              <w:pStyle w:val="ProductList-OfferingBody"/>
              <w:jc w:val="center"/>
            </w:pPr>
            <w:r>
              <w:t>&lt; 99,9 %</w:t>
            </w:r>
          </w:p>
        </w:tc>
        <w:tc>
          <w:tcPr>
            <w:tcW w:w="5400" w:type="dxa"/>
          </w:tcPr>
          <w:p w14:paraId="163D5793" w14:textId="77777777" w:rsidR="004005AF" w:rsidRPr="00EF7CF9" w:rsidRDefault="004005AF" w:rsidP="000F31B4">
            <w:pPr>
              <w:pStyle w:val="ProductList-OfferingBody"/>
              <w:jc w:val="center"/>
            </w:pPr>
            <w:r>
              <w:t>10 %</w:t>
            </w:r>
          </w:p>
        </w:tc>
      </w:tr>
      <w:tr w:rsidR="004005AF" w:rsidRPr="00B44CF9" w14:paraId="2CF44EFD" w14:textId="77777777" w:rsidTr="00277097">
        <w:tc>
          <w:tcPr>
            <w:tcW w:w="5400" w:type="dxa"/>
          </w:tcPr>
          <w:p w14:paraId="4792C17D" w14:textId="77777777" w:rsidR="004005AF" w:rsidRPr="00EF7CF9" w:rsidRDefault="004005AF" w:rsidP="000F31B4">
            <w:pPr>
              <w:pStyle w:val="ProductList-OfferingBody"/>
              <w:keepNext/>
              <w:jc w:val="center"/>
            </w:pPr>
            <w:r>
              <w:t>&lt; 99 %</w:t>
            </w:r>
          </w:p>
        </w:tc>
        <w:tc>
          <w:tcPr>
            <w:tcW w:w="5400" w:type="dxa"/>
          </w:tcPr>
          <w:p w14:paraId="6415A1FD" w14:textId="77777777" w:rsidR="004005AF" w:rsidRPr="00EF7CF9" w:rsidRDefault="004005AF" w:rsidP="000F31B4">
            <w:pPr>
              <w:pStyle w:val="ProductList-OfferingBody"/>
              <w:jc w:val="center"/>
            </w:pPr>
            <w:r>
              <w:t>25 %</w:t>
            </w:r>
          </w:p>
        </w:tc>
      </w:tr>
    </w:tbl>
    <w:bookmarkStart w:id="155" w:name="_Toc52348917"/>
    <w:p w14:paraId="7315C57D" w14:textId="4B0C0C53" w:rsidR="00D67F75" w:rsidRPr="00D67F75" w:rsidRDefault="005F7C2C" w:rsidP="00D67F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5CEBBAD9" w14:textId="77777777" w:rsidR="004005AF" w:rsidRPr="00EF7CF9" w:rsidRDefault="004005AF" w:rsidP="004005AF">
      <w:pPr>
        <w:pStyle w:val="ProductList-Offering2Heading"/>
        <w:tabs>
          <w:tab w:val="clear" w:pos="360"/>
          <w:tab w:val="clear" w:pos="720"/>
          <w:tab w:val="clear" w:pos="1080"/>
        </w:tabs>
        <w:outlineLvl w:val="2"/>
      </w:pPr>
      <w:bookmarkStart w:id="156" w:name="_Toc195543096"/>
      <w:bookmarkStart w:id="157" w:name="_Toc237448950"/>
      <w:r>
        <w:t>Analysis Services</w:t>
      </w:r>
      <w:bookmarkEnd w:id="155"/>
      <w:bookmarkEnd w:id="156"/>
      <w:bookmarkEnd w:id="157"/>
    </w:p>
    <w:p w14:paraId="5A6C05E0" w14:textId="77777777" w:rsidR="004005AF" w:rsidRPr="00EF7CF9" w:rsidRDefault="004005AF" w:rsidP="004005AF">
      <w:pPr>
        <w:pStyle w:val="ProductList-Body"/>
      </w:pPr>
      <w:r>
        <w:rPr>
          <w:b/>
          <w:color w:val="00188F"/>
        </w:rPr>
        <w:t>Zusätzliche Definitionen</w:t>
      </w:r>
      <w:r w:rsidRPr="00ED75EB">
        <w:rPr>
          <w:b/>
          <w:color w:val="00188F"/>
        </w:rPr>
        <w:t>:</w:t>
      </w:r>
    </w:p>
    <w:p w14:paraId="7D2A438E" w14:textId="77777777" w:rsidR="004005AF" w:rsidRPr="00EF7CF9" w:rsidRDefault="004005AF" w:rsidP="004005AF">
      <w:pPr>
        <w:pStyle w:val="ProductList-Body"/>
      </w:pPr>
      <w:r>
        <w:t>„</w:t>
      </w:r>
      <w:r>
        <w:rPr>
          <w:b/>
          <w:color w:val="00188F"/>
        </w:rPr>
        <w:t>Server</w:t>
      </w:r>
      <w:r>
        <w:t xml:space="preserve">“ bezeichnet einen beliebigen Azure Analysis Services-Server. </w:t>
      </w:r>
    </w:p>
    <w:p w14:paraId="596E8EFA" w14:textId="60DE163B" w:rsidR="004005AF" w:rsidRPr="00EF7CF9" w:rsidRDefault="004005AF" w:rsidP="004005AF">
      <w:pPr>
        <w:pStyle w:val="ProductList-Body"/>
      </w:pPr>
      <w:r>
        <w:lastRenderedPageBreak/>
        <w:t>„</w:t>
      </w:r>
      <w:r>
        <w:rPr>
          <w:b/>
          <w:color w:val="00188F"/>
        </w:rPr>
        <w:t>Maximal Verfügbare Minuten</w:t>
      </w:r>
      <w:r>
        <w:t xml:space="preserve">“ ist die Gesamtzahl der Minuten, die ein bestimmter Server im Verlauf eines Anwendbaren Zeitraums in einem bestimmten Microsoft Azure-Abonnement in Microsoft Azure bereitgestellt wurde. </w:t>
      </w:r>
    </w:p>
    <w:p w14:paraId="016FF859" w14:textId="77777777" w:rsidR="004005AF" w:rsidRPr="00EF7CF9" w:rsidRDefault="004005AF" w:rsidP="004005AF">
      <w:pPr>
        <w:pStyle w:val="ProductList-Body"/>
      </w:pPr>
      <w:r>
        <w:t>„</w:t>
      </w:r>
      <w:r>
        <w:rPr>
          <w:b/>
          <w:color w:val="00188F"/>
        </w:rPr>
        <w:t>Clientvorgänge</w:t>
      </w:r>
      <w:r>
        <w:t xml:space="preserve">“ ist die Menge aller dokumentierten Vorgänge, die von Azure Analysis Services unterstützt werden. </w:t>
      </w:r>
    </w:p>
    <w:p w14:paraId="21FC0AC4" w14:textId="4307BA23" w:rsidR="004005AF" w:rsidRPr="00EF7CF9" w:rsidRDefault="004005AF" w:rsidP="004005AF">
      <w:pPr>
        <w:pStyle w:val="ProductList-Body"/>
      </w:pPr>
      <w:r>
        <w:rPr>
          <w:b/>
          <w:color w:val="00188F"/>
        </w:rPr>
        <w:t>Ausfallzeit</w:t>
      </w:r>
      <w:r w:rsidRPr="00ED75EB">
        <w:rPr>
          <w:b/>
          <w:color w:val="00188F"/>
        </w:rPr>
        <w:t>:</w:t>
      </w:r>
      <w:r>
        <w:t xml:space="preserve"> ist die Gesamtzahl der Minuten während eines Anwendbaren Zeitraums für ein bestimmtes Microsoft Azure-Abonnement, in denen ein bestimmter Server nicht verfügbar ist. Eine Minute gilt als für einen bestimmten Server nicht verfügbar, wenn mehr als 1 % aller innerhalb der Minute durchgeführten Client-Vorgänge zu einem Fehlercode führen.</w:t>
      </w:r>
    </w:p>
    <w:p w14:paraId="721BF4F7" w14:textId="3C5FD2FB" w:rsidR="004005AF" w:rsidRPr="00EF7CF9" w:rsidRDefault="00AC48A7" w:rsidP="004005AF">
      <w:pPr>
        <w:pStyle w:val="ProductList-Body"/>
      </w:pPr>
      <w:r>
        <w:rPr>
          <w:b/>
          <w:color w:val="00188F"/>
        </w:rPr>
        <w:t>Betriebszeitprozentsatz</w:t>
      </w:r>
      <w:r w:rsidRPr="00ED75EB">
        <w:rPr>
          <w:b/>
          <w:color w:val="00188F"/>
        </w:rPr>
        <w:t>:</w:t>
      </w:r>
      <w:r>
        <w:t xml:space="preserve"> Der Betriebszeitprozentsatz für einen bestimmten Server wird anhand der folgenden Formel berechnet: </w:t>
      </w:r>
    </w:p>
    <w:p w14:paraId="2CB3F24D" w14:textId="075031D2" w:rsidR="004005AF" w:rsidRPr="007C7313" w:rsidRDefault="00000000" w:rsidP="007775B3">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0E634174" w14:textId="77777777" w:rsidR="004005AF" w:rsidRPr="00EF7CF9" w:rsidRDefault="004005AF" w:rsidP="004005AF">
      <w:pPr>
        <w:pStyle w:val="ProductList-Body"/>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5288F34" w14:textId="77777777" w:rsidTr="00277097">
        <w:trPr>
          <w:tblHeader/>
        </w:trPr>
        <w:tc>
          <w:tcPr>
            <w:tcW w:w="5400" w:type="dxa"/>
            <w:shd w:val="clear" w:color="auto" w:fill="0072C6"/>
          </w:tcPr>
          <w:p w14:paraId="10D2AB94" w14:textId="432DC55E" w:rsidR="004005AF"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7D0CF539" w14:textId="77777777" w:rsidR="004005AF" w:rsidRPr="00EF7CF9" w:rsidRDefault="004005AF" w:rsidP="000F31B4">
            <w:pPr>
              <w:pStyle w:val="ProductList-OfferingBody"/>
              <w:jc w:val="center"/>
              <w:rPr>
                <w:color w:val="FFFFFF" w:themeColor="background1"/>
              </w:rPr>
            </w:pPr>
            <w:r>
              <w:rPr>
                <w:color w:val="FFFFFF" w:themeColor="background1"/>
              </w:rPr>
              <w:t>Servicegutschrift</w:t>
            </w:r>
          </w:p>
        </w:tc>
      </w:tr>
      <w:tr w:rsidR="004005AF" w:rsidRPr="00B44CF9" w14:paraId="09B811D6" w14:textId="77777777" w:rsidTr="00277097">
        <w:tc>
          <w:tcPr>
            <w:tcW w:w="5400" w:type="dxa"/>
          </w:tcPr>
          <w:p w14:paraId="300AB5B4" w14:textId="77777777" w:rsidR="004005AF" w:rsidRPr="00EF7CF9" w:rsidRDefault="004005AF" w:rsidP="000F31B4">
            <w:pPr>
              <w:pStyle w:val="ProductList-OfferingBody"/>
              <w:jc w:val="center"/>
            </w:pPr>
            <w:r>
              <w:t>&lt; 99,9 %</w:t>
            </w:r>
          </w:p>
        </w:tc>
        <w:tc>
          <w:tcPr>
            <w:tcW w:w="5400" w:type="dxa"/>
          </w:tcPr>
          <w:p w14:paraId="25E97EF4" w14:textId="77777777" w:rsidR="004005AF" w:rsidRPr="00EF7CF9" w:rsidRDefault="004005AF" w:rsidP="000F31B4">
            <w:pPr>
              <w:pStyle w:val="ProductList-OfferingBody"/>
              <w:jc w:val="center"/>
            </w:pPr>
            <w:r>
              <w:t>10 %</w:t>
            </w:r>
          </w:p>
        </w:tc>
      </w:tr>
      <w:tr w:rsidR="004005AF" w:rsidRPr="00B44CF9" w14:paraId="611B2312" w14:textId="77777777" w:rsidTr="00277097">
        <w:tc>
          <w:tcPr>
            <w:tcW w:w="5400" w:type="dxa"/>
          </w:tcPr>
          <w:p w14:paraId="7591053F" w14:textId="77777777" w:rsidR="004005AF" w:rsidRPr="00EF7CF9" w:rsidRDefault="004005AF" w:rsidP="000F31B4">
            <w:pPr>
              <w:pStyle w:val="ProductList-OfferingBody"/>
              <w:jc w:val="center"/>
            </w:pPr>
            <w:r>
              <w:t>&lt; 99 %</w:t>
            </w:r>
          </w:p>
        </w:tc>
        <w:tc>
          <w:tcPr>
            <w:tcW w:w="5400" w:type="dxa"/>
          </w:tcPr>
          <w:p w14:paraId="57833F2A" w14:textId="77777777" w:rsidR="004005AF" w:rsidRPr="00EF7CF9" w:rsidRDefault="004005AF" w:rsidP="000F31B4">
            <w:pPr>
              <w:pStyle w:val="ProductList-OfferingBody"/>
              <w:jc w:val="center"/>
            </w:pPr>
            <w:r>
              <w:t>25 %</w:t>
            </w:r>
          </w:p>
        </w:tc>
      </w:tr>
    </w:tbl>
    <w:bookmarkStart w:id="158" w:name="_Toc52348918"/>
    <w:p w14:paraId="76E4651E" w14:textId="08E87506" w:rsidR="00D67F75" w:rsidRPr="00D67F75" w:rsidRDefault="005F7C2C" w:rsidP="00D67F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5DB89434" w14:textId="77777777" w:rsidR="00BE5E98" w:rsidRPr="00966705" w:rsidRDefault="00BE5E98" w:rsidP="00FD5737">
      <w:pPr>
        <w:pStyle w:val="ProductList-Offering2Heading"/>
        <w:keepNext/>
        <w:tabs>
          <w:tab w:val="clear" w:pos="360"/>
          <w:tab w:val="clear" w:pos="720"/>
          <w:tab w:val="clear" w:pos="1080"/>
        </w:tabs>
        <w:outlineLvl w:val="2"/>
      </w:pPr>
      <w:bookmarkStart w:id="159" w:name="_Toc195543097"/>
      <w:bookmarkStart w:id="160" w:name="_Toc237448951"/>
      <w:r>
        <w:t>Azure API für FHIR</w:t>
      </w:r>
      <w:bookmarkEnd w:id="159"/>
      <w:bookmarkEnd w:id="160"/>
    </w:p>
    <w:p w14:paraId="0D1A6CEE" w14:textId="422E9661" w:rsidR="00BE5E98" w:rsidRDefault="00BE5E98" w:rsidP="00BE5E98">
      <w:pPr>
        <w:pStyle w:val="ProductList-Body"/>
      </w:pPr>
      <w:r>
        <w:t>„</w:t>
      </w:r>
      <w:r>
        <w:rPr>
          <w:b/>
          <w:color w:val="00188F"/>
        </w:rPr>
        <w:t>Gesamttransaktionsversuche</w:t>
      </w:r>
      <w:r w:rsidR="000269C5" w:rsidRPr="00ED75EB">
        <w:rPr>
          <w:rFonts w:eastAsia="Segoe UI" w:cs="Segoe UI"/>
          <w:szCs w:val="18"/>
        </w:rPr>
        <w:t>“</w:t>
      </w:r>
      <w:r>
        <w:t xml:space="preserve"> ist die Gesamtzahl der authentifizierten Azure API for FHIR-Anforderungen des Kunden für einen Anwendbaren Zeitraum in einem bestimmten Microsoft Azure-Abonnement. Die Gesamtzahl der Transaktionsversuche umfasst nicht die API-Anforderungen, die einen Fehlercode zurückgeben und innerhalb eines Fünf-Minuten-Fensters nach Erhalt des ersten Fehlercodes kontinuierlich wiederholt werden.</w:t>
      </w:r>
    </w:p>
    <w:p w14:paraId="08CF0094" w14:textId="77777777" w:rsidR="00BE5E98" w:rsidRDefault="00BE5E98" w:rsidP="00BE5E98">
      <w:pPr>
        <w:pStyle w:val="ProductList-Body"/>
      </w:pPr>
      <w:r>
        <w:t>„</w:t>
      </w:r>
      <w:r>
        <w:rPr>
          <w:b/>
          <w:color w:val="00188F"/>
        </w:rPr>
        <w:t>Fehlerhafte Transaktionen</w:t>
      </w:r>
      <w:r>
        <w:t>“ sind die Menge aller gestellten Anfragen innerhalb der Gesamttransaktionsversuche, die zu einem Fehlercode führen oder anderweitig innerhalb von 60 Sekunden nach dem Erhalt durch den Azure API für FHIR-Service keinen Erfolgscode rückmelden.</w:t>
      </w:r>
    </w:p>
    <w:p w14:paraId="63162907" w14:textId="79B0863D" w:rsidR="00BE5E98" w:rsidRPr="00E53123" w:rsidRDefault="00EE6E3C" w:rsidP="00BE5E98">
      <w:pPr>
        <w:pStyle w:val="ProductList-Body"/>
        <w:rPr>
          <w:b/>
          <w:color w:val="00188F"/>
        </w:rPr>
      </w:pPr>
      <w:r>
        <w:rPr>
          <w:b/>
          <w:color w:val="00188F"/>
        </w:rPr>
        <w:t>Berechnung der Betriebszeit</w:t>
      </w:r>
    </w:p>
    <w:p w14:paraId="6430E0E2" w14:textId="15891A27" w:rsidR="00BE5E98" w:rsidRDefault="00BE5E98" w:rsidP="00BE5E98">
      <w:pPr>
        <w:pStyle w:val="ProductList-Body"/>
      </w:pPr>
      <w:r>
        <w:t>Der „Betriebszeitprozentsatz“ für Azure API für FHIR wird berechnet als Gesamttransaktionsversuche abzüglich Fehlerhafte Transaktionen geteilt durch Gesamttransaktionsversuche multipliziert mit 100. Der Betriebszeitprozentsatz wird durch folgende Formel dargestellt:</w:t>
      </w:r>
    </w:p>
    <w:p w14:paraId="4F5A4D70" w14:textId="2A940042" w:rsidR="00BE5E98" w:rsidRPr="00EF7CF9" w:rsidRDefault="00000000" w:rsidP="00487497">
      <w:pPr>
        <w:spacing w:before="120" w:after="120" w:line="240" w:lineRule="auto"/>
        <w:jc w:val="both"/>
        <w:rPr>
          <w:sz w:val="18"/>
          <w:szCs w:val="18"/>
        </w:rPr>
      </w:pPr>
      <m:oMathPara>
        <m:oMathParaPr>
          <m:jc m:val="center"/>
        </m:oMathParaPr>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Gesamtzahl der Transaktionsversuche abzüglich Fehlerhafte Transaktionen</m:t>
              </m:r>
            </m:num>
            <m:den>
              <m:r>
                <m:rPr>
                  <m:nor/>
                </m:rPr>
                <w:rPr>
                  <w:rFonts w:ascii="Cambria Math" w:hAnsi="Cambria Math" w:cs="Tahoma"/>
                  <w:i/>
                  <w:color w:val="000000" w:themeColor="text1"/>
                  <w:sz w:val="18"/>
                  <w:szCs w:val="18"/>
                </w:rPr>
                <m:t>Gesamtzahl der Transaktionsversuche</m:t>
              </m:r>
            </m:den>
          </m:f>
          <m:r>
            <w:rPr>
              <w:rFonts w:ascii="Cambria Math" w:hAnsi="Cambria Math" w:cs="Tahoma"/>
              <w:color w:val="000000" w:themeColor="text1"/>
              <w:sz w:val="18"/>
              <w:szCs w:val="18"/>
            </w:rPr>
            <m:t xml:space="preserve"> x 100</m:t>
          </m:r>
        </m:oMath>
      </m:oMathPara>
    </w:p>
    <w:p w14:paraId="49903A9B" w14:textId="77777777" w:rsidR="00BE5E98" w:rsidRDefault="00BE5E98" w:rsidP="00BE5E98">
      <w:pPr>
        <w:pStyle w:val="ProductList-Body"/>
      </w:pPr>
      <w:r>
        <w:t>Folgende Service Levels und Servicegutschriften gelten für Azure API for FHIR:</w:t>
      </w:r>
    </w:p>
    <w:p w14:paraId="3D2538E1" w14:textId="77777777" w:rsidR="00BE5E98" w:rsidRPr="00EF7CF9" w:rsidRDefault="00BE5E98" w:rsidP="00BE5E98">
      <w:pPr>
        <w:pStyle w:val="ProductList-Body"/>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E5E98" w:rsidRPr="00B44CF9" w14:paraId="7F8CFD08" w14:textId="77777777" w:rsidTr="000F31B4">
        <w:trPr>
          <w:tblHeader/>
        </w:trPr>
        <w:tc>
          <w:tcPr>
            <w:tcW w:w="5400" w:type="dxa"/>
            <w:shd w:val="clear" w:color="auto" w:fill="0072C6"/>
          </w:tcPr>
          <w:p w14:paraId="5803F125" w14:textId="377E1E92" w:rsidR="00BE5E98"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2A46F761" w14:textId="77777777" w:rsidR="00BE5E98" w:rsidRPr="00EF7CF9" w:rsidRDefault="00BE5E98" w:rsidP="000F31B4">
            <w:pPr>
              <w:pStyle w:val="ProductList-OfferingBody"/>
              <w:jc w:val="center"/>
              <w:rPr>
                <w:color w:val="FFFFFF" w:themeColor="background1"/>
              </w:rPr>
            </w:pPr>
            <w:r>
              <w:rPr>
                <w:color w:val="FFFFFF" w:themeColor="background1"/>
              </w:rPr>
              <w:t>Servicegutschrift</w:t>
            </w:r>
          </w:p>
        </w:tc>
      </w:tr>
      <w:tr w:rsidR="00BE5E98" w:rsidRPr="00B44CF9" w14:paraId="1F772872" w14:textId="77777777" w:rsidTr="000F31B4">
        <w:tc>
          <w:tcPr>
            <w:tcW w:w="5400" w:type="dxa"/>
          </w:tcPr>
          <w:p w14:paraId="5ED40FF8" w14:textId="77777777" w:rsidR="00BE5E98" w:rsidRPr="00EF7CF9" w:rsidRDefault="00BE5E98" w:rsidP="000F31B4">
            <w:pPr>
              <w:pStyle w:val="ProductList-OfferingBody"/>
              <w:jc w:val="center"/>
            </w:pPr>
            <w:r>
              <w:t>&lt; 99,9 %</w:t>
            </w:r>
          </w:p>
        </w:tc>
        <w:tc>
          <w:tcPr>
            <w:tcW w:w="5400" w:type="dxa"/>
          </w:tcPr>
          <w:p w14:paraId="087584E0" w14:textId="77777777" w:rsidR="00BE5E98" w:rsidRPr="00EF7CF9" w:rsidRDefault="00BE5E98" w:rsidP="000F31B4">
            <w:pPr>
              <w:pStyle w:val="ProductList-OfferingBody"/>
              <w:jc w:val="center"/>
            </w:pPr>
            <w:r>
              <w:t>10 %</w:t>
            </w:r>
          </w:p>
        </w:tc>
      </w:tr>
      <w:tr w:rsidR="00BE5E98" w:rsidRPr="00B44CF9" w14:paraId="59510B73" w14:textId="77777777" w:rsidTr="000F31B4">
        <w:tc>
          <w:tcPr>
            <w:tcW w:w="5400" w:type="dxa"/>
          </w:tcPr>
          <w:p w14:paraId="39575131" w14:textId="77777777" w:rsidR="00BE5E98" w:rsidRPr="00EF7CF9" w:rsidRDefault="00BE5E98" w:rsidP="000F31B4">
            <w:pPr>
              <w:pStyle w:val="ProductList-OfferingBody"/>
              <w:jc w:val="center"/>
            </w:pPr>
            <w:r>
              <w:t>&lt; 99 %</w:t>
            </w:r>
          </w:p>
        </w:tc>
        <w:tc>
          <w:tcPr>
            <w:tcW w:w="5400" w:type="dxa"/>
          </w:tcPr>
          <w:p w14:paraId="65D28BFB" w14:textId="77777777" w:rsidR="00BE5E98" w:rsidRPr="00EF7CF9" w:rsidRDefault="00BE5E98" w:rsidP="000F31B4">
            <w:pPr>
              <w:pStyle w:val="ProductList-OfferingBody"/>
              <w:jc w:val="center"/>
            </w:pPr>
            <w:r>
              <w:t>25 %</w:t>
            </w:r>
          </w:p>
        </w:tc>
      </w:tr>
    </w:tbl>
    <w:p w14:paraId="33082C48" w14:textId="4E3F39C5" w:rsidR="00D67F75" w:rsidRPr="00D67F75" w:rsidRDefault="005F7C2C" w:rsidP="00D67F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116FFDA7" w14:textId="77777777" w:rsidR="001712B4" w:rsidRDefault="001712B4" w:rsidP="001712B4">
      <w:pPr>
        <w:pStyle w:val="ProductList-Offering2Heading"/>
        <w:keepNext/>
        <w:tabs>
          <w:tab w:val="clear" w:pos="360"/>
          <w:tab w:val="clear" w:pos="720"/>
          <w:tab w:val="clear" w:pos="1080"/>
        </w:tabs>
        <w:outlineLvl w:val="2"/>
      </w:pPr>
      <w:bookmarkStart w:id="161" w:name="_Toc195543098"/>
      <w:bookmarkStart w:id="162" w:name="_Toc237448952"/>
      <w:r>
        <w:t>API Center-Dienste</w:t>
      </w:r>
      <w:bookmarkEnd w:id="161"/>
      <w:bookmarkEnd w:id="162"/>
    </w:p>
    <w:p w14:paraId="1062B68E" w14:textId="77777777" w:rsidR="001712B4" w:rsidRPr="0018346E" w:rsidRDefault="001712B4" w:rsidP="001712B4">
      <w:pPr>
        <w:spacing w:after="0" w:line="240" w:lineRule="auto"/>
        <w:textAlignment w:val="baseline"/>
        <w:rPr>
          <w:rFonts w:ascii="Calibri" w:hAnsi="Calibri" w:cs="Calibri"/>
          <w:b/>
          <w:color w:val="00188F"/>
          <w:sz w:val="18"/>
          <w:szCs w:val="18"/>
        </w:rPr>
      </w:pPr>
      <w:r>
        <w:rPr>
          <w:rFonts w:ascii="Calibri" w:hAnsi="Calibri" w:cs="Calibri"/>
          <w:b/>
          <w:color w:val="00188F"/>
          <w:sz w:val="18"/>
          <w:szCs w:val="18"/>
        </w:rPr>
        <w:t>Zusätzliche Definitionen: </w:t>
      </w:r>
    </w:p>
    <w:p w14:paraId="3602129E" w14:textId="53413FE6" w:rsidR="001712B4" w:rsidRPr="0018346E" w:rsidRDefault="001712B4" w:rsidP="001712B4">
      <w:pPr>
        <w:spacing w:after="0" w:line="240" w:lineRule="auto"/>
        <w:textAlignment w:val="baseline"/>
        <w:rPr>
          <w:rFonts w:ascii="Calibri" w:eastAsia="Calibri" w:hAnsi="Calibri" w:cs="Arial"/>
          <w:sz w:val="18"/>
        </w:rPr>
      </w:pPr>
      <w:r>
        <w:rPr>
          <w:rFonts w:ascii="Calibri" w:hAnsi="Calibri" w:cs="Calibri"/>
          <w:b/>
          <w:color w:val="00188F"/>
          <w:sz w:val="18"/>
          <w:szCs w:val="18"/>
        </w:rPr>
        <w:t>Bereitstellungsminuten:</w:t>
      </w:r>
      <w:r>
        <w:rPr>
          <w:rFonts w:ascii="Calibri" w:eastAsia="Calibri" w:hAnsi="Calibri" w:cs="Arial"/>
          <w:color w:val="FF0000"/>
          <w:sz w:val="18"/>
        </w:rPr>
        <w:t xml:space="preserve"> </w:t>
      </w:r>
      <w:r>
        <w:rPr>
          <w:rFonts w:ascii="Calibri" w:eastAsia="Calibri" w:hAnsi="Calibri" w:cs="Arial"/>
          <w:sz w:val="18"/>
        </w:rPr>
        <w:t>ist die Gesamtzahl der Minuten, für die eine API Center-Instanz während eines Anwendbaren Zeitraums erworben wurde.</w:t>
      </w:r>
    </w:p>
    <w:p w14:paraId="0891179C" w14:textId="093D2B08" w:rsidR="001712B4" w:rsidRPr="0018346E" w:rsidRDefault="001712B4" w:rsidP="001712B4">
      <w:pPr>
        <w:spacing w:after="0" w:line="240" w:lineRule="auto"/>
        <w:textAlignment w:val="baseline"/>
        <w:rPr>
          <w:rFonts w:ascii="Calibri" w:eastAsia="Calibri" w:hAnsi="Calibri" w:cs="Arial"/>
          <w:sz w:val="18"/>
        </w:rPr>
      </w:pPr>
      <w:r>
        <w:rPr>
          <w:rFonts w:ascii="Calibri" w:hAnsi="Calibri" w:cs="Calibri"/>
          <w:b/>
          <w:color w:val="00188F"/>
          <w:sz w:val="18"/>
          <w:szCs w:val="18"/>
        </w:rPr>
        <w:t>Ressourcen:</w:t>
      </w:r>
      <w:r>
        <w:rPr>
          <w:rFonts w:ascii="Calibri" w:eastAsia="Calibri" w:hAnsi="Calibri" w:cs="Arial"/>
          <w:sz w:val="18"/>
        </w:rPr>
        <w:t xml:space="preserve"> bezeichnet jede API Center-Ressourcenregistrierung in einer API Center-Instanz (wie etwa APIs, API-Definitionen, API-Versionen, API-Bereitstellungen, Umgebungen, Metadaten).</w:t>
      </w:r>
    </w:p>
    <w:p w14:paraId="414377D7" w14:textId="0AA88888" w:rsidR="001712B4" w:rsidRPr="005D18E1" w:rsidRDefault="001712B4" w:rsidP="001712B4">
      <w:pPr>
        <w:spacing w:after="0" w:line="240" w:lineRule="auto"/>
        <w:textAlignment w:val="baseline"/>
        <w:rPr>
          <w:rFonts w:ascii="Calibri" w:eastAsia="Calibri" w:hAnsi="Calibri" w:cs="Arial"/>
          <w:color w:val="FF0000"/>
          <w:sz w:val="18"/>
        </w:rPr>
      </w:pPr>
      <w:r>
        <w:rPr>
          <w:rFonts w:ascii="Calibri" w:hAnsi="Calibri" w:cs="Calibri"/>
          <w:b/>
          <w:color w:val="00188F"/>
          <w:sz w:val="18"/>
          <w:szCs w:val="18"/>
        </w:rPr>
        <w:t>Maximal verfügbare Minuten:</w:t>
      </w:r>
      <w:r>
        <w:rPr>
          <w:rFonts w:ascii="Calibri" w:eastAsia="Calibri" w:hAnsi="Calibri" w:cs="Arial"/>
          <w:color w:val="FF0000"/>
          <w:sz w:val="18"/>
        </w:rPr>
        <w:t xml:space="preserve"> </w:t>
      </w:r>
      <w:r>
        <w:rPr>
          <w:rFonts w:ascii="Calibri" w:eastAsia="Calibri" w:hAnsi="Calibri" w:cs="Arial"/>
          <w:sz w:val="18"/>
        </w:rPr>
        <w:t>ist die Summe aller Bereitstellungsminuten für eine API Center-Instanz in einem bestimmten Microsoft Azure-Abonnement während eines Anwendbaren Zeitraums.</w:t>
      </w:r>
    </w:p>
    <w:p w14:paraId="54594779" w14:textId="7E8A8CD7" w:rsidR="001712B4" w:rsidRPr="005D18E1" w:rsidRDefault="001712B4" w:rsidP="001712B4">
      <w:pPr>
        <w:spacing w:after="0" w:line="240" w:lineRule="auto"/>
        <w:textAlignment w:val="baseline"/>
        <w:rPr>
          <w:rFonts w:ascii="Calibri" w:eastAsia="Calibri" w:hAnsi="Calibri" w:cs="Arial"/>
          <w:color w:val="FF0000"/>
          <w:sz w:val="18"/>
        </w:rPr>
      </w:pPr>
      <w:r>
        <w:rPr>
          <w:rFonts w:ascii="Calibri" w:hAnsi="Calibri" w:cs="Calibri"/>
          <w:b/>
          <w:color w:val="00188F"/>
          <w:sz w:val="18"/>
          <w:szCs w:val="18"/>
        </w:rPr>
        <w:t>Ausfallzeit:</w:t>
      </w:r>
      <w:r>
        <w:rPr>
          <w:rFonts w:ascii="Calibri" w:eastAsia="Calibri" w:hAnsi="Calibri" w:cs="Arial"/>
          <w:color w:val="FF0000"/>
          <w:sz w:val="18"/>
        </w:rPr>
        <w:t xml:space="preserve"> </w:t>
      </w:r>
      <w:r>
        <w:rPr>
          <w:rFonts w:ascii="Calibri" w:eastAsia="Calibri" w:hAnsi="Calibri" w:cs="Arial"/>
          <w:sz w:val="18"/>
        </w:rPr>
        <w:t>Ist die Gesamtzahl der Minuten, in denen eine bestimmte API Center-Datenebene nicht verfügbar ist. Eine Minute gilt für die angegebene API Center-Instanz als nicht verfügbar, wenn alle Versuche der Nutzer, API-Aufrufe über die API Center-Datenebene auszuführen, zu einem Fehlercode führen oder nicht innerhalb von fünf Minuten eine Antwort eingeht.</w:t>
      </w:r>
    </w:p>
    <w:p w14:paraId="0017DB08" w14:textId="244A003B" w:rsidR="001712B4" w:rsidRPr="005D18E1" w:rsidRDefault="001712B4" w:rsidP="001712B4">
      <w:pPr>
        <w:spacing w:after="0" w:line="240" w:lineRule="auto"/>
        <w:textAlignment w:val="baseline"/>
        <w:rPr>
          <w:rFonts w:ascii="Calibri" w:eastAsia="Calibri" w:hAnsi="Calibri" w:cs="Arial"/>
          <w:color w:val="FF0000"/>
          <w:sz w:val="18"/>
        </w:rPr>
      </w:pPr>
      <w:r>
        <w:rPr>
          <w:rFonts w:ascii="Calibri" w:hAnsi="Calibri" w:cs="Calibri"/>
          <w:b/>
          <w:color w:val="00188F"/>
          <w:sz w:val="18"/>
          <w:szCs w:val="18"/>
        </w:rPr>
        <w:t>Betriebszeitprozentsatz:</w:t>
      </w:r>
      <w:r>
        <w:rPr>
          <w:rFonts w:ascii="Calibri" w:eastAsia="Calibri" w:hAnsi="Calibri" w:cs="Arial"/>
          <w:color w:val="FF0000"/>
          <w:sz w:val="18"/>
        </w:rPr>
        <w:t xml:space="preserve"> </w:t>
      </w:r>
      <w:r>
        <w:rPr>
          <w:rFonts w:ascii="Calibri" w:eastAsia="Calibri" w:hAnsi="Calibri" w:cs="Arial"/>
          <w:sz w:val="18"/>
        </w:rPr>
        <w:t>Der Betriebszeitprozentsatz errechnet sich nach folgender Formel:</w:t>
      </w:r>
    </w:p>
    <w:p w14:paraId="12BBED87" w14:textId="77777777" w:rsidR="001712B4" w:rsidRPr="005D18E1" w:rsidRDefault="00000000" w:rsidP="00487497">
      <w:pPr>
        <w:spacing w:before="120" w:after="120" w:line="240" w:lineRule="auto"/>
        <w:jc w:val="both"/>
        <w:rPr>
          <w:rFonts w:ascii="Calibri" w:eastAsia="Calibri" w:hAnsi="Calibri" w:cs="Arial"/>
          <w:color w:val="FF0000"/>
          <w:sz w:val="18"/>
          <w:szCs w:val="18"/>
        </w:rPr>
      </w:pPr>
      <m:oMathPara>
        <m:oMathParaPr>
          <m:jc m:val="center"/>
        </m:oMathParaPr>
        <m:oMath>
          <m:f>
            <m:fPr>
              <m:ctrlPr>
                <w:rPr>
                  <w:rFonts w:ascii="Cambria Math" w:eastAsia="Calibri" w:hAnsi="Cambria Math" w:cs="Arial"/>
                  <w:i/>
                  <w:iCs/>
                  <w:sz w:val="18"/>
                  <w:szCs w:val="18"/>
                </w:rPr>
              </m:ctrlPr>
            </m:fPr>
            <m:num>
              <m:r>
                <w:rPr>
                  <w:rFonts w:ascii="Cambria Math" w:eastAsia="Calibri" w:hAnsi="Cambria Math" w:cs="Arial"/>
                  <w:sz w:val="18"/>
                  <w:szCs w:val="18"/>
                </w:rPr>
                <m:t>Maximal-verfügbare-Minuten-Ausfallzeit</m:t>
              </m:r>
            </m:num>
            <m:den>
              <m:r>
                <w:rPr>
                  <w:rFonts w:ascii="Cambria Math" w:eastAsia="Calibri" w:hAnsi="Cambria Math" w:cs="Arial"/>
                  <w:sz w:val="18"/>
                  <w:szCs w:val="18"/>
                </w:rPr>
                <m:t>Maximal Verfügbare Minuten</m:t>
              </m:r>
            </m:den>
          </m:f>
          <m:r>
            <w:rPr>
              <w:rFonts w:ascii="Cambria Math" w:eastAsia="Calibri" w:hAnsi="Cambria Math" w:cs="Arial"/>
              <w:sz w:val="18"/>
              <w:szCs w:val="18"/>
            </w:rPr>
            <m:t xml:space="preserve"> x 100</m:t>
          </m:r>
        </m:oMath>
      </m:oMathPara>
    </w:p>
    <w:p w14:paraId="4E9421F8" w14:textId="45F78F1B" w:rsidR="001712B4" w:rsidRPr="0018346E" w:rsidRDefault="001712B4" w:rsidP="001712B4">
      <w:pPr>
        <w:tabs>
          <w:tab w:val="left" w:pos="360"/>
          <w:tab w:val="left" w:pos="720"/>
          <w:tab w:val="left" w:pos="1080"/>
        </w:tabs>
        <w:spacing w:after="0" w:line="240" w:lineRule="auto"/>
        <w:rPr>
          <w:rFonts w:ascii="Calibri" w:hAnsi="Calibri" w:cs="Calibri"/>
          <w:b/>
          <w:color w:val="00188F"/>
          <w:sz w:val="18"/>
          <w:szCs w:val="18"/>
        </w:rPr>
      </w:pPr>
      <w:r>
        <w:rPr>
          <w:rFonts w:ascii="Calibri" w:hAnsi="Calibri" w:cs="Calibri"/>
          <w:b/>
          <w:color w:val="00188F"/>
          <w:sz w:val="18"/>
          <w:szCs w:val="18"/>
        </w:rPr>
        <w:t>Servicegutschrift für den kostenlosen Plan, skaliert innerhalb einer einzelnen Region:</w:t>
      </w:r>
    </w:p>
    <w:p w14:paraId="7FCAE0C5" w14:textId="7ACE2C77" w:rsidR="001712B4" w:rsidRPr="007775B3" w:rsidRDefault="001712B4" w:rsidP="007775B3">
      <w:pPr>
        <w:spacing w:after="0" w:line="240" w:lineRule="auto"/>
        <w:textAlignment w:val="baseline"/>
        <w:rPr>
          <w:rFonts w:ascii="Calibri" w:eastAsia="Calibri" w:hAnsi="Calibri" w:cs="Arial"/>
          <w:sz w:val="18"/>
        </w:rPr>
      </w:pPr>
      <w:r>
        <w:rPr>
          <w:rFonts w:ascii="Calibri" w:eastAsia="Calibri" w:hAnsi="Calibri" w:cs="Arial"/>
          <w:sz w:val="18"/>
        </w:rPr>
        <w:t>Keine SLA</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92"/>
        <w:gridCol w:w="5392"/>
      </w:tblGrid>
      <w:tr w:rsidR="001712B4" w:rsidRPr="00E075C6" w14:paraId="3A19CAC2" w14:textId="77777777" w:rsidTr="008C2BE8">
        <w:trPr>
          <w:trHeight w:val="165"/>
        </w:trPr>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251DEE8A" w14:textId="77777777" w:rsidR="001712B4" w:rsidRPr="00E075C6" w:rsidRDefault="001712B4" w:rsidP="008C2BE8">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Betriebszeitprozentsatz </w:t>
            </w:r>
          </w:p>
        </w:tc>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0854D91C" w14:textId="77777777" w:rsidR="001712B4" w:rsidRPr="00E075C6" w:rsidRDefault="001712B4" w:rsidP="008C2BE8">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Servicegutschrift </w:t>
            </w:r>
          </w:p>
        </w:tc>
      </w:tr>
      <w:tr w:rsidR="001712B4" w:rsidRPr="00E075C6" w14:paraId="7668EC6F" w14:textId="77777777" w:rsidTr="008C2BE8">
        <w:trPr>
          <w:trHeight w:val="255"/>
        </w:trPr>
        <w:tc>
          <w:tcPr>
            <w:tcW w:w="2500" w:type="pct"/>
            <w:tcBorders>
              <w:top w:val="single" w:sz="6" w:space="0" w:color="auto"/>
              <w:left w:val="single" w:sz="6" w:space="0" w:color="auto"/>
              <w:bottom w:val="single" w:sz="6" w:space="0" w:color="auto"/>
              <w:right w:val="single" w:sz="6" w:space="0" w:color="auto"/>
            </w:tcBorders>
            <w:hideMark/>
          </w:tcPr>
          <w:p w14:paraId="0A84482D" w14:textId="77777777" w:rsidR="001712B4" w:rsidRPr="0018346E" w:rsidRDefault="001712B4" w:rsidP="008C2BE8">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99,95 % </w:t>
            </w:r>
          </w:p>
        </w:tc>
        <w:tc>
          <w:tcPr>
            <w:tcW w:w="2500" w:type="pct"/>
            <w:tcBorders>
              <w:top w:val="single" w:sz="6" w:space="0" w:color="auto"/>
              <w:left w:val="single" w:sz="6" w:space="0" w:color="auto"/>
              <w:bottom w:val="single" w:sz="6" w:space="0" w:color="auto"/>
              <w:right w:val="single" w:sz="6" w:space="0" w:color="auto"/>
            </w:tcBorders>
            <w:hideMark/>
          </w:tcPr>
          <w:p w14:paraId="0FD195B5" w14:textId="77777777" w:rsidR="001712B4" w:rsidRPr="0018346E" w:rsidRDefault="001712B4" w:rsidP="008C2BE8">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 xml:space="preserve">10 % </w:t>
            </w:r>
          </w:p>
        </w:tc>
      </w:tr>
      <w:tr w:rsidR="001712B4" w:rsidRPr="00E075C6" w14:paraId="5EAE4368" w14:textId="77777777" w:rsidTr="008C2BE8">
        <w:trPr>
          <w:trHeight w:val="165"/>
        </w:trPr>
        <w:tc>
          <w:tcPr>
            <w:tcW w:w="2500" w:type="pct"/>
            <w:tcBorders>
              <w:top w:val="single" w:sz="6" w:space="0" w:color="auto"/>
              <w:left w:val="single" w:sz="6" w:space="0" w:color="auto"/>
              <w:bottom w:val="single" w:sz="6" w:space="0" w:color="auto"/>
              <w:right w:val="single" w:sz="6" w:space="0" w:color="auto"/>
            </w:tcBorders>
            <w:hideMark/>
          </w:tcPr>
          <w:p w14:paraId="32435A8E" w14:textId="77777777" w:rsidR="001712B4" w:rsidRPr="0018346E" w:rsidRDefault="001712B4" w:rsidP="008C2BE8">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 </w:t>
            </w:r>
          </w:p>
        </w:tc>
        <w:tc>
          <w:tcPr>
            <w:tcW w:w="2500" w:type="pct"/>
            <w:tcBorders>
              <w:top w:val="single" w:sz="6" w:space="0" w:color="auto"/>
              <w:left w:val="single" w:sz="6" w:space="0" w:color="auto"/>
              <w:bottom w:val="single" w:sz="6" w:space="0" w:color="auto"/>
              <w:right w:val="single" w:sz="6" w:space="0" w:color="auto"/>
            </w:tcBorders>
            <w:hideMark/>
          </w:tcPr>
          <w:p w14:paraId="5CF5D9B8" w14:textId="77777777" w:rsidR="001712B4" w:rsidRPr="0018346E" w:rsidRDefault="001712B4" w:rsidP="008C2BE8">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 xml:space="preserve">25 % </w:t>
            </w:r>
          </w:p>
        </w:tc>
      </w:tr>
    </w:tbl>
    <w:p w14:paraId="0B89F473" w14:textId="77777777" w:rsidR="001712B4" w:rsidRPr="00D67F75" w:rsidRDefault="001712B4" w:rsidP="001712B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23B44625" w14:textId="47899ACC" w:rsidR="004005AF" w:rsidRPr="00EF7CF9" w:rsidRDefault="004005AF" w:rsidP="004005AF">
      <w:pPr>
        <w:pStyle w:val="ProductList-Offering2Heading"/>
        <w:tabs>
          <w:tab w:val="clear" w:pos="360"/>
          <w:tab w:val="clear" w:pos="720"/>
          <w:tab w:val="clear" w:pos="1080"/>
        </w:tabs>
        <w:outlineLvl w:val="2"/>
      </w:pPr>
      <w:bookmarkStart w:id="163" w:name="_Toc195543099"/>
      <w:bookmarkStart w:id="164" w:name="_Toc237448953"/>
      <w:r>
        <w:t>API-Verwaltungsdienste</w:t>
      </w:r>
      <w:bookmarkEnd w:id="147"/>
      <w:bookmarkEnd w:id="158"/>
      <w:bookmarkEnd w:id="163"/>
      <w:bookmarkEnd w:id="164"/>
    </w:p>
    <w:p w14:paraId="55F3B515" w14:textId="77777777" w:rsidR="004005AF" w:rsidRPr="00EF7CF9" w:rsidRDefault="004005AF" w:rsidP="004005AF">
      <w:pPr>
        <w:pStyle w:val="ProductList-Body"/>
      </w:pPr>
      <w:r>
        <w:rPr>
          <w:b/>
          <w:color w:val="00188F"/>
        </w:rPr>
        <w:t>Zusätzliche Definitionen</w:t>
      </w:r>
      <w:r w:rsidRPr="00ED75EB">
        <w:rPr>
          <w:b/>
          <w:color w:val="00188F"/>
        </w:rPr>
        <w:t>:</w:t>
      </w:r>
    </w:p>
    <w:p w14:paraId="0176D6F3" w14:textId="7C67AAD7" w:rsidR="004005AF" w:rsidRPr="00EF7CF9" w:rsidRDefault="004005AF" w:rsidP="00487497">
      <w:pPr>
        <w:pStyle w:val="ProductList-Body"/>
      </w:pPr>
      <w:r>
        <w:t>„</w:t>
      </w:r>
      <w:r>
        <w:rPr>
          <w:b/>
          <w:color w:val="00188F"/>
        </w:rPr>
        <w:t>Bereitstellungsminuten</w:t>
      </w:r>
      <w:r>
        <w:t>“ bezeichnet die Gesamtminutenanzahl, die eine Instanz des API-Management-Dienstes in Microsoft Azure während eines Anwendbaren Zeitraums bereitgestellt wurde.</w:t>
      </w:r>
    </w:p>
    <w:p w14:paraId="4720E678" w14:textId="3011F836" w:rsidR="004005AF" w:rsidRPr="00EF7CF9" w:rsidRDefault="004005AF" w:rsidP="00487497">
      <w:pPr>
        <w:pStyle w:val="ProductList-Body"/>
      </w:pPr>
      <w:r>
        <w:t>„</w:t>
      </w:r>
      <w:r>
        <w:rPr>
          <w:b/>
          <w:color w:val="00188F"/>
        </w:rPr>
        <w:t>Maximal Verfügbare Minuten</w:t>
      </w:r>
      <w:r>
        <w:t>“ ist die Summe aller Bereitstellungsminuten über alle API-Verwaltungsinstanzen hinweg, die von Ihnen in einem bestimmten Microsoft Azure-Abonnement während eines Anwendbaren Zeitraums bereitgestellt werden.</w:t>
      </w:r>
    </w:p>
    <w:p w14:paraId="54365A4B" w14:textId="166CEE40" w:rsidR="004005AF" w:rsidRPr="00EF7CF9" w:rsidRDefault="00C5689E" w:rsidP="00487497">
      <w:pPr>
        <w:pStyle w:val="ProductList-Body"/>
      </w:pPr>
      <w:r>
        <w:t>„</w:t>
      </w:r>
      <w:r w:rsidR="004005AF">
        <w:rPr>
          <w:b/>
          <w:color w:val="00188F"/>
        </w:rPr>
        <w:t>Proxy</w:t>
      </w:r>
      <w:r w:rsidR="000269C5" w:rsidRPr="00ED75EB">
        <w:rPr>
          <w:rFonts w:eastAsia="Segoe UI" w:cs="Segoe UI"/>
          <w:szCs w:val="18"/>
        </w:rPr>
        <w:t>“</w:t>
      </w:r>
      <w:r w:rsidR="004005AF" w:rsidRPr="00ED75EB">
        <w:rPr>
          <w:b/>
          <w:color w:val="00188F"/>
        </w:rPr>
        <w:t>:</w:t>
      </w:r>
      <w:r w:rsidR="004005AF">
        <w:t xml:space="preserve"> Gemeint ist die Komponente des API-Management-Dienstes, in der API-Anforderungen empfangen und von der diese an die konfigurierte, abhängige API weitergeleitet werden.</w:t>
      </w:r>
    </w:p>
    <w:p w14:paraId="6AEBE793" w14:textId="77777777" w:rsidR="004005AF" w:rsidRPr="00EF7CF9" w:rsidRDefault="004005AF" w:rsidP="00487497">
      <w:pPr>
        <w:pStyle w:val="ProductList-Body"/>
      </w:pPr>
      <w:r>
        <w:rPr>
          <w:b/>
          <w:color w:val="00188F"/>
        </w:rPr>
        <w:t>Ausfallzeit</w:t>
      </w:r>
      <w:r w:rsidRPr="00ED75EB">
        <w:rPr>
          <w:b/>
          <w:color w:val="00188F"/>
        </w:rPr>
        <w:t>:</w:t>
      </w:r>
      <w:r>
        <w:t xml:space="preserve"> Die Gesamtzahl der Bereitstellungsminuten aller API-Verwaltungsinstanzen, die von Ihnen in einem bestimmten Microsoft Azure-Abonnement bereitgestellt werden, während derer der API-Verwaltungsdienst nicht verfügbar ist. Eine Minute gilt für eine bestimmte API-Verwaltungsinstanz als nicht verfügbar, wenn alle fortlaufend unternommenen Versuche zur Durchführung von Vorgängen über den Proxy während der gesamten Minute entweder zu einem Fehlercode führen oder binnen fünf Minuten keinen Erfolgscode zurückgeben.</w:t>
      </w:r>
    </w:p>
    <w:p w14:paraId="20127167" w14:textId="15FEB2D6" w:rsidR="004005AF" w:rsidRPr="00EF7CF9" w:rsidRDefault="00AC48A7" w:rsidP="004005AF">
      <w:pPr>
        <w:pStyle w:val="ProductList-Body"/>
      </w:pPr>
      <w:r>
        <w:rPr>
          <w:b/>
          <w:color w:val="00188F"/>
        </w:rPr>
        <w:t>Betriebszeitprozentsatz</w:t>
      </w:r>
      <w:r w:rsidRPr="00ED75EB">
        <w:rPr>
          <w:b/>
          <w:color w:val="00188F"/>
        </w:rPr>
        <w:t>:</w:t>
      </w:r>
      <w:r>
        <w:t xml:space="preserve"> Der Betriebszeitprozentsatz errechnet sich nach folgender Formel: </w:t>
      </w:r>
    </w:p>
    <w:p w14:paraId="7E953B94" w14:textId="77777777" w:rsidR="004005AF" w:rsidRPr="00EF7CF9" w:rsidRDefault="004005AF" w:rsidP="004005AF">
      <w:pPr>
        <w:pStyle w:val="ProductList-Body"/>
      </w:pPr>
    </w:p>
    <w:p w14:paraId="3E1BA1B0" w14:textId="0ADABBF2" w:rsidR="004005AF" w:rsidRPr="007C7313" w:rsidRDefault="00000000" w:rsidP="004005AF">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4516BFC5" w14:textId="77777777" w:rsidR="004005AF" w:rsidRPr="00EF7CF9" w:rsidRDefault="004005AF" w:rsidP="004005AF">
      <w:pPr>
        <w:pStyle w:val="ProductList-Body"/>
      </w:pPr>
      <w:r>
        <w:rPr>
          <w:b/>
          <w:color w:val="00188F"/>
        </w:rPr>
        <w:t>Servicegutschrift für Verbrauchs-, Basis-, Standard- und Premiumstufe-Bereitstellungen, die innerhalb einer einzigen Region skaliert werden</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434DDD1" w14:textId="77777777" w:rsidTr="00277097">
        <w:trPr>
          <w:tblHeader/>
        </w:trPr>
        <w:tc>
          <w:tcPr>
            <w:tcW w:w="5400" w:type="dxa"/>
            <w:shd w:val="clear" w:color="auto" w:fill="0072C6"/>
          </w:tcPr>
          <w:p w14:paraId="14C7B273" w14:textId="3DCC3411" w:rsidR="004005AF"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4C159D00" w14:textId="77777777" w:rsidR="004005AF" w:rsidRPr="00EF7CF9" w:rsidRDefault="004005AF" w:rsidP="000F31B4">
            <w:pPr>
              <w:pStyle w:val="ProductList-OfferingBody"/>
              <w:jc w:val="center"/>
              <w:rPr>
                <w:color w:val="FFFFFF" w:themeColor="background1"/>
              </w:rPr>
            </w:pPr>
            <w:r>
              <w:rPr>
                <w:color w:val="FFFFFF" w:themeColor="background1"/>
              </w:rPr>
              <w:t>Servicegutschrift</w:t>
            </w:r>
          </w:p>
        </w:tc>
      </w:tr>
      <w:tr w:rsidR="004005AF" w:rsidRPr="00B44CF9" w14:paraId="1AAC8416" w14:textId="77777777" w:rsidTr="00277097">
        <w:tc>
          <w:tcPr>
            <w:tcW w:w="5400" w:type="dxa"/>
          </w:tcPr>
          <w:p w14:paraId="2B2E8C72" w14:textId="77777777" w:rsidR="004005AF" w:rsidRPr="00EF7CF9" w:rsidRDefault="004005AF" w:rsidP="000F31B4">
            <w:pPr>
              <w:pStyle w:val="ProductList-OfferingBody"/>
              <w:jc w:val="center"/>
            </w:pPr>
            <w:r>
              <w:t>&lt; 99,95 %</w:t>
            </w:r>
          </w:p>
        </w:tc>
        <w:tc>
          <w:tcPr>
            <w:tcW w:w="5400" w:type="dxa"/>
          </w:tcPr>
          <w:p w14:paraId="33CEAC16" w14:textId="77777777" w:rsidR="004005AF" w:rsidRPr="00EF7CF9" w:rsidRDefault="004005AF" w:rsidP="000F31B4">
            <w:pPr>
              <w:pStyle w:val="ProductList-OfferingBody"/>
              <w:jc w:val="center"/>
            </w:pPr>
            <w:r>
              <w:t>10 %</w:t>
            </w:r>
          </w:p>
        </w:tc>
      </w:tr>
      <w:tr w:rsidR="004005AF" w:rsidRPr="00B44CF9" w14:paraId="7B316C42" w14:textId="77777777" w:rsidTr="00277097">
        <w:tc>
          <w:tcPr>
            <w:tcW w:w="5400" w:type="dxa"/>
          </w:tcPr>
          <w:p w14:paraId="67540D64" w14:textId="77777777" w:rsidR="004005AF" w:rsidRPr="00EF7CF9" w:rsidRDefault="004005AF" w:rsidP="000F31B4">
            <w:pPr>
              <w:pStyle w:val="ProductList-OfferingBody"/>
              <w:jc w:val="center"/>
            </w:pPr>
            <w:r>
              <w:t>&lt; 99 %</w:t>
            </w:r>
          </w:p>
        </w:tc>
        <w:tc>
          <w:tcPr>
            <w:tcW w:w="5400" w:type="dxa"/>
          </w:tcPr>
          <w:p w14:paraId="1E92A785" w14:textId="77777777" w:rsidR="004005AF" w:rsidRPr="00EF7CF9" w:rsidRDefault="004005AF" w:rsidP="000F31B4">
            <w:pPr>
              <w:pStyle w:val="ProductList-OfferingBody"/>
              <w:jc w:val="center"/>
            </w:pPr>
            <w:r>
              <w:t>25 %</w:t>
            </w:r>
          </w:p>
        </w:tc>
      </w:tr>
    </w:tbl>
    <w:p w14:paraId="2336717E" w14:textId="77777777" w:rsidR="004005AF" w:rsidRPr="00EF7CF9" w:rsidRDefault="004005AF" w:rsidP="002C5FE9">
      <w:pPr>
        <w:pStyle w:val="ProductList-Body"/>
        <w:spacing w:before="120"/>
        <w:rPr>
          <w:b/>
          <w:color w:val="00188F"/>
        </w:rPr>
      </w:pPr>
      <w:r>
        <w:rPr>
          <w:b/>
          <w:color w:val="00188F"/>
        </w:rPr>
        <w:t>Servicegutschrift für Premiumstufe-Bereitstellungen, die auf zwei oder mehr Regionen verteilt sind</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9BD8620" w14:textId="77777777" w:rsidTr="00277097">
        <w:trPr>
          <w:tblHeader/>
        </w:trPr>
        <w:tc>
          <w:tcPr>
            <w:tcW w:w="5400" w:type="dxa"/>
            <w:shd w:val="clear" w:color="auto" w:fill="0072C6"/>
          </w:tcPr>
          <w:p w14:paraId="7AACA877" w14:textId="5DF63A21" w:rsidR="004005AF"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4CC7D830" w14:textId="77777777" w:rsidR="004005AF" w:rsidRPr="00EF7CF9" w:rsidRDefault="004005AF" w:rsidP="000F31B4">
            <w:pPr>
              <w:pStyle w:val="ProductList-OfferingBody"/>
              <w:jc w:val="center"/>
              <w:rPr>
                <w:color w:val="FFFFFF" w:themeColor="background1"/>
              </w:rPr>
            </w:pPr>
            <w:r>
              <w:rPr>
                <w:color w:val="FFFFFF" w:themeColor="background1"/>
              </w:rPr>
              <w:t>Servicegutschrift</w:t>
            </w:r>
          </w:p>
        </w:tc>
      </w:tr>
      <w:tr w:rsidR="004005AF" w:rsidRPr="00B44CF9" w14:paraId="3A492BB1" w14:textId="77777777" w:rsidTr="00277097">
        <w:tc>
          <w:tcPr>
            <w:tcW w:w="5400" w:type="dxa"/>
            <w:tcBorders>
              <w:bottom w:val="single" w:sz="4" w:space="0" w:color="000000" w:themeColor="text1"/>
            </w:tcBorders>
          </w:tcPr>
          <w:p w14:paraId="66CF478C" w14:textId="77777777" w:rsidR="004005AF" w:rsidRPr="00EF7CF9" w:rsidRDefault="004005AF" w:rsidP="000F31B4">
            <w:pPr>
              <w:pStyle w:val="ProductList-OfferingBody"/>
              <w:jc w:val="center"/>
            </w:pPr>
            <w:r>
              <w:t>&lt; 99,99 %</w:t>
            </w:r>
          </w:p>
        </w:tc>
        <w:tc>
          <w:tcPr>
            <w:tcW w:w="5400" w:type="dxa"/>
            <w:tcBorders>
              <w:bottom w:val="single" w:sz="4" w:space="0" w:color="000000" w:themeColor="text1"/>
            </w:tcBorders>
          </w:tcPr>
          <w:p w14:paraId="38F8C277" w14:textId="77777777" w:rsidR="004005AF" w:rsidRPr="00EF7CF9" w:rsidRDefault="004005AF" w:rsidP="000F31B4">
            <w:pPr>
              <w:pStyle w:val="ProductList-OfferingBody"/>
              <w:jc w:val="center"/>
            </w:pPr>
            <w:r>
              <w:t>10 %</w:t>
            </w:r>
          </w:p>
        </w:tc>
      </w:tr>
      <w:tr w:rsidR="004005AF" w:rsidRPr="00B44CF9" w14:paraId="46F6100C" w14:textId="77777777" w:rsidTr="00277097">
        <w:tc>
          <w:tcPr>
            <w:tcW w:w="5400" w:type="dxa"/>
            <w:tcBorders>
              <w:bottom w:val="single" w:sz="4" w:space="0" w:color="auto"/>
            </w:tcBorders>
          </w:tcPr>
          <w:p w14:paraId="241E04B0" w14:textId="77777777" w:rsidR="004005AF" w:rsidRPr="00EF7CF9" w:rsidRDefault="004005AF" w:rsidP="000F31B4">
            <w:pPr>
              <w:pStyle w:val="ProductList-OfferingBody"/>
              <w:keepNext/>
              <w:jc w:val="center"/>
            </w:pPr>
            <w:r>
              <w:t>&lt; 99 %</w:t>
            </w:r>
          </w:p>
        </w:tc>
        <w:tc>
          <w:tcPr>
            <w:tcW w:w="5400" w:type="dxa"/>
            <w:tcBorders>
              <w:bottom w:val="single" w:sz="4" w:space="0" w:color="auto"/>
            </w:tcBorders>
          </w:tcPr>
          <w:p w14:paraId="2EA6902E" w14:textId="77777777" w:rsidR="004005AF" w:rsidRPr="00EF7CF9" w:rsidRDefault="004005AF" w:rsidP="000F31B4">
            <w:pPr>
              <w:pStyle w:val="ProductList-OfferingBody"/>
              <w:jc w:val="center"/>
            </w:pPr>
            <w:r>
              <w:t>25 %</w:t>
            </w:r>
          </w:p>
        </w:tc>
      </w:tr>
    </w:tbl>
    <w:bookmarkStart w:id="165" w:name="AppService"/>
    <w:bookmarkStart w:id="166" w:name="_Toc52348996"/>
    <w:bookmarkStart w:id="167" w:name="_Toc457821536"/>
    <w:bookmarkStart w:id="168" w:name="_Toc52348919"/>
    <w:bookmarkEnd w:id="165"/>
    <w:p w14:paraId="5B978DB6" w14:textId="7B962E20" w:rsidR="00D67F75" w:rsidRPr="00D67F75" w:rsidRDefault="005F7C2C" w:rsidP="00D67F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36F39B64" w14:textId="77777777" w:rsidR="004F4126" w:rsidRPr="00EF7CF9" w:rsidRDefault="004F4126" w:rsidP="00FD5737">
      <w:pPr>
        <w:pStyle w:val="ProductList-Offering2Heading"/>
        <w:keepNext/>
        <w:tabs>
          <w:tab w:val="clear" w:pos="360"/>
          <w:tab w:val="clear" w:pos="720"/>
          <w:tab w:val="clear" w:pos="1080"/>
        </w:tabs>
        <w:outlineLvl w:val="2"/>
      </w:pPr>
      <w:bookmarkStart w:id="169" w:name="_Toc195543100"/>
      <w:bookmarkStart w:id="170" w:name="_Toc237448954"/>
      <w:r>
        <w:t>App Center</w:t>
      </w:r>
      <w:bookmarkEnd w:id="169"/>
      <w:bookmarkEnd w:id="170"/>
      <w:r>
        <w:t xml:space="preserve"> </w:t>
      </w:r>
      <w:bookmarkEnd w:id="166"/>
    </w:p>
    <w:p w14:paraId="3A9D0D7E" w14:textId="77777777" w:rsidR="004F4126" w:rsidRPr="00EF7CF9" w:rsidRDefault="004F4126" w:rsidP="00FD5737">
      <w:pPr>
        <w:pStyle w:val="ProductList-Body"/>
        <w:keepNext/>
        <w:rPr>
          <w:b/>
          <w:color w:val="00188F"/>
        </w:rPr>
      </w:pPr>
      <w:r>
        <w:rPr>
          <w:b/>
          <w:color w:val="00188F"/>
        </w:rPr>
        <w:t>Zusätzliche Definitionen</w:t>
      </w:r>
      <w:r w:rsidRPr="00ED75EB">
        <w:rPr>
          <w:b/>
          <w:color w:val="00188F"/>
        </w:rPr>
        <w:t>:</w:t>
      </w:r>
    </w:p>
    <w:p w14:paraId="361B5D29" w14:textId="77777777" w:rsidR="004F4126" w:rsidRPr="00EF7CF9" w:rsidRDefault="004F4126" w:rsidP="004F4126">
      <w:pPr>
        <w:pStyle w:val="ProductList-Body"/>
      </w:pPr>
      <w:r>
        <w:t>„</w:t>
      </w:r>
      <w:r>
        <w:rPr>
          <w:b/>
          <w:color w:val="00188F"/>
        </w:rPr>
        <w:t>Builddienst</w:t>
      </w:r>
      <w:r>
        <w:t>“ ist eine Funktion, mit der Kunden ihre mobilen Anwendungen im Visual Studio App Center erstellen können.</w:t>
      </w:r>
    </w:p>
    <w:p w14:paraId="52D1C52F" w14:textId="2C8EA4DB" w:rsidR="004F4126" w:rsidRPr="009E2B16" w:rsidRDefault="004F4126" w:rsidP="004F4126">
      <w:pPr>
        <w:spacing w:after="0" w:line="240" w:lineRule="auto"/>
        <w:rPr>
          <w:sz w:val="18"/>
          <w:szCs w:val="18"/>
        </w:rPr>
      </w:pPr>
      <w:r>
        <w:rPr>
          <w:sz w:val="18"/>
          <w:szCs w:val="18"/>
        </w:rPr>
        <w:t>„</w:t>
      </w:r>
      <w:r>
        <w:rPr>
          <w:b/>
          <w:color w:val="00188F"/>
          <w:sz w:val="18"/>
        </w:rPr>
        <w:t>Testdienst</w:t>
      </w:r>
      <w:r>
        <w:rPr>
          <w:sz w:val="18"/>
          <w:szCs w:val="18"/>
        </w:rPr>
        <w:t>“ ist eine Funktion, mit der Kunden Tests für ihre mobilen Anwendungen auf physischen Geräten hochladen und ausführen können, die</w:t>
      </w:r>
      <w:r w:rsidR="00C74AA0">
        <w:rPr>
          <w:sz w:val="18"/>
          <w:szCs w:val="18"/>
        </w:rPr>
        <w:t> </w:t>
      </w:r>
      <w:r>
        <w:rPr>
          <w:sz w:val="18"/>
          <w:szCs w:val="18"/>
        </w:rPr>
        <w:t>in Visual Studio App Center laufen.</w:t>
      </w:r>
    </w:p>
    <w:p w14:paraId="54868D5D" w14:textId="4E232D3E" w:rsidR="004F4126" w:rsidRPr="00EF7CF9" w:rsidRDefault="00C5689E" w:rsidP="004F4126">
      <w:pPr>
        <w:pStyle w:val="ProductList-Body"/>
      </w:pPr>
      <w:r>
        <w:t>„</w:t>
      </w:r>
      <w:r w:rsidR="004F4126">
        <w:rPr>
          <w:b/>
          <w:color w:val="00188F"/>
          <w:szCs w:val="18"/>
        </w:rPr>
        <w:t>Pushbenachrichtigungsdienst</w:t>
      </w:r>
      <w:r w:rsidR="000269C5" w:rsidRPr="00ED75EB">
        <w:rPr>
          <w:rFonts w:eastAsia="Segoe UI" w:cs="Segoe UI"/>
          <w:szCs w:val="18"/>
        </w:rPr>
        <w:t>“</w:t>
      </w:r>
      <w:r w:rsidR="004F4126">
        <w:rPr>
          <w:szCs w:val="18"/>
        </w:rPr>
        <w:t xml:space="preserve"> ist eine Funktion, mit der Kunden Push-Nachrichten an bestimmte Geräte senden können, die für den Empfang solcher Nachrichten mit Visual Studio App Center konfiguriert sind.</w:t>
      </w:r>
    </w:p>
    <w:p w14:paraId="48EA1B33" w14:textId="4A20E88B" w:rsidR="004F4126" w:rsidRPr="00ED4527" w:rsidRDefault="00EE6E3C" w:rsidP="004F4126">
      <w:pPr>
        <w:pStyle w:val="ProductList-Body"/>
        <w:spacing w:before="120"/>
        <w:rPr>
          <w:b/>
          <w:bCs/>
          <w:color w:val="00188F"/>
        </w:rPr>
      </w:pPr>
      <w:r>
        <w:rPr>
          <w:b/>
          <w:bCs/>
          <w:color w:val="00188F"/>
        </w:rPr>
        <w:t>Berechnung der Betriebszeit und Service-Levels für Visual Studio App Center-Build-Dienste</w:t>
      </w:r>
    </w:p>
    <w:p w14:paraId="58225B60" w14:textId="6B85ED31" w:rsidR="004F4126" w:rsidRPr="00EF7CF9" w:rsidRDefault="004F4126" w:rsidP="004F4126">
      <w:pPr>
        <w:pStyle w:val="ProductList-Body"/>
      </w:pPr>
      <w:r>
        <w:t>„</w:t>
      </w:r>
      <w:r>
        <w:rPr>
          <w:b/>
          <w:color w:val="00188F"/>
        </w:rPr>
        <w:t>Maximal Verfügbare Minuten</w:t>
      </w:r>
      <w:r>
        <w:t>“ ist die Gesamtzahl der Minuten, für die der Kunde den Build-Dienst für ein bestimmtes Microsoft Azure-Abonnement während eines Anwendbaren Zeitraums bereitgestellt hat.</w:t>
      </w:r>
    </w:p>
    <w:p w14:paraId="391868A3" w14:textId="77777777" w:rsidR="004F4126" w:rsidRPr="00EF7CF9" w:rsidRDefault="004F4126" w:rsidP="004F4126">
      <w:pPr>
        <w:pStyle w:val="ProductList-Body"/>
      </w:pPr>
      <w:r>
        <w:t>„</w:t>
      </w:r>
      <w:r>
        <w:rPr>
          <w:b/>
          <w:color w:val="00188F"/>
        </w:rPr>
        <w:t>Ausfallzeit</w:t>
      </w:r>
      <w:r>
        <w:t>“ ist die Gesamtzahl der Minuten innerhalb der Maximal verfügbaren Minuten, in denen der Builddienst nicht verfügbar ist. Eine Minute gilt als nicht verfügbar, wenn alle kontinuierlichen HTTP-Anfragen an den Builddienst zur Durchführung von Vorgängen, die vom Kunden während der Minute initiiert wurden, entweder zu einem Fehlercode führen oder innerhalb einer Minute keine Antwort zurückgeben.</w:t>
      </w:r>
    </w:p>
    <w:p w14:paraId="78730B3B" w14:textId="16C2028C" w:rsidR="004F4126" w:rsidRPr="00EF7CF9" w:rsidRDefault="00AC48A7" w:rsidP="004F4126">
      <w:pPr>
        <w:pStyle w:val="ProductList-Body"/>
      </w:pPr>
      <w:r>
        <w:rPr>
          <w:b/>
          <w:color w:val="00188F"/>
        </w:rPr>
        <w:t>Betriebszeitprozentsatz</w:t>
      </w:r>
      <w:r w:rsidRPr="00ED75EB">
        <w:rPr>
          <w:b/>
          <w:color w:val="00188F"/>
        </w:rPr>
        <w:t>:</w:t>
      </w:r>
      <w:r>
        <w:t xml:space="preserve"> Der „Betriebszeitprozentsatz“ für den Visual Studio App Center-Build-Dienst wird berechnet als die Maximal Verfügbaren Minuten minus Ausfallzeit geteilt durch die Maximal Verfügbaren Minuten multipliziert mit 100. Der Betriebszeitprozentsatz wird mithilfe der folgenden Formel berechnet:</w:t>
      </w:r>
    </w:p>
    <w:p w14:paraId="63B39C84" w14:textId="0468EFD6" w:rsidR="004F4126" w:rsidRPr="007C7313" w:rsidRDefault="00000000" w:rsidP="004F4126">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2A8F96D0" w14:textId="3AE0CA7D" w:rsidR="00881D39" w:rsidRDefault="004F4126" w:rsidP="007C05A9">
      <w:pPr>
        <w:rPr>
          <w:rFonts w:eastAsiaTheme="minorEastAsia"/>
          <w:sz w:val="18"/>
          <w:szCs w:val="18"/>
          <w:lang w:eastAsia="zh-TW"/>
        </w:rPr>
      </w:pPr>
      <w:r>
        <w:rPr>
          <w:rFonts w:eastAsiaTheme="minorEastAsia"/>
          <w:sz w:val="18"/>
          <w:szCs w:val="18"/>
        </w:rPr>
        <w:t xml:space="preserve">Die folgenden Service-Levels und Servicegutschriften gelten für die Nutzung des Visual Studio App Center-Build-Dienstes durch den Kunden. </w:t>
      </w:r>
    </w:p>
    <w:p w14:paraId="16509D13" w14:textId="3CE4A4B5" w:rsidR="004F4126" w:rsidRPr="00EF7CF9" w:rsidRDefault="004F4126" w:rsidP="007C05A9">
      <w:pPr>
        <w:pStyle w:val="ProductList-Body"/>
        <w:keepNext/>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397A3689" w14:textId="77777777" w:rsidTr="00277097">
        <w:trPr>
          <w:tblHeader/>
        </w:trPr>
        <w:tc>
          <w:tcPr>
            <w:tcW w:w="5400" w:type="dxa"/>
            <w:tcBorders>
              <w:bottom w:val="single" w:sz="4" w:space="0" w:color="auto"/>
            </w:tcBorders>
            <w:shd w:val="clear" w:color="auto" w:fill="0072C6"/>
          </w:tcPr>
          <w:p w14:paraId="2DA692FB" w14:textId="2BE861E5" w:rsidR="004F4126"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tcBorders>
              <w:bottom w:val="single" w:sz="4" w:space="0" w:color="auto"/>
            </w:tcBorders>
            <w:shd w:val="clear" w:color="auto" w:fill="0072C6"/>
          </w:tcPr>
          <w:p w14:paraId="6A61800C" w14:textId="77777777" w:rsidR="004F4126" w:rsidRPr="00EF7CF9" w:rsidRDefault="004F4126" w:rsidP="000F31B4">
            <w:pPr>
              <w:pStyle w:val="ProductList-OfferingBody"/>
              <w:jc w:val="center"/>
              <w:rPr>
                <w:color w:val="FFFFFF" w:themeColor="background1"/>
              </w:rPr>
            </w:pPr>
            <w:r>
              <w:rPr>
                <w:color w:val="FFFFFF" w:themeColor="background1"/>
              </w:rPr>
              <w:t>Servicegutschrift</w:t>
            </w:r>
          </w:p>
        </w:tc>
      </w:tr>
      <w:tr w:rsidR="004F4126" w:rsidRPr="00B44CF9" w14:paraId="126D1ECD" w14:textId="77777777" w:rsidTr="00277097">
        <w:tc>
          <w:tcPr>
            <w:tcW w:w="5400" w:type="dxa"/>
            <w:tcBorders>
              <w:top w:val="single" w:sz="4" w:space="0" w:color="auto"/>
              <w:left w:val="single" w:sz="4" w:space="0" w:color="auto"/>
              <w:bottom w:val="single" w:sz="4" w:space="0" w:color="auto"/>
              <w:right w:val="single" w:sz="4" w:space="0" w:color="auto"/>
            </w:tcBorders>
          </w:tcPr>
          <w:p w14:paraId="208AE802" w14:textId="77777777" w:rsidR="004F4126" w:rsidRPr="00EF7CF9" w:rsidRDefault="004F4126" w:rsidP="000F31B4">
            <w:pPr>
              <w:pStyle w:val="ProductList-OfferingBody"/>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0BF35E16" w14:textId="77777777" w:rsidR="004F4126" w:rsidRPr="00EF7CF9" w:rsidRDefault="004F4126" w:rsidP="000F31B4">
            <w:pPr>
              <w:pStyle w:val="ProductList-OfferingBody"/>
              <w:jc w:val="center"/>
            </w:pPr>
            <w:r>
              <w:t>10 %</w:t>
            </w:r>
          </w:p>
        </w:tc>
      </w:tr>
      <w:tr w:rsidR="004F4126" w:rsidRPr="00B44CF9" w14:paraId="53F4D4E6" w14:textId="77777777" w:rsidTr="00277097">
        <w:tc>
          <w:tcPr>
            <w:tcW w:w="5400" w:type="dxa"/>
            <w:tcBorders>
              <w:top w:val="single" w:sz="4" w:space="0" w:color="auto"/>
              <w:left w:val="single" w:sz="4" w:space="0" w:color="auto"/>
              <w:bottom w:val="single" w:sz="4" w:space="0" w:color="auto"/>
              <w:right w:val="single" w:sz="4" w:space="0" w:color="auto"/>
            </w:tcBorders>
          </w:tcPr>
          <w:p w14:paraId="7F4369C6" w14:textId="77777777" w:rsidR="004F4126" w:rsidRPr="00EF7CF9" w:rsidRDefault="004F4126" w:rsidP="004F4126">
            <w:pPr>
              <w:pStyle w:val="ProductList-OfferingBody"/>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583DBFD3" w14:textId="77777777" w:rsidR="004F4126" w:rsidRPr="00EF7CF9" w:rsidRDefault="004F4126" w:rsidP="004F4126">
            <w:pPr>
              <w:pStyle w:val="ProductList-OfferingBody"/>
              <w:jc w:val="center"/>
            </w:pPr>
            <w:r>
              <w:t>25 %</w:t>
            </w:r>
          </w:p>
        </w:tc>
      </w:tr>
    </w:tbl>
    <w:p w14:paraId="72984DD3" w14:textId="5ED863CC" w:rsidR="004F4126" w:rsidRPr="00ED4527" w:rsidRDefault="00EE6E3C" w:rsidP="00123CD3">
      <w:pPr>
        <w:pStyle w:val="ProductList-Body"/>
        <w:spacing w:before="120"/>
        <w:rPr>
          <w:b/>
          <w:bCs/>
          <w:color w:val="00188F"/>
        </w:rPr>
      </w:pPr>
      <w:r>
        <w:rPr>
          <w:b/>
          <w:bCs/>
          <w:color w:val="00188F"/>
        </w:rPr>
        <w:lastRenderedPageBreak/>
        <w:t>Berechnung der Betriebszeit und Service-Levels für den Visual Studio App Center-Testdienst</w:t>
      </w:r>
    </w:p>
    <w:p w14:paraId="57EE826D" w14:textId="06C3BD2E" w:rsidR="004F4126" w:rsidRPr="00EF7CF9" w:rsidRDefault="004F4126" w:rsidP="004F4126">
      <w:pPr>
        <w:pStyle w:val="ProductList-Body"/>
      </w:pPr>
      <w:r>
        <w:t>„</w:t>
      </w:r>
      <w:r>
        <w:rPr>
          <w:b/>
          <w:color w:val="00188F"/>
        </w:rPr>
        <w:t>Maximal Verfügbare Minuten</w:t>
      </w:r>
      <w:r>
        <w:t>“ ist die Gesamtzahl der Minuten, für die der Kunde den Testdienst für ein bestimmtes Microsoft Azure-Abonnement während eines Anwendbaren Zeitraums bereitgestellt hat.</w:t>
      </w:r>
    </w:p>
    <w:p w14:paraId="740E634A" w14:textId="4B276A5E" w:rsidR="004F4126" w:rsidRPr="00EF7CF9" w:rsidRDefault="004F4126" w:rsidP="004F4126">
      <w:pPr>
        <w:pStyle w:val="ProductList-Body"/>
      </w:pPr>
      <w:r>
        <w:rPr>
          <w:b/>
          <w:color w:val="00188F"/>
        </w:rPr>
        <w:t>Ausfallzeit</w:t>
      </w:r>
      <w:r w:rsidRPr="00ED75EB">
        <w:rPr>
          <w:b/>
          <w:color w:val="00188F"/>
        </w:rPr>
        <w:t>:</w:t>
      </w:r>
      <w:r>
        <w:t xml:space="preserve"> Gesamtzahl der Minuten innerhalb der Maximal verfügbaren Minuten, in denen der Testdienst nicht verfügbar ist. Eine Minute gilt als</w:t>
      </w:r>
      <w:r w:rsidR="004A7952">
        <w:t> </w:t>
      </w:r>
      <w:r>
        <w:t>nicht verfügbar, wenn alle kontinuierlichen HTTP-Anfragen an den Testdienst zur Durchführung von Vorgängen, die vom Kunden während der</w:t>
      </w:r>
      <w:r w:rsidR="004A7952">
        <w:t> </w:t>
      </w:r>
      <w:r>
        <w:t>Minute initiiert wurden, entweder zu einem Fehlercode führen oder innerhalb einer Minute keine Antwort zurückgeben.</w:t>
      </w:r>
    </w:p>
    <w:p w14:paraId="670409F6" w14:textId="65EF2F12" w:rsidR="004F4126" w:rsidRPr="00EF7CF9" w:rsidRDefault="00AC48A7" w:rsidP="004F4126">
      <w:pPr>
        <w:pStyle w:val="ProductList-Body"/>
      </w:pPr>
      <w:r>
        <w:rPr>
          <w:b/>
          <w:color w:val="00188F"/>
        </w:rPr>
        <w:t>Betriebszeitprozentsatz</w:t>
      </w:r>
      <w:r w:rsidRPr="00ED75EB">
        <w:rPr>
          <w:b/>
          <w:color w:val="00188F"/>
        </w:rPr>
        <w:t>:</w:t>
      </w:r>
      <w:r>
        <w:t xml:space="preserve"> Der „Betriebszeitprozentsatz“ für den Visual Studio App Center-Testdienst wird berechnet als die Maximal Verfügbaren Minuten minus Ausfallzeit geteilt durch die Maximal Verfügbaren Minuten multipliziert mit 100. Der Betriebszeitprozentsatz wird mithilfe der folgenden Formel berechnet:</w:t>
      </w:r>
    </w:p>
    <w:p w14:paraId="75B31A28" w14:textId="48C58BB4" w:rsidR="004F4126" w:rsidRPr="007C7313" w:rsidRDefault="00000000" w:rsidP="004F4126">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72FF76E0" w14:textId="5CC4F79F" w:rsidR="004F4126" w:rsidRPr="00EF7CF9" w:rsidRDefault="004F4126" w:rsidP="004F4126">
      <w:pPr>
        <w:spacing w:after="0" w:line="240" w:lineRule="auto"/>
        <w:rPr>
          <w:rFonts w:eastAsiaTheme="minorEastAsia"/>
          <w:sz w:val="18"/>
          <w:szCs w:val="18"/>
          <w:lang w:eastAsia="zh-TW"/>
        </w:rPr>
      </w:pPr>
      <w:r>
        <w:rPr>
          <w:rFonts w:eastAsiaTheme="minorEastAsia"/>
          <w:sz w:val="18"/>
          <w:szCs w:val="18"/>
        </w:rPr>
        <w:t xml:space="preserve">Die folgenden Service-Levels und Servicegutschriften gelten für die Nutzung des Visual Studio App Center-Testdienstes durch den Kunden. </w:t>
      </w:r>
    </w:p>
    <w:p w14:paraId="4D806370" w14:textId="77777777" w:rsidR="004F4126" w:rsidRPr="009E2B16" w:rsidRDefault="004F4126" w:rsidP="004F4126">
      <w:pPr>
        <w:pStyle w:val="ProductList-Body"/>
      </w:pPr>
    </w:p>
    <w:p w14:paraId="5173A776" w14:textId="77777777" w:rsidR="004F4126" w:rsidRPr="00EF7CF9" w:rsidRDefault="004F4126" w:rsidP="004F4126">
      <w:pPr>
        <w:pStyle w:val="ProductList-Body"/>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0117F8F5" w14:textId="77777777" w:rsidTr="00277097">
        <w:trPr>
          <w:tblHeader/>
        </w:trPr>
        <w:tc>
          <w:tcPr>
            <w:tcW w:w="5400" w:type="dxa"/>
            <w:tcBorders>
              <w:bottom w:val="single" w:sz="4" w:space="0" w:color="auto"/>
            </w:tcBorders>
            <w:shd w:val="clear" w:color="auto" w:fill="0072C6"/>
          </w:tcPr>
          <w:p w14:paraId="5CEC49A9" w14:textId="23EDBFE6" w:rsidR="004F4126"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tcBorders>
              <w:bottom w:val="single" w:sz="4" w:space="0" w:color="auto"/>
            </w:tcBorders>
            <w:shd w:val="clear" w:color="auto" w:fill="0072C6"/>
          </w:tcPr>
          <w:p w14:paraId="6FD2B288" w14:textId="77777777" w:rsidR="004F4126" w:rsidRPr="00EF7CF9" w:rsidRDefault="004F4126" w:rsidP="000F31B4">
            <w:pPr>
              <w:pStyle w:val="ProductList-OfferingBody"/>
              <w:jc w:val="center"/>
              <w:rPr>
                <w:color w:val="FFFFFF" w:themeColor="background1"/>
              </w:rPr>
            </w:pPr>
            <w:r>
              <w:rPr>
                <w:color w:val="FFFFFF" w:themeColor="background1"/>
              </w:rPr>
              <w:t>Servicegutschrift</w:t>
            </w:r>
          </w:p>
        </w:tc>
      </w:tr>
      <w:tr w:rsidR="004F4126" w:rsidRPr="00B44CF9" w14:paraId="2D9E3271" w14:textId="77777777" w:rsidTr="00277097">
        <w:tc>
          <w:tcPr>
            <w:tcW w:w="5400" w:type="dxa"/>
            <w:tcBorders>
              <w:top w:val="single" w:sz="4" w:space="0" w:color="auto"/>
              <w:left w:val="single" w:sz="4" w:space="0" w:color="auto"/>
              <w:bottom w:val="single" w:sz="4" w:space="0" w:color="auto"/>
              <w:right w:val="single" w:sz="4" w:space="0" w:color="auto"/>
            </w:tcBorders>
          </w:tcPr>
          <w:p w14:paraId="0FB671B3" w14:textId="77777777" w:rsidR="004F4126" w:rsidRPr="00EF7CF9" w:rsidRDefault="004F4126" w:rsidP="000F31B4">
            <w:pPr>
              <w:pStyle w:val="ProductList-OfferingBody"/>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65349753" w14:textId="77777777" w:rsidR="004F4126" w:rsidRPr="00EF7CF9" w:rsidRDefault="004F4126" w:rsidP="000F31B4">
            <w:pPr>
              <w:pStyle w:val="ProductList-OfferingBody"/>
              <w:jc w:val="center"/>
            </w:pPr>
            <w:r>
              <w:t>10 %</w:t>
            </w:r>
          </w:p>
        </w:tc>
      </w:tr>
      <w:tr w:rsidR="004F4126" w:rsidRPr="00B44CF9" w14:paraId="73A9D5E6" w14:textId="77777777" w:rsidTr="00277097">
        <w:tc>
          <w:tcPr>
            <w:tcW w:w="5400" w:type="dxa"/>
            <w:tcBorders>
              <w:top w:val="single" w:sz="4" w:space="0" w:color="auto"/>
              <w:left w:val="single" w:sz="4" w:space="0" w:color="auto"/>
              <w:bottom w:val="single" w:sz="4" w:space="0" w:color="auto"/>
              <w:right w:val="single" w:sz="4" w:space="0" w:color="auto"/>
            </w:tcBorders>
          </w:tcPr>
          <w:p w14:paraId="2901EEC5" w14:textId="77777777" w:rsidR="004F4126" w:rsidRPr="00EF7CF9" w:rsidRDefault="004F4126" w:rsidP="000F31B4">
            <w:pPr>
              <w:pStyle w:val="ProductList-OfferingBody"/>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4A31CD9D" w14:textId="77777777" w:rsidR="004F4126" w:rsidRPr="00EF7CF9" w:rsidRDefault="004F4126" w:rsidP="000F31B4">
            <w:pPr>
              <w:pStyle w:val="ProductList-OfferingBody"/>
              <w:keepNext/>
              <w:jc w:val="center"/>
            </w:pPr>
            <w:r>
              <w:t>25 %</w:t>
            </w:r>
          </w:p>
        </w:tc>
      </w:tr>
    </w:tbl>
    <w:p w14:paraId="557FDEE6" w14:textId="72E7A5C8" w:rsidR="004F4126" w:rsidRPr="00ED4527" w:rsidRDefault="00EE6E3C" w:rsidP="00123CD3">
      <w:pPr>
        <w:pStyle w:val="ProductList-Body"/>
        <w:spacing w:before="120"/>
        <w:rPr>
          <w:b/>
          <w:bCs/>
          <w:color w:val="00188F"/>
        </w:rPr>
      </w:pPr>
      <w:r>
        <w:rPr>
          <w:b/>
          <w:bCs/>
          <w:color w:val="00188F"/>
        </w:rPr>
        <w:t>Berechnung der Betriebszeit und Service-Levels für den Push-Benachrichtigungsdienst von Visual Studio App Center</w:t>
      </w:r>
    </w:p>
    <w:p w14:paraId="2597119F" w14:textId="3BCFD195" w:rsidR="004F4126" w:rsidRPr="00EF7CF9" w:rsidRDefault="004F4126" w:rsidP="004F4126">
      <w:pPr>
        <w:pStyle w:val="ProductList-Body"/>
      </w:pPr>
      <w:r>
        <w:t>„</w:t>
      </w:r>
      <w:r>
        <w:rPr>
          <w:b/>
          <w:color w:val="00188F"/>
        </w:rPr>
        <w:t>Maximal Verfügbare Minuten</w:t>
      </w:r>
      <w:r>
        <w:t>“ ist die Gesamtzahl der Minuten, für die der Kunde den Push-Benachrichtigungsdienst für ein bestimmtes Microsoft Azure-Abonnement während eines Anwendbaren Zeitraums bereitgestellt hat.</w:t>
      </w:r>
    </w:p>
    <w:p w14:paraId="2F8BC21A" w14:textId="77777777" w:rsidR="004F4126" w:rsidRPr="00EF7CF9" w:rsidRDefault="004F4126" w:rsidP="004F4126">
      <w:pPr>
        <w:pStyle w:val="ProductList-Body"/>
      </w:pPr>
      <w:r>
        <w:rPr>
          <w:b/>
          <w:color w:val="00188F"/>
        </w:rPr>
        <w:t>Ausfallzeit</w:t>
      </w:r>
      <w:r w:rsidRPr="00ED75EB">
        <w:rPr>
          <w:b/>
          <w:color w:val="00188F"/>
        </w:rPr>
        <w:t>:</w:t>
      </w:r>
      <w:r>
        <w:t xml:space="preserve"> Gesamtzahl der Minuten innerhalb der Maximal verfügbaren Minuten, in denen der Pushbenachrichtigungsdienst nicht verfügbar ist. Eine Minute gilt als nicht verfügbar, wenn alle kontinuierlichen HTTP-Anfragen an den Pushbenachrichtigungsdienst zur Durchführung von Vorgängen, die vom Kunden während der Minute initiiert wurden, entweder zu einem Fehlercode führen oder innerhalb einer Minute keine Antwort zurückgeben.</w:t>
      </w:r>
    </w:p>
    <w:p w14:paraId="1FA221E9" w14:textId="05657BF6" w:rsidR="004F4126" w:rsidRPr="00EF7CF9" w:rsidRDefault="00AC48A7" w:rsidP="004F4126">
      <w:pPr>
        <w:pStyle w:val="ProductList-Body"/>
      </w:pPr>
      <w:r>
        <w:rPr>
          <w:b/>
          <w:color w:val="00188F"/>
        </w:rPr>
        <w:t>Betriebszeitprozentsatz</w:t>
      </w:r>
      <w:r w:rsidRPr="00ED75EB">
        <w:rPr>
          <w:b/>
          <w:color w:val="00188F"/>
        </w:rPr>
        <w:t>:</w:t>
      </w:r>
      <w:r>
        <w:t xml:space="preserve"> Der „Betriebszeitprozentsatz“ für den Push-Benachrichtigungsdienst von Visual Studio App Center wird berechnet als die Maximal Verfügbaren Minuten minus Ausfallzeit geteilt durch die Maximal Verfügbaren Minuten multipliziert mit 100. Der Betriebszeitprozentsatz wird mithilfe der folgenden Formel berechnet:</w:t>
      </w:r>
    </w:p>
    <w:p w14:paraId="35245E4E" w14:textId="5D8D639D" w:rsidR="004F4126" w:rsidRPr="007C7313" w:rsidRDefault="00000000" w:rsidP="00E65F35">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4F42A2C3" w14:textId="0B5C8347" w:rsidR="004F4126" w:rsidRPr="00D9543D" w:rsidRDefault="004F4126" w:rsidP="004F4126">
      <w:pPr>
        <w:spacing w:after="0" w:line="240" w:lineRule="auto"/>
        <w:rPr>
          <w:rFonts w:eastAsiaTheme="minorEastAsia"/>
          <w:sz w:val="18"/>
          <w:szCs w:val="18"/>
          <w:lang w:eastAsia="zh-TW"/>
        </w:rPr>
      </w:pPr>
      <w:r>
        <w:rPr>
          <w:rFonts w:eastAsiaTheme="minorEastAsia"/>
          <w:sz w:val="18"/>
          <w:szCs w:val="18"/>
        </w:rPr>
        <w:t xml:space="preserve">Die folgenden Service-Levels und Servicegutschriften gelten für die Nutzung des Push-Benachrichtigungsdienstes von Visual Studio App Center durch den Kunden. </w:t>
      </w:r>
    </w:p>
    <w:p w14:paraId="4A6AF72B" w14:textId="77777777" w:rsidR="004F4126" w:rsidRPr="009E2B16" w:rsidRDefault="004F4126" w:rsidP="004F4126">
      <w:pPr>
        <w:pStyle w:val="ProductList-Body"/>
      </w:pPr>
    </w:p>
    <w:p w14:paraId="04990EC8" w14:textId="77777777" w:rsidR="004F4126" w:rsidRPr="00EF7CF9" w:rsidRDefault="004F4126" w:rsidP="002C1320">
      <w:pPr>
        <w:pStyle w:val="ProductList-Body"/>
        <w:keepNext/>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438F5269" w14:textId="77777777" w:rsidTr="00277097">
        <w:trPr>
          <w:tblHeader/>
        </w:trPr>
        <w:tc>
          <w:tcPr>
            <w:tcW w:w="5400" w:type="dxa"/>
            <w:tcBorders>
              <w:bottom w:val="single" w:sz="4" w:space="0" w:color="auto"/>
            </w:tcBorders>
            <w:shd w:val="clear" w:color="auto" w:fill="0072C6"/>
          </w:tcPr>
          <w:p w14:paraId="7ED8C02E" w14:textId="2151465D" w:rsidR="004F4126" w:rsidRPr="00EF7CF9" w:rsidRDefault="00AC48A7" w:rsidP="002C1320">
            <w:pPr>
              <w:pStyle w:val="ProductList-OfferingBody"/>
              <w:keepNext/>
              <w:jc w:val="center"/>
              <w:rPr>
                <w:color w:val="FFFFFF" w:themeColor="background1"/>
              </w:rPr>
            </w:pPr>
            <w:r>
              <w:rPr>
                <w:color w:val="FFFFFF" w:themeColor="background1"/>
              </w:rPr>
              <w:t>Betriebszeitprozentsatz</w:t>
            </w:r>
          </w:p>
        </w:tc>
        <w:tc>
          <w:tcPr>
            <w:tcW w:w="5400" w:type="dxa"/>
            <w:tcBorders>
              <w:bottom w:val="single" w:sz="4" w:space="0" w:color="auto"/>
            </w:tcBorders>
            <w:shd w:val="clear" w:color="auto" w:fill="0072C6"/>
          </w:tcPr>
          <w:p w14:paraId="5C51A762" w14:textId="77777777" w:rsidR="004F4126" w:rsidRPr="00EF7CF9" w:rsidRDefault="004F4126" w:rsidP="002C1320">
            <w:pPr>
              <w:pStyle w:val="ProductList-OfferingBody"/>
              <w:keepNext/>
              <w:jc w:val="center"/>
              <w:rPr>
                <w:color w:val="FFFFFF" w:themeColor="background1"/>
              </w:rPr>
            </w:pPr>
            <w:r>
              <w:rPr>
                <w:color w:val="FFFFFF" w:themeColor="background1"/>
              </w:rPr>
              <w:t>Servicegutschrift</w:t>
            </w:r>
          </w:p>
        </w:tc>
      </w:tr>
      <w:tr w:rsidR="004F4126" w:rsidRPr="00B44CF9" w14:paraId="3551DAFD" w14:textId="77777777" w:rsidTr="00277097">
        <w:tc>
          <w:tcPr>
            <w:tcW w:w="5400" w:type="dxa"/>
            <w:tcBorders>
              <w:top w:val="single" w:sz="4" w:space="0" w:color="auto"/>
              <w:left w:val="single" w:sz="4" w:space="0" w:color="auto"/>
              <w:bottom w:val="single" w:sz="4" w:space="0" w:color="auto"/>
              <w:right w:val="single" w:sz="4" w:space="0" w:color="auto"/>
            </w:tcBorders>
          </w:tcPr>
          <w:p w14:paraId="6C5970FD" w14:textId="77777777" w:rsidR="004F4126" w:rsidRPr="00EF7CF9" w:rsidRDefault="004F4126" w:rsidP="002C1320">
            <w:pPr>
              <w:pStyle w:val="ProductList-OfferingBody"/>
              <w:keepNext/>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3E509ADD" w14:textId="77777777" w:rsidR="004F4126" w:rsidRPr="00EF7CF9" w:rsidRDefault="004F4126" w:rsidP="002C1320">
            <w:pPr>
              <w:pStyle w:val="ProductList-OfferingBody"/>
              <w:keepNext/>
              <w:jc w:val="center"/>
            </w:pPr>
            <w:r>
              <w:t>10 %</w:t>
            </w:r>
          </w:p>
        </w:tc>
      </w:tr>
      <w:tr w:rsidR="004F4126" w:rsidRPr="00B44CF9" w14:paraId="3DD88544" w14:textId="77777777" w:rsidTr="00277097">
        <w:tc>
          <w:tcPr>
            <w:tcW w:w="5400" w:type="dxa"/>
            <w:tcBorders>
              <w:top w:val="single" w:sz="4" w:space="0" w:color="auto"/>
              <w:left w:val="single" w:sz="4" w:space="0" w:color="auto"/>
              <w:bottom w:val="single" w:sz="4" w:space="0" w:color="auto"/>
              <w:right w:val="single" w:sz="4" w:space="0" w:color="auto"/>
            </w:tcBorders>
          </w:tcPr>
          <w:p w14:paraId="204AF96C" w14:textId="77777777" w:rsidR="004F4126" w:rsidRPr="00EF7CF9" w:rsidRDefault="004F4126" w:rsidP="002C1320">
            <w:pPr>
              <w:pStyle w:val="ProductList-OfferingBody"/>
              <w:keepNext/>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774F7215" w14:textId="77777777" w:rsidR="004F4126" w:rsidRPr="00EF7CF9" w:rsidRDefault="004F4126" w:rsidP="002C1320">
            <w:pPr>
              <w:pStyle w:val="ProductList-OfferingBody"/>
              <w:keepNext/>
              <w:jc w:val="center"/>
            </w:pPr>
            <w:r>
              <w:t>25 %</w:t>
            </w:r>
          </w:p>
        </w:tc>
      </w:tr>
    </w:tbl>
    <w:p w14:paraId="7354ECE6" w14:textId="216D5FA4"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26D1359D" w14:textId="16848635" w:rsidR="00012F9F" w:rsidRPr="00012F9F" w:rsidRDefault="00012F9F" w:rsidP="00D421F3">
      <w:pPr>
        <w:pStyle w:val="ProductList-Offering2Heading"/>
        <w:keepNext/>
        <w:tabs>
          <w:tab w:val="clear" w:pos="360"/>
          <w:tab w:val="clear" w:pos="720"/>
          <w:tab w:val="clear" w:pos="1080"/>
        </w:tabs>
        <w:outlineLvl w:val="2"/>
      </w:pPr>
      <w:bookmarkStart w:id="171" w:name="_Toc195543101"/>
      <w:bookmarkStart w:id="172" w:name="_Toc237448955"/>
      <w:r>
        <w:t>App-Konfiguration</w:t>
      </w:r>
      <w:bookmarkEnd w:id="171"/>
      <w:bookmarkEnd w:id="172"/>
    </w:p>
    <w:p w14:paraId="4302A28C" w14:textId="77777777" w:rsidR="00012F9F" w:rsidRPr="00852CBF" w:rsidRDefault="00012F9F" w:rsidP="00012F9F">
      <w:pPr>
        <w:pStyle w:val="ProductList-Body"/>
        <w:rPr>
          <w:b/>
          <w:color w:val="00188F"/>
        </w:rPr>
      </w:pPr>
      <w:r>
        <w:rPr>
          <w:b/>
          <w:color w:val="00188F"/>
        </w:rPr>
        <w:t>Zusätzliche Definitionen</w:t>
      </w:r>
    </w:p>
    <w:p w14:paraId="5722BEE2" w14:textId="77777777" w:rsidR="00012F9F" w:rsidRDefault="00012F9F" w:rsidP="00012F9F">
      <w:pPr>
        <w:pStyle w:val="ProductList-Body"/>
      </w:pPr>
      <w:r>
        <w:t>„</w:t>
      </w:r>
      <w:r>
        <w:rPr>
          <w:b/>
          <w:bCs/>
          <w:color w:val="00188F"/>
        </w:rPr>
        <w:t>Konfigurationsspeicher</w:t>
      </w:r>
      <w:r>
        <w:t>“ ist eine einzelne Bereitstellung von Azure App Configuration, die vom Kunden so erstellt wurde, dass sie im Verwaltungsportal auf der Registerkarte „App Configuration“ aufgeführt wird.</w:t>
      </w:r>
    </w:p>
    <w:p w14:paraId="3D0036CD" w14:textId="460527E4" w:rsidR="00012F9F" w:rsidRPr="00852CBF" w:rsidRDefault="00EE6E3C" w:rsidP="00852CBF">
      <w:pPr>
        <w:pStyle w:val="ProductList-Body"/>
        <w:spacing w:before="120"/>
        <w:rPr>
          <w:b/>
          <w:bCs/>
          <w:color w:val="00188F"/>
        </w:rPr>
      </w:pPr>
      <w:r>
        <w:rPr>
          <w:b/>
          <w:bCs/>
          <w:color w:val="00188F"/>
        </w:rPr>
        <w:t>Berechnung der Betriebszeit und Service-Levels für Azure App Configuration</w:t>
      </w:r>
    </w:p>
    <w:p w14:paraId="4C4328F8" w14:textId="4ED821F4" w:rsidR="00012F9F" w:rsidRDefault="00012F9F" w:rsidP="00012F9F">
      <w:pPr>
        <w:pStyle w:val="ProductList-Body"/>
      </w:pPr>
      <w:r>
        <w:t>„</w:t>
      </w:r>
      <w:r>
        <w:rPr>
          <w:b/>
          <w:bCs/>
          <w:color w:val="00188F"/>
        </w:rPr>
        <w:t>Bereitstellungsminuten</w:t>
      </w:r>
      <w:r>
        <w:t>“ ist die Gesamtzahl der Minuten, in denen ein bestimmter Konfigurationsspeicher während des Anwendbaren Zeitraums in Microsoft Azure bereitgestellt wurde.</w:t>
      </w:r>
    </w:p>
    <w:p w14:paraId="35FC0267" w14:textId="549B7C75" w:rsidR="00012F9F" w:rsidRDefault="00012F9F" w:rsidP="00012F9F">
      <w:pPr>
        <w:pStyle w:val="ProductList-Body"/>
      </w:pPr>
      <w:r>
        <w:t>„</w:t>
      </w:r>
      <w:r>
        <w:rPr>
          <w:b/>
          <w:bCs/>
          <w:color w:val="00188F"/>
        </w:rPr>
        <w:t>Maximal Verfügbare Minuten</w:t>
      </w:r>
      <w:r>
        <w:t>“ ist die Summe der Bereitstellungsminuten aller Konfigurationsspeicher, die vom Kunden in einem bestimmten Microsoft Azure-Abonnement während eines Anwendbaren Zeitraums bereitgestellt wird.</w:t>
      </w:r>
    </w:p>
    <w:p w14:paraId="140C7DDA" w14:textId="77777777" w:rsidR="00012F9F" w:rsidRDefault="00012F9F" w:rsidP="00012F9F">
      <w:pPr>
        <w:pStyle w:val="ProductList-Body"/>
      </w:pPr>
      <w:r>
        <w:t>„</w:t>
      </w:r>
      <w:r>
        <w:rPr>
          <w:b/>
          <w:bCs/>
          <w:color w:val="00188F"/>
        </w:rPr>
        <w:t>Ausfallzeit</w:t>
      </w:r>
      <w:r>
        <w:t>“ ist die Gesamtzahl der Minuten innerhalb der Maximal verfügbaren Minuten, in denen der Konfigurationsspeicher nicht verfügbar ist. Eine Minute gilt für einen bestimmten Konfigurationsspeicher als nicht verfügbar, wenn während der gesamten Minute keine Verbindung zwischen dem Konfigurationsspeicher und dem Internetgateway von Microsoft besteht.</w:t>
      </w:r>
    </w:p>
    <w:p w14:paraId="714230EB" w14:textId="0FE711DB" w:rsidR="00012F9F" w:rsidRDefault="00012F9F" w:rsidP="00012F9F">
      <w:pPr>
        <w:pStyle w:val="ProductList-Body"/>
      </w:pPr>
      <w:r>
        <w:t>„</w:t>
      </w:r>
      <w:r>
        <w:rPr>
          <w:b/>
          <w:bCs/>
          <w:color w:val="00188F"/>
        </w:rPr>
        <w:t>Betriebszeitprozentsatz</w:t>
      </w:r>
      <w:r>
        <w:t>“ für die Azure App-Konfiguration wird berechnet als Maximal Verfügbare Minuten abzüglich der Ausfallzeit geteilt durch die Maximal Verfügbaren Minuten in einem Anwendbaren Zeitraum für ein bestimmtes Microsoft Azure-Abonnement. Der Betriebszeitprozentsatz wird durch die folgende Formel ermittelt:</w:t>
      </w:r>
    </w:p>
    <w:p w14:paraId="3BE596FB" w14:textId="1433551B" w:rsidR="003940E8" w:rsidRPr="007C7313" w:rsidRDefault="00000000" w:rsidP="003940E8">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2572CCD5" w14:textId="45C11EDE" w:rsidR="00012F9F" w:rsidRPr="003940E8" w:rsidRDefault="00012F9F" w:rsidP="003940E8">
      <w:pPr>
        <w:pStyle w:val="ProductList-Body"/>
        <w:keepNext/>
        <w:rPr>
          <w:b/>
          <w:bCs/>
          <w:color w:val="00188F"/>
        </w:rPr>
      </w:pPr>
      <w:r>
        <w:rPr>
          <w:b/>
          <w:bCs/>
          <w:color w:val="00188F"/>
        </w:rPr>
        <w:t>Die folgenden Servicelevel und Dienstgutschriften gelten für die Nutzung von Azure App Configuration durch den Kunden</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940E8" w:rsidRPr="00B44CF9" w14:paraId="3511B623" w14:textId="77777777" w:rsidTr="00277097">
        <w:trPr>
          <w:tblHeader/>
        </w:trPr>
        <w:tc>
          <w:tcPr>
            <w:tcW w:w="5400" w:type="dxa"/>
            <w:tcBorders>
              <w:bottom w:val="single" w:sz="4" w:space="0" w:color="auto"/>
            </w:tcBorders>
            <w:shd w:val="clear" w:color="auto" w:fill="0072C6"/>
          </w:tcPr>
          <w:p w14:paraId="130781CF" w14:textId="2EA4B64E" w:rsidR="003940E8"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tcBorders>
              <w:bottom w:val="single" w:sz="4" w:space="0" w:color="auto"/>
            </w:tcBorders>
            <w:shd w:val="clear" w:color="auto" w:fill="0072C6"/>
          </w:tcPr>
          <w:p w14:paraId="220BADA7" w14:textId="77777777" w:rsidR="003940E8" w:rsidRPr="00EF7CF9" w:rsidRDefault="003940E8" w:rsidP="000F31B4">
            <w:pPr>
              <w:pStyle w:val="ProductList-OfferingBody"/>
              <w:jc w:val="center"/>
              <w:rPr>
                <w:color w:val="FFFFFF" w:themeColor="background1"/>
              </w:rPr>
            </w:pPr>
            <w:r>
              <w:rPr>
                <w:color w:val="FFFFFF" w:themeColor="background1"/>
              </w:rPr>
              <w:t>Servicegutschrift</w:t>
            </w:r>
          </w:p>
        </w:tc>
      </w:tr>
      <w:tr w:rsidR="003940E8" w:rsidRPr="00B44CF9" w14:paraId="222F5204" w14:textId="77777777" w:rsidTr="00277097">
        <w:tc>
          <w:tcPr>
            <w:tcW w:w="5400" w:type="dxa"/>
            <w:tcBorders>
              <w:top w:val="single" w:sz="4" w:space="0" w:color="auto"/>
              <w:left w:val="single" w:sz="4" w:space="0" w:color="auto"/>
              <w:bottom w:val="single" w:sz="4" w:space="0" w:color="auto"/>
              <w:right w:val="single" w:sz="4" w:space="0" w:color="auto"/>
            </w:tcBorders>
          </w:tcPr>
          <w:p w14:paraId="038527B9" w14:textId="77777777" w:rsidR="003940E8" w:rsidRPr="00EF7CF9" w:rsidRDefault="003940E8" w:rsidP="000F31B4">
            <w:pPr>
              <w:pStyle w:val="ProductList-OfferingBody"/>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265190DE" w14:textId="77777777" w:rsidR="003940E8" w:rsidRPr="00EF7CF9" w:rsidRDefault="003940E8" w:rsidP="000F31B4">
            <w:pPr>
              <w:pStyle w:val="ProductList-OfferingBody"/>
              <w:jc w:val="center"/>
            </w:pPr>
            <w:r>
              <w:t>10 %</w:t>
            </w:r>
          </w:p>
        </w:tc>
      </w:tr>
      <w:tr w:rsidR="003940E8" w:rsidRPr="00B44CF9" w14:paraId="172BFEFE" w14:textId="77777777" w:rsidTr="00277097">
        <w:tc>
          <w:tcPr>
            <w:tcW w:w="5400" w:type="dxa"/>
            <w:tcBorders>
              <w:top w:val="single" w:sz="4" w:space="0" w:color="auto"/>
              <w:left w:val="single" w:sz="4" w:space="0" w:color="auto"/>
              <w:bottom w:val="single" w:sz="4" w:space="0" w:color="auto"/>
              <w:right w:val="single" w:sz="4" w:space="0" w:color="auto"/>
            </w:tcBorders>
          </w:tcPr>
          <w:p w14:paraId="0C6A343B" w14:textId="77777777" w:rsidR="003940E8" w:rsidRPr="00EF7CF9" w:rsidRDefault="003940E8" w:rsidP="000F31B4">
            <w:pPr>
              <w:pStyle w:val="ProductList-OfferingBody"/>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61626791" w14:textId="77777777" w:rsidR="003940E8" w:rsidRPr="00EF7CF9" w:rsidRDefault="003940E8" w:rsidP="000F31B4">
            <w:pPr>
              <w:pStyle w:val="ProductList-OfferingBody"/>
              <w:jc w:val="center"/>
            </w:pPr>
            <w:r>
              <w:t>25 %</w:t>
            </w:r>
          </w:p>
        </w:tc>
      </w:tr>
    </w:tbl>
    <w:p w14:paraId="42239C36" w14:textId="55D354D4"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6F775864" w14:textId="4FB2388A" w:rsidR="004005AF" w:rsidRPr="00EF7CF9" w:rsidRDefault="004005AF" w:rsidP="004005AF">
      <w:pPr>
        <w:pStyle w:val="ProductList-Offering2Heading"/>
        <w:tabs>
          <w:tab w:val="clear" w:pos="360"/>
          <w:tab w:val="clear" w:pos="720"/>
          <w:tab w:val="clear" w:pos="1080"/>
        </w:tabs>
        <w:outlineLvl w:val="2"/>
      </w:pPr>
      <w:bookmarkStart w:id="173" w:name="_Toc195543102"/>
      <w:bookmarkStart w:id="174" w:name="_Toc237448956"/>
      <w:r>
        <w:t>App-Dienst</w:t>
      </w:r>
      <w:bookmarkEnd w:id="167"/>
      <w:bookmarkEnd w:id="168"/>
      <w:bookmarkEnd w:id="173"/>
      <w:bookmarkEnd w:id="174"/>
    </w:p>
    <w:p w14:paraId="5086F069" w14:textId="77777777" w:rsidR="004005AF" w:rsidRPr="00EF7CF9" w:rsidRDefault="004005AF" w:rsidP="004005AF">
      <w:pPr>
        <w:pStyle w:val="ProductList-Body"/>
      </w:pPr>
      <w:r>
        <w:rPr>
          <w:b/>
          <w:color w:val="00188F"/>
        </w:rPr>
        <w:t>Zusätzliche Definitionen</w:t>
      </w:r>
      <w:r w:rsidRPr="00ED75EB">
        <w:rPr>
          <w:b/>
          <w:color w:val="00188F"/>
        </w:rPr>
        <w:t>:</w:t>
      </w:r>
    </w:p>
    <w:p w14:paraId="569C15B3" w14:textId="77777777" w:rsidR="00501AF0" w:rsidRPr="00EC3D00" w:rsidRDefault="00501AF0" w:rsidP="00501AF0">
      <w:pPr>
        <w:pStyle w:val="ProductList-Body"/>
        <w:keepNext/>
        <w:rPr>
          <w:rFonts w:ascii="Calibri" w:hAnsi="Calibri" w:cs="Calibri"/>
        </w:rPr>
      </w:pPr>
      <w:r>
        <w:rPr>
          <w:rFonts w:ascii="Calibri" w:hAnsi="Calibri" w:cs="Calibri"/>
        </w:rPr>
        <w:t>„</w:t>
      </w:r>
      <w:r>
        <w:rPr>
          <w:rFonts w:ascii="Calibri" w:hAnsi="Calibri" w:cs="Calibri"/>
          <w:b/>
          <w:bCs/>
          <w:color w:val="00188F"/>
        </w:rPr>
        <w:t>Verfügbarkeitszone</w:t>
      </w:r>
      <w:r>
        <w:rPr>
          <w:rFonts w:ascii="Calibri" w:hAnsi="Calibri" w:cs="Calibri"/>
        </w:rPr>
        <w:t>“ ist ein fehlerisolierter Bereich in einer Azure-Region, der redundante Stromversorgung, Kühlung und Vernetzung zur Verfügung stellt.</w:t>
      </w:r>
    </w:p>
    <w:p w14:paraId="3CF969AA" w14:textId="77777777" w:rsidR="00501AF0" w:rsidRPr="00EC3D00" w:rsidRDefault="00501AF0" w:rsidP="00501AF0">
      <w:pPr>
        <w:pStyle w:val="ProductList-Body"/>
        <w:rPr>
          <w:rFonts w:ascii="Calibri" w:hAnsi="Calibri" w:cs="Calibri"/>
        </w:rPr>
      </w:pPr>
      <w:r>
        <w:rPr>
          <w:rFonts w:ascii="Calibri" w:hAnsi="Calibri" w:cs="Calibri"/>
        </w:rPr>
        <w:t>„</w:t>
      </w:r>
      <w:r>
        <w:rPr>
          <w:rFonts w:ascii="Calibri" w:hAnsi="Calibri" w:cs="Calibri"/>
          <w:b/>
          <w:color w:val="00188F"/>
        </w:rPr>
        <w:t>Bereitstellungsminuten</w:t>
      </w:r>
      <w:r>
        <w:rPr>
          <w:rFonts w:ascii="Calibri" w:hAnsi="Calibri" w:cs="Calibri"/>
        </w:rPr>
        <w:t xml:space="preserve">“ </w:t>
      </w:r>
      <w:r>
        <w:rPr>
          <w:rFonts w:ascii="Calibri" w:eastAsia="Tahoma" w:hAnsi="Calibri" w:cs="Calibri"/>
        </w:rPr>
        <w:t xml:space="preserve">ist die </w:t>
      </w:r>
      <w:r>
        <w:rPr>
          <w:rFonts w:ascii="Calibri" w:hAnsi="Calibri" w:cs="Calibri"/>
        </w:rPr>
        <w:t>Gesamtzahl der Minuten, in denen eine bestimmte App während eines Anwendbaren Zeitraums in Microsoft Azure ausgeführt wird. Bereitstellungsminuten werden von dem Zeitpunkt, an dem die App erstellt wurde oder der Kunde eine Aktion initiiert hat, die zur Ausführung der App führt, bis zu dem Zeitpunkt gemessen, an dem der Kunde eine Aktion initiiert hat, die zum Anhalten oder Löschen der App führt.</w:t>
      </w:r>
    </w:p>
    <w:p w14:paraId="47577F57" w14:textId="77777777" w:rsidR="00501AF0" w:rsidRPr="00EC3D00" w:rsidRDefault="00501AF0" w:rsidP="00501AF0">
      <w:pPr>
        <w:pStyle w:val="ProductList-Body"/>
        <w:rPr>
          <w:rFonts w:ascii="Calibri" w:hAnsi="Calibri" w:cs="Calibri"/>
        </w:rPr>
      </w:pPr>
      <w:r>
        <w:rPr>
          <w:rFonts w:ascii="Calibri" w:hAnsi="Calibri" w:cs="Calibri"/>
        </w:rPr>
        <w:t>„</w:t>
      </w:r>
      <w:r>
        <w:rPr>
          <w:rFonts w:ascii="Calibri" w:hAnsi="Calibri" w:cs="Calibri"/>
          <w:b/>
          <w:color w:val="00188F"/>
        </w:rPr>
        <w:t>Maximal Verfügbare Minuten</w:t>
      </w:r>
      <w:r>
        <w:rPr>
          <w:rFonts w:ascii="Calibri" w:hAnsi="Calibri" w:cs="Calibri"/>
        </w:rPr>
        <w:t>“ ist die Summe aller Bereitstellungsminuten für alle vom Kunden in einem bestimmten Microsoft Azure-Abonnement während eines Anwendbaren Zeitraums bereitgestellten Apps.</w:t>
      </w:r>
    </w:p>
    <w:p w14:paraId="02BD0B9E" w14:textId="77777777" w:rsidR="00501AF0" w:rsidRPr="00EC3D00" w:rsidRDefault="00501AF0" w:rsidP="00501AF0">
      <w:pPr>
        <w:pStyle w:val="ProductList-Body"/>
        <w:rPr>
          <w:rFonts w:ascii="Calibri" w:hAnsi="Calibri" w:cs="Calibri"/>
        </w:rPr>
      </w:pPr>
      <w:r>
        <w:rPr>
          <w:rFonts w:ascii="Calibri" w:hAnsi="Calibri" w:cs="Calibri"/>
        </w:rPr>
        <w:t>„</w:t>
      </w:r>
      <w:r>
        <w:rPr>
          <w:rFonts w:ascii="Calibri" w:hAnsi="Calibri" w:cs="Calibri"/>
          <w:b/>
          <w:color w:val="00188F"/>
        </w:rPr>
        <w:t>App</w:t>
      </w:r>
      <w:r>
        <w:rPr>
          <w:rFonts w:ascii="Calibri" w:hAnsi="Calibri" w:cs="Calibri"/>
        </w:rPr>
        <w:t>“ ist eine Web-App, Mobile App, API-App oder Logic App, die vom Kunden innerhalb des App-Service bereitgestellt wird. Die SLA wird unterstützt, wenn sie auf einer einzelnen Instanz und auf mehreren Instanzen ausgeführt wird.</w:t>
      </w:r>
    </w:p>
    <w:p w14:paraId="29736C2A" w14:textId="77777777" w:rsidR="00501AF0" w:rsidRPr="00EC3D00" w:rsidRDefault="00501AF0" w:rsidP="00501AF0">
      <w:pPr>
        <w:pStyle w:val="ProductList-Body"/>
        <w:rPr>
          <w:rFonts w:ascii="Calibri" w:hAnsi="Calibri" w:cs="Calibri"/>
          <w:b/>
          <w:color w:val="00188F"/>
        </w:rPr>
      </w:pPr>
      <w:r>
        <w:rPr>
          <w:rFonts w:ascii="Calibri" w:hAnsi="Calibri" w:cs="Calibri"/>
          <w:b/>
          <w:color w:val="00188F"/>
        </w:rPr>
        <w:t>Berechnung der Betriebszeit und Service-Levels für App-Service-Apps in Verfügbarkeitszonen</w:t>
      </w:r>
    </w:p>
    <w:p w14:paraId="4C0950D7" w14:textId="77777777" w:rsidR="00501AF0" w:rsidRPr="00EC3D00" w:rsidRDefault="00501AF0" w:rsidP="00501AF0">
      <w:pPr>
        <w:pStyle w:val="ProductList-Body"/>
        <w:rPr>
          <w:rFonts w:ascii="Calibri" w:hAnsi="Calibri" w:cs="Calibri"/>
        </w:rPr>
      </w:pPr>
      <w:r>
        <w:rPr>
          <w:rFonts w:ascii="Calibri" w:hAnsi="Calibri" w:cs="Calibri"/>
        </w:rPr>
        <w:t>„</w:t>
      </w:r>
      <w:r>
        <w:rPr>
          <w:rFonts w:ascii="Calibri" w:hAnsi="Calibri" w:cs="Calibri"/>
          <w:b/>
          <w:color w:val="0072C6"/>
        </w:rPr>
        <w:t>Maximal Verfügbare Minuten</w:t>
      </w:r>
      <w:r>
        <w:rPr>
          <w:rFonts w:ascii="Calibri" w:hAnsi="Calibri" w:cs="Calibri"/>
        </w:rPr>
        <w:t>“ bezeichnet die Summe aller Bereitstellungsminuten für alle vom Kunden in einem bestimmten Microsoft Azure-Abonnement während eines Anwendbaren Zeitraums bereitgestellten Apps, die für eine Verfügbarkeitszone aktiviert sind.</w:t>
      </w:r>
    </w:p>
    <w:p w14:paraId="1C6F20D3" w14:textId="77777777" w:rsidR="00501AF0" w:rsidRPr="00EC3D00" w:rsidRDefault="00501AF0" w:rsidP="00501AF0">
      <w:pPr>
        <w:pStyle w:val="ProductList-Body"/>
        <w:rPr>
          <w:rFonts w:ascii="Calibri" w:hAnsi="Calibri" w:cs="Calibri"/>
        </w:rPr>
      </w:pPr>
      <w:r w:rsidRPr="00BA05A9">
        <w:rPr>
          <w:rFonts w:ascii="Calibri" w:hAnsi="Calibri" w:cs="Calibri"/>
          <w:bCs/>
          <w:color w:val="00188F"/>
        </w:rPr>
        <w:t>„</w:t>
      </w:r>
      <w:r>
        <w:rPr>
          <w:rFonts w:ascii="Calibri" w:hAnsi="Calibri" w:cs="Calibri"/>
          <w:b/>
          <w:color w:val="0072C6"/>
        </w:rPr>
        <w:t>Ausfallzeit</w:t>
      </w:r>
      <w:r>
        <w:rPr>
          <w:rFonts w:ascii="Calibri" w:hAnsi="Calibri" w:cs="Calibri"/>
        </w:rPr>
        <w:t>“ Die Gesamtzahl der Bereitstellungsminuten aller Apps, die für die Verfügbarkeitszone aktiviert sind und die vom Kunden in einem bestimmten Microsoft Azure-Abonnement bereitgestellt werden, während derer die App nicht verfügbar ist. Eine Minute gilt für eine bestimmte App, die für die Verfügbarkeitszone aktiviert ist, als nicht verfügbar, wenn keine Verbindung zwischen der App und dem Internetgateway von Microsoft besteht.</w:t>
      </w:r>
    </w:p>
    <w:p w14:paraId="6E4AF486" w14:textId="77777777" w:rsidR="00501AF0" w:rsidRPr="00EC3D00" w:rsidRDefault="00501AF0" w:rsidP="00501AF0">
      <w:pPr>
        <w:pStyle w:val="ProductList-Body"/>
        <w:rPr>
          <w:rFonts w:ascii="Calibri" w:hAnsi="Calibri" w:cs="Calibri"/>
        </w:rPr>
      </w:pPr>
      <w:r>
        <w:rPr>
          <w:rFonts w:ascii="Calibri" w:hAnsi="Calibri" w:cs="Calibri"/>
        </w:rPr>
        <w:t>„</w:t>
      </w:r>
      <w:r>
        <w:rPr>
          <w:rFonts w:ascii="Calibri" w:hAnsi="Calibri" w:cs="Calibri"/>
          <w:b/>
          <w:color w:val="0072C6"/>
        </w:rPr>
        <w:t>Betriebszeitprozentsatz</w:t>
      </w:r>
      <w:r>
        <w:rPr>
          <w:rFonts w:ascii="Calibri" w:hAnsi="Calibri" w:cs="Calibri"/>
        </w:rPr>
        <w:t>“ wird anhand der folgenden Formel berechnet:</w:t>
      </w:r>
    </w:p>
    <w:p w14:paraId="57DB426F" w14:textId="77777777" w:rsidR="00501AF0" w:rsidRDefault="00000000" w:rsidP="00E65F35">
      <w:pPr>
        <w:pStyle w:val="ListParagraph"/>
        <w:spacing w:before="120" w:after="0" w:line="240" w:lineRule="auto"/>
        <w:ind w:left="0"/>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(Maximal Verfügbare Minuten - Ausfallzeit)</m:t>
              </m:r>
            </m:num>
            <m:den>
              <m:r>
                <m:rPr>
                  <m:nor/>
                </m:rPr>
                <w:rPr>
                  <w:rFonts w:ascii="Cambria Math" w:hAnsi="Cambria Math" w:cs="Tahoma"/>
                  <w:i/>
                  <w:sz w:val="18"/>
                  <w:szCs w:val="18"/>
                </w:rPr>
                <m:t>Maximal verfügbare Minuten</m:t>
              </m:r>
            </m:den>
          </m:f>
          <m:r>
            <w:rPr>
              <w:rFonts w:ascii="Cambria Math" w:hAnsi="Cambria Math" w:cs="Tahoma"/>
              <w:sz w:val="18"/>
              <w:szCs w:val="18"/>
            </w:rPr>
            <m:t xml:space="preserve"> x 100</m:t>
          </m:r>
        </m:oMath>
      </m:oMathPara>
    </w:p>
    <w:p w14:paraId="1190847A" w14:textId="77777777" w:rsidR="00501AF0" w:rsidRPr="00EC3D00" w:rsidRDefault="00501AF0" w:rsidP="00501AF0">
      <w:pPr>
        <w:pStyle w:val="ProductList-Body"/>
        <w:rPr>
          <w:rFonts w:ascii="Calibri" w:hAnsi="Calibri" w:cs="Calibri"/>
        </w:rPr>
      </w:pPr>
      <w:r>
        <w:rPr>
          <w:rFonts w:ascii="Calibri" w:hAnsi="Calibri" w:cs="Calibri"/>
          <w:b/>
          <w:color w:val="0072C6"/>
        </w:rPr>
        <w:t>Servicegutschrift</w:t>
      </w:r>
      <w:r w:rsidRPr="00451A04">
        <w:rPr>
          <w:rFonts w:ascii="Calibri" w:hAnsi="Calibri" w:cs="Calibri"/>
          <w:b/>
          <w:color w:val="0072C6"/>
        </w:rPr>
        <w:t>:</w:t>
      </w:r>
    </w:p>
    <w:p w14:paraId="7037023A" w14:textId="77777777" w:rsidR="00501AF0" w:rsidRPr="00EC3D00" w:rsidRDefault="00501AF0" w:rsidP="00501AF0">
      <w:pPr>
        <w:pStyle w:val="ProductList-Body"/>
        <w:rPr>
          <w:rFonts w:ascii="Calibri" w:hAnsi="Calibri" w:cs="Calibri"/>
        </w:rPr>
      </w:pPr>
      <w:r>
        <w:rPr>
          <w:rFonts w:ascii="Calibri" w:hAnsi="Calibri" w:cs="Calibri"/>
        </w:rPr>
        <w:t>Folgende Servicelevels und Servicegutschriften gelten für die Nutzung von Apps durch den Kunden, die in zwei oder mehr Verfügbarkeitszonen in derselben Region bereitgestellt werden: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01AF0" w14:paraId="53105C77" w14:textId="77777777" w:rsidTr="00C64A04">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95D56F9" w14:textId="77777777" w:rsidR="00501AF0" w:rsidRPr="00EC3D00" w:rsidRDefault="00501AF0" w:rsidP="00C64A04">
            <w:pPr>
              <w:pStyle w:val="ProductList-OfferingBody"/>
              <w:jc w:val="center"/>
              <w:rPr>
                <w:rFonts w:ascii="Calibri" w:hAnsi="Calibri" w:cs="Calibri"/>
                <w:color w:val="FFFFFF" w:themeColor="background1"/>
              </w:rPr>
            </w:pPr>
            <w:r>
              <w:rPr>
                <w:rFonts w:ascii="Calibri" w:hAnsi="Calibri" w:cs="Calibri"/>
                <w:color w:val="FFFFFF" w:themeColor="background1"/>
              </w:rPr>
              <w:t>Betriebszeitprozentsatz</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CDE3126" w14:textId="77777777" w:rsidR="00501AF0" w:rsidRPr="00EC3D00" w:rsidRDefault="00501AF0" w:rsidP="00C64A04">
            <w:pPr>
              <w:pStyle w:val="ProductList-OfferingBody"/>
              <w:jc w:val="center"/>
              <w:rPr>
                <w:rFonts w:ascii="Calibri" w:hAnsi="Calibri" w:cs="Calibri"/>
                <w:color w:val="FFFFFF" w:themeColor="background1"/>
              </w:rPr>
            </w:pPr>
            <w:r>
              <w:rPr>
                <w:rFonts w:ascii="Calibri" w:hAnsi="Calibri" w:cs="Calibri"/>
                <w:color w:val="FFFFFF" w:themeColor="background1"/>
              </w:rPr>
              <w:t>Servicegutschrift</w:t>
            </w:r>
          </w:p>
        </w:tc>
      </w:tr>
      <w:tr w:rsidR="00501AF0" w14:paraId="2EF2D92A" w14:textId="77777777" w:rsidTr="00C64A04">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B81D05" w14:textId="77777777" w:rsidR="00501AF0" w:rsidRPr="00EC3D00" w:rsidRDefault="00501AF0" w:rsidP="00C64A04">
            <w:pPr>
              <w:pStyle w:val="ProductList-OfferingBody"/>
              <w:jc w:val="center"/>
              <w:rPr>
                <w:rFonts w:ascii="Calibri" w:hAnsi="Calibri" w:cs="Calibri"/>
                <w:color w:val="FFFFFF" w:themeColor="background1"/>
              </w:rPr>
            </w:pPr>
            <w:r>
              <w:rPr>
                <w:rFonts w:ascii="Calibri" w:hAnsi="Calibri" w:cs="Calibri"/>
              </w:rPr>
              <w:t>&lt; 99,99 %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3E0FD8" w14:textId="77777777" w:rsidR="00501AF0" w:rsidRPr="00EC3D00" w:rsidRDefault="00501AF0" w:rsidP="00C64A04">
            <w:pPr>
              <w:pStyle w:val="ProductList-OfferingBody"/>
              <w:jc w:val="center"/>
              <w:rPr>
                <w:rFonts w:ascii="Calibri" w:hAnsi="Calibri" w:cs="Calibri"/>
                <w:color w:val="FFFFFF" w:themeColor="background1"/>
              </w:rPr>
            </w:pPr>
            <w:r>
              <w:rPr>
                <w:rFonts w:ascii="Calibri" w:hAnsi="Calibri" w:cs="Calibri"/>
              </w:rPr>
              <w:t>10 %</w:t>
            </w:r>
          </w:p>
        </w:tc>
      </w:tr>
      <w:tr w:rsidR="00501AF0" w14:paraId="0D937221" w14:textId="77777777" w:rsidTr="00C64A04">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81F84D" w14:textId="77777777" w:rsidR="00501AF0" w:rsidRPr="00EC3D00" w:rsidRDefault="00501AF0" w:rsidP="00C64A04">
            <w:pPr>
              <w:pStyle w:val="ProductList-OfferingBody"/>
              <w:jc w:val="center"/>
              <w:rPr>
                <w:rFonts w:ascii="Calibri" w:hAnsi="Calibri" w:cs="Calibri"/>
                <w:color w:val="FFFFFF" w:themeColor="background1"/>
              </w:rPr>
            </w:pPr>
            <w:r>
              <w:rPr>
                <w:rFonts w:ascii="Calibri" w:hAnsi="Calibri" w:cs="Calibri"/>
              </w:rP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1F65DB" w14:textId="77777777" w:rsidR="00501AF0" w:rsidRPr="00EC3D00" w:rsidRDefault="00501AF0" w:rsidP="00C64A04">
            <w:pPr>
              <w:pStyle w:val="ProductList-OfferingBody"/>
              <w:jc w:val="center"/>
              <w:rPr>
                <w:rFonts w:ascii="Calibri" w:hAnsi="Calibri" w:cs="Calibri"/>
                <w:color w:val="FFFFFF" w:themeColor="background1"/>
              </w:rPr>
            </w:pPr>
            <w:r>
              <w:rPr>
                <w:rFonts w:ascii="Calibri" w:hAnsi="Calibri" w:cs="Calibri"/>
              </w:rPr>
              <w:t>25 %</w:t>
            </w:r>
          </w:p>
        </w:tc>
      </w:tr>
      <w:tr w:rsidR="00501AF0" w14:paraId="66C29478" w14:textId="77777777" w:rsidTr="00C64A04">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8E2138" w14:textId="77777777" w:rsidR="00501AF0" w:rsidRPr="00EC3D00" w:rsidRDefault="00501AF0" w:rsidP="00C64A04">
            <w:pPr>
              <w:pStyle w:val="ProductList-OfferingBody"/>
              <w:jc w:val="center"/>
              <w:rPr>
                <w:rFonts w:ascii="Calibri" w:hAnsi="Calibri" w:cs="Calibri"/>
                <w:color w:val="FFFFFF" w:themeColor="background1"/>
              </w:rPr>
            </w:pPr>
            <w:r>
              <w:rPr>
                <w:rFonts w:ascii="Calibri" w:hAnsi="Calibri" w:cs="Calibri"/>
              </w:rPr>
              <w:t>&lt; 95 %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9D5B41" w14:textId="77777777" w:rsidR="00501AF0" w:rsidRPr="00EC3D00" w:rsidRDefault="00501AF0" w:rsidP="00C64A04">
            <w:pPr>
              <w:pStyle w:val="ProductList-OfferingBody"/>
              <w:jc w:val="center"/>
              <w:rPr>
                <w:rFonts w:ascii="Calibri" w:hAnsi="Calibri" w:cs="Calibri"/>
                <w:color w:val="FFFFFF" w:themeColor="background1"/>
              </w:rPr>
            </w:pPr>
            <w:r>
              <w:rPr>
                <w:rFonts w:ascii="Calibri" w:hAnsi="Calibri" w:cs="Calibri"/>
              </w:rPr>
              <w:t>100 %</w:t>
            </w:r>
          </w:p>
        </w:tc>
      </w:tr>
    </w:tbl>
    <w:p w14:paraId="4C159C31" w14:textId="77777777" w:rsidR="00501AF0" w:rsidRPr="00EC3D00" w:rsidRDefault="00501AF0" w:rsidP="00123CD3">
      <w:pPr>
        <w:pStyle w:val="ProductList-Body"/>
        <w:spacing w:before="120"/>
        <w:rPr>
          <w:rFonts w:ascii="Calibri" w:hAnsi="Calibri" w:cs="Calibri"/>
          <w:b/>
          <w:color w:val="00188F"/>
        </w:rPr>
      </w:pPr>
      <w:r>
        <w:rPr>
          <w:rFonts w:ascii="Calibri" w:hAnsi="Calibri" w:cs="Calibri"/>
          <w:b/>
          <w:color w:val="00188F"/>
        </w:rPr>
        <w:t>Berechnung der Betriebszeit und Servicelevels für App-Service-Apps, die keine Verfügbarkeitszonen verwenden</w:t>
      </w:r>
    </w:p>
    <w:p w14:paraId="7415EB33" w14:textId="77777777" w:rsidR="00501AF0" w:rsidRPr="00EC3D00" w:rsidRDefault="00501AF0" w:rsidP="00501AF0">
      <w:pPr>
        <w:pStyle w:val="ProductList-Body"/>
        <w:rPr>
          <w:rFonts w:ascii="Calibri" w:hAnsi="Calibri" w:cs="Calibri"/>
        </w:rPr>
      </w:pPr>
      <w:r>
        <w:rPr>
          <w:rFonts w:ascii="Calibri" w:hAnsi="Calibri" w:cs="Calibri"/>
        </w:rPr>
        <w:t>„</w:t>
      </w:r>
      <w:r>
        <w:rPr>
          <w:rFonts w:ascii="Calibri" w:hAnsi="Calibri" w:cs="Calibri"/>
          <w:b/>
          <w:color w:val="0072C6"/>
        </w:rPr>
        <w:t>Maximal Verfügbare Minuten</w:t>
      </w:r>
      <w:r>
        <w:rPr>
          <w:rFonts w:ascii="Calibri" w:hAnsi="Calibri" w:cs="Calibri"/>
        </w:rPr>
        <w:t>“ ist die Summe der kumulierten Bereitstellungsminuten für alle vom Kunden in einem bestimmten Microsoft Azure-Abonnement in einem Anwendbaren Zeitraum bereitgestellten Apps.</w:t>
      </w:r>
    </w:p>
    <w:p w14:paraId="07ECF6D9" w14:textId="77777777" w:rsidR="00501AF0" w:rsidRPr="00EC3D00" w:rsidRDefault="00501AF0" w:rsidP="00501AF0">
      <w:pPr>
        <w:pStyle w:val="ProductList-Body"/>
        <w:rPr>
          <w:rFonts w:ascii="Calibri" w:hAnsi="Calibri" w:cs="Calibri"/>
        </w:rPr>
      </w:pPr>
      <w:r>
        <w:rPr>
          <w:rFonts w:ascii="Calibri" w:hAnsi="Calibri" w:cs="Calibri"/>
        </w:rPr>
        <w:t>„</w:t>
      </w:r>
      <w:r>
        <w:rPr>
          <w:rFonts w:ascii="Calibri" w:hAnsi="Calibri" w:cs="Calibri"/>
          <w:b/>
          <w:color w:val="0072C6"/>
        </w:rPr>
        <w:t>Ausfallzeit</w:t>
      </w:r>
      <w:r>
        <w:rPr>
          <w:rFonts w:ascii="Calibri" w:hAnsi="Calibri" w:cs="Calibri"/>
        </w:rPr>
        <w:t>“ ist die Summe der kumulierten Bereitstellungsminuten aller vom Kunden in einem bestimmten Microsoft Azure-Abonnement bereitgestellten Apps, in denen die App nicht verfügbar ist. Eine Minute gilt für eine bestimmte App als nicht verfügbar, wenn keine Verbindung zwischen der App und dem Internetgateway von Microsoft besteht.</w:t>
      </w:r>
    </w:p>
    <w:p w14:paraId="28C684ED" w14:textId="77777777" w:rsidR="00501AF0" w:rsidRPr="00EC3D00" w:rsidRDefault="00501AF0" w:rsidP="00501AF0">
      <w:pPr>
        <w:pStyle w:val="ProductList-Body"/>
        <w:rPr>
          <w:rFonts w:ascii="Calibri" w:hAnsi="Calibri" w:cs="Calibri"/>
        </w:rPr>
      </w:pPr>
      <w:r>
        <w:rPr>
          <w:rFonts w:ascii="Calibri" w:hAnsi="Calibri" w:cs="Calibri"/>
        </w:rPr>
        <w:t>„</w:t>
      </w:r>
      <w:r>
        <w:rPr>
          <w:rFonts w:ascii="Calibri" w:hAnsi="Calibri" w:cs="Calibri"/>
          <w:b/>
          <w:color w:val="0072C6"/>
        </w:rPr>
        <w:t>Betriebszeitprozentsatz</w:t>
      </w:r>
      <w:r>
        <w:rPr>
          <w:rFonts w:ascii="Calibri" w:hAnsi="Calibri" w:cs="Calibri"/>
        </w:rPr>
        <w:t>“ wird anhand der folgenden Formel berechnet:</w:t>
      </w:r>
    </w:p>
    <w:p w14:paraId="36D9ED45" w14:textId="77777777" w:rsidR="00501AF0" w:rsidRPr="00EF7CF9" w:rsidRDefault="00000000" w:rsidP="00E65F35">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(Maximal Verfügbare Minuten - Ausfallzeit)</m:t>
              </m:r>
            </m:num>
            <m:den>
              <m:r>
                <m:rPr>
                  <m:nor/>
                </m:rPr>
                <w:rPr>
                  <w:rFonts w:ascii="Cambria Math" w:hAnsi="Cambria Math" w:cs="Tahoma"/>
                  <w:i/>
                  <w:sz w:val="18"/>
                  <w:szCs w:val="18"/>
                </w:rPr>
                <m:t>Maximal verfügbare Minuten</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1703419" w14:textId="77777777" w:rsidR="00501AF0" w:rsidRPr="00EC3D00" w:rsidRDefault="00501AF0" w:rsidP="00501AF0">
      <w:pPr>
        <w:pStyle w:val="ProductList-Body"/>
        <w:keepNext/>
        <w:rPr>
          <w:rFonts w:ascii="Calibri" w:hAnsi="Calibri" w:cs="Calibri"/>
        </w:rPr>
      </w:pPr>
      <w:r>
        <w:rPr>
          <w:rFonts w:ascii="Calibri" w:hAnsi="Calibri" w:cs="Calibri"/>
          <w:b/>
          <w:color w:val="00188F"/>
        </w:rPr>
        <w:t>Servicegutschrift</w:t>
      </w:r>
      <w:r w:rsidRPr="004051FF">
        <w:rPr>
          <w:rFonts w:ascii="Calibri" w:hAnsi="Calibri" w:cs="Calibri"/>
          <w:b/>
          <w:color w:val="00188F"/>
        </w:rPr>
        <w:t>:</w:t>
      </w:r>
    </w:p>
    <w:p w14:paraId="288BA097" w14:textId="77777777" w:rsidR="00501AF0" w:rsidRPr="00501AF0" w:rsidRDefault="00501AF0" w:rsidP="00501AF0">
      <w:pPr>
        <w:pStyle w:val="ProductList-Body"/>
        <w:rPr>
          <w:b/>
          <w:bCs/>
          <w:color w:val="00188F"/>
        </w:rPr>
      </w:pPr>
      <w:r w:rsidRPr="00501AF0">
        <w:rPr>
          <w:b/>
          <w:bCs/>
          <w:color w:val="00188F"/>
        </w:rPr>
        <w:t>Die folgenden Service-Levels und Servicegutschriften gelten für die Nutzung von Apps durch Kunden, die keine Verfügbarkeitszonen verwenden: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01AF0" w:rsidRPr="00B44CF9" w14:paraId="42E82CBA" w14:textId="77777777" w:rsidTr="00C64A04">
        <w:trPr>
          <w:tblHeader/>
        </w:trPr>
        <w:tc>
          <w:tcPr>
            <w:tcW w:w="5400" w:type="dxa"/>
            <w:shd w:val="clear" w:color="auto" w:fill="0072C6"/>
          </w:tcPr>
          <w:p w14:paraId="0F9C7DDA" w14:textId="77777777" w:rsidR="00501AF0" w:rsidRPr="00EC3D00" w:rsidRDefault="00501AF0" w:rsidP="00C64A04">
            <w:pPr>
              <w:pStyle w:val="ProductList-OfferingBody"/>
              <w:jc w:val="center"/>
              <w:rPr>
                <w:rFonts w:ascii="Calibri" w:hAnsi="Calibri" w:cs="Calibri"/>
                <w:color w:val="FFFFFF" w:themeColor="background1"/>
              </w:rPr>
            </w:pPr>
            <w:r>
              <w:rPr>
                <w:rFonts w:ascii="Calibri" w:hAnsi="Calibri" w:cs="Calibri"/>
                <w:color w:val="FFFFFF" w:themeColor="background1"/>
              </w:rPr>
              <w:t>Betriebszeitprozentsatz</w:t>
            </w:r>
          </w:p>
        </w:tc>
        <w:tc>
          <w:tcPr>
            <w:tcW w:w="5400" w:type="dxa"/>
            <w:shd w:val="clear" w:color="auto" w:fill="0072C6"/>
          </w:tcPr>
          <w:p w14:paraId="0194C221" w14:textId="77777777" w:rsidR="00501AF0" w:rsidRPr="00EC3D00" w:rsidRDefault="00501AF0" w:rsidP="00C64A04">
            <w:pPr>
              <w:pStyle w:val="ProductList-OfferingBody"/>
              <w:jc w:val="center"/>
              <w:rPr>
                <w:rFonts w:ascii="Calibri" w:hAnsi="Calibri" w:cs="Calibri"/>
                <w:color w:val="FFFFFF" w:themeColor="background1"/>
              </w:rPr>
            </w:pPr>
            <w:r>
              <w:rPr>
                <w:rFonts w:ascii="Calibri" w:hAnsi="Calibri" w:cs="Calibri"/>
                <w:color w:val="FFFFFF" w:themeColor="background1"/>
              </w:rPr>
              <w:t>Servicegutschrift</w:t>
            </w:r>
          </w:p>
        </w:tc>
      </w:tr>
      <w:tr w:rsidR="00501AF0" w:rsidRPr="00B44CF9" w14:paraId="49DB1107" w14:textId="77777777" w:rsidTr="00C64A04">
        <w:tc>
          <w:tcPr>
            <w:tcW w:w="5400" w:type="dxa"/>
          </w:tcPr>
          <w:p w14:paraId="6008B303" w14:textId="77777777" w:rsidR="00501AF0" w:rsidRPr="00EC3D00" w:rsidRDefault="00501AF0" w:rsidP="00C64A04">
            <w:pPr>
              <w:pStyle w:val="ProductList-OfferingBody"/>
              <w:jc w:val="center"/>
              <w:rPr>
                <w:rFonts w:ascii="Calibri" w:hAnsi="Calibri" w:cs="Calibri"/>
              </w:rPr>
            </w:pPr>
            <w:r>
              <w:rPr>
                <w:rFonts w:ascii="Calibri" w:hAnsi="Calibri" w:cs="Calibri"/>
              </w:rPr>
              <w:t>&lt; 99,95 %</w:t>
            </w:r>
          </w:p>
        </w:tc>
        <w:tc>
          <w:tcPr>
            <w:tcW w:w="5400" w:type="dxa"/>
          </w:tcPr>
          <w:p w14:paraId="48C85E6B" w14:textId="77777777" w:rsidR="00501AF0" w:rsidRPr="00EC3D00" w:rsidRDefault="00501AF0" w:rsidP="00C64A04">
            <w:pPr>
              <w:pStyle w:val="ProductList-OfferingBody"/>
              <w:jc w:val="center"/>
              <w:rPr>
                <w:rFonts w:ascii="Calibri" w:hAnsi="Calibri" w:cs="Calibri"/>
              </w:rPr>
            </w:pPr>
            <w:r>
              <w:rPr>
                <w:rFonts w:ascii="Calibri" w:hAnsi="Calibri" w:cs="Calibri"/>
              </w:rPr>
              <w:t>10 %</w:t>
            </w:r>
          </w:p>
        </w:tc>
      </w:tr>
      <w:tr w:rsidR="00501AF0" w:rsidRPr="00B44CF9" w14:paraId="0A5B5DAA" w14:textId="77777777" w:rsidTr="00C64A04">
        <w:tc>
          <w:tcPr>
            <w:tcW w:w="5400" w:type="dxa"/>
          </w:tcPr>
          <w:p w14:paraId="7429116E" w14:textId="77777777" w:rsidR="00501AF0" w:rsidRPr="00EC3D00" w:rsidRDefault="00501AF0" w:rsidP="00C64A04">
            <w:pPr>
              <w:pStyle w:val="ProductList-OfferingBody"/>
              <w:jc w:val="center"/>
              <w:rPr>
                <w:rFonts w:ascii="Calibri" w:hAnsi="Calibri" w:cs="Calibri"/>
              </w:rPr>
            </w:pPr>
            <w:r>
              <w:rPr>
                <w:rFonts w:ascii="Calibri" w:hAnsi="Calibri" w:cs="Calibri"/>
              </w:rPr>
              <w:t>&lt; 99 %</w:t>
            </w:r>
          </w:p>
        </w:tc>
        <w:tc>
          <w:tcPr>
            <w:tcW w:w="5400" w:type="dxa"/>
          </w:tcPr>
          <w:p w14:paraId="668EABA2" w14:textId="77777777" w:rsidR="00501AF0" w:rsidRPr="00EC3D00" w:rsidRDefault="00501AF0" w:rsidP="00C64A04">
            <w:pPr>
              <w:pStyle w:val="ProductList-OfferingBody"/>
              <w:jc w:val="center"/>
              <w:rPr>
                <w:rFonts w:ascii="Calibri" w:hAnsi="Calibri" w:cs="Calibri"/>
              </w:rPr>
            </w:pPr>
            <w:r>
              <w:rPr>
                <w:rFonts w:ascii="Calibri" w:hAnsi="Calibri" w:cs="Calibri"/>
              </w:rPr>
              <w:t>25 %</w:t>
            </w:r>
          </w:p>
        </w:tc>
      </w:tr>
      <w:tr w:rsidR="00E85D4E" w:rsidRPr="00B44CF9" w14:paraId="0EE86342" w14:textId="77777777" w:rsidTr="00C64A04">
        <w:tc>
          <w:tcPr>
            <w:tcW w:w="5400" w:type="dxa"/>
          </w:tcPr>
          <w:p w14:paraId="0FA2BF67" w14:textId="79349746" w:rsidR="00E85D4E" w:rsidRDefault="00E85D4E" w:rsidP="00E85D4E">
            <w:pPr>
              <w:pStyle w:val="ProductList-OfferingBody"/>
              <w:jc w:val="center"/>
              <w:rPr>
                <w:rFonts w:ascii="Calibri" w:hAnsi="Calibri" w:cs="Calibri"/>
              </w:rPr>
            </w:pPr>
            <w:r>
              <w:rPr>
                <w:rFonts w:ascii="Calibri" w:hAnsi="Calibri" w:cs="Calibri"/>
              </w:rPr>
              <w:t>&lt; 95 %</w:t>
            </w:r>
          </w:p>
        </w:tc>
        <w:tc>
          <w:tcPr>
            <w:tcW w:w="5400" w:type="dxa"/>
          </w:tcPr>
          <w:p w14:paraId="71957CF9" w14:textId="719C61B2" w:rsidR="00E85D4E" w:rsidRDefault="00E85D4E" w:rsidP="00E85D4E">
            <w:pPr>
              <w:pStyle w:val="ProductList-OfferingBody"/>
              <w:jc w:val="center"/>
              <w:rPr>
                <w:rFonts w:ascii="Calibri" w:hAnsi="Calibri" w:cs="Calibri"/>
              </w:rPr>
            </w:pPr>
            <w:r>
              <w:rPr>
                <w:rFonts w:ascii="Calibri" w:hAnsi="Calibri" w:cs="Calibri"/>
              </w:rPr>
              <w:t>100 %</w:t>
            </w:r>
          </w:p>
        </w:tc>
      </w:tr>
    </w:tbl>
    <w:p w14:paraId="14EC39C4" w14:textId="77777777" w:rsidR="004005AF" w:rsidRDefault="004005AF" w:rsidP="00E960C1">
      <w:pPr>
        <w:pStyle w:val="ProductList-Body"/>
        <w:spacing w:before="120"/>
      </w:pPr>
      <w:r>
        <w:rPr>
          <w:b/>
          <w:bCs/>
          <w:color w:val="00188F"/>
        </w:rPr>
        <w:lastRenderedPageBreak/>
        <w:t>Zusatzbestimmungen</w:t>
      </w:r>
      <w:r w:rsidRPr="00ED75EB">
        <w:rPr>
          <w:b/>
          <w:color w:val="00188F"/>
        </w:rPr>
        <w:t>:</w:t>
      </w:r>
      <w:r>
        <w:rPr>
          <w:b/>
          <w:bCs/>
          <w:color w:val="00188F"/>
        </w:rPr>
        <w:t xml:space="preserve"> </w:t>
      </w:r>
      <w:r>
        <w:t>Servicegutschriften gelten nur für Gebühren, die Ihrer Nutzung von Web Apps, Mobile Apps, API Apps oder Logic Apps zuzuordnen sind, und nicht für Gebühren, die anderen Arten von Apps zuzuordnen sind, die über den App-Dienst verfügbar sind und die nicht unter diese SLA fallen.</w:t>
      </w:r>
    </w:p>
    <w:p w14:paraId="49C54470" w14:textId="06248EAD" w:rsidR="00BF741A" w:rsidRPr="00BF741A" w:rsidRDefault="00BF741A" w:rsidP="00E960C1">
      <w:pPr>
        <w:pStyle w:val="ProductList-Body"/>
        <w:spacing w:before="120"/>
        <w:rPr>
          <w:rFonts w:ascii="Calibri" w:hAnsi="Calibri" w:cs="Calibri"/>
          <w:szCs w:val="18"/>
        </w:rPr>
      </w:pPr>
      <w:r w:rsidRPr="00BF741A">
        <w:rPr>
          <w:rFonts w:ascii="Calibri" w:hAnsi="Calibri" w:cs="Calibri"/>
          <w:szCs w:val="18"/>
        </w:rPr>
        <w:t>Ab dem 1. September 2024 handelt es sich bei den App Service-Umgebungen Version 1 und Version 2 um eingestellte Servicefunktionen, deren Supportzeiträume abgelaufen sind. App Service bietet keine Servicelevelgarantien und damit auch keine Servicegutschriften mehr bei Leistungs- oder Verfügbarkeitsproblemen im Zusammenhang mit Workloads, die in App Service-Umgebung Version 1 und Version 2 ausgeführt werden.</w:t>
      </w:r>
    </w:p>
    <w:bookmarkStart w:id="175" w:name="_Toc457821537"/>
    <w:bookmarkStart w:id="176" w:name="_Toc52348920"/>
    <w:p w14:paraId="6B2C8913" w14:textId="6BBAAEFF"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11F9D7C6" w14:textId="77777777" w:rsidR="004005AF" w:rsidRPr="00EF7CF9" w:rsidRDefault="004005AF" w:rsidP="004005AF">
      <w:pPr>
        <w:pStyle w:val="ProductList-Offering2Heading"/>
        <w:tabs>
          <w:tab w:val="clear" w:pos="360"/>
          <w:tab w:val="clear" w:pos="720"/>
          <w:tab w:val="clear" w:pos="1080"/>
        </w:tabs>
        <w:outlineLvl w:val="2"/>
      </w:pPr>
      <w:bookmarkStart w:id="177" w:name="_Toc195543103"/>
      <w:bookmarkStart w:id="178" w:name="_Toc237448957"/>
      <w:r>
        <w:t>Application Gateway</w:t>
      </w:r>
      <w:bookmarkEnd w:id="175"/>
      <w:bookmarkEnd w:id="176"/>
      <w:bookmarkEnd w:id="177"/>
      <w:bookmarkEnd w:id="178"/>
    </w:p>
    <w:p w14:paraId="38D78F29" w14:textId="77777777" w:rsidR="004005AF" w:rsidRPr="00EF7CF9" w:rsidRDefault="004005AF" w:rsidP="004005AF">
      <w:pPr>
        <w:pStyle w:val="ProductList-Body"/>
      </w:pPr>
      <w:r>
        <w:rPr>
          <w:b/>
          <w:color w:val="00188F"/>
        </w:rPr>
        <w:t>Zusätzliche Definitionen</w:t>
      </w:r>
      <w:r w:rsidRPr="00ED75EB">
        <w:rPr>
          <w:b/>
          <w:color w:val="00188F"/>
        </w:rPr>
        <w:t>:</w:t>
      </w:r>
    </w:p>
    <w:p w14:paraId="409BF5A1" w14:textId="77777777" w:rsidR="004005AF" w:rsidRPr="00EF7CF9" w:rsidRDefault="004005AF" w:rsidP="004005AF">
      <w:pPr>
        <w:pStyle w:val="ProductList-Body"/>
        <w:spacing w:after="40"/>
      </w:pPr>
      <w:r>
        <w:t>„</w:t>
      </w:r>
      <w:r>
        <w:rPr>
          <w:b/>
          <w:color w:val="00188F"/>
        </w:rPr>
        <w:t>Application Gateway Cloud-Dienst</w:t>
      </w:r>
      <w:r>
        <w:t>“ bezieht sich auf eine Sammlung von zwei oder mehr mittlerer oder großer Application Gateway-Instanzen oder Bereitstellungen, die die Autoskalen- oder Zonenredundanz unterstützen können, die für die Erbringung von HTTP-Lastenausgleichsdiensten konfiguriert sind.</w:t>
      </w:r>
    </w:p>
    <w:p w14:paraId="3A2B043F" w14:textId="23742456" w:rsidR="004005AF" w:rsidRPr="00EF7CF9" w:rsidRDefault="004005AF" w:rsidP="00B1426B">
      <w:pPr>
        <w:pStyle w:val="ProductList-Body"/>
        <w:spacing w:after="40"/>
        <w:ind w:right="144"/>
      </w:pPr>
      <w:r>
        <w:t>„</w:t>
      </w:r>
      <w:r>
        <w:rPr>
          <w:b/>
          <w:color w:val="00188F"/>
        </w:rPr>
        <w:t>Maximal Verfügbare Minuten</w:t>
      </w:r>
      <w:r>
        <w:t>“ ist die Gesamtzahl der Minuten während eines Anwendbaren Zeitraums, in denen ein Application Gateway Cloud-Dienst in einem Microsoft Azure-Abonnement bereitgestellt wird.</w:t>
      </w:r>
    </w:p>
    <w:p w14:paraId="27881ED1" w14:textId="39A2BE80" w:rsidR="004005AF" w:rsidRPr="00EF7CF9" w:rsidRDefault="004005AF" w:rsidP="004005AF">
      <w:pPr>
        <w:pStyle w:val="ProductList-Body"/>
      </w:pPr>
      <w:r>
        <w:rPr>
          <w:b/>
          <w:color w:val="00188F"/>
        </w:rPr>
        <w:t>Ausfallzeit</w:t>
      </w:r>
      <w:r w:rsidRPr="00ED75EB">
        <w:rPr>
          <w:b/>
          <w:color w:val="00188F"/>
        </w:rPr>
        <w:t>:</w:t>
      </w:r>
      <w:r>
        <w:t xml:space="preserve"> ist die Summe der kumulierten Maximal Verfügbaren Minuten während eines Anwendbaren Zeitraums für einen bestimmten Application Gateway Cloud-Dienst, in welchem der Application Gateway Cloud-Dienst nicht verfügbar ist. Eine bestimmte Minute gilt als nicht verfügbar, wenn alle Versuche, während der Minute eine Verbindung mit dem Application Gateway Cloud Service herzustellen, fehlschlagen.</w:t>
      </w:r>
    </w:p>
    <w:p w14:paraId="71CE672F" w14:textId="5E7BA27A" w:rsidR="004005AF" w:rsidRPr="00EF7CF9" w:rsidRDefault="00AC48A7" w:rsidP="004005AF">
      <w:pPr>
        <w:pStyle w:val="ProductList-Body"/>
      </w:pPr>
      <w:r>
        <w:rPr>
          <w:b/>
          <w:color w:val="00188F"/>
        </w:rPr>
        <w:t>Betriebszeitprozentsatz</w:t>
      </w:r>
      <w:r w:rsidRPr="00ED75EB">
        <w:rPr>
          <w:b/>
          <w:color w:val="00188F"/>
        </w:rPr>
        <w:t>:</w:t>
      </w:r>
      <w:r>
        <w:t xml:space="preserve"> Der Betriebszeitprozentsatz errechnet sich nach folgender Formel:</w:t>
      </w:r>
    </w:p>
    <w:p w14:paraId="16596BA4" w14:textId="77777777" w:rsidR="004005AF" w:rsidRPr="00EF7CF9" w:rsidRDefault="004005AF" w:rsidP="004005AF">
      <w:pPr>
        <w:pStyle w:val="ProductList-Body"/>
      </w:pPr>
    </w:p>
    <w:p w14:paraId="7F8325E7" w14:textId="19F79DCC" w:rsidR="004005AF" w:rsidRPr="007C7313" w:rsidRDefault="00000000" w:rsidP="00915D56">
      <w:pPr>
        <w:pStyle w:val="ListParagraph"/>
        <w:spacing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6551F904" w14:textId="77777777" w:rsidR="004005AF" w:rsidRPr="00EF7CF9" w:rsidRDefault="004005AF" w:rsidP="004005AF">
      <w:pPr>
        <w:pStyle w:val="ProductList-Body"/>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A345365" w14:textId="77777777" w:rsidTr="00277097">
        <w:trPr>
          <w:tblHeader/>
        </w:trPr>
        <w:tc>
          <w:tcPr>
            <w:tcW w:w="5400" w:type="dxa"/>
            <w:shd w:val="clear" w:color="auto" w:fill="0072C6"/>
          </w:tcPr>
          <w:p w14:paraId="14CAF016" w14:textId="69AFD054" w:rsidR="004005AF"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48694978" w14:textId="77777777" w:rsidR="004005AF" w:rsidRPr="00EF7CF9" w:rsidRDefault="004005AF" w:rsidP="000F31B4">
            <w:pPr>
              <w:pStyle w:val="ProductList-OfferingBody"/>
              <w:jc w:val="center"/>
              <w:rPr>
                <w:color w:val="FFFFFF" w:themeColor="background1"/>
              </w:rPr>
            </w:pPr>
            <w:r>
              <w:rPr>
                <w:color w:val="FFFFFF" w:themeColor="background1"/>
              </w:rPr>
              <w:t>Servicegutschrift</w:t>
            </w:r>
          </w:p>
        </w:tc>
      </w:tr>
      <w:tr w:rsidR="004005AF" w:rsidRPr="00B44CF9" w14:paraId="775144B4" w14:textId="77777777" w:rsidTr="00277097">
        <w:tc>
          <w:tcPr>
            <w:tcW w:w="5400" w:type="dxa"/>
          </w:tcPr>
          <w:p w14:paraId="146FF228" w14:textId="77777777" w:rsidR="004005AF" w:rsidRPr="00EF7CF9" w:rsidRDefault="004005AF" w:rsidP="000F31B4">
            <w:pPr>
              <w:pStyle w:val="ProductList-OfferingBody"/>
              <w:jc w:val="center"/>
            </w:pPr>
            <w:r>
              <w:t>&lt; 99,95 %</w:t>
            </w:r>
          </w:p>
        </w:tc>
        <w:tc>
          <w:tcPr>
            <w:tcW w:w="5400" w:type="dxa"/>
          </w:tcPr>
          <w:p w14:paraId="25A99F4E" w14:textId="77777777" w:rsidR="004005AF" w:rsidRPr="00EF7CF9" w:rsidRDefault="004005AF" w:rsidP="000F31B4">
            <w:pPr>
              <w:pStyle w:val="ProductList-OfferingBody"/>
              <w:jc w:val="center"/>
            </w:pPr>
            <w:r>
              <w:t>10 %</w:t>
            </w:r>
          </w:p>
        </w:tc>
      </w:tr>
      <w:tr w:rsidR="004005AF" w:rsidRPr="00B44CF9" w14:paraId="72795E6F" w14:textId="77777777" w:rsidTr="00277097">
        <w:tc>
          <w:tcPr>
            <w:tcW w:w="5400" w:type="dxa"/>
          </w:tcPr>
          <w:p w14:paraId="03C5B7A3" w14:textId="77777777" w:rsidR="004005AF" w:rsidRPr="00EF7CF9" w:rsidRDefault="004005AF" w:rsidP="000F31B4">
            <w:pPr>
              <w:pStyle w:val="ProductList-OfferingBody"/>
              <w:jc w:val="center"/>
            </w:pPr>
            <w:r>
              <w:t>&lt; 99 %</w:t>
            </w:r>
          </w:p>
        </w:tc>
        <w:tc>
          <w:tcPr>
            <w:tcW w:w="5400" w:type="dxa"/>
          </w:tcPr>
          <w:p w14:paraId="5322A0A3" w14:textId="77777777" w:rsidR="004005AF" w:rsidRPr="00EF7CF9" w:rsidRDefault="004005AF" w:rsidP="000F31B4">
            <w:pPr>
              <w:pStyle w:val="ProductList-OfferingBody"/>
              <w:jc w:val="center"/>
            </w:pPr>
            <w:r>
              <w:t>25 %</w:t>
            </w:r>
          </w:p>
        </w:tc>
      </w:tr>
    </w:tbl>
    <w:bookmarkStart w:id="179" w:name="_Toc526859647"/>
    <w:bookmarkStart w:id="180" w:name="_Toc527039296"/>
    <w:bookmarkStart w:id="181" w:name="_Toc52348921"/>
    <w:bookmarkStart w:id="182" w:name="ApplicationInsights"/>
    <w:bookmarkStart w:id="183" w:name="_Toc457821538"/>
    <w:p w14:paraId="2693865B" w14:textId="76FBAC39"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2337F48A" w14:textId="27F0369D" w:rsidR="005C378B" w:rsidRDefault="005C378B" w:rsidP="004005AF">
      <w:pPr>
        <w:pStyle w:val="ProductList-Offering2Heading"/>
        <w:tabs>
          <w:tab w:val="clear" w:pos="360"/>
          <w:tab w:val="clear" w:pos="720"/>
          <w:tab w:val="clear" w:pos="1080"/>
        </w:tabs>
        <w:outlineLvl w:val="2"/>
        <w:rPr>
          <w:rFonts w:ascii="Calibri Light" w:hAnsi="Calibri Light" w:cs="Calibri Light"/>
        </w:rPr>
      </w:pPr>
      <w:bookmarkStart w:id="184" w:name="_Toc195543104"/>
      <w:bookmarkStart w:id="185" w:name="_Toc237448958"/>
      <w:r>
        <w:t xml:space="preserve">Appplication Gateway </w:t>
      </w:r>
      <w:r w:rsidR="00316C68">
        <w:rPr>
          <w:rFonts w:ascii="Calibri Light" w:hAnsi="Calibri Light" w:cs="Calibri Light"/>
        </w:rPr>
        <w:t>für Container</w:t>
      </w:r>
      <w:bookmarkEnd w:id="184"/>
      <w:bookmarkEnd w:id="185"/>
    </w:p>
    <w:p w14:paraId="510F4FEC" w14:textId="77777777" w:rsidR="005A554E" w:rsidRPr="00420E5B" w:rsidRDefault="005A554E" w:rsidP="005A554E">
      <w:pPr>
        <w:pStyle w:val="ProductList-Body"/>
        <w:rPr>
          <w:rFonts w:ascii="Calibri" w:hAnsi="Calibri" w:cs="Calibri"/>
        </w:rPr>
      </w:pPr>
      <w:r>
        <w:rPr>
          <w:rFonts w:ascii="Calibri" w:hAnsi="Calibri" w:cs="Calibri"/>
          <w:b/>
          <w:color w:val="00188F"/>
        </w:rPr>
        <w:t>Zusätzliche Definitionen</w:t>
      </w:r>
      <w:r w:rsidRPr="009935B3">
        <w:rPr>
          <w:rFonts w:ascii="Calibri" w:hAnsi="Calibri" w:cs="Calibri"/>
          <w:b/>
          <w:bCs/>
        </w:rPr>
        <w:t>:</w:t>
      </w:r>
    </w:p>
    <w:p w14:paraId="5379EE18" w14:textId="77777777" w:rsidR="005A554E" w:rsidRPr="00420E5B" w:rsidRDefault="005A554E" w:rsidP="006C61C4">
      <w:pPr>
        <w:pStyle w:val="ProductList-Body"/>
        <w:rPr>
          <w:rFonts w:ascii="Calibri" w:hAnsi="Calibri" w:cs="Calibri"/>
        </w:rPr>
      </w:pPr>
      <w:r>
        <w:rPr>
          <w:rFonts w:ascii="Calibri" w:hAnsi="Calibri" w:cs="Calibri"/>
        </w:rPr>
        <w:t>„</w:t>
      </w:r>
      <w:r>
        <w:rPr>
          <w:rFonts w:ascii="Calibri" w:hAnsi="Calibri" w:cs="Calibri"/>
          <w:b/>
          <w:bCs/>
          <w:color w:val="00188F"/>
        </w:rPr>
        <w:t>Application Gateway für Container</w:t>
      </w:r>
      <w:r>
        <w:rPr>
          <w:rFonts w:ascii="Calibri" w:hAnsi="Calibri" w:cs="Calibri"/>
        </w:rPr>
        <w:t>“ bezieht sich auf Konzepte für die Erbringung von HTTP-Lastenausgleichsdiensten für Steuerungsebenen und Datenebenen.</w:t>
      </w:r>
    </w:p>
    <w:p w14:paraId="07AFF500" w14:textId="77777777" w:rsidR="005A554E" w:rsidRPr="00420E5B" w:rsidRDefault="005A554E" w:rsidP="006C61C4">
      <w:pPr>
        <w:pStyle w:val="ProductList-Body"/>
        <w:rPr>
          <w:rFonts w:ascii="Calibri" w:hAnsi="Calibri" w:cs="Calibri"/>
        </w:rPr>
      </w:pPr>
      <w:r>
        <w:rPr>
          <w:rFonts w:ascii="Calibri" w:hAnsi="Calibri" w:cs="Calibri"/>
        </w:rPr>
        <w:t>„</w:t>
      </w:r>
      <w:r>
        <w:rPr>
          <w:rFonts w:ascii="Calibri" w:hAnsi="Calibri" w:cs="Calibri"/>
          <w:b/>
          <w:bCs/>
          <w:color w:val="00188F"/>
        </w:rPr>
        <w:t>ALB Controller</w:t>
      </w:r>
      <w:r>
        <w:rPr>
          <w:rFonts w:ascii="Calibri" w:hAnsi="Calibri" w:cs="Calibri"/>
        </w:rPr>
        <w:t>“ bezieht sich auf die im Kubernetes-Cluster eines Kunden installierte Komponente, die für die Übersetzung und Übertragung der benutzerdefinierten Konfiguration im Kubernetes-Cluster an Application Gateway für Container verantwortlich ist.</w:t>
      </w:r>
    </w:p>
    <w:p w14:paraId="0456B228" w14:textId="77777777" w:rsidR="005A554E" w:rsidRPr="00420E5B" w:rsidRDefault="005A554E" w:rsidP="006C61C4">
      <w:pPr>
        <w:pStyle w:val="ProductList-Body"/>
        <w:rPr>
          <w:rFonts w:ascii="Calibri" w:hAnsi="Calibri" w:cs="Calibri"/>
        </w:rPr>
      </w:pPr>
      <w:r>
        <w:rPr>
          <w:rFonts w:ascii="Calibri" w:hAnsi="Calibri" w:cs="Calibri"/>
        </w:rPr>
        <w:t>„</w:t>
      </w:r>
      <w:r>
        <w:rPr>
          <w:rFonts w:ascii="Calibri" w:hAnsi="Calibri" w:cs="Calibri"/>
          <w:b/>
          <w:bCs/>
          <w:color w:val="00188F"/>
        </w:rPr>
        <w:t>Maximal verfügbare Minuten</w:t>
      </w:r>
      <w:r>
        <w:rPr>
          <w:rFonts w:ascii="Calibri" w:hAnsi="Calibri" w:cs="Calibri"/>
        </w:rPr>
        <w:t>“ ist die Gesamtzahl der Minuten während eines Abrechnungsmonats, in denen ein Application Gateway für Container-Dienst in einem Azure-Abonnement bereitgestellt wurde.</w:t>
      </w:r>
    </w:p>
    <w:p w14:paraId="0CFD6201" w14:textId="77777777" w:rsidR="005A554E" w:rsidRPr="00420E5B" w:rsidRDefault="005A554E" w:rsidP="006C61C4">
      <w:pPr>
        <w:pStyle w:val="ProductList-Body"/>
        <w:rPr>
          <w:rFonts w:ascii="Calibri" w:hAnsi="Calibri" w:cs="Calibri"/>
        </w:rPr>
      </w:pPr>
      <w:r>
        <w:rPr>
          <w:rFonts w:ascii="Calibri" w:hAnsi="Calibri" w:cs="Calibri"/>
        </w:rPr>
        <w:t>„</w:t>
      </w:r>
      <w:r>
        <w:rPr>
          <w:rFonts w:ascii="Calibri" w:hAnsi="Calibri" w:cs="Calibri"/>
          <w:b/>
          <w:bCs/>
          <w:color w:val="00188F"/>
        </w:rPr>
        <w:t>Ausfallzeit der Steuerungsebene</w:t>
      </w:r>
      <w:r>
        <w:rPr>
          <w:rFonts w:ascii="Calibri" w:hAnsi="Calibri" w:cs="Calibri"/>
        </w:rPr>
        <w:t>“ ist die Gesamtzahl der akkumulierten Minuten während eines Abrechnungsmonats für eine bestimmte Application Gateway für Container-Ressource, in der Änderungen an der Application Gateway für Container-Steuerungsebene nicht verfügbar sind. Eine bestimmte Minute gilt als nicht verfügbar, wenn alle Verbindungsversuche des ALB-Controller von Application Gateway für Container innerhalb dieser Minute fehlschlagen.</w:t>
      </w:r>
    </w:p>
    <w:p w14:paraId="6FA5800D" w14:textId="77777777" w:rsidR="005A554E" w:rsidRPr="00420E5B" w:rsidRDefault="005A554E" w:rsidP="006C61C4">
      <w:pPr>
        <w:pStyle w:val="ProductList-Body"/>
        <w:rPr>
          <w:rFonts w:ascii="Calibri" w:hAnsi="Calibri" w:cs="Calibri"/>
        </w:rPr>
      </w:pPr>
      <w:r>
        <w:rPr>
          <w:rFonts w:ascii="Calibri" w:hAnsi="Calibri" w:cs="Calibri"/>
        </w:rPr>
        <w:t>„</w:t>
      </w:r>
      <w:r>
        <w:rPr>
          <w:rFonts w:ascii="Calibri" w:hAnsi="Calibri" w:cs="Calibri"/>
          <w:b/>
          <w:bCs/>
          <w:color w:val="00188F"/>
        </w:rPr>
        <w:t>Ausfallzeit der Datenebene</w:t>
      </w:r>
      <w:r>
        <w:rPr>
          <w:rFonts w:ascii="Calibri" w:hAnsi="Calibri" w:cs="Calibri"/>
        </w:rPr>
        <w:t>“ ist die Gesamtzahl der akkumulierten Minuten während eines Abrechnungsmonats für eine bestimmte Application Gateway für Container-Bereitstellung, während derer die Application Gateway für Container-Datenebene nicht verfügbar ist. Eine bestimmte Minute gilt als nicht verfügbar, wenn alle Versuche fehlschlagen, während dieser Minute eine Verbindung mit dem Frontend von Application Gateway für Container herzustellen.</w:t>
      </w:r>
    </w:p>
    <w:p w14:paraId="3B2E5BB3" w14:textId="77777777" w:rsidR="005A554E" w:rsidRPr="00420E5B" w:rsidRDefault="005A554E" w:rsidP="006C61C4">
      <w:pPr>
        <w:pStyle w:val="ProductList-Body"/>
        <w:rPr>
          <w:rFonts w:ascii="Calibri" w:hAnsi="Calibri" w:cs="Calibri"/>
        </w:rPr>
      </w:pPr>
      <w:r>
        <w:rPr>
          <w:rFonts w:ascii="Calibri" w:hAnsi="Calibri" w:cs="Calibri"/>
          <w:b/>
          <w:color w:val="00188F"/>
        </w:rPr>
        <w:t>Prozentsatz der monatlichen Betriebszeit</w:t>
      </w:r>
      <w:r w:rsidRPr="000E5890">
        <w:rPr>
          <w:rFonts w:ascii="Calibri" w:hAnsi="Calibri" w:cs="Calibri"/>
          <w:b/>
          <w:bCs/>
        </w:rPr>
        <w:t>:</w:t>
      </w:r>
      <w:r>
        <w:rPr>
          <w:rFonts w:ascii="Calibri" w:hAnsi="Calibri" w:cs="Calibri"/>
        </w:rPr>
        <w:t xml:space="preserve"> Der Prozentsatz der monatlichen Betriebszeit wird mithilfe der folgenden Formel berechnet:</w:t>
      </w:r>
    </w:p>
    <w:p w14:paraId="6EB767B8" w14:textId="77777777" w:rsidR="005A554E" w:rsidRPr="0088591D" w:rsidRDefault="00000000" w:rsidP="006C61C4">
      <w:pPr>
        <w:pStyle w:val="ProductList-Body"/>
        <w:spacing w:before="120"/>
        <w:rPr>
          <w:rFonts w:eastAsiaTheme="minorEastAsia"/>
          <w:szCs w:val="18"/>
        </w:rPr>
      </w:pPr>
      <m:oMathPara>
        <m:oMath>
          <m:f>
            <m:fPr>
              <m:ctrlPr>
                <w:rPr>
                  <w:rFonts w:ascii="Cambria Math" w:hAnsi="Cambria Math" w:cs="Tahoma"/>
                  <w:i/>
                  <w:szCs w:val="18"/>
                </w:rPr>
              </m:ctrlPr>
            </m:fPr>
            <m:num>
              <m:r>
                <m:rPr>
                  <m:nor/>
                </m:rPr>
                <w:rPr>
                  <w:rFonts w:ascii="Cambria Math" w:hAnsi="Cambria Math" w:cs="Tahoma"/>
                  <w:i/>
                  <w:szCs w:val="18"/>
                </w:rPr>
                <m:t>Maximal verfügbare Minuten – Ausfallzeit der Steuerungsebene – Ausfallzeit der Datenebene</m:t>
              </m:r>
            </m:num>
            <m:den>
              <m:r>
                <m:rPr>
                  <m:nor/>
                </m:rPr>
                <w:rPr>
                  <w:rFonts w:ascii="Cambria Math" w:hAnsi="Cambria Math" w:cs="Tahoma"/>
                  <w:i/>
                  <w:szCs w:val="18"/>
                </w:rPr>
                <m:t>Maximal verfügbare Minuten</m:t>
              </m:r>
            </m:den>
          </m:f>
        </m:oMath>
      </m:oMathPara>
    </w:p>
    <w:p w14:paraId="2A250114" w14:textId="77777777" w:rsidR="005A554E" w:rsidRPr="00420E5B" w:rsidRDefault="005A554E" w:rsidP="005A554E">
      <w:pPr>
        <w:pStyle w:val="ProductList-Body"/>
        <w:rPr>
          <w:rFonts w:ascii="Calibri" w:hAnsi="Calibri" w:cs="Calibri"/>
        </w:rPr>
      </w:pPr>
      <w:r>
        <w:rPr>
          <w:rFonts w:ascii="Calibri" w:hAnsi="Calibri" w:cs="Calibri"/>
          <w:b/>
          <w:color w:val="00188F"/>
        </w:rPr>
        <w:t>Servicegutschrift</w:t>
      </w:r>
      <w:r w:rsidRPr="00EA2CA0">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A554E" w:rsidRPr="00B44CF9" w14:paraId="0F1C680C" w14:textId="77777777" w:rsidTr="009B7CCF">
        <w:trPr>
          <w:tblHeader/>
        </w:trPr>
        <w:tc>
          <w:tcPr>
            <w:tcW w:w="5400" w:type="dxa"/>
            <w:shd w:val="clear" w:color="auto" w:fill="0072C6"/>
          </w:tcPr>
          <w:p w14:paraId="68A718A8" w14:textId="77777777" w:rsidR="005A554E" w:rsidRPr="00420E5B" w:rsidRDefault="005A554E" w:rsidP="009B7CCF">
            <w:pPr>
              <w:pStyle w:val="ProductList-OfferingBody"/>
              <w:jc w:val="center"/>
              <w:rPr>
                <w:rFonts w:ascii="Calibri" w:hAnsi="Calibri" w:cs="Calibri"/>
                <w:color w:val="FFFFFF" w:themeColor="background1"/>
              </w:rPr>
            </w:pPr>
            <w:r>
              <w:rPr>
                <w:rFonts w:ascii="Calibri" w:hAnsi="Calibri" w:cs="Calibri"/>
                <w:color w:val="FFFFFF" w:themeColor="background1"/>
              </w:rPr>
              <w:t>Betriebszeitprozentsatz</w:t>
            </w:r>
          </w:p>
        </w:tc>
        <w:tc>
          <w:tcPr>
            <w:tcW w:w="5400" w:type="dxa"/>
            <w:shd w:val="clear" w:color="auto" w:fill="0072C6"/>
          </w:tcPr>
          <w:p w14:paraId="6D69CE4E" w14:textId="77777777" w:rsidR="005A554E" w:rsidRPr="00420E5B" w:rsidRDefault="005A554E" w:rsidP="009B7CCF">
            <w:pPr>
              <w:pStyle w:val="ProductList-OfferingBody"/>
              <w:jc w:val="center"/>
              <w:rPr>
                <w:rFonts w:ascii="Calibri" w:hAnsi="Calibri" w:cs="Calibri"/>
                <w:color w:val="FFFFFF" w:themeColor="background1"/>
              </w:rPr>
            </w:pPr>
            <w:r>
              <w:rPr>
                <w:rFonts w:ascii="Calibri" w:hAnsi="Calibri" w:cs="Calibri"/>
                <w:color w:val="FFFFFF" w:themeColor="background1"/>
              </w:rPr>
              <w:t>Servicegutschrift</w:t>
            </w:r>
          </w:p>
        </w:tc>
      </w:tr>
      <w:tr w:rsidR="005A554E" w:rsidRPr="00B44CF9" w14:paraId="084229C6" w14:textId="77777777" w:rsidTr="009B7CCF">
        <w:tc>
          <w:tcPr>
            <w:tcW w:w="5400" w:type="dxa"/>
          </w:tcPr>
          <w:p w14:paraId="4FD04271" w14:textId="77777777" w:rsidR="005A554E" w:rsidRPr="00420E5B" w:rsidRDefault="005A554E" w:rsidP="009B7CCF">
            <w:pPr>
              <w:pStyle w:val="ProductList-OfferingBody"/>
              <w:jc w:val="center"/>
              <w:rPr>
                <w:rFonts w:ascii="Calibri" w:hAnsi="Calibri" w:cs="Calibri"/>
              </w:rPr>
            </w:pPr>
            <w:r>
              <w:rPr>
                <w:rFonts w:ascii="Calibri" w:hAnsi="Calibri" w:cs="Calibri"/>
              </w:rPr>
              <w:t>&lt; 99,95 %</w:t>
            </w:r>
          </w:p>
        </w:tc>
        <w:tc>
          <w:tcPr>
            <w:tcW w:w="5400" w:type="dxa"/>
          </w:tcPr>
          <w:p w14:paraId="0391B7BB" w14:textId="77777777" w:rsidR="005A554E" w:rsidRPr="00420E5B" w:rsidRDefault="005A554E" w:rsidP="009B7CCF">
            <w:pPr>
              <w:pStyle w:val="ProductList-OfferingBody"/>
              <w:jc w:val="center"/>
              <w:rPr>
                <w:rFonts w:ascii="Calibri" w:hAnsi="Calibri" w:cs="Calibri"/>
              </w:rPr>
            </w:pPr>
            <w:r>
              <w:rPr>
                <w:rFonts w:ascii="Calibri" w:hAnsi="Calibri" w:cs="Calibri"/>
              </w:rPr>
              <w:t>10 %</w:t>
            </w:r>
          </w:p>
        </w:tc>
      </w:tr>
      <w:tr w:rsidR="005A554E" w:rsidRPr="00B44CF9" w14:paraId="02A0CCF0" w14:textId="77777777" w:rsidTr="009B7CCF">
        <w:tc>
          <w:tcPr>
            <w:tcW w:w="5400" w:type="dxa"/>
          </w:tcPr>
          <w:p w14:paraId="6D49442E" w14:textId="77777777" w:rsidR="005A554E" w:rsidRPr="00420E5B" w:rsidRDefault="005A554E" w:rsidP="009B7CCF">
            <w:pPr>
              <w:pStyle w:val="ProductList-OfferingBody"/>
              <w:jc w:val="center"/>
              <w:rPr>
                <w:rFonts w:ascii="Calibri" w:hAnsi="Calibri" w:cs="Calibri"/>
              </w:rPr>
            </w:pPr>
            <w:r>
              <w:rPr>
                <w:rFonts w:ascii="Calibri" w:hAnsi="Calibri" w:cs="Calibri"/>
              </w:rPr>
              <w:t>&lt; 99 %</w:t>
            </w:r>
          </w:p>
        </w:tc>
        <w:tc>
          <w:tcPr>
            <w:tcW w:w="5400" w:type="dxa"/>
          </w:tcPr>
          <w:p w14:paraId="2EC97BD8" w14:textId="77777777" w:rsidR="005A554E" w:rsidRPr="00420E5B" w:rsidRDefault="005A554E" w:rsidP="009B7CCF">
            <w:pPr>
              <w:pStyle w:val="ProductList-OfferingBody"/>
              <w:jc w:val="center"/>
              <w:rPr>
                <w:rFonts w:ascii="Calibri" w:hAnsi="Calibri" w:cs="Calibri"/>
              </w:rPr>
            </w:pPr>
            <w:r>
              <w:rPr>
                <w:rFonts w:ascii="Calibri" w:hAnsi="Calibri" w:cs="Calibri"/>
              </w:rPr>
              <w:t>25 %</w:t>
            </w:r>
          </w:p>
        </w:tc>
      </w:tr>
    </w:tbl>
    <w:p w14:paraId="5DBB12A6" w14:textId="77777777" w:rsidR="00731046" w:rsidRPr="00D67F75" w:rsidRDefault="00731046" w:rsidP="0073104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780C3B83" w14:textId="6FDA428C" w:rsidR="004005AF" w:rsidRPr="00EF7CF9" w:rsidRDefault="004005AF" w:rsidP="004005AF">
      <w:pPr>
        <w:pStyle w:val="ProductList-Offering2Heading"/>
        <w:tabs>
          <w:tab w:val="clear" w:pos="360"/>
          <w:tab w:val="clear" w:pos="720"/>
          <w:tab w:val="clear" w:pos="1080"/>
        </w:tabs>
        <w:outlineLvl w:val="2"/>
      </w:pPr>
      <w:bookmarkStart w:id="186" w:name="_Toc195543105"/>
      <w:bookmarkStart w:id="187" w:name="_Toc237448959"/>
      <w:r>
        <w:lastRenderedPageBreak/>
        <w:t>Application Insights</w:t>
      </w:r>
      <w:bookmarkEnd w:id="179"/>
      <w:bookmarkEnd w:id="180"/>
      <w:bookmarkEnd w:id="181"/>
      <w:bookmarkEnd w:id="186"/>
      <w:bookmarkEnd w:id="187"/>
    </w:p>
    <w:bookmarkEnd w:id="182"/>
    <w:p w14:paraId="0854076E" w14:textId="77777777" w:rsidR="004005AF" w:rsidRPr="00EF7CF9" w:rsidRDefault="004005AF" w:rsidP="004005AF">
      <w:pPr>
        <w:pStyle w:val="ProductList-Body"/>
      </w:pPr>
      <w:r>
        <w:rPr>
          <w:b/>
          <w:color w:val="00188F"/>
        </w:rPr>
        <w:t>Zusätzliche Definitionen</w:t>
      </w:r>
      <w:r w:rsidRPr="00ED75EB">
        <w:rPr>
          <w:b/>
          <w:color w:val="00188F"/>
        </w:rPr>
        <w:t>:</w:t>
      </w:r>
    </w:p>
    <w:p w14:paraId="1AADBDBC" w14:textId="77777777" w:rsidR="004005AF" w:rsidRPr="00EF7CF9" w:rsidRDefault="004005AF" w:rsidP="006C61C4">
      <w:pPr>
        <w:spacing w:after="0"/>
        <w:rPr>
          <w:sz w:val="18"/>
          <w:szCs w:val="18"/>
        </w:rPr>
      </w:pPr>
      <w:r>
        <w:rPr>
          <w:sz w:val="18"/>
        </w:rPr>
        <w:t>„</w:t>
      </w:r>
      <w:r>
        <w:rPr>
          <w:b/>
          <w:color w:val="00188F"/>
          <w:sz w:val="18"/>
        </w:rPr>
        <w:t>Application Insights-Ressource</w:t>
      </w:r>
      <w:r>
        <w:rPr>
          <w:sz w:val="18"/>
        </w:rPr>
        <w:t>“</w:t>
      </w:r>
      <w:r>
        <w:rPr>
          <w:sz w:val="18"/>
          <w:szCs w:val="18"/>
        </w:rPr>
        <w:t xml:space="preserve"> ist der Container in Application Insights, der die Daten für einen einzelnen Instrumentierungsschlüssel sammelt, verarbeitet und speichert.</w:t>
      </w:r>
    </w:p>
    <w:p w14:paraId="1654A6AC" w14:textId="36695CFE" w:rsidR="004005AF" w:rsidRPr="00EF7CF9" w:rsidRDefault="004005AF" w:rsidP="006C61C4">
      <w:pPr>
        <w:spacing w:after="0"/>
        <w:rPr>
          <w:sz w:val="18"/>
          <w:szCs w:val="18"/>
        </w:rPr>
      </w:pPr>
      <w:r>
        <w:rPr>
          <w:sz w:val="18"/>
        </w:rPr>
        <w:t>„</w:t>
      </w:r>
      <w:r>
        <w:rPr>
          <w:b/>
          <w:color w:val="00188F"/>
          <w:sz w:val="18"/>
        </w:rPr>
        <w:t>Maximal Verfügbare Minuten</w:t>
      </w:r>
      <w:r>
        <w:rPr>
          <w:sz w:val="18"/>
        </w:rPr>
        <w:t>“</w:t>
      </w:r>
      <w:r>
        <w:rPr>
          <w:b/>
          <w:color w:val="00188F"/>
          <w:sz w:val="18"/>
        </w:rPr>
        <w:t xml:space="preserve"> </w:t>
      </w:r>
      <w:r>
        <w:rPr>
          <w:sz w:val="18"/>
          <w:szCs w:val="18"/>
        </w:rPr>
        <w:t>ist die Gesamtzahl der Minuten, während der im Rahmen eines Microsoft Azure-Abonnements von einem Kunden eine bestimmte Application Insights-Ressource in einem Anwendbaren Zeitraum bereitgestellt wurde.</w:t>
      </w:r>
    </w:p>
    <w:p w14:paraId="488AD200" w14:textId="77777777" w:rsidR="004005AF" w:rsidRPr="00EF7CF9" w:rsidRDefault="004005AF" w:rsidP="006C61C4">
      <w:pPr>
        <w:spacing w:after="0"/>
        <w:rPr>
          <w:sz w:val="18"/>
          <w:szCs w:val="18"/>
        </w:rPr>
      </w:pPr>
      <w:r>
        <w:rPr>
          <w:sz w:val="18"/>
        </w:rPr>
        <w:t xml:space="preserve"> „</w:t>
      </w:r>
      <w:r>
        <w:rPr>
          <w:b/>
          <w:color w:val="00188F"/>
          <w:sz w:val="18"/>
        </w:rPr>
        <w:t>Ausfallzeit</w:t>
      </w:r>
      <w:r>
        <w:rPr>
          <w:sz w:val="18"/>
        </w:rPr>
        <w:t>“</w:t>
      </w:r>
      <w:r>
        <w:rPr>
          <w:sz w:val="18"/>
          <w:szCs w:val="18"/>
        </w:rPr>
        <w:t xml:space="preserve"> ist die Gesamtzahl der Minuten innerhalb der Maximal Verfügbaren Minuten, in denen diese Daten in einer Application Insights-Ressource nicht verfügbar sind. Eine Minute gilt als nicht verfügbar für eine bestimmte Application Insights-Ressource, in der keine HTTP-Operationen zu einem Erfolgscode führen.</w:t>
      </w:r>
    </w:p>
    <w:p w14:paraId="77D1985E" w14:textId="03214A34" w:rsidR="004005AF" w:rsidRDefault="004005AF" w:rsidP="006C61C4">
      <w:pPr>
        <w:pStyle w:val="ProductList-Body"/>
      </w:pPr>
      <w:r>
        <w:rPr>
          <w:b/>
          <w:color w:val="00188F"/>
        </w:rPr>
        <w:t>Prozentsatz der Abfrageverfügbarkeit</w:t>
      </w:r>
      <w:r w:rsidRPr="00ED75EB">
        <w:rPr>
          <w:b/>
          <w:color w:val="00188F"/>
        </w:rPr>
        <w:t>:</w:t>
      </w:r>
      <w:r>
        <w:t xml:space="preserve"> wird für eine bestimmte Application Insights-Ressource in einem Anwendbaren Zeitraum berechnet, indem die Ausfallzeit von der Maximal Verfügbaren Minutenzahl abgezogen, dieses Ergebnis durch die Maximal Verfügbaren Minuten dividiert und dann mit 100 multipliziert wird.</w:t>
      </w:r>
    </w:p>
    <w:p w14:paraId="3ECF4E93" w14:textId="2F285CC5" w:rsidR="004005AF" w:rsidRDefault="004005AF" w:rsidP="004005AF">
      <w:pPr>
        <w:pStyle w:val="ProductList-Body"/>
      </w:pPr>
      <w:r>
        <w:t>Der Prozentsatz der Abfrageverfügbarkeit wird mithilfe der folgenden Formel berechnet:</w:t>
      </w:r>
    </w:p>
    <w:p w14:paraId="357080F4" w14:textId="4B6D5B79" w:rsidR="004005AF" w:rsidRPr="007C7313" w:rsidRDefault="00000000" w:rsidP="006C61C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380FD7C0" w14:textId="77777777" w:rsidR="004005AF" w:rsidRDefault="004005AF" w:rsidP="004005AF">
      <w:pPr>
        <w:pStyle w:val="ProductList-Body"/>
        <w:rPr>
          <w:b/>
          <w:color w:val="00188F"/>
        </w:rPr>
      </w:pPr>
      <w:r>
        <w:rPr>
          <w:b/>
          <w:color w:val="00188F"/>
        </w:rPr>
        <w:t>Die folgenden Servicelevels und Servicegutschriften gelten für die Nutzung des Application Insights-Dienstes – SLA-Abfrageverfügbarkeit durch den Kunden</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C879550" w14:textId="77777777" w:rsidTr="00277097">
        <w:trPr>
          <w:trHeight w:val="249"/>
          <w:tblHeader/>
        </w:trPr>
        <w:tc>
          <w:tcPr>
            <w:tcW w:w="5400" w:type="dxa"/>
            <w:shd w:val="clear" w:color="auto" w:fill="0072C6"/>
          </w:tcPr>
          <w:p w14:paraId="52D4A2B0" w14:textId="3A7BCE08" w:rsidR="004005AF" w:rsidRPr="00EF7CF9" w:rsidRDefault="004005AF" w:rsidP="000F31B4">
            <w:pPr>
              <w:pStyle w:val="ProductList-OfferingBody"/>
              <w:jc w:val="center"/>
              <w:rPr>
                <w:color w:val="FFFFFF" w:themeColor="background1"/>
              </w:rPr>
            </w:pPr>
            <w:r>
              <w:rPr>
                <w:color w:val="FFFFFF" w:themeColor="background1"/>
              </w:rPr>
              <w:t>Prozentsatz der Abfrageverfügbarkeit</w:t>
            </w:r>
          </w:p>
        </w:tc>
        <w:tc>
          <w:tcPr>
            <w:tcW w:w="5400" w:type="dxa"/>
            <w:shd w:val="clear" w:color="auto" w:fill="0072C6"/>
          </w:tcPr>
          <w:p w14:paraId="42720DC8" w14:textId="77777777" w:rsidR="004005AF" w:rsidRPr="00EF7CF9" w:rsidRDefault="004005AF" w:rsidP="000F31B4">
            <w:pPr>
              <w:pStyle w:val="ProductList-OfferingBody"/>
              <w:jc w:val="center"/>
              <w:rPr>
                <w:color w:val="FFFFFF" w:themeColor="background1"/>
              </w:rPr>
            </w:pPr>
            <w:r>
              <w:rPr>
                <w:color w:val="FFFFFF" w:themeColor="background1"/>
              </w:rPr>
              <w:t>Servicegutschrift</w:t>
            </w:r>
          </w:p>
        </w:tc>
      </w:tr>
      <w:tr w:rsidR="004005AF" w:rsidRPr="00B44CF9" w14:paraId="378837A5" w14:textId="77777777" w:rsidTr="00277097">
        <w:trPr>
          <w:trHeight w:val="242"/>
        </w:trPr>
        <w:tc>
          <w:tcPr>
            <w:tcW w:w="5400" w:type="dxa"/>
          </w:tcPr>
          <w:p w14:paraId="6877E7DD" w14:textId="77777777" w:rsidR="004005AF" w:rsidRPr="00EF7CF9" w:rsidRDefault="004005AF" w:rsidP="000F31B4">
            <w:pPr>
              <w:pStyle w:val="ProductList-OfferingBody"/>
              <w:jc w:val="center"/>
            </w:pPr>
            <w:r>
              <w:t>&lt; 99,9 %</w:t>
            </w:r>
          </w:p>
        </w:tc>
        <w:tc>
          <w:tcPr>
            <w:tcW w:w="5400" w:type="dxa"/>
          </w:tcPr>
          <w:p w14:paraId="5B070644" w14:textId="77777777" w:rsidR="004005AF" w:rsidRPr="00EF7CF9" w:rsidRDefault="004005AF" w:rsidP="000F31B4">
            <w:pPr>
              <w:pStyle w:val="ProductList-OfferingBody"/>
              <w:jc w:val="center"/>
            </w:pPr>
            <w:r>
              <w:t>10 %</w:t>
            </w:r>
          </w:p>
        </w:tc>
      </w:tr>
      <w:tr w:rsidR="004005AF" w:rsidRPr="00B44CF9" w14:paraId="4F002BF5" w14:textId="77777777" w:rsidTr="00277097">
        <w:trPr>
          <w:trHeight w:val="249"/>
        </w:trPr>
        <w:tc>
          <w:tcPr>
            <w:tcW w:w="5400" w:type="dxa"/>
          </w:tcPr>
          <w:p w14:paraId="7FCB7FB7" w14:textId="77777777" w:rsidR="004005AF" w:rsidRPr="00EF7CF9" w:rsidRDefault="004005AF" w:rsidP="000F31B4">
            <w:pPr>
              <w:pStyle w:val="ProductList-OfferingBody"/>
              <w:jc w:val="center"/>
            </w:pPr>
            <w:r>
              <w:t>&lt; 99 %</w:t>
            </w:r>
          </w:p>
        </w:tc>
        <w:tc>
          <w:tcPr>
            <w:tcW w:w="5400" w:type="dxa"/>
          </w:tcPr>
          <w:p w14:paraId="3CEF9A53" w14:textId="77777777" w:rsidR="004005AF" w:rsidRPr="00EF7CF9" w:rsidRDefault="004005AF" w:rsidP="000F31B4">
            <w:pPr>
              <w:pStyle w:val="ProductList-OfferingBody"/>
              <w:jc w:val="center"/>
            </w:pPr>
            <w:r>
              <w:t>25 %</w:t>
            </w:r>
          </w:p>
        </w:tc>
      </w:tr>
    </w:tbl>
    <w:bookmarkStart w:id="188" w:name="_Toc52348922"/>
    <w:p w14:paraId="341BFD66" w14:textId="136C9674"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2D8257E8" w14:textId="77777777" w:rsidR="002B6211" w:rsidRPr="002B6211" w:rsidRDefault="002B6211" w:rsidP="002B6211">
      <w:pPr>
        <w:pStyle w:val="ProductList-Offering2Heading"/>
        <w:keepNext/>
        <w:tabs>
          <w:tab w:val="clear" w:pos="360"/>
          <w:tab w:val="clear" w:pos="720"/>
          <w:tab w:val="clear" w:pos="1080"/>
        </w:tabs>
        <w:outlineLvl w:val="2"/>
      </w:pPr>
      <w:bookmarkStart w:id="189" w:name="_Toc195543106"/>
      <w:bookmarkStart w:id="190" w:name="_Toc237448960"/>
      <w:r>
        <w:t>Azure Arc</w:t>
      </w:r>
      <w:bookmarkEnd w:id="189"/>
      <w:bookmarkEnd w:id="190"/>
    </w:p>
    <w:p w14:paraId="7C733692" w14:textId="77777777" w:rsidR="002B6211" w:rsidRPr="002B6211" w:rsidRDefault="002B6211" w:rsidP="002B6211">
      <w:pPr>
        <w:pStyle w:val="ProductList-Body"/>
        <w:rPr>
          <w:b/>
          <w:color w:val="00188F"/>
        </w:rPr>
      </w:pPr>
      <w:r>
        <w:rPr>
          <w:b/>
          <w:color w:val="00188F"/>
        </w:rPr>
        <w:t>Zusätzliche Definitionen</w:t>
      </w:r>
    </w:p>
    <w:p w14:paraId="6B017054" w14:textId="0BCDECD6" w:rsidR="002B6211" w:rsidRPr="00B1426B" w:rsidRDefault="002B6211" w:rsidP="002B6211">
      <w:pPr>
        <w:pStyle w:val="ProductList-Body"/>
        <w:rPr>
          <w:spacing w:val="-2"/>
        </w:rPr>
      </w:pPr>
      <w:r w:rsidRPr="00B1426B">
        <w:rPr>
          <w:spacing w:val="-2"/>
        </w:rPr>
        <w:t>„</w:t>
      </w:r>
      <w:r w:rsidRPr="00B1426B">
        <w:rPr>
          <w:b/>
          <w:bCs/>
          <w:color w:val="00188F"/>
          <w:spacing w:val="-2"/>
        </w:rPr>
        <w:t>Maximal Verfügbare Minuten</w:t>
      </w:r>
      <w:r w:rsidR="000269C5" w:rsidRPr="00ED75EB">
        <w:rPr>
          <w:rFonts w:eastAsia="Segoe UI" w:cs="Segoe UI"/>
          <w:szCs w:val="18"/>
        </w:rPr>
        <w:t>“</w:t>
      </w:r>
      <w:r w:rsidRPr="00B1426B">
        <w:rPr>
          <w:spacing w:val="-2"/>
        </w:rPr>
        <w:t xml:space="preserve"> ist die Summe der kumulierten Minuten in einem Anwendbaren Zeitraum, in dem mindestens eine Azure-Ressource mit Kubernetes-Konfiguration auf einer Azure Arc-fähigen Kubernetes-Ressource in einem Microsoft Azure-Abonnement bereitgestellt wird.</w:t>
      </w:r>
    </w:p>
    <w:p w14:paraId="6177EA62" w14:textId="001F2BE8" w:rsidR="002B6211" w:rsidRDefault="002B6211" w:rsidP="002B6211">
      <w:pPr>
        <w:pStyle w:val="ProductList-Body"/>
      </w:pPr>
      <w:r>
        <w:t>„</w:t>
      </w:r>
      <w:r>
        <w:rPr>
          <w:b/>
          <w:bCs/>
          <w:color w:val="00188F"/>
        </w:rPr>
        <w:t>Ausfallzeit</w:t>
      </w:r>
      <w:r w:rsidR="000269C5" w:rsidRPr="00ED75EB">
        <w:rPr>
          <w:rFonts w:eastAsia="Segoe UI" w:cs="Segoe UI"/>
          <w:szCs w:val="18"/>
        </w:rPr>
        <w:t>“</w:t>
      </w:r>
      <w:r>
        <w:t xml:space="preserve"> ist die Summe der kumulierten Maximal Verfügbaren Minuten in einem Anwendbaren Zeitraum, in dem mindestens eine Azure-Ressource mit Kubernetes-Konfiguration auf einer Azure Arc-fähigen Kubernetes-Ressource bereitgestellt wurde, die REST-API-Vorgänge („Representational State Transfer“ oder „REST“) für die Azure-Ressource mit Kubernetes-Konfiguration jedoch nicht verfügbar sind.</w:t>
      </w:r>
    </w:p>
    <w:p w14:paraId="34BE21C7" w14:textId="37C29CB8" w:rsidR="002B6211" w:rsidRDefault="002B6211" w:rsidP="002B6211">
      <w:pPr>
        <w:pStyle w:val="ProductList-Body"/>
      </w:pPr>
      <w:r>
        <w:t>„</w:t>
      </w:r>
      <w:r>
        <w:rPr>
          <w:b/>
          <w:bCs/>
          <w:color w:val="00188F"/>
        </w:rPr>
        <w:t>Betriebszeitprozentsatz</w:t>
      </w:r>
      <w:r w:rsidR="000269C5" w:rsidRPr="00ED75EB">
        <w:rPr>
          <w:rFonts w:eastAsia="Segoe UI" w:cs="Segoe UI"/>
          <w:szCs w:val="18"/>
        </w:rPr>
        <w:t>“</w:t>
      </w:r>
      <w:r w:rsidRPr="00ED75EB">
        <w:rPr>
          <w:b/>
          <w:color w:val="00188F"/>
        </w:rPr>
        <w:t>:</w:t>
      </w:r>
      <w:r>
        <w:t xml:space="preserve"> Der Betriebszeitprozentsatz errechnet sich nach folgender Formel:</w:t>
      </w:r>
    </w:p>
    <w:p w14:paraId="4275B73A" w14:textId="68E523D7" w:rsidR="002B6211" w:rsidRPr="007C7313" w:rsidRDefault="00000000" w:rsidP="006C61C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46C718AC" w14:textId="77777777" w:rsidR="002B6211" w:rsidRPr="002B6211" w:rsidRDefault="002B6211" w:rsidP="002B6211">
      <w:pPr>
        <w:pStyle w:val="ProductList-Body"/>
        <w:keepNext/>
        <w:rPr>
          <w:b/>
          <w:bCs/>
          <w:color w:val="00188F"/>
        </w:rPr>
      </w:pPr>
      <w:r>
        <w:rPr>
          <w:b/>
          <w:bCs/>
          <w:color w:val="00188F"/>
        </w:rPr>
        <w:t>Die folgenden Servicelevels und Servicegutschriften gelten für die Nutzung einer Azure-Ressource mit Kubernetes-Konfiguration auf einem Azure Arc-fähigen Kubernetes durch den Kunden</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B6211" w:rsidRPr="00B44CF9" w14:paraId="7DB1BF44" w14:textId="77777777" w:rsidTr="00277097">
        <w:trPr>
          <w:trHeight w:val="249"/>
          <w:tblHeader/>
        </w:trPr>
        <w:tc>
          <w:tcPr>
            <w:tcW w:w="5400" w:type="dxa"/>
            <w:shd w:val="clear" w:color="auto" w:fill="0072C6"/>
          </w:tcPr>
          <w:p w14:paraId="7A99E01D" w14:textId="1D40EC6E" w:rsidR="002B6211"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7C37A494" w14:textId="77777777" w:rsidR="002B6211" w:rsidRPr="00EF7CF9" w:rsidRDefault="002B6211" w:rsidP="000F31B4">
            <w:pPr>
              <w:pStyle w:val="ProductList-OfferingBody"/>
              <w:jc w:val="center"/>
              <w:rPr>
                <w:color w:val="FFFFFF" w:themeColor="background1"/>
              </w:rPr>
            </w:pPr>
            <w:r>
              <w:rPr>
                <w:color w:val="FFFFFF" w:themeColor="background1"/>
              </w:rPr>
              <w:t>Servicegutschrift</w:t>
            </w:r>
          </w:p>
        </w:tc>
      </w:tr>
      <w:tr w:rsidR="002B6211" w:rsidRPr="00B44CF9" w14:paraId="2125C7E8" w14:textId="77777777" w:rsidTr="00277097">
        <w:trPr>
          <w:trHeight w:val="242"/>
        </w:trPr>
        <w:tc>
          <w:tcPr>
            <w:tcW w:w="5400" w:type="dxa"/>
          </w:tcPr>
          <w:p w14:paraId="27039D80" w14:textId="77777777" w:rsidR="002B6211" w:rsidRPr="00EF7CF9" w:rsidRDefault="002B6211" w:rsidP="000F31B4">
            <w:pPr>
              <w:pStyle w:val="ProductList-OfferingBody"/>
              <w:jc w:val="center"/>
            </w:pPr>
            <w:r>
              <w:t>&lt; 99,9 %</w:t>
            </w:r>
          </w:p>
        </w:tc>
        <w:tc>
          <w:tcPr>
            <w:tcW w:w="5400" w:type="dxa"/>
          </w:tcPr>
          <w:p w14:paraId="50BDEC79" w14:textId="77777777" w:rsidR="002B6211" w:rsidRPr="00EF7CF9" w:rsidRDefault="002B6211" w:rsidP="000F31B4">
            <w:pPr>
              <w:pStyle w:val="ProductList-OfferingBody"/>
              <w:jc w:val="center"/>
            </w:pPr>
            <w:r>
              <w:t>10 %</w:t>
            </w:r>
          </w:p>
        </w:tc>
      </w:tr>
      <w:tr w:rsidR="002B6211" w:rsidRPr="00B44CF9" w14:paraId="45BC8E2E" w14:textId="77777777" w:rsidTr="00277097">
        <w:trPr>
          <w:trHeight w:val="249"/>
        </w:trPr>
        <w:tc>
          <w:tcPr>
            <w:tcW w:w="5400" w:type="dxa"/>
          </w:tcPr>
          <w:p w14:paraId="4172E2FA" w14:textId="77777777" w:rsidR="002B6211" w:rsidRPr="00EF7CF9" w:rsidRDefault="002B6211" w:rsidP="000F31B4">
            <w:pPr>
              <w:pStyle w:val="ProductList-OfferingBody"/>
              <w:jc w:val="center"/>
            </w:pPr>
            <w:r>
              <w:t>&lt; 99 %</w:t>
            </w:r>
          </w:p>
        </w:tc>
        <w:tc>
          <w:tcPr>
            <w:tcW w:w="5400" w:type="dxa"/>
          </w:tcPr>
          <w:p w14:paraId="6F7A6689" w14:textId="77777777" w:rsidR="002B6211" w:rsidRPr="00EF7CF9" w:rsidRDefault="002B6211" w:rsidP="000F31B4">
            <w:pPr>
              <w:pStyle w:val="ProductList-OfferingBody"/>
              <w:jc w:val="center"/>
            </w:pPr>
            <w:r>
              <w:t>25 %</w:t>
            </w:r>
          </w:p>
        </w:tc>
      </w:tr>
    </w:tbl>
    <w:p w14:paraId="4E7ABEB1" w14:textId="1439F804"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12F3A8B4" w14:textId="062E33AB" w:rsidR="004005AF" w:rsidRPr="00EF7CF9" w:rsidRDefault="004005AF" w:rsidP="004005AF">
      <w:pPr>
        <w:pStyle w:val="ProductList-Offering2Heading"/>
        <w:tabs>
          <w:tab w:val="clear" w:pos="360"/>
          <w:tab w:val="clear" w:pos="720"/>
          <w:tab w:val="clear" w:pos="1080"/>
        </w:tabs>
        <w:outlineLvl w:val="2"/>
      </w:pPr>
      <w:bookmarkStart w:id="191" w:name="_Toc195543107"/>
      <w:bookmarkStart w:id="192" w:name="_Toc237448961"/>
      <w:r>
        <w:t>Automatisierung</w:t>
      </w:r>
      <w:bookmarkEnd w:id="183"/>
      <w:bookmarkEnd w:id="188"/>
      <w:bookmarkEnd w:id="191"/>
      <w:bookmarkEnd w:id="192"/>
    </w:p>
    <w:p w14:paraId="289BCC2C" w14:textId="77777777" w:rsidR="004005AF" w:rsidRDefault="004005AF" w:rsidP="004005AF">
      <w:pPr>
        <w:pStyle w:val="ProductList-Body"/>
        <w:rPr>
          <w:b/>
          <w:color w:val="00188F"/>
        </w:rPr>
      </w:pPr>
      <w:r>
        <w:rPr>
          <w:b/>
          <w:color w:val="00188F"/>
        </w:rPr>
        <w:t>Automatisierungsdienst – Desired State Configuration (DSC)</w:t>
      </w:r>
    </w:p>
    <w:p w14:paraId="7BF47219" w14:textId="77777777" w:rsidR="004005AF" w:rsidRPr="00EF7CF9" w:rsidRDefault="004005AF" w:rsidP="00123CD3">
      <w:pPr>
        <w:pStyle w:val="ProductList-Body"/>
      </w:pPr>
      <w:r>
        <w:rPr>
          <w:b/>
          <w:color w:val="00188F"/>
        </w:rPr>
        <w:t>Zusätzliche Definitionen</w:t>
      </w:r>
      <w:r w:rsidRPr="00ED75EB">
        <w:rPr>
          <w:b/>
          <w:color w:val="00188F"/>
        </w:rPr>
        <w:t>:</w:t>
      </w:r>
    </w:p>
    <w:p w14:paraId="6BCA192C" w14:textId="4892C38F" w:rsidR="004005AF" w:rsidRPr="00EF7CF9" w:rsidRDefault="004005AF" w:rsidP="00123CD3">
      <w:pPr>
        <w:pStyle w:val="ProductList-Body"/>
      </w:pPr>
      <w:r>
        <w:t>„</w:t>
      </w:r>
      <w:r>
        <w:rPr>
          <w:b/>
          <w:color w:val="00188F"/>
        </w:rPr>
        <w:t>Bereitstellungsminuten</w:t>
      </w:r>
      <w:r>
        <w:t>“ ist die Gesamtzahl der Minuten, in denen ein bestimmtes Automatisierungskonto während eines Anwendbaren Zeitraums in Microsoft Azure bereitgestellt wurde.</w:t>
      </w:r>
    </w:p>
    <w:p w14:paraId="4334A2FF" w14:textId="77777777" w:rsidR="004005AF" w:rsidRPr="00EF7CF9" w:rsidRDefault="004005AF" w:rsidP="00123CD3">
      <w:pPr>
        <w:pStyle w:val="ProductList-Body"/>
      </w:pPr>
      <w:r>
        <w:t>„</w:t>
      </w:r>
      <w:r>
        <w:rPr>
          <w:b/>
          <w:color w:val="00188F"/>
        </w:rPr>
        <w:t>DSC Agent Service</w:t>
      </w:r>
      <w:r>
        <w:t xml:space="preserve">“ bezeichnet </w:t>
      </w:r>
      <w:r>
        <w:rPr>
          <w:shd w:val="clear" w:color="auto" w:fill="FFFFFF"/>
        </w:rPr>
        <w:t>die für den Empfang und die Reaktion auf Pull-, Registrierungs- und Berichtsanfragen von DSC-Knoten verantwortliche Komponente des Automatisierungsdienstes</w:t>
      </w:r>
      <w:r>
        <w:t>.</w:t>
      </w:r>
    </w:p>
    <w:p w14:paraId="555DEDC6" w14:textId="41652A54" w:rsidR="004005AF" w:rsidRPr="00EF7CF9" w:rsidRDefault="004005AF" w:rsidP="00123CD3">
      <w:pPr>
        <w:pStyle w:val="ProductList-Body"/>
      </w:pPr>
      <w:r>
        <w:t>„</w:t>
      </w:r>
      <w:r>
        <w:rPr>
          <w:b/>
          <w:color w:val="00188F"/>
        </w:rPr>
        <w:t>Maximal Verfügbare Minuten</w:t>
      </w:r>
      <w:r>
        <w:t>“ bezeichnet die Summe der Bereitstellungsminuten aller Automatisierungskonten, die in einem bestimmten Microsoft Azure-Abonnement während eines Anwendbaren Zeitraums bereitgestellt werden.</w:t>
      </w:r>
    </w:p>
    <w:p w14:paraId="79CDEBD9" w14:textId="77777777" w:rsidR="004005AF" w:rsidRPr="00EF7CF9" w:rsidRDefault="004005AF" w:rsidP="004005AF">
      <w:pPr>
        <w:pStyle w:val="ProductList-Body"/>
      </w:pPr>
      <w:r>
        <w:rPr>
          <w:b/>
          <w:color w:val="00188F"/>
        </w:rPr>
        <w:t>Ausfallzeit</w:t>
      </w:r>
      <w:r w:rsidRPr="00ED75EB">
        <w:rPr>
          <w:b/>
          <w:color w:val="00188F"/>
        </w:rPr>
        <w:t>:</w:t>
      </w:r>
      <w:r>
        <w:t xml:space="preserve"> Die kumulierten Bereitstellungsminuten für alle in einem bestimmten Microsoft Azure-Abonnement bereitgestellten Automatisierungskonten, in denen der DSC-Agent-Dienst nicht verfügbar ist. Eine Minute gilt für ein bestimmtes Automatisierungskonto als nicht verfügbar, wenn alle fortlaufend unternommenen Pulls, Registrierungen und Berichtanfragen von mit dem Automatisierungskonto verbundenen </w:t>
      </w:r>
      <w:r>
        <w:lastRenderedPageBreak/>
        <w:t>DSC-Knoten an den DSC-Agent-Dienst während der gesamten Minute entweder zu einem Fehlercode führen oder binnen fünf Minuten keinen Erfolgscode zurückgeben.</w:t>
      </w:r>
    </w:p>
    <w:p w14:paraId="3B3CD689" w14:textId="17068EA4" w:rsidR="004005AF" w:rsidRPr="00EF7CF9" w:rsidRDefault="00AC48A7" w:rsidP="004005AF">
      <w:pPr>
        <w:pStyle w:val="ProductList-Body"/>
      </w:pPr>
      <w:r>
        <w:rPr>
          <w:b/>
          <w:color w:val="00188F"/>
        </w:rPr>
        <w:t>Betriebszeitprozentsatz</w:t>
      </w:r>
      <w:r w:rsidRPr="00ED75EB">
        <w:rPr>
          <w:b/>
          <w:color w:val="00188F"/>
        </w:rPr>
        <w:t>:</w:t>
      </w:r>
      <w:r>
        <w:t xml:space="preserve"> Der Betriebszeitprozentsatz errechnet sich nach folgender Formel: </w:t>
      </w:r>
    </w:p>
    <w:p w14:paraId="0177F4D5" w14:textId="399CD768" w:rsidR="004005AF" w:rsidRPr="007C7313" w:rsidRDefault="00000000" w:rsidP="002A016E">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71F831EB" w14:textId="77777777" w:rsidR="004005AF" w:rsidRPr="00EF7CF9" w:rsidRDefault="004005AF" w:rsidP="004005AF">
      <w:pPr>
        <w:pStyle w:val="ProductList-Body"/>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B1E8022" w14:textId="77777777" w:rsidTr="00277097">
        <w:trPr>
          <w:tblHeader/>
        </w:trPr>
        <w:tc>
          <w:tcPr>
            <w:tcW w:w="5400" w:type="dxa"/>
            <w:shd w:val="clear" w:color="auto" w:fill="0072C6"/>
          </w:tcPr>
          <w:p w14:paraId="599FFA75" w14:textId="719AE4C5" w:rsidR="004005AF" w:rsidRPr="00EF7CF9" w:rsidRDefault="00AC48A7" w:rsidP="000F31B4">
            <w:pPr>
              <w:pStyle w:val="ProductList-OfferingBody"/>
              <w:rPr>
                <w:color w:val="FFFFFF" w:themeColor="background1"/>
              </w:rPr>
            </w:pPr>
            <w:r>
              <w:rPr>
                <w:color w:val="FFFFFF" w:themeColor="background1"/>
              </w:rPr>
              <w:t>Betriebszeitprozentsatz</w:t>
            </w:r>
          </w:p>
        </w:tc>
        <w:tc>
          <w:tcPr>
            <w:tcW w:w="5400" w:type="dxa"/>
            <w:shd w:val="clear" w:color="auto" w:fill="0072C6"/>
          </w:tcPr>
          <w:p w14:paraId="69584A12" w14:textId="77777777" w:rsidR="004005AF" w:rsidRPr="00EF7CF9" w:rsidRDefault="004005AF" w:rsidP="000F31B4">
            <w:pPr>
              <w:pStyle w:val="ProductList-OfferingBody"/>
              <w:rPr>
                <w:color w:val="FFFFFF" w:themeColor="background1"/>
              </w:rPr>
            </w:pPr>
            <w:r>
              <w:rPr>
                <w:color w:val="FFFFFF" w:themeColor="background1"/>
              </w:rPr>
              <w:t>Servicegutschrift</w:t>
            </w:r>
          </w:p>
        </w:tc>
      </w:tr>
      <w:tr w:rsidR="004005AF" w:rsidRPr="00B44CF9" w14:paraId="179D4B6C" w14:textId="77777777" w:rsidTr="00277097">
        <w:tc>
          <w:tcPr>
            <w:tcW w:w="5400" w:type="dxa"/>
          </w:tcPr>
          <w:p w14:paraId="5C269242" w14:textId="77777777" w:rsidR="004005AF" w:rsidRPr="00EF7CF9" w:rsidRDefault="004005AF" w:rsidP="000F31B4">
            <w:pPr>
              <w:pStyle w:val="ProductList-OfferingBody"/>
              <w:jc w:val="center"/>
            </w:pPr>
            <w:r>
              <w:t>&lt; 99,9 %</w:t>
            </w:r>
          </w:p>
        </w:tc>
        <w:tc>
          <w:tcPr>
            <w:tcW w:w="5400" w:type="dxa"/>
          </w:tcPr>
          <w:p w14:paraId="4EC5DC32" w14:textId="77777777" w:rsidR="004005AF" w:rsidRPr="00EF7CF9" w:rsidRDefault="004005AF" w:rsidP="000F31B4">
            <w:pPr>
              <w:pStyle w:val="ProductList-OfferingBody"/>
              <w:jc w:val="center"/>
            </w:pPr>
            <w:r>
              <w:t>10 %</w:t>
            </w:r>
          </w:p>
        </w:tc>
      </w:tr>
      <w:tr w:rsidR="004005AF" w:rsidRPr="00B44CF9" w14:paraId="08B65BB2" w14:textId="77777777" w:rsidTr="00277097">
        <w:tc>
          <w:tcPr>
            <w:tcW w:w="5400" w:type="dxa"/>
          </w:tcPr>
          <w:p w14:paraId="08633F3C" w14:textId="77777777" w:rsidR="004005AF" w:rsidRPr="00EF7CF9" w:rsidRDefault="004005AF" w:rsidP="000F31B4">
            <w:pPr>
              <w:pStyle w:val="ProductList-OfferingBody"/>
              <w:jc w:val="center"/>
            </w:pPr>
            <w:r>
              <w:t>&lt; 99 %</w:t>
            </w:r>
          </w:p>
        </w:tc>
        <w:tc>
          <w:tcPr>
            <w:tcW w:w="5400" w:type="dxa"/>
          </w:tcPr>
          <w:p w14:paraId="627DA1D5" w14:textId="77777777" w:rsidR="004005AF" w:rsidRPr="00EF7CF9" w:rsidRDefault="004005AF" w:rsidP="000F31B4">
            <w:pPr>
              <w:pStyle w:val="ProductList-OfferingBody"/>
              <w:jc w:val="center"/>
            </w:pPr>
            <w:r>
              <w:t>25 %</w:t>
            </w:r>
          </w:p>
        </w:tc>
      </w:tr>
    </w:tbl>
    <w:p w14:paraId="56E8840B" w14:textId="3DC9DA84" w:rsidR="004005AF" w:rsidRDefault="004005AF" w:rsidP="00731046">
      <w:pPr>
        <w:pStyle w:val="ProductList-Body"/>
        <w:tabs>
          <w:tab w:val="clear" w:pos="360"/>
          <w:tab w:val="clear" w:pos="720"/>
          <w:tab w:val="clear" w:pos="1080"/>
        </w:tabs>
        <w:spacing w:before="120"/>
        <w:rPr>
          <w:color w:val="000000" w:themeColor="text1"/>
        </w:rPr>
      </w:pPr>
      <w:bookmarkStart w:id="193" w:name="_Toc457821539"/>
      <w:r>
        <w:rPr>
          <w:b/>
          <w:bCs/>
          <w:color w:val="00188F"/>
        </w:rPr>
        <w:t>Zusatzbestimmungen</w:t>
      </w:r>
      <w:r w:rsidRPr="00ED75EB">
        <w:rPr>
          <w:b/>
          <w:color w:val="00188F"/>
        </w:rPr>
        <w:t>:</w:t>
      </w:r>
      <w:r>
        <w:rPr>
          <w:color w:val="000000" w:themeColor="text1"/>
        </w:rPr>
        <w:t xml:space="preserve"> Die folgenden Servicegutschriften gelten ausschließlich für Gebühren, die auf Ihre Nutzung von DSC-Funktionen innerhalb des Automatisierungsdienstes zurückzuführen sind:</w:t>
      </w:r>
    </w:p>
    <w:p w14:paraId="311E85AB" w14:textId="77777777" w:rsidR="004005AF" w:rsidRPr="00ED4527" w:rsidRDefault="004005AF" w:rsidP="00123CD3">
      <w:pPr>
        <w:pStyle w:val="ProductList-Body"/>
        <w:tabs>
          <w:tab w:val="clear" w:pos="360"/>
          <w:tab w:val="clear" w:pos="720"/>
          <w:tab w:val="clear" w:pos="1080"/>
        </w:tabs>
        <w:rPr>
          <w:b/>
          <w:bCs/>
          <w:color w:val="00188F"/>
        </w:rPr>
      </w:pPr>
      <w:r>
        <w:rPr>
          <w:b/>
          <w:bCs/>
          <w:color w:val="00188F"/>
        </w:rPr>
        <w:t>Automatisierungsdienst – Prozessautomatisierung</w:t>
      </w:r>
    </w:p>
    <w:bookmarkEnd w:id="193"/>
    <w:p w14:paraId="026B0EC1" w14:textId="77777777" w:rsidR="004005AF" w:rsidRPr="00EF7CF9" w:rsidRDefault="004005AF" w:rsidP="00123CD3">
      <w:pPr>
        <w:pStyle w:val="ProductList-Body"/>
      </w:pPr>
      <w:r>
        <w:rPr>
          <w:b/>
          <w:color w:val="00188F"/>
        </w:rPr>
        <w:t>Zusätzliche Definitionen</w:t>
      </w:r>
      <w:r w:rsidRPr="00ED75EB">
        <w:rPr>
          <w:b/>
          <w:color w:val="00188F"/>
        </w:rPr>
        <w:t>:</w:t>
      </w:r>
    </w:p>
    <w:p w14:paraId="6021A567" w14:textId="77777777" w:rsidR="004005AF" w:rsidRPr="00EF7CF9" w:rsidRDefault="004005AF" w:rsidP="00123CD3">
      <w:pPr>
        <w:pStyle w:val="ProductList-Body"/>
      </w:pPr>
      <w:r>
        <w:t>„</w:t>
      </w:r>
      <w:r>
        <w:rPr>
          <w:b/>
          <w:color w:val="00188F"/>
        </w:rPr>
        <w:t>Verzögerte Jobs</w:t>
      </w:r>
      <w:r>
        <w:t>“ ist die Gesamtzahl der Jobs für ein bestimmtes Microsoft Azure-Abonnement, die nicht innerhalb von dreißig (30) Minuten nach ihrer geplanten Startzeit beginnen.</w:t>
      </w:r>
    </w:p>
    <w:p w14:paraId="05D34F78" w14:textId="77777777" w:rsidR="004005AF" w:rsidRPr="00EF7CF9" w:rsidRDefault="004005AF" w:rsidP="00123CD3">
      <w:pPr>
        <w:pStyle w:val="ProductList-Body"/>
      </w:pPr>
      <w:r>
        <w:t>„</w:t>
      </w:r>
      <w:r>
        <w:rPr>
          <w:b/>
          <w:color w:val="00188F"/>
        </w:rPr>
        <w:t>Job</w:t>
      </w:r>
      <w:r>
        <w:t>“ bezeichnet die Ausführung eines Runbooks.</w:t>
      </w:r>
    </w:p>
    <w:p w14:paraId="169C5A0E" w14:textId="77777777" w:rsidR="004005AF" w:rsidRPr="00EF7CF9" w:rsidRDefault="004005AF" w:rsidP="00123CD3">
      <w:pPr>
        <w:pStyle w:val="ProductList-Body"/>
      </w:pPr>
      <w:r>
        <w:t>„</w:t>
      </w:r>
      <w:r>
        <w:rPr>
          <w:b/>
          <w:color w:val="00188F"/>
        </w:rPr>
        <w:t>Geplante Startzeit</w:t>
      </w:r>
      <w:r>
        <w:t>“ ist ein Zeitpunkt, zu dem ein Job mit der Ausführung beginnen soll.</w:t>
      </w:r>
    </w:p>
    <w:p w14:paraId="07378C0D" w14:textId="77777777" w:rsidR="004005AF" w:rsidRPr="00EF7CF9" w:rsidRDefault="004005AF" w:rsidP="00123CD3">
      <w:pPr>
        <w:pStyle w:val="ProductList-Body"/>
      </w:pPr>
      <w:r>
        <w:t>„</w:t>
      </w:r>
      <w:r>
        <w:rPr>
          <w:b/>
          <w:color w:val="00188F"/>
        </w:rPr>
        <w:t>Runbook</w:t>
      </w:r>
      <w:r>
        <w:t>“ bezeichnet eine Reihe von Aktionen, die Sie zur Ausführung in Microsoft Azure festgelegt haben.</w:t>
      </w:r>
    </w:p>
    <w:p w14:paraId="790494B4" w14:textId="5E474670" w:rsidR="004005AF" w:rsidRPr="00EF7CF9" w:rsidRDefault="004005AF" w:rsidP="00123CD3">
      <w:pPr>
        <w:pStyle w:val="ProductList-Body"/>
      </w:pPr>
      <w:r>
        <w:t>„</w:t>
      </w:r>
      <w:r>
        <w:rPr>
          <w:b/>
          <w:color w:val="00188F"/>
        </w:rPr>
        <w:t>Jobsumme</w:t>
      </w:r>
      <w:r>
        <w:t>“ ist die Gesamtzahl der Jobs, die für die Ausführung während eines Anwendbaren Zeitraums für ein bestimmtes Microsoft Azure-Abonnement geplant sind.</w:t>
      </w:r>
    </w:p>
    <w:p w14:paraId="3FC9B042" w14:textId="3927A1A1" w:rsidR="004005AF" w:rsidRPr="00EF7CF9" w:rsidRDefault="00AC48A7" w:rsidP="004005AF">
      <w:pPr>
        <w:pStyle w:val="ProductList-Body"/>
      </w:pPr>
      <w:r>
        <w:rPr>
          <w:b/>
          <w:color w:val="00188F"/>
        </w:rPr>
        <w:t>Betriebszeitprozentsatz</w:t>
      </w:r>
      <w:r w:rsidRPr="00ED75EB">
        <w:rPr>
          <w:b/>
          <w:color w:val="00188F"/>
        </w:rPr>
        <w:t>:</w:t>
      </w:r>
      <w:r>
        <w:t xml:space="preserve"> Der Betriebszeitprozentsatz errechnet sich nach folgender Formel:</w:t>
      </w:r>
    </w:p>
    <w:p w14:paraId="1BA8E08E" w14:textId="48E79D9A" w:rsidR="004005AF" w:rsidRPr="00EF7CF9" w:rsidRDefault="00000000" w:rsidP="002A016E">
      <w:pPr>
        <w:pStyle w:val="ListParagraph"/>
        <w:spacing w:before="120" w:after="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Gesamtzahl der Jobs abzüglich Verzögerte Jobs</m:t>
              </m:r>
            </m:num>
            <m:den>
              <m:r>
                <m:rPr>
                  <m:nor/>
                </m:rPr>
                <w:rPr>
                  <w:rFonts w:ascii="Cambria Math" w:hAnsi="Cambria Math" w:cs="Tahoma"/>
                  <w:i/>
                  <w:sz w:val="18"/>
                  <w:szCs w:val="18"/>
                </w:rPr>
                <m:t>Gesamtzahl der Jobs</m:t>
              </m:r>
            </m:den>
          </m:f>
          <m:r>
            <w:rPr>
              <w:rFonts w:ascii="Cambria Math" w:hAnsi="Cambria Math" w:cs="Tahoma"/>
              <w:sz w:val="18"/>
              <w:szCs w:val="18"/>
            </w:rPr>
            <m:t xml:space="preserve"> x 100</m:t>
          </m:r>
        </m:oMath>
      </m:oMathPara>
    </w:p>
    <w:p w14:paraId="38BB555E" w14:textId="77777777" w:rsidR="004005AF" w:rsidRPr="00EF7CF9" w:rsidRDefault="004005AF" w:rsidP="004005AF">
      <w:pPr>
        <w:pStyle w:val="ProductList-Body"/>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482B381" w14:textId="77777777" w:rsidTr="00277097">
        <w:trPr>
          <w:tblHeader/>
        </w:trPr>
        <w:tc>
          <w:tcPr>
            <w:tcW w:w="5400" w:type="dxa"/>
            <w:shd w:val="clear" w:color="auto" w:fill="0072C6"/>
          </w:tcPr>
          <w:p w14:paraId="05C6D051" w14:textId="40707A06" w:rsidR="004005AF" w:rsidRPr="00EF7CF9" w:rsidRDefault="00AC48A7" w:rsidP="00B62735">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37326CBF" w14:textId="77777777" w:rsidR="004005AF" w:rsidRPr="00EF7CF9" w:rsidRDefault="004005AF" w:rsidP="00B62735">
            <w:pPr>
              <w:pStyle w:val="ProductList-OfferingBody"/>
              <w:jc w:val="center"/>
              <w:rPr>
                <w:color w:val="FFFFFF" w:themeColor="background1"/>
              </w:rPr>
            </w:pPr>
            <w:r>
              <w:rPr>
                <w:color w:val="FFFFFF" w:themeColor="background1"/>
              </w:rPr>
              <w:t>Servicegutschrift</w:t>
            </w:r>
          </w:p>
        </w:tc>
      </w:tr>
      <w:tr w:rsidR="004005AF" w:rsidRPr="00B44CF9" w14:paraId="7542E111" w14:textId="77777777" w:rsidTr="00277097">
        <w:tc>
          <w:tcPr>
            <w:tcW w:w="5400" w:type="dxa"/>
          </w:tcPr>
          <w:p w14:paraId="452D26B7" w14:textId="77777777" w:rsidR="004005AF" w:rsidRPr="00EF7CF9" w:rsidRDefault="004005AF" w:rsidP="000F31B4">
            <w:pPr>
              <w:pStyle w:val="ProductList-OfferingBody"/>
              <w:jc w:val="center"/>
            </w:pPr>
            <w:r>
              <w:t>&lt; 99,9 %</w:t>
            </w:r>
          </w:p>
        </w:tc>
        <w:tc>
          <w:tcPr>
            <w:tcW w:w="5400" w:type="dxa"/>
          </w:tcPr>
          <w:p w14:paraId="703325ED" w14:textId="77777777" w:rsidR="004005AF" w:rsidRPr="00EF7CF9" w:rsidRDefault="004005AF" w:rsidP="000F31B4">
            <w:pPr>
              <w:pStyle w:val="ProductList-OfferingBody"/>
              <w:jc w:val="center"/>
            </w:pPr>
            <w:r>
              <w:t>10 %</w:t>
            </w:r>
          </w:p>
        </w:tc>
      </w:tr>
      <w:tr w:rsidR="004005AF" w:rsidRPr="00B44CF9" w14:paraId="2E63E11F" w14:textId="77777777" w:rsidTr="00277097">
        <w:tc>
          <w:tcPr>
            <w:tcW w:w="5400" w:type="dxa"/>
          </w:tcPr>
          <w:p w14:paraId="21C13FA4" w14:textId="77777777" w:rsidR="004005AF" w:rsidRPr="00EF7CF9" w:rsidRDefault="004005AF" w:rsidP="000F31B4">
            <w:pPr>
              <w:pStyle w:val="ProductList-OfferingBody"/>
              <w:jc w:val="center"/>
            </w:pPr>
            <w:r>
              <w:t>&lt; 99 %</w:t>
            </w:r>
          </w:p>
        </w:tc>
        <w:tc>
          <w:tcPr>
            <w:tcW w:w="5400" w:type="dxa"/>
          </w:tcPr>
          <w:p w14:paraId="0DB330CD" w14:textId="77777777" w:rsidR="004005AF" w:rsidRPr="00EF7CF9" w:rsidRDefault="004005AF" w:rsidP="000F31B4">
            <w:pPr>
              <w:pStyle w:val="ProductList-OfferingBody"/>
              <w:jc w:val="center"/>
            </w:pPr>
            <w:r>
              <w:t>25 %</w:t>
            </w:r>
          </w:p>
        </w:tc>
      </w:tr>
    </w:tbl>
    <w:p w14:paraId="48C02207" w14:textId="7B5D1B4E" w:rsidR="004005AF" w:rsidRDefault="004005AF" w:rsidP="004005AF">
      <w:pPr>
        <w:pStyle w:val="ProductList-Body"/>
        <w:tabs>
          <w:tab w:val="clear" w:pos="360"/>
          <w:tab w:val="clear" w:pos="720"/>
          <w:tab w:val="clear" w:pos="1080"/>
        </w:tabs>
        <w:spacing w:before="120"/>
      </w:pPr>
      <w:bookmarkStart w:id="194" w:name="_Toc510793660"/>
      <w:bookmarkStart w:id="195" w:name="AzureBotService"/>
      <w:bookmarkStart w:id="196" w:name="_Toc482880958"/>
      <w:bookmarkStart w:id="197" w:name="_Toc457806452"/>
      <w:bookmarkStart w:id="198" w:name="_Toc457821540"/>
      <w:r>
        <w:rPr>
          <w:b/>
          <w:bCs/>
          <w:color w:val="00188F"/>
        </w:rPr>
        <w:t>Zusatzbestimmungen</w:t>
      </w:r>
      <w:r w:rsidRPr="00ED75EB">
        <w:rPr>
          <w:b/>
          <w:color w:val="00188F"/>
        </w:rPr>
        <w:t>:</w:t>
      </w:r>
      <w:r>
        <w:t xml:space="preserve"> Die folgenden Servicegutschriften gelten ausschließlich für Gebühren, die auf Ihre Nutzung von Prozessautomatisierungsfunktionen innerhalb des Automatisierungsdienstes zurückzuführen sind:</w:t>
      </w:r>
    </w:p>
    <w:bookmarkStart w:id="199" w:name="_Toc52348942"/>
    <w:bookmarkStart w:id="200" w:name="_Toc52348924"/>
    <w:bookmarkEnd w:id="194"/>
    <w:p w14:paraId="55F2646A" w14:textId="78410C72"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135C4F94" w14:textId="77777777" w:rsidR="00DE36E2" w:rsidRPr="00EF7CF9" w:rsidRDefault="00DE36E2" w:rsidP="00DE36E2">
      <w:pPr>
        <w:pStyle w:val="ProductList-Offering2Heading"/>
        <w:tabs>
          <w:tab w:val="clear" w:pos="360"/>
          <w:tab w:val="clear" w:pos="720"/>
          <w:tab w:val="clear" w:pos="1080"/>
        </w:tabs>
        <w:outlineLvl w:val="2"/>
      </w:pPr>
      <w:bookmarkStart w:id="201" w:name="_Toc195543108"/>
      <w:bookmarkStart w:id="202" w:name="_Toc237448962"/>
      <w:r>
        <w:t>Azure Backup</w:t>
      </w:r>
      <w:bookmarkEnd w:id="199"/>
      <w:bookmarkEnd w:id="201"/>
      <w:bookmarkEnd w:id="202"/>
    </w:p>
    <w:p w14:paraId="57658A5A" w14:textId="77777777" w:rsidR="00DE36E2" w:rsidRPr="00EF7CF9" w:rsidRDefault="00DE36E2" w:rsidP="00DE36E2">
      <w:pPr>
        <w:pStyle w:val="ProductList-Body"/>
      </w:pPr>
      <w:r>
        <w:rPr>
          <w:b/>
          <w:color w:val="00188F"/>
        </w:rPr>
        <w:t>Zusätzliche Definitionen</w:t>
      </w:r>
      <w:r w:rsidRPr="00ED75EB">
        <w:rPr>
          <w:b/>
          <w:color w:val="00188F"/>
        </w:rPr>
        <w:t>:</w:t>
      </w:r>
    </w:p>
    <w:p w14:paraId="6D798844" w14:textId="77777777" w:rsidR="00DE36E2" w:rsidRPr="00EF7CF9" w:rsidRDefault="00DE36E2" w:rsidP="00123CD3">
      <w:pPr>
        <w:pStyle w:val="ProductList-Body"/>
      </w:pPr>
      <w:r>
        <w:t>„</w:t>
      </w:r>
      <w:r>
        <w:rPr>
          <w:b/>
          <w:color w:val="00188F"/>
        </w:rPr>
        <w:t>Backup</w:t>
      </w:r>
      <w:r>
        <w:t>“ oder „</w:t>
      </w:r>
      <w:r>
        <w:rPr>
          <w:b/>
          <w:color w:val="00188F"/>
        </w:rPr>
        <w:t>Sicherung</w:t>
      </w:r>
      <w:r>
        <w:t>“ ist der Prozess des Kopierens von Computerdaten von einem registrieren Server in einen Sicherungstresor.</w:t>
      </w:r>
    </w:p>
    <w:p w14:paraId="6A6D9648" w14:textId="77777777" w:rsidR="00DE36E2" w:rsidRPr="00EF7CF9" w:rsidRDefault="00DE36E2" w:rsidP="00123CD3">
      <w:pPr>
        <w:pStyle w:val="ProductList-Body"/>
      </w:pPr>
      <w:r>
        <w:t>„</w:t>
      </w:r>
      <w:r>
        <w:rPr>
          <w:b/>
          <w:color w:val="00188F"/>
        </w:rPr>
        <w:t>Backup-Agent</w:t>
      </w:r>
      <w:r>
        <w:t>“ ist die Software, die auf einem registrierten Server installiert ist und es dem registrierten Server ermöglicht, ein oder mehrere Geschützte Elemente zu sichern oder wiederherzustellen.</w:t>
      </w:r>
    </w:p>
    <w:p w14:paraId="092B327C" w14:textId="77777777" w:rsidR="00DE36E2" w:rsidRPr="00EF7CF9" w:rsidRDefault="00DE36E2" w:rsidP="00123CD3">
      <w:pPr>
        <w:pStyle w:val="ProductList-Body"/>
      </w:pPr>
      <w:r>
        <w:t>„</w:t>
      </w:r>
      <w:r>
        <w:rPr>
          <w:b/>
          <w:color w:val="00188F"/>
        </w:rPr>
        <w:t>Sicherungstresor</w:t>
      </w:r>
      <w:r>
        <w:t>“ ist ein Container, in Sie ein oder mehrere Geschützte Elemente zur Sicherung registrieren können.</w:t>
      </w:r>
    </w:p>
    <w:p w14:paraId="593C68DB" w14:textId="77777777" w:rsidR="00DE36E2" w:rsidRPr="00EF7CF9" w:rsidRDefault="00DE36E2" w:rsidP="00123CD3">
      <w:pPr>
        <w:pStyle w:val="ProductList-Body"/>
      </w:pPr>
      <w:r>
        <w:t>„</w:t>
      </w:r>
      <w:r>
        <w:rPr>
          <w:b/>
          <w:color w:val="00188F"/>
        </w:rPr>
        <w:t>Fehler</w:t>
      </w:r>
      <w:r>
        <w:t>“ bedeutet, dass entweder der Backup-Agent oder der Dienst einen korrekt konfigurierten Sicherungs- oder Wiederherstellungsvorgang aufgrund der Nichtverfügbarkeit des Backup-Dienstes nicht vollständig abschließen konnte.</w:t>
      </w:r>
    </w:p>
    <w:p w14:paraId="7D8F8108" w14:textId="77777777" w:rsidR="00DE36E2" w:rsidRPr="00EF7CF9" w:rsidRDefault="00DE36E2" w:rsidP="00123CD3">
      <w:pPr>
        <w:pStyle w:val="ProductList-Body"/>
      </w:pPr>
      <w:r>
        <w:t>„</w:t>
      </w:r>
      <w:r>
        <w:rPr>
          <w:b/>
          <w:color w:val="00188F"/>
        </w:rPr>
        <w:t>Geschütztes Element</w:t>
      </w:r>
      <w:r>
        <w:t>“ bezieht sich auf eine Sammlung von Daten wie ein Volume, eine Datenbank oder einen virtuellen Computer, für die eine Sicherung im Backup-Dienst geplant wurde. Dadurch wird sie als Geschütztes Element auf der Registerkarte „Geschützte Elemente“ im Abschnitt „Wiederherstellungsdienste“ des Verwaltungsportals aufgeführt.</w:t>
      </w:r>
    </w:p>
    <w:p w14:paraId="05560A31" w14:textId="77777777" w:rsidR="00DE36E2" w:rsidRPr="00EF7CF9" w:rsidRDefault="00DE36E2" w:rsidP="00123CD3">
      <w:pPr>
        <w:pStyle w:val="ProductList-Body"/>
      </w:pPr>
      <w:r>
        <w:t>„</w:t>
      </w:r>
      <w:r>
        <w:rPr>
          <w:b/>
          <w:color w:val="00188F"/>
        </w:rPr>
        <w:t>Wiederherstellung</w:t>
      </w:r>
      <w:r>
        <w:t>“ ist der Prozess des Wiederherstellens von Computerdaten von einem Sicherungstresor auf einem registrierten Server.</w:t>
      </w:r>
    </w:p>
    <w:p w14:paraId="19753180" w14:textId="36061E88" w:rsidR="00DE36E2" w:rsidRPr="00ED4527" w:rsidRDefault="00EE6E3C" w:rsidP="00123CD3">
      <w:pPr>
        <w:pStyle w:val="ProductList-Body"/>
        <w:rPr>
          <w:b/>
          <w:bCs/>
          <w:color w:val="00188F"/>
        </w:rPr>
      </w:pPr>
      <w:r>
        <w:rPr>
          <w:b/>
          <w:bCs/>
          <w:color w:val="00188F"/>
        </w:rPr>
        <w:t>Berechnung der Betriebszeit und Service-Levels für den Backup-Dienst</w:t>
      </w:r>
    </w:p>
    <w:p w14:paraId="3FF8AC21" w14:textId="77777777" w:rsidR="00DE36E2" w:rsidRDefault="00DE36E2" w:rsidP="00123CD3">
      <w:pPr>
        <w:pStyle w:val="ProductList-Body"/>
        <w:rPr>
          <w:b/>
          <w:color w:val="00188F"/>
        </w:rPr>
      </w:pPr>
      <w:r>
        <w:rPr>
          <w:b/>
          <w:color w:val="00188F"/>
        </w:rPr>
        <w:t>Zusätzliche Definitionen:</w:t>
      </w:r>
    </w:p>
    <w:p w14:paraId="41F04368" w14:textId="77777777" w:rsidR="00DE36E2" w:rsidRPr="00EF7CF9" w:rsidRDefault="00DE36E2" w:rsidP="00123CD3">
      <w:pPr>
        <w:pStyle w:val="ProductList-Body"/>
      </w:pPr>
      <w:r>
        <w:t>„</w:t>
      </w:r>
      <w:r>
        <w:rPr>
          <w:b/>
          <w:color w:val="00188F"/>
        </w:rPr>
        <w:t>Bereitstellungsminuten</w:t>
      </w:r>
      <w:r>
        <w:t>“ ist die Gesamtzahl der Minuten, während derer ein Geschütztes Element für die Sicherung in einem Sicherungstresor geplant ist.</w:t>
      </w:r>
    </w:p>
    <w:p w14:paraId="3956C952" w14:textId="23CE25E5" w:rsidR="00DE36E2" w:rsidRPr="00EF7CF9" w:rsidRDefault="00DE36E2" w:rsidP="00DE36E2">
      <w:pPr>
        <w:pStyle w:val="ProductList-Body"/>
        <w:spacing w:after="40"/>
      </w:pPr>
      <w:r>
        <w:t>„</w:t>
      </w:r>
      <w:r>
        <w:rPr>
          <w:b/>
          <w:color w:val="00188F"/>
        </w:rPr>
        <w:t>Maximal Verfügbare Minuten</w:t>
      </w:r>
      <w:r>
        <w:t>“ ist die Summe aller Bereitstellungsminuten aller geschützten Elemente in einem bestimmten Microsoft Azure-Abonnement während eines Anwendbaren Zeitraums.</w:t>
      </w:r>
    </w:p>
    <w:p w14:paraId="51760EC7" w14:textId="77777777" w:rsidR="00DE36E2" w:rsidRPr="00EF7CF9" w:rsidRDefault="00DE36E2" w:rsidP="00DE36E2">
      <w:pPr>
        <w:pStyle w:val="ProductList-Body"/>
      </w:pPr>
      <w:r>
        <w:rPr>
          <w:b/>
          <w:color w:val="00188F"/>
        </w:rPr>
        <w:t>Ausfallzeit</w:t>
      </w:r>
      <w:r w:rsidRPr="00ED75EB">
        <w:rPr>
          <w:b/>
          <w:color w:val="00188F"/>
        </w:rPr>
        <w:t>:</w:t>
      </w:r>
      <w:r>
        <w:t xml:space="preserve"> Die Gesamtzahl der Bereitstellungsminuten aller Geschützten Elemente, deren Sicherung von Ihnen in einem bestimmten Microsoft Azure-Abonnement geplant wird, während derer der Backup-Dienst für das Geschützte Element nicht verfügbar ist. Der Backup-Dienst gilt für ein bestimmtes Geschütztes Element ab dem ersten Fehler einer Sicherung oder Wiederherstellung des Geschützten Elements und bis zur Einleitung einer erfolgreichen Sicherung oder Wiederherstellung des Geschützten Elements als nicht verfügbar, vorausgesetzt, Wiederholungen werden fortlaufend und mindestens einmal alle dreißig Minuten versucht.</w:t>
      </w:r>
    </w:p>
    <w:p w14:paraId="3921C6C7" w14:textId="5F46CF8F" w:rsidR="00DE36E2" w:rsidRPr="00EF7CF9" w:rsidRDefault="00AC48A7" w:rsidP="00DE36E2">
      <w:pPr>
        <w:pStyle w:val="ProductList-Body"/>
      </w:pPr>
      <w:r>
        <w:rPr>
          <w:b/>
          <w:color w:val="00188F"/>
        </w:rPr>
        <w:lastRenderedPageBreak/>
        <w:t>Betriebszeitprozentsatz</w:t>
      </w:r>
      <w:r w:rsidRPr="00ED75EB">
        <w:rPr>
          <w:b/>
          <w:color w:val="00188F"/>
        </w:rPr>
        <w:t>:</w:t>
      </w:r>
      <w:r>
        <w:t xml:space="preserve"> Der Betriebszeitprozentsatz errechnet sich nach folgender Formel:</w:t>
      </w:r>
    </w:p>
    <w:p w14:paraId="5414B8CA" w14:textId="7895FEA6" w:rsidR="00DE36E2" w:rsidRPr="007C7313" w:rsidRDefault="00000000" w:rsidP="002A016E">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3A0202D6" w14:textId="77777777" w:rsidR="00DE36E2" w:rsidRPr="00EF7CF9" w:rsidRDefault="00DE36E2" w:rsidP="00DE36E2">
      <w:pPr>
        <w:pStyle w:val="ProductList-Body"/>
        <w:keepNext/>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E36E2" w:rsidRPr="00B44CF9" w14:paraId="708B2724" w14:textId="77777777" w:rsidTr="00277097">
        <w:trPr>
          <w:tblHeader/>
        </w:trPr>
        <w:tc>
          <w:tcPr>
            <w:tcW w:w="5400" w:type="dxa"/>
            <w:shd w:val="clear" w:color="auto" w:fill="0072C6"/>
          </w:tcPr>
          <w:p w14:paraId="7A33A355" w14:textId="3A958667" w:rsidR="00DE36E2"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2A0DDAAF" w14:textId="77777777" w:rsidR="00DE36E2" w:rsidRPr="00EF7CF9" w:rsidRDefault="00DE36E2" w:rsidP="000F31B4">
            <w:pPr>
              <w:pStyle w:val="ProductList-OfferingBody"/>
              <w:jc w:val="center"/>
              <w:rPr>
                <w:color w:val="FFFFFF" w:themeColor="background1"/>
              </w:rPr>
            </w:pPr>
            <w:r>
              <w:rPr>
                <w:color w:val="FFFFFF" w:themeColor="background1"/>
              </w:rPr>
              <w:t>Servicegutschrift</w:t>
            </w:r>
          </w:p>
        </w:tc>
      </w:tr>
      <w:tr w:rsidR="00DE36E2" w:rsidRPr="00B44CF9" w14:paraId="5115947E" w14:textId="77777777" w:rsidTr="00277097">
        <w:tc>
          <w:tcPr>
            <w:tcW w:w="5400" w:type="dxa"/>
            <w:tcBorders>
              <w:bottom w:val="single" w:sz="4" w:space="0" w:color="000000" w:themeColor="text1"/>
            </w:tcBorders>
          </w:tcPr>
          <w:p w14:paraId="2569796E" w14:textId="77777777" w:rsidR="00DE36E2" w:rsidRPr="00EF7CF9" w:rsidRDefault="00DE36E2" w:rsidP="000F31B4">
            <w:pPr>
              <w:pStyle w:val="ProductList-OfferingBody"/>
              <w:jc w:val="center"/>
            </w:pPr>
            <w:r>
              <w:t>&lt; 99,9 %</w:t>
            </w:r>
          </w:p>
        </w:tc>
        <w:tc>
          <w:tcPr>
            <w:tcW w:w="5400" w:type="dxa"/>
            <w:tcBorders>
              <w:bottom w:val="single" w:sz="4" w:space="0" w:color="000000" w:themeColor="text1"/>
            </w:tcBorders>
          </w:tcPr>
          <w:p w14:paraId="5A64336C" w14:textId="77777777" w:rsidR="00DE36E2" w:rsidRPr="00EF7CF9" w:rsidRDefault="00DE36E2" w:rsidP="000F31B4">
            <w:pPr>
              <w:pStyle w:val="ProductList-OfferingBody"/>
              <w:jc w:val="center"/>
            </w:pPr>
            <w:r>
              <w:t>10 %</w:t>
            </w:r>
          </w:p>
        </w:tc>
      </w:tr>
      <w:tr w:rsidR="00DE36E2" w:rsidRPr="00B44CF9" w14:paraId="2A675FF0" w14:textId="77777777" w:rsidTr="00277097">
        <w:tc>
          <w:tcPr>
            <w:tcW w:w="5400" w:type="dxa"/>
            <w:tcBorders>
              <w:bottom w:val="single" w:sz="4" w:space="0" w:color="auto"/>
            </w:tcBorders>
          </w:tcPr>
          <w:p w14:paraId="43EE92F2" w14:textId="77777777" w:rsidR="00DE36E2" w:rsidRPr="00EF7CF9" w:rsidRDefault="00DE36E2" w:rsidP="000F31B4">
            <w:pPr>
              <w:pStyle w:val="ProductList-OfferingBody"/>
              <w:jc w:val="center"/>
            </w:pPr>
            <w:r>
              <w:t>&lt; 99 %</w:t>
            </w:r>
          </w:p>
        </w:tc>
        <w:tc>
          <w:tcPr>
            <w:tcW w:w="5400" w:type="dxa"/>
            <w:tcBorders>
              <w:bottom w:val="single" w:sz="4" w:space="0" w:color="auto"/>
            </w:tcBorders>
          </w:tcPr>
          <w:p w14:paraId="32881A58" w14:textId="77777777" w:rsidR="00DE36E2" w:rsidRPr="00EF7CF9" w:rsidRDefault="00DE36E2" w:rsidP="000F31B4">
            <w:pPr>
              <w:pStyle w:val="ProductList-OfferingBody"/>
              <w:keepNext/>
              <w:jc w:val="center"/>
            </w:pPr>
            <w:r>
              <w:t>25 %</w:t>
            </w:r>
          </w:p>
        </w:tc>
      </w:tr>
    </w:tbl>
    <w:p w14:paraId="4F0327B9" w14:textId="1EF52C20"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1664F23B" w14:textId="77777777" w:rsidR="00250244" w:rsidRPr="00250244" w:rsidRDefault="00250244" w:rsidP="00250244">
      <w:pPr>
        <w:pStyle w:val="ProductList-Offering2Heading"/>
        <w:keepNext/>
        <w:tabs>
          <w:tab w:val="clear" w:pos="360"/>
          <w:tab w:val="clear" w:pos="720"/>
          <w:tab w:val="clear" w:pos="1080"/>
        </w:tabs>
        <w:outlineLvl w:val="2"/>
      </w:pPr>
      <w:bookmarkStart w:id="203" w:name="_Toc195543109"/>
      <w:bookmarkStart w:id="204" w:name="_Toc237448963"/>
      <w:r>
        <w:t>Azure Bastion</w:t>
      </w:r>
      <w:bookmarkEnd w:id="203"/>
      <w:bookmarkEnd w:id="204"/>
    </w:p>
    <w:p w14:paraId="0D5D41DC" w14:textId="5882362B" w:rsidR="00250244" w:rsidRPr="00250244" w:rsidRDefault="00250244" w:rsidP="00250244">
      <w:pPr>
        <w:pStyle w:val="ProductList-Body"/>
        <w:rPr>
          <w:b/>
          <w:bCs/>
          <w:color w:val="00188F"/>
          <w:szCs w:val="18"/>
        </w:rPr>
      </w:pPr>
      <w:r>
        <w:rPr>
          <w:b/>
          <w:bCs/>
          <w:color w:val="00188F"/>
          <w:szCs w:val="18"/>
        </w:rPr>
        <w:t>Zusätzliche Definitionen</w:t>
      </w:r>
    </w:p>
    <w:p w14:paraId="4DB44C5E" w14:textId="1551F503" w:rsidR="00250244" w:rsidRPr="00250244" w:rsidRDefault="00EE6E3C" w:rsidP="00250244">
      <w:pPr>
        <w:pStyle w:val="ProductList-Body"/>
        <w:rPr>
          <w:b/>
          <w:bCs/>
          <w:color w:val="00188F"/>
          <w:szCs w:val="18"/>
        </w:rPr>
      </w:pPr>
      <w:r>
        <w:rPr>
          <w:b/>
          <w:bCs/>
          <w:color w:val="00188F"/>
          <w:szCs w:val="18"/>
        </w:rPr>
        <w:t>Berechnung der Betriebszeit</w:t>
      </w:r>
    </w:p>
    <w:p w14:paraId="18E29BE0" w14:textId="04313488" w:rsidR="00250244" w:rsidRPr="00250244" w:rsidRDefault="00250244" w:rsidP="00250244">
      <w:pPr>
        <w:pStyle w:val="ProductList-Body"/>
        <w:rPr>
          <w:szCs w:val="18"/>
        </w:rPr>
      </w:pPr>
      <w:r>
        <w:rPr>
          <w:szCs w:val="18"/>
        </w:rPr>
        <w:t>„</w:t>
      </w:r>
      <w:r>
        <w:rPr>
          <w:b/>
          <w:bCs/>
          <w:color w:val="00188F"/>
          <w:szCs w:val="18"/>
        </w:rPr>
        <w:t>Maximal Verfügbare Minuten</w:t>
      </w:r>
      <w:r>
        <w:rPr>
          <w:szCs w:val="18"/>
        </w:rPr>
        <w:t>“ ist die Summe der kumulierten Minuten während eines Anwendbaren Zeitraums, in dem ein bestimmtes Azure Bastion in einem Microsoft Azure-Abonnement bereitgestellt wurde.</w:t>
      </w:r>
    </w:p>
    <w:p w14:paraId="5620F057" w14:textId="77777777" w:rsidR="00250244" w:rsidRPr="00250244" w:rsidRDefault="00250244" w:rsidP="00250244">
      <w:pPr>
        <w:pStyle w:val="ProductList-Body"/>
        <w:rPr>
          <w:szCs w:val="18"/>
        </w:rPr>
      </w:pPr>
      <w:r>
        <w:rPr>
          <w:szCs w:val="18"/>
        </w:rPr>
        <w:t>„</w:t>
      </w:r>
      <w:r>
        <w:rPr>
          <w:b/>
          <w:bCs/>
          <w:color w:val="00188F"/>
          <w:szCs w:val="18"/>
        </w:rPr>
        <w:t>Ausfallzeit</w:t>
      </w:r>
      <w:r>
        <w:rPr>
          <w:szCs w:val="18"/>
        </w:rPr>
        <w:t>“ ist die Summe der kumulierten Maximal verfügbaren Minuten, in denen eine Azure-Bastion nicht verfügbar ist. Eine Minute gilt als nicht verfügbar, wenn alle Versuche, sich innerhalb dieser Minute mit der Azure-Bastion zu verbinden, erfolglos waren.</w:t>
      </w:r>
    </w:p>
    <w:p w14:paraId="4AEDBD7A" w14:textId="75217CA8" w:rsidR="00250244" w:rsidRPr="00250244" w:rsidRDefault="00250244" w:rsidP="00250244">
      <w:pPr>
        <w:pStyle w:val="ProductList-Body"/>
        <w:rPr>
          <w:szCs w:val="18"/>
        </w:rPr>
      </w:pPr>
      <w:r>
        <w:t xml:space="preserve">Der </w:t>
      </w:r>
      <w:r>
        <w:rPr>
          <w:szCs w:val="18"/>
        </w:rPr>
        <w:t>„</w:t>
      </w:r>
      <w:r>
        <w:rPr>
          <w:b/>
          <w:bCs/>
          <w:color w:val="00188F"/>
          <w:szCs w:val="18"/>
        </w:rPr>
        <w:t>Betriebszeitprozentsatz</w:t>
      </w:r>
      <w:r>
        <w:rPr>
          <w:szCs w:val="18"/>
        </w:rPr>
        <w:t>“ für ein bestimmtes Azure Bastion wird berechnet als Maximal Verfügbare Minuten abzüglich der Ausfallzeit geteilt durch die Maximal Verfügbaren Minuten in einem Anwendbaren Zeitraum für ein bestimmtes Microsoft Azure-Abonnement. Der Betriebszeitprozentsatz wird durch die folgende Formel ermittelt:</w:t>
      </w:r>
    </w:p>
    <w:p w14:paraId="65632BC7" w14:textId="77777777" w:rsidR="00250244" w:rsidRPr="00EF7CF9" w:rsidRDefault="00250244" w:rsidP="00250244">
      <w:pPr>
        <w:pStyle w:val="ProductList-Body"/>
      </w:pPr>
    </w:p>
    <w:p w14:paraId="28936B34" w14:textId="2D57211D" w:rsidR="00250244" w:rsidRPr="007C7313" w:rsidRDefault="00000000" w:rsidP="00250244">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358593AE" w14:textId="77777777" w:rsidR="00250244" w:rsidRPr="00250244" w:rsidRDefault="00250244" w:rsidP="00250244">
      <w:pPr>
        <w:pStyle w:val="ProductList-Body"/>
        <w:keepNext/>
        <w:rPr>
          <w:b/>
          <w:bCs/>
          <w:color w:val="00188F"/>
          <w:szCs w:val="18"/>
        </w:rPr>
      </w:pPr>
      <w:r>
        <w:rPr>
          <w:b/>
          <w:bCs/>
          <w:color w:val="00188F"/>
          <w:szCs w:val="18"/>
        </w:rPr>
        <w:t>Die folgenden Servicelevels und Servicegutschriften gelten für die Nutzung jeder Azure Bastion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50244" w:rsidRPr="00B44CF9" w14:paraId="2F9D40EB" w14:textId="77777777" w:rsidTr="00277097">
        <w:trPr>
          <w:tblHeader/>
        </w:trPr>
        <w:tc>
          <w:tcPr>
            <w:tcW w:w="5400" w:type="dxa"/>
            <w:shd w:val="clear" w:color="auto" w:fill="0072C6"/>
          </w:tcPr>
          <w:p w14:paraId="45673069" w14:textId="20B83DA8" w:rsidR="00250244"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22B9090F" w14:textId="77777777" w:rsidR="00250244" w:rsidRPr="00EF7CF9" w:rsidRDefault="00250244" w:rsidP="000F31B4">
            <w:pPr>
              <w:pStyle w:val="ProductList-OfferingBody"/>
              <w:jc w:val="center"/>
              <w:rPr>
                <w:color w:val="FFFFFF" w:themeColor="background1"/>
              </w:rPr>
            </w:pPr>
            <w:r>
              <w:rPr>
                <w:color w:val="FFFFFF" w:themeColor="background1"/>
              </w:rPr>
              <w:t>Servicegutschrift</w:t>
            </w:r>
          </w:p>
        </w:tc>
      </w:tr>
      <w:tr w:rsidR="00250244" w:rsidRPr="00B44CF9" w14:paraId="580D138F" w14:textId="77777777" w:rsidTr="00277097">
        <w:tc>
          <w:tcPr>
            <w:tcW w:w="5400" w:type="dxa"/>
            <w:tcBorders>
              <w:bottom w:val="single" w:sz="4" w:space="0" w:color="000000" w:themeColor="text1"/>
            </w:tcBorders>
          </w:tcPr>
          <w:p w14:paraId="3ED04140" w14:textId="60F0F59E" w:rsidR="00250244" w:rsidRPr="00EF7CF9" w:rsidRDefault="00250244" w:rsidP="000F31B4">
            <w:pPr>
              <w:pStyle w:val="ProductList-OfferingBody"/>
              <w:jc w:val="center"/>
            </w:pPr>
            <w:r>
              <w:t>&lt; 99,95 %</w:t>
            </w:r>
          </w:p>
        </w:tc>
        <w:tc>
          <w:tcPr>
            <w:tcW w:w="5400" w:type="dxa"/>
            <w:tcBorders>
              <w:bottom w:val="single" w:sz="4" w:space="0" w:color="000000" w:themeColor="text1"/>
            </w:tcBorders>
          </w:tcPr>
          <w:p w14:paraId="566411D6" w14:textId="77777777" w:rsidR="00250244" w:rsidRPr="00EF7CF9" w:rsidRDefault="00250244" w:rsidP="000F31B4">
            <w:pPr>
              <w:pStyle w:val="ProductList-OfferingBody"/>
              <w:jc w:val="center"/>
            </w:pPr>
            <w:r>
              <w:t>10 %</w:t>
            </w:r>
          </w:p>
        </w:tc>
      </w:tr>
      <w:tr w:rsidR="00250244" w:rsidRPr="00B44CF9" w14:paraId="2B7920ED" w14:textId="77777777" w:rsidTr="00277097">
        <w:tc>
          <w:tcPr>
            <w:tcW w:w="5400" w:type="dxa"/>
            <w:tcBorders>
              <w:bottom w:val="single" w:sz="4" w:space="0" w:color="auto"/>
            </w:tcBorders>
          </w:tcPr>
          <w:p w14:paraId="08B44678" w14:textId="77777777" w:rsidR="00250244" w:rsidRPr="00EF7CF9" w:rsidRDefault="00250244" w:rsidP="000F31B4">
            <w:pPr>
              <w:pStyle w:val="ProductList-OfferingBody"/>
              <w:jc w:val="center"/>
            </w:pPr>
            <w:r>
              <w:t>&lt; 99 %</w:t>
            </w:r>
          </w:p>
        </w:tc>
        <w:tc>
          <w:tcPr>
            <w:tcW w:w="5400" w:type="dxa"/>
            <w:tcBorders>
              <w:bottom w:val="single" w:sz="4" w:space="0" w:color="auto"/>
            </w:tcBorders>
          </w:tcPr>
          <w:p w14:paraId="07002431" w14:textId="77777777" w:rsidR="00250244" w:rsidRPr="00EF7CF9" w:rsidRDefault="00250244" w:rsidP="000F31B4">
            <w:pPr>
              <w:pStyle w:val="ProductList-OfferingBody"/>
              <w:keepNext/>
              <w:jc w:val="center"/>
            </w:pPr>
            <w:r>
              <w:t>25 %</w:t>
            </w:r>
          </w:p>
        </w:tc>
      </w:tr>
    </w:tbl>
    <w:bookmarkStart w:id="205" w:name="_Toc52348941"/>
    <w:p w14:paraId="3552FE49" w14:textId="127BF680"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2361CDC7" w14:textId="3E84EC69" w:rsidR="00EF0466" w:rsidRPr="00EF7CF9" w:rsidRDefault="00EF0466" w:rsidP="00915D56">
      <w:pPr>
        <w:pStyle w:val="ProductList-Offering2Heading"/>
        <w:keepNext/>
        <w:tabs>
          <w:tab w:val="clear" w:pos="360"/>
          <w:tab w:val="clear" w:pos="720"/>
          <w:tab w:val="clear" w:pos="1080"/>
        </w:tabs>
        <w:outlineLvl w:val="2"/>
      </w:pPr>
      <w:bookmarkStart w:id="206" w:name="_Toc195543110"/>
      <w:bookmarkStart w:id="207" w:name="_Toc237448964"/>
      <w:r>
        <w:t>Batch</w:t>
      </w:r>
      <w:bookmarkEnd w:id="205"/>
      <w:bookmarkEnd w:id="206"/>
      <w:bookmarkEnd w:id="207"/>
    </w:p>
    <w:p w14:paraId="7A200489" w14:textId="77777777" w:rsidR="00EF0466" w:rsidRPr="00EF7CF9" w:rsidRDefault="00EF0466" w:rsidP="00D76F8C">
      <w:pPr>
        <w:pStyle w:val="ProductList-Body"/>
        <w:keepNext/>
        <w:rPr>
          <w:b/>
          <w:color w:val="00188F"/>
        </w:rPr>
      </w:pPr>
      <w:r>
        <w:rPr>
          <w:b/>
          <w:color w:val="00188F"/>
        </w:rPr>
        <w:t>Zusätzliche Definitionen</w:t>
      </w:r>
      <w:r w:rsidRPr="00ED75EB">
        <w:rPr>
          <w:b/>
          <w:color w:val="00188F"/>
        </w:rPr>
        <w:t>:</w:t>
      </w:r>
    </w:p>
    <w:p w14:paraId="395AF348" w14:textId="68EC6FDB" w:rsidR="00EF0466" w:rsidRPr="00EF7CF9" w:rsidRDefault="00EF0466" w:rsidP="00123CD3">
      <w:pPr>
        <w:pStyle w:val="ProductList-Body"/>
      </w:pPr>
      <w:r>
        <w:t>Die „</w:t>
      </w:r>
      <w:r>
        <w:rPr>
          <w:b/>
          <w:color w:val="00188F"/>
        </w:rPr>
        <w:t>Durchschnittliche Fehlerrate</w:t>
      </w:r>
      <w:r>
        <w:t>“ für einen Anwendbaren Zeitraum ist die Summe der Fehlerraten für jede Stunde im Anwendbaren Zeitraum geteilt durch die Gesamtzahl der Stunden im Anwendbaren Zeitraum.</w:t>
      </w:r>
    </w:p>
    <w:p w14:paraId="7133E034" w14:textId="26822EB5" w:rsidR="00EF0466" w:rsidRPr="00EF7CF9" w:rsidRDefault="00EF0466" w:rsidP="00123CD3">
      <w:pPr>
        <w:pStyle w:val="ProductList-Body"/>
      </w:pPr>
      <w:r>
        <w:t>„</w:t>
      </w:r>
      <w:r>
        <w:rPr>
          <w:b/>
          <w:color w:val="00188F"/>
        </w:rPr>
        <w:t>Fehlerrate</w:t>
      </w:r>
      <w:r>
        <w:t>“ ist die Gesamtzahl der Fehlerhaften Anforderungen geteilt durch die Gesamtzahl der Anforderungen im Verlauf eines bestimmten einstündigen Intervalls. Wenn die Gesamtzahl der Anforderungen in einem bestimmten Ein-Stunden-Intervall null ist, liegt die Fehlerrate für dieses</w:t>
      </w:r>
      <w:r w:rsidR="00733B71">
        <w:t> </w:t>
      </w:r>
      <w:r>
        <w:t>Intervall bei 0 %.</w:t>
      </w:r>
    </w:p>
    <w:p w14:paraId="6E2D1CEE" w14:textId="77777777" w:rsidR="00EF0466" w:rsidRPr="00EF7CF9" w:rsidRDefault="00EF0466" w:rsidP="00123CD3">
      <w:pPr>
        <w:pStyle w:val="ProductList-Body"/>
      </w:pPr>
      <w:r>
        <w:t>„</w:t>
      </w:r>
      <w:r>
        <w:rPr>
          <w:b/>
          <w:color w:val="00188F"/>
        </w:rPr>
        <w:t>Ausgeschlossene Anforderungen</w:t>
      </w:r>
      <w:r>
        <w:t>“ sind Anforderungen, die zu einem HTTP 4xx-Statuscode führen, ausgenommen ein HTTP 408-Statuscode.</w:t>
      </w:r>
    </w:p>
    <w:p w14:paraId="53BBC1FB" w14:textId="400312FD" w:rsidR="00EF0466" w:rsidRPr="00EF7CF9" w:rsidRDefault="00EF0466" w:rsidP="00123CD3">
      <w:pPr>
        <w:pStyle w:val="ProductList-Body"/>
      </w:pPr>
      <w:r>
        <w:t>„</w:t>
      </w:r>
      <w:r>
        <w:rPr>
          <w:b/>
          <w:color w:val="00188F"/>
        </w:rPr>
        <w:t>Fehlerhafte Anforderungen</w:t>
      </w:r>
      <w:r>
        <w:t>“</w:t>
      </w:r>
      <w:r w:rsidR="000269C5">
        <w:t xml:space="preserve"> </w:t>
      </w:r>
      <w:r>
        <w:t>ist die Menge aller Anforderungen innerhalb der Gesamtzahl der Anforderungen, die entweder einen Fehlercode oder einen HTTP 408-Statuscode zurückgeben oder nicht innerhalb von 5 Sekunden einen Erfolgscode zurückgeben.</w:t>
      </w:r>
    </w:p>
    <w:p w14:paraId="650DAD32" w14:textId="518C1BC5" w:rsidR="00EF0466" w:rsidRPr="00EF7CF9" w:rsidRDefault="00EF0466" w:rsidP="00123CD3">
      <w:pPr>
        <w:pStyle w:val="ProductList-Body"/>
      </w:pPr>
      <w:r>
        <w:t>„</w:t>
      </w:r>
      <w:r>
        <w:rPr>
          <w:b/>
          <w:color w:val="00188F"/>
        </w:rPr>
        <w:t>Gesamtanzahl der Anfragen</w:t>
      </w:r>
      <w:r>
        <w:t>“ bezeichnet die Gesamtanzahl aller authentifizierten REST API-Anfragen, mit Ausnahme von ausgeschlossenen Anfragen, auf Ausführung von Vorgängen gegen Batch-Accounts, die innerhalb eines Zeitraums von einer Stunde innerhalb eines bestimmten Azure-Abonnements in einem Anwendbaren Zeitraum versucht wurden.</w:t>
      </w:r>
    </w:p>
    <w:p w14:paraId="7EAB2ED8" w14:textId="1C723257" w:rsidR="00EF0466" w:rsidRDefault="00AC48A7" w:rsidP="00123CD3">
      <w:pPr>
        <w:pStyle w:val="ProductList-Body"/>
      </w:pPr>
      <w:r>
        <w:rPr>
          <w:b/>
          <w:color w:val="00188F"/>
        </w:rPr>
        <w:t>Betriebszeitprozentsatz</w:t>
      </w:r>
      <w:r w:rsidRPr="00ED75EB">
        <w:rPr>
          <w:b/>
          <w:color w:val="00188F"/>
        </w:rPr>
        <w:t>:</w:t>
      </w:r>
      <w:r>
        <w:t xml:space="preserve"> für den Batch-Dienst wird berechnet, indem von 100 % die Durchschnittliche Fehlerrate für ein bestimmtes Microsoft Azure-Abonnement in einem Anwendbaren Zeitraum abgezogen wird. Die „Durchschnittliche Fehlerrate“ für einen Anwendbaren Zeitraum ist die</w:t>
      </w:r>
      <w:r w:rsidR="00E155B1">
        <w:t> </w:t>
      </w:r>
      <w:r>
        <w:t>Summe der Fehlerraten für jede Stunde im Anwendbaren Zeitraum geteilt durch die Gesamtzahl der Stunden im Anwendbaren Zeitraum.</w:t>
      </w:r>
    </w:p>
    <w:p w14:paraId="083113DA" w14:textId="1E983909" w:rsidR="00EF0466" w:rsidRPr="00EF7CF9" w:rsidRDefault="00AC48A7" w:rsidP="00123CD3">
      <w:pPr>
        <w:pStyle w:val="ProductList-Body"/>
      </w:pPr>
      <w:r>
        <w:t>Der Betriebszeitprozentsatz wird durch die folgende Formel ermittelt:</w:t>
      </w:r>
    </w:p>
    <w:p w14:paraId="5DD33D94" w14:textId="77777777" w:rsidR="00EF0466" w:rsidRPr="00EF7CF9" w:rsidRDefault="00EF0466" w:rsidP="00EF0466">
      <w:pPr>
        <w:pStyle w:val="ProductList-Body"/>
      </w:pPr>
    </w:p>
    <w:p w14:paraId="0BEE3720" w14:textId="201504E0" w:rsidR="00EF0466" w:rsidRPr="00D06EA5" w:rsidRDefault="00B1426B" w:rsidP="00EF0466">
      <w:pPr>
        <w:pStyle w:val="ListParagraph"/>
        <w:rPr>
          <w:rFonts w:ascii="Cambria Math" w:hAnsi="Cambria Math" w:cs="Tahoma"/>
          <w:i/>
          <w:sz w:val="12"/>
          <w:szCs w:val="12"/>
        </w:rPr>
      </w:pPr>
      <m:oMathPara>
        <m:oMath>
          <m:r>
            <m:rPr>
              <m:nor/>
            </m:rPr>
            <w:rPr>
              <w:rFonts w:ascii="Cambria Math" w:hAnsi="Cambria Math" w:cs="Tahoma"/>
              <w:i/>
              <w:sz w:val="18"/>
              <w:szCs w:val="18"/>
            </w:rPr>
            <m:t>Betriebszeit % = 100 % abzüglich Durchschnittliche Fehlerrate</m:t>
          </m:r>
        </m:oMath>
      </m:oMathPara>
    </w:p>
    <w:p w14:paraId="4CC590BB" w14:textId="77777777" w:rsidR="00EF0466" w:rsidRPr="00D06EA5" w:rsidRDefault="00EF0466" w:rsidP="00EF0466">
      <w:pPr>
        <w:pStyle w:val="ProductList-Body"/>
      </w:pPr>
      <w:r w:rsidRPr="00D06EA5">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F0466" w:rsidRPr="00B44CF9" w14:paraId="5CE18B58" w14:textId="77777777" w:rsidTr="00277097">
        <w:trPr>
          <w:tblHeader/>
        </w:trPr>
        <w:tc>
          <w:tcPr>
            <w:tcW w:w="5400" w:type="dxa"/>
            <w:shd w:val="clear" w:color="auto" w:fill="0072C6"/>
          </w:tcPr>
          <w:p w14:paraId="524E220F" w14:textId="733E12B6" w:rsidR="00EF0466"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1A7D8845" w14:textId="77777777" w:rsidR="00EF0466" w:rsidRPr="00EF7CF9" w:rsidRDefault="00EF0466" w:rsidP="000F31B4">
            <w:pPr>
              <w:pStyle w:val="ProductList-OfferingBody"/>
              <w:jc w:val="center"/>
              <w:rPr>
                <w:color w:val="FFFFFF" w:themeColor="background1"/>
              </w:rPr>
            </w:pPr>
            <w:r>
              <w:rPr>
                <w:color w:val="FFFFFF" w:themeColor="background1"/>
              </w:rPr>
              <w:t>Servicegutschrift</w:t>
            </w:r>
          </w:p>
        </w:tc>
      </w:tr>
      <w:tr w:rsidR="00EF0466" w:rsidRPr="00B44CF9" w14:paraId="784DC36D" w14:textId="77777777" w:rsidTr="00277097">
        <w:tc>
          <w:tcPr>
            <w:tcW w:w="5400" w:type="dxa"/>
          </w:tcPr>
          <w:p w14:paraId="53AB855C" w14:textId="77777777" w:rsidR="00EF0466" w:rsidRPr="00EF7CF9" w:rsidRDefault="00EF0466" w:rsidP="000F31B4">
            <w:pPr>
              <w:pStyle w:val="ProductList-OfferingBody"/>
              <w:jc w:val="center"/>
            </w:pPr>
            <w:r>
              <w:t>&lt; 99,9 %</w:t>
            </w:r>
          </w:p>
        </w:tc>
        <w:tc>
          <w:tcPr>
            <w:tcW w:w="5400" w:type="dxa"/>
          </w:tcPr>
          <w:p w14:paraId="762804D1" w14:textId="77777777" w:rsidR="00EF0466" w:rsidRPr="00EF7CF9" w:rsidRDefault="00EF0466" w:rsidP="000F31B4">
            <w:pPr>
              <w:pStyle w:val="ProductList-OfferingBody"/>
              <w:jc w:val="center"/>
            </w:pPr>
            <w:r>
              <w:t>10 %</w:t>
            </w:r>
          </w:p>
        </w:tc>
      </w:tr>
      <w:tr w:rsidR="00EF0466" w:rsidRPr="00B44CF9" w14:paraId="433CE4B5" w14:textId="77777777" w:rsidTr="00277097">
        <w:tc>
          <w:tcPr>
            <w:tcW w:w="5400" w:type="dxa"/>
          </w:tcPr>
          <w:p w14:paraId="5A4F3664" w14:textId="77777777" w:rsidR="00EF0466" w:rsidRPr="00EF7CF9" w:rsidRDefault="00EF0466" w:rsidP="000F31B4">
            <w:pPr>
              <w:pStyle w:val="ProductList-OfferingBody"/>
              <w:jc w:val="center"/>
            </w:pPr>
            <w:r>
              <w:t>&lt; 99 %</w:t>
            </w:r>
          </w:p>
        </w:tc>
        <w:tc>
          <w:tcPr>
            <w:tcW w:w="5400" w:type="dxa"/>
          </w:tcPr>
          <w:p w14:paraId="2BE675AB" w14:textId="77777777" w:rsidR="00EF0466" w:rsidRPr="00EF7CF9" w:rsidRDefault="00EF0466" w:rsidP="000F31B4">
            <w:pPr>
              <w:pStyle w:val="ProductList-OfferingBody"/>
              <w:jc w:val="center"/>
            </w:pPr>
            <w:r>
              <w:t>25 %</w:t>
            </w:r>
          </w:p>
        </w:tc>
      </w:tr>
    </w:tbl>
    <w:bookmarkStart w:id="208" w:name="_Toc457821542"/>
    <w:bookmarkStart w:id="209" w:name="_Toc52348943"/>
    <w:p w14:paraId="01A1833D" w14:textId="455FDC57"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2DDD5416" w14:textId="77777777" w:rsidR="00EE07E3" w:rsidRPr="00EF7CF9" w:rsidRDefault="00EE07E3" w:rsidP="00D41408">
      <w:pPr>
        <w:pStyle w:val="ProductList-Offering2Heading"/>
        <w:keepNext/>
        <w:tabs>
          <w:tab w:val="clear" w:pos="360"/>
          <w:tab w:val="clear" w:pos="720"/>
          <w:tab w:val="clear" w:pos="1080"/>
        </w:tabs>
        <w:outlineLvl w:val="2"/>
      </w:pPr>
      <w:bookmarkStart w:id="210" w:name="_Toc195543111"/>
      <w:bookmarkStart w:id="211" w:name="_Toc237448965"/>
      <w:r>
        <w:lastRenderedPageBreak/>
        <w:t>BizTalk-Dienste</w:t>
      </w:r>
      <w:bookmarkEnd w:id="208"/>
      <w:bookmarkEnd w:id="209"/>
      <w:bookmarkEnd w:id="210"/>
      <w:bookmarkEnd w:id="211"/>
    </w:p>
    <w:p w14:paraId="1EEF97B3" w14:textId="77777777" w:rsidR="00EE07E3" w:rsidRPr="00EF7CF9" w:rsidRDefault="00EE07E3" w:rsidP="00D41408">
      <w:pPr>
        <w:pStyle w:val="ProductList-Body"/>
        <w:keepNext/>
        <w:rPr>
          <w:b/>
          <w:color w:val="00188F"/>
        </w:rPr>
      </w:pPr>
      <w:r>
        <w:rPr>
          <w:b/>
          <w:color w:val="00188F"/>
        </w:rPr>
        <w:t>Zusätzliche Definitionen</w:t>
      </w:r>
      <w:r w:rsidRPr="00ED75EB">
        <w:rPr>
          <w:b/>
          <w:color w:val="00188F"/>
        </w:rPr>
        <w:t>:</w:t>
      </w:r>
    </w:p>
    <w:p w14:paraId="689B8158" w14:textId="0D25436A" w:rsidR="00EE07E3" w:rsidRPr="00EF7CF9" w:rsidRDefault="00EE07E3" w:rsidP="00123CD3">
      <w:pPr>
        <w:pStyle w:val="ProductList-Body"/>
      </w:pPr>
      <w:r>
        <w:t>„</w:t>
      </w:r>
      <w:r>
        <w:rPr>
          <w:b/>
          <w:color w:val="00188F"/>
        </w:rPr>
        <w:t>BizTalk-Dienstumgebung</w:t>
      </w:r>
      <w:r>
        <w:t>“ bezieht sich auf eine von Ihnen erstellte Bereitstellung der BizTalk-Dienste, wie im Verwaltungsportal dargestellt, an</w:t>
      </w:r>
      <w:r w:rsidR="000D6F03">
        <w:t> </w:t>
      </w:r>
      <w:r>
        <w:t>die</w:t>
      </w:r>
      <w:r w:rsidR="000D6F03">
        <w:t> </w:t>
      </w:r>
      <w:r>
        <w:t>Sie Laufzeitnachrichtenanforderungen senden können.</w:t>
      </w:r>
    </w:p>
    <w:p w14:paraId="30BE0C93" w14:textId="2F60CAC7" w:rsidR="00EE07E3" w:rsidRPr="00EF7CF9" w:rsidRDefault="00EE07E3" w:rsidP="00123CD3">
      <w:pPr>
        <w:pStyle w:val="ProductList-Body"/>
      </w:pPr>
      <w:r>
        <w:t>„</w:t>
      </w:r>
      <w:r>
        <w:rPr>
          <w:b/>
          <w:color w:val="00188F"/>
        </w:rPr>
        <w:t>Bereitstellungsminuten</w:t>
      </w:r>
      <w:r>
        <w:t>“ ist die Gesamtzahl der Minuten, in denen eine bestimmte BizTalk-Dienstumgebung während eines Anwendbaren Zeitraums in Microsoft Azure bereitgestellt wird.</w:t>
      </w:r>
    </w:p>
    <w:p w14:paraId="05F523B2" w14:textId="2F4FF51B" w:rsidR="00EE07E3" w:rsidRPr="00EF7CF9" w:rsidRDefault="00EE07E3" w:rsidP="00123CD3">
      <w:pPr>
        <w:pStyle w:val="ProductList-Body"/>
      </w:pPr>
      <w:r>
        <w:t>„</w:t>
      </w:r>
      <w:r>
        <w:rPr>
          <w:b/>
          <w:color w:val="00188F"/>
        </w:rPr>
        <w:t>Maximal Verfügbare Minuten</w:t>
      </w:r>
      <w:r>
        <w:t>“ ist die Summe aller Bereitstellungsminuten für alle BizTalk-Dienstumgebungen, die von Ihnen in einem bestimmten Microsoft Azure-Abonnement während eines Anwendbaren Zeitraums bereitgestellt werden.</w:t>
      </w:r>
    </w:p>
    <w:p w14:paraId="2867114C" w14:textId="77777777" w:rsidR="00EE07E3" w:rsidRPr="00EF7CF9" w:rsidRDefault="00EE07E3" w:rsidP="00123CD3">
      <w:pPr>
        <w:pStyle w:val="ProductList-Body"/>
      </w:pPr>
      <w:r>
        <w:t>„</w:t>
      </w:r>
      <w:r>
        <w:rPr>
          <w:b/>
          <w:color w:val="00188F"/>
        </w:rPr>
        <w:t>Speicherkonto für Überwachung</w:t>
      </w:r>
      <w:r>
        <w:t>“ bezieht sich auf das Azure-Speicherkonto, das von den BizTalk-Diensten verwendet wird, um Überwachungsinformationen in Bezug auf die Ausführung der BizTalk-Dienste zu speichern.</w:t>
      </w:r>
    </w:p>
    <w:p w14:paraId="150F5BD7" w14:textId="77777777" w:rsidR="00EE07E3" w:rsidRPr="00EF7CF9" w:rsidRDefault="00EE07E3" w:rsidP="00123CD3">
      <w:pPr>
        <w:pStyle w:val="ProductList-Body"/>
      </w:pPr>
      <w:r>
        <w:rPr>
          <w:b/>
          <w:color w:val="00188F"/>
        </w:rPr>
        <w:t>Ausfallzeit</w:t>
      </w:r>
      <w:r w:rsidRPr="00ED75EB">
        <w:rPr>
          <w:b/>
          <w:color w:val="00188F"/>
        </w:rPr>
        <w:t>:</w:t>
      </w:r>
      <w:r>
        <w:t xml:space="preserve"> Kumulierte Bereitstellungsminuten für alle von Ihnen in einem bestimmten Microsoft Azure-Abonnement bereitgestellten BizTalk-Dienstumgebungen, in denen die BizTalk-Dienstumgebung nicht verfügbar ist. Eine Minute gilt als nicht verfügbar für eine bestimmte BizTalk-Dienstumgebung, wenn keine Konnektivität zwischen Ihrer BizTalk-Dienstumgebung und dem Internetgateway von Microsoft besteht.</w:t>
      </w:r>
    </w:p>
    <w:p w14:paraId="094308AC" w14:textId="6B9E9816" w:rsidR="00EE07E3" w:rsidRPr="00EF7CF9" w:rsidRDefault="00AC48A7" w:rsidP="00EE07E3">
      <w:pPr>
        <w:pStyle w:val="ProductList-Body"/>
      </w:pPr>
      <w:r>
        <w:rPr>
          <w:b/>
          <w:color w:val="00188F"/>
        </w:rPr>
        <w:t>Betriebszeitprozentsatz</w:t>
      </w:r>
      <w:r w:rsidRPr="00ED75EB">
        <w:rPr>
          <w:b/>
          <w:color w:val="00188F"/>
        </w:rPr>
        <w:t>:</w:t>
      </w:r>
      <w:r>
        <w:t xml:space="preserve"> Der Betriebszeitprozentsatz errechnet sich nach folgender Formel: </w:t>
      </w:r>
    </w:p>
    <w:p w14:paraId="684C104E" w14:textId="6168D279" w:rsidR="00EE07E3" w:rsidRPr="007C7313" w:rsidRDefault="00000000" w:rsidP="002A016E">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491A6EB5" w14:textId="77777777" w:rsidR="00EE07E3" w:rsidRPr="00EF7CF9" w:rsidRDefault="00EE07E3" w:rsidP="00EE07E3">
      <w:pPr>
        <w:pStyle w:val="ProductList-Body"/>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E07E3" w:rsidRPr="00B44CF9" w14:paraId="50E8FE09" w14:textId="77777777" w:rsidTr="00277097">
        <w:trPr>
          <w:tblHeader/>
        </w:trPr>
        <w:tc>
          <w:tcPr>
            <w:tcW w:w="5400" w:type="dxa"/>
            <w:shd w:val="clear" w:color="auto" w:fill="0072C6"/>
          </w:tcPr>
          <w:p w14:paraId="1615DE96" w14:textId="3E3D6E8A" w:rsidR="00EE07E3"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6008E93F" w14:textId="77777777" w:rsidR="00EE07E3" w:rsidRPr="00EF7CF9" w:rsidRDefault="00EE07E3" w:rsidP="000F31B4">
            <w:pPr>
              <w:pStyle w:val="ProductList-OfferingBody"/>
              <w:jc w:val="center"/>
              <w:rPr>
                <w:color w:val="FFFFFF" w:themeColor="background1"/>
              </w:rPr>
            </w:pPr>
            <w:r>
              <w:rPr>
                <w:color w:val="FFFFFF" w:themeColor="background1"/>
              </w:rPr>
              <w:t>Servicegutschrift</w:t>
            </w:r>
          </w:p>
        </w:tc>
      </w:tr>
      <w:tr w:rsidR="00EE07E3" w:rsidRPr="00B44CF9" w14:paraId="2A4110F7" w14:textId="77777777" w:rsidTr="00277097">
        <w:tc>
          <w:tcPr>
            <w:tcW w:w="5400" w:type="dxa"/>
          </w:tcPr>
          <w:p w14:paraId="15668B8B" w14:textId="77777777" w:rsidR="00EE07E3" w:rsidRPr="00EF7CF9" w:rsidRDefault="00EE07E3" w:rsidP="000F31B4">
            <w:pPr>
              <w:pStyle w:val="ProductList-OfferingBody"/>
              <w:jc w:val="center"/>
            </w:pPr>
            <w:r>
              <w:t>&lt; 99,9 %</w:t>
            </w:r>
          </w:p>
        </w:tc>
        <w:tc>
          <w:tcPr>
            <w:tcW w:w="5400" w:type="dxa"/>
          </w:tcPr>
          <w:p w14:paraId="1A041908" w14:textId="77777777" w:rsidR="00EE07E3" w:rsidRPr="00EF7CF9" w:rsidRDefault="00EE07E3" w:rsidP="000F31B4">
            <w:pPr>
              <w:pStyle w:val="ProductList-OfferingBody"/>
              <w:jc w:val="center"/>
            </w:pPr>
            <w:r>
              <w:t>10 %</w:t>
            </w:r>
          </w:p>
        </w:tc>
      </w:tr>
      <w:tr w:rsidR="00EE07E3" w:rsidRPr="00B44CF9" w14:paraId="6D76EEE9" w14:textId="77777777" w:rsidTr="00277097">
        <w:tc>
          <w:tcPr>
            <w:tcW w:w="5400" w:type="dxa"/>
          </w:tcPr>
          <w:p w14:paraId="1D348B08" w14:textId="77777777" w:rsidR="00EE07E3" w:rsidRPr="00EF7CF9" w:rsidRDefault="00EE07E3" w:rsidP="000F31B4">
            <w:pPr>
              <w:pStyle w:val="ProductList-OfferingBody"/>
              <w:jc w:val="center"/>
            </w:pPr>
            <w:r>
              <w:t>&lt; 99 %</w:t>
            </w:r>
          </w:p>
        </w:tc>
        <w:tc>
          <w:tcPr>
            <w:tcW w:w="5400" w:type="dxa"/>
          </w:tcPr>
          <w:p w14:paraId="03C66756" w14:textId="77777777" w:rsidR="00EE07E3" w:rsidRPr="00EF7CF9" w:rsidRDefault="00EE07E3" w:rsidP="000F31B4">
            <w:pPr>
              <w:pStyle w:val="ProductList-OfferingBody"/>
              <w:jc w:val="center"/>
            </w:pPr>
            <w:r>
              <w:t>25 %</w:t>
            </w:r>
          </w:p>
        </w:tc>
      </w:tr>
    </w:tbl>
    <w:p w14:paraId="65C7EBDC" w14:textId="77777777" w:rsidR="00EE07E3" w:rsidRPr="00B1426B" w:rsidRDefault="00EE07E3" w:rsidP="00123CD3">
      <w:pPr>
        <w:pStyle w:val="ProductList-Body"/>
        <w:spacing w:before="120"/>
        <w:rPr>
          <w:spacing w:val="-2"/>
        </w:rPr>
      </w:pPr>
      <w:r w:rsidRPr="00B1426B">
        <w:rPr>
          <w:b/>
          <w:color w:val="00188F"/>
          <w:spacing w:val="-2"/>
        </w:rPr>
        <w:t>Servicelevel-Ausnahmen</w:t>
      </w:r>
      <w:r w:rsidRPr="00ED75EB">
        <w:rPr>
          <w:b/>
          <w:color w:val="00188F"/>
        </w:rPr>
        <w:t>:</w:t>
      </w:r>
      <w:r w:rsidRPr="00B1426B">
        <w:rPr>
          <w:spacing w:val="-2"/>
        </w:rPr>
        <w:t xml:space="preserve"> Servicelevels und Servicegutschriften gelten für die Nutzung der Stufen Basis, Standard und Premiium der BizTalk-Dienste. Diese SLA gilt nicht für die Entwicklerstufe der Microsoft Azure BizTalk-Dienste.</w:t>
      </w:r>
    </w:p>
    <w:p w14:paraId="21C0FE31" w14:textId="77777777" w:rsidR="00EE07E3" w:rsidRPr="00EF7CF9" w:rsidRDefault="00EE07E3" w:rsidP="00123CD3">
      <w:pPr>
        <w:pStyle w:val="ProductList-Body"/>
        <w:spacing w:before="120"/>
      </w:pPr>
      <w:r>
        <w:rPr>
          <w:b/>
          <w:color w:val="00188F"/>
        </w:rPr>
        <w:t>Zusatzbestimmungen</w:t>
      </w:r>
      <w:r w:rsidRPr="00ED75EB">
        <w:rPr>
          <w:b/>
          <w:color w:val="00188F"/>
        </w:rPr>
        <w:t>:</w:t>
      </w:r>
      <w:r>
        <w:t xml:space="preserve"> Wenn Sie einen Anspruch einreichen, müssen Sie sicherstellen, dass die vollständigen Überwachungsdaten im Speicherkonto für Überwachung aufbewahrt und Microsoft zur Verfügung gestellt werden.</w:t>
      </w:r>
    </w:p>
    <w:p w14:paraId="5B70A297" w14:textId="2C84A5D4"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52D0FD56" w14:textId="58C7C03A" w:rsidR="004005AF" w:rsidRPr="00EF7CF9" w:rsidRDefault="004005AF" w:rsidP="00B1426B">
      <w:pPr>
        <w:pStyle w:val="ProductList-Offering2Heading"/>
        <w:keepNext/>
        <w:keepLines/>
        <w:tabs>
          <w:tab w:val="clear" w:pos="360"/>
          <w:tab w:val="clear" w:pos="720"/>
          <w:tab w:val="clear" w:pos="1080"/>
        </w:tabs>
        <w:outlineLvl w:val="2"/>
      </w:pPr>
      <w:bookmarkStart w:id="212" w:name="_Toc195543112"/>
      <w:bookmarkStart w:id="213" w:name="_Toc237448966"/>
      <w:r>
        <w:t>Azure Bot Service</w:t>
      </w:r>
      <w:bookmarkEnd w:id="200"/>
      <w:bookmarkEnd w:id="212"/>
      <w:bookmarkEnd w:id="213"/>
    </w:p>
    <w:bookmarkEnd w:id="195"/>
    <w:p w14:paraId="3693B18C" w14:textId="77777777" w:rsidR="004005AF" w:rsidRPr="00EF7CF9" w:rsidRDefault="004005AF" w:rsidP="00B1426B">
      <w:pPr>
        <w:pStyle w:val="ProductList-Body"/>
        <w:keepNext/>
        <w:keepLines/>
      </w:pPr>
      <w:r>
        <w:rPr>
          <w:b/>
          <w:color w:val="00188F"/>
        </w:rPr>
        <w:t>Zusätzliche Definitionen</w:t>
      </w:r>
      <w:r w:rsidRPr="00ED75EB">
        <w:rPr>
          <w:b/>
          <w:color w:val="00188F"/>
        </w:rPr>
        <w:t>:</w:t>
      </w:r>
    </w:p>
    <w:p w14:paraId="5B0F1183" w14:textId="77777777" w:rsidR="004005AF" w:rsidRPr="00EF7CF9" w:rsidRDefault="004005AF" w:rsidP="00123CD3">
      <w:pPr>
        <w:pStyle w:val="ProductList-Body"/>
        <w:keepNext/>
        <w:keepLines/>
      </w:pPr>
      <w:r>
        <w:t>„</w:t>
      </w:r>
      <w:r>
        <w:rPr>
          <w:b/>
          <w:color w:val="00188F"/>
        </w:rPr>
        <w:t>Azure Bot Service Premium Channel</w:t>
      </w:r>
      <w:r>
        <w:t>“ ist ein Bot Framework Channel in der Premium-Kategorie.</w:t>
      </w:r>
    </w:p>
    <w:p w14:paraId="6C1FBDA2" w14:textId="3317A03A" w:rsidR="004005AF" w:rsidRPr="00EF7CF9" w:rsidRDefault="004005AF" w:rsidP="00123CD3">
      <w:pPr>
        <w:pStyle w:val="ProductList-Body"/>
      </w:pPr>
      <w:r>
        <w:t>„</w:t>
      </w:r>
      <w:r>
        <w:rPr>
          <w:b/>
          <w:color w:val="00188F"/>
        </w:rPr>
        <w:t>Bot</w:t>
      </w:r>
      <w:r>
        <w:t>“ ist die das Internet nutzende Konversationsanwendung des Entwicklers, die für das Senden und Empfangen von Nachrichten des Azure Bot</w:t>
      </w:r>
      <w:r w:rsidR="00303B3C">
        <w:t> </w:t>
      </w:r>
      <w:r>
        <w:t>Service registriert und konfiguriert ist.</w:t>
      </w:r>
    </w:p>
    <w:p w14:paraId="18BAD109" w14:textId="77777777" w:rsidR="004005AF" w:rsidRPr="00EF7CF9" w:rsidRDefault="004005AF" w:rsidP="00123CD3">
      <w:pPr>
        <w:pStyle w:val="ProductList-Body"/>
      </w:pPr>
      <w:r>
        <w:t>„</w:t>
      </w:r>
      <w:r>
        <w:rPr>
          <w:b/>
          <w:color w:val="00188F"/>
        </w:rPr>
        <w:t>Bot Framework</w:t>
      </w:r>
      <w:r>
        <w:t>“</w:t>
      </w:r>
      <w:r>
        <w:rPr>
          <w:b/>
        </w:rPr>
        <w:t xml:space="preserve"> </w:t>
      </w:r>
      <w:r>
        <w:t>ist eine Plattform zum Erstellen, Verbinden, Testen und Bereitstellen leistungsstarker und intelligenter Bots.</w:t>
      </w:r>
    </w:p>
    <w:p w14:paraId="51F2105F" w14:textId="77777777" w:rsidR="004005AF" w:rsidRPr="00EF7CF9" w:rsidRDefault="004005AF" w:rsidP="00123CD3">
      <w:pPr>
        <w:pStyle w:val="ProductList-Body"/>
      </w:pPr>
      <w:r>
        <w:t>„</w:t>
      </w:r>
      <w:r>
        <w:rPr>
          <w:b/>
          <w:color w:val="00188F"/>
        </w:rPr>
        <w:t>Kunde</w:t>
      </w:r>
      <w:r>
        <w:t>“ ist der dem Endbenutzer zugewandte Teil eines Bots</w:t>
      </w:r>
      <w:r>
        <w:rPr>
          <w:rStyle w:val="CommentReference"/>
          <w:sz w:val="18"/>
          <w:szCs w:val="18"/>
        </w:rPr>
        <w:t>.</w:t>
      </w:r>
    </w:p>
    <w:p w14:paraId="4E6AFF00" w14:textId="77777777" w:rsidR="004005AF" w:rsidRPr="00EF7CF9" w:rsidRDefault="004005AF" w:rsidP="00123CD3">
      <w:pPr>
        <w:pStyle w:val="ProductList-Body"/>
      </w:pPr>
      <w:r>
        <w:t>„</w:t>
      </w:r>
      <w:r>
        <w:rPr>
          <w:b/>
          <w:color w:val="00188F"/>
        </w:rPr>
        <w:t>Premium Channels API-Endpunkt</w:t>
      </w:r>
      <w:r>
        <w:t>“</w:t>
      </w:r>
      <w:r>
        <w:rPr>
          <w:b/>
        </w:rPr>
        <w:t xml:space="preserve"> </w:t>
      </w:r>
      <w:r>
        <w:t>ist ein Bot Framework REST API-Endpunkt für Azure Bot Service Premium Channels</w:t>
      </w:r>
    </w:p>
    <w:p w14:paraId="2B77F191" w14:textId="3C907779" w:rsidR="004005AF" w:rsidRDefault="00EE6E3C" w:rsidP="00123CD3">
      <w:pPr>
        <w:pStyle w:val="ProductList-Body"/>
      </w:pPr>
      <w:r>
        <w:rPr>
          <w:b/>
          <w:color w:val="00188F"/>
        </w:rPr>
        <w:t>Berechnung der Betriebszeit und Service-Levels für Azure Bot Services Premium Channels</w:t>
      </w:r>
      <w:r w:rsidRPr="00ED75EB">
        <w:rPr>
          <w:b/>
          <w:color w:val="00188F"/>
        </w:rPr>
        <w:t>:</w:t>
      </w:r>
    </w:p>
    <w:p w14:paraId="337B1E38" w14:textId="7C9C278B" w:rsidR="004005AF" w:rsidRPr="00EF7CF9" w:rsidRDefault="004005AF" w:rsidP="00123CD3">
      <w:pPr>
        <w:pStyle w:val="ProductList-Body"/>
      </w:pPr>
      <w:r>
        <w:t>„</w:t>
      </w:r>
      <w:r>
        <w:rPr>
          <w:b/>
          <w:color w:val="00188F"/>
        </w:rPr>
        <w:t>Gesamt-API-Anforderungen</w:t>
      </w:r>
      <w:r>
        <w:t>“</w:t>
      </w:r>
      <w:r>
        <w:rPr>
          <w:b/>
        </w:rPr>
        <w:t xml:space="preserve"> </w:t>
      </w:r>
      <w:r>
        <w:t>ist die Gesamtzahl der Anforderungen, die vom Bot oder dem Client an den API-Endpunkt des Premium Channels in</w:t>
      </w:r>
      <w:r w:rsidR="001E03D8">
        <w:t> </w:t>
      </w:r>
      <w:r>
        <w:t>einem Microsoft Azure-Abonnement während eines Anwendbaren Zeitraums gestellt wurden.</w:t>
      </w:r>
    </w:p>
    <w:p w14:paraId="15431C51" w14:textId="77777777" w:rsidR="004005AF" w:rsidRPr="00EF7CF9" w:rsidRDefault="004005AF" w:rsidP="00123CD3">
      <w:pPr>
        <w:pStyle w:val="ProductList-Body"/>
        <w:rPr>
          <w:b/>
          <w:color w:val="00188F"/>
        </w:rPr>
      </w:pPr>
      <w:r>
        <w:t>„</w:t>
      </w:r>
      <w:r>
        <w:rPr>
          <w:b/>
          <w:color w:val="00188F"/>
        </w:rPr>
        <w:t>Fehlerhafte API-Anforderungen</w:t>
      </w:r>
      <w:r>
        <w:t xml:space="preserve">“ sind die Gesamtzahl der Anforderungen innerhalb der API-Anforderungen insgesamt, die einen Fehlercode zurückgeben oder nicht innerhalb von 2 Minuten antworten. </w:t>
      </w:r>
    </w:p>
    <w:p w14:paraId="4AA21E53" w14:textId="07303613" w:rsidR="004005AF" w:rsidRPr="00EF7CF9" w:rsidRDefault="004005AF" w:rsidP="00123CD3">
      <w:pPr>
        <w:pStyle w:val="ProductList-Body"/>
        <w:rPr>
          <w:lang w:eastAsia="zh-TW"/>
        </w:rPr>
      </w:pPr>
      <w:r>
        <w:t>Der „</w:t>
      </w:r>
      <w:r>
        <w:rPr>
          <w:b/>
          <w:color w:val="00188F"/>
        </w:rPr>
        <w:t>Betriebszeitprozentsatz</w:t>
      </w:r>
      <w:r>
        <w:t>“ wird berechnet als Gesamtzahl der API-Anfragen abzüglich der fehlgeschlagenen API-Anfragen geteilt durch die Gesamtzahl der API-Anfragen multipliziert mit 100.</w:t>
      </w:r>
    </w:p>
    <w:p w14:paraId="6131C33A" w14:textId="453EBD0A" w:rsidR="004005AF" w:rsidRPr="00364EEB" w:rsidRDefault="00AC48A7" w:rsidP="004005AF">
      <w:pPr>
        <w:pStyle w:val="ProductList-Body"/>
      </w:pPr>
      <w:r>
        <w:rPr>
          <w:b/>
          <w:color w:val="00188F"/>
        </w:rPr>
        <w:t>Betriebszeitprozentsatz</w:t>
      </w:r>
      <w:r w:rsidRPr="00ED75EB">
        <w:rPr>
          <w:b/>
          <w:color w:val="00188F"/>
        </w:rPr>
        <w:t>:</w:t>
      </w:r>
      <w:r>
        <w:rPr>
          <w:b/>
          <w:color w:val="00188F"/>
        </w:rPr>
        <w:t xml:space="preserve"> </w:t>
      </w:r>
      <w:r>
        <w:t xml:space="preserve">Der Betriebszeitprozentsatz errechnet sich nach folgender Formel: </w:t>
      </w:r>
    </w:p>
    <w:p w14:paraId="30178757" w14:textId="02CF2D24" w:rsidR="004005AF" w:rsidRPr="00B1426B" w:rsidRDefault="00000000" w:rsidP="002A016E">
      <w:pPr>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Gesamtzahl der API-Anforderungen abzüglich Fehlerhafte API-Anforderungen</m:t>
              </m:r>
            </m:num>
            <m:den>
              <m:r>
                <m:rPr>
                  <m:nor/>
                </m:rPr>
                <w:rPr>
                  <w:rFonts w:ascii="Cambria Math" w:hAnsi="Cambria Math" w:cs="Tahoma"/>
                  <w:i/>
                  <w:sz w:val="18"/>
                  <w:szCs w:val="18"/>
                </w:rPr>
                <m:t>Gesamtzahl der API-Anforderungen</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1AFF09F" w14:textId="77777777" w:rsidR="004005AF" w:rsidRPr="00EF7CF9" w:rsidRDefault="004005AF" w:rsidP="004005AF">
      <w:pPr>
        <w:rPr>
          <w:rFonts w:eastAsiaTheme="minorEastAsia"/>
          <w:sz w:val="18"/>
          <w:szCs w:val="18"/>
          <w:lang w:eastAsia="zh-TW"/>
        </w:rPr>
      </w:pPr>
      <w:r>
        <w:rPr>
          <w:rFonts w:eastAsiaTheme="minorEastAsia"/>
          <w:sz w:val="18"/>
          <w:szCs w:val="18"/>
        </w:rPr>
        <w:t>Folgende Servicelevels und Servicegutschriften gelten für die Nutzung von Azure Bot Service Premium Channels durch den Kunden.</w:t>
      </w:r>
    </w:p>
    <w:p w14:paraId="25AEB956" w14:textId="77777777" w:rsidR="004005AF" w:rsidRPr="00EF7CF9" w:rsidRDefault="004005AF" w:rsidP="004005AF">
      <w:pPr>
        <w:pStyle w:val="ProductList-Body"/>
      </w:pPr>
      <w:r>
        <w:rPr>
          <w:b/>
          <w:color w:val="00188F"/>
        </w:rPr>
        <w:t>Service-Levels und Servicegutschriften</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15E3D78" w14:textId="77777777" w:rsidTr="00277097">
        <w:trPr>
          <w:trHeight w:val="249"/>
          <w:tblHeader/>
        </w:trPr>
        <w:tc>
          <w:tcPr>
            <w:tcW w:w="5400" w:type="dxa"/>
            <w:shd w:val="clear" w:color="auto" w:fill="0072C6"/>
          </w:tcPr>
          <w:p w14:paraId="3B08ED36" w14:textId="12E70625" w:rsidR="004005AF"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608109B5" w14:textId="77777777" w:rsidR="004005AF" w:rsidRPr="00EF7CF9" w:rsidRDefault="004005AF" w:rsidP="000F31B4">
            <w:pPr>
              <w:pStyle w:val="ProductList-OfferingBody"/>
              <w:jc w:val="center"/>
              <w:rPr>
                <w:color w:val="FFFFFF" w:themeColor="background1"/>
              </w:rPr>
            </w:pPr>
            <w:r>
              <w:rPr>
                <w:color w:val="FFFFFF" w:themeColor="background1"/>
              </w:rPr>
              <w:t>Servicegutschrift</w:t>
            </w:r>
          </w:p>
        </w:tc>
      </w:tr>
      <w:tr w:rsidR="004005AF" w:rsidRPr="00B44CF9" w14:paraId="13BA8188" w14:textId="77777777" w:rsidTr="00277097">
        <w:trPr>
          <w:trHeight w:val="242"/>
        </w:trPr>
        <w:tc>
          <w:tcPr>
            <w:tcW w:w="5400" w:type="dxa"/>
          </w:tcPr>
          <w:p w14:paraId="276900D5" w14:textId="77777777" w:rsidR="004005AF" w:rsidRPr="00EF7CF9" w:rsidRDefault="004005AF" w:rsidP="000F31B4">
            <w:pPr>
              <w:pStyle w:val="ProductList-OfferingBody"/>
              <w:jc w:val="center"/>
            </w:pPr>
            <w:r>
              <w:t>&lt; 99,9 %</w:t>
            </w:r>
          </w:p>
        </w:tc>
        <w:tc>
          <w:tcPr>
            <w:tcW w:w="5400" w:type="dxa"/>
          </w:tcPr>
          <w:p w14:paraId="0251B5DD" w14:textId="77777777" w:rsidR="004005AF" w:rsidRPr="00EF7CF9" w:rsidRDefault="004005AF" w:rsidP="000F31B4">
            <w:pPr>
              <w:pStyle w:val="ProductList-OfferingBody"/>
              <w:jc w:val="center"/>
            </w:pPr>
            <w:r>
              <w:t>10 %</w:t>
            </w:r>
          </w:p>
        </w:tc>
      </w:tr>
      <w:tr w:rsidR="004005AF" w:rsidRPr="00B44CF9" w14:paraId="2315DB39" w14:textId="77777777" w:rsidTr="00277097">
        <w:trPr>
          <w:trHeight w:val="249"/>
        </w:trPr>
        <w:tc>
          <w:tcPr>
            <w:tcW w:w="5400" w:type="dxa"/>
          </w:tcPr>
          <w:p w14:paraId="7507F242" w14:textId="77777777" w:rsidR="004005AF" w:rsidRPr="00EF7CF9" w:rsidRDefault="004005AF" w:rsidP="000F31B4">
            <w:pPr>
              <w:pStyle w:val="ProductList-OfferingBody"/>
              <w:jc w:val="center"/>
            </w:pPr>
            <w:r>
              <w:t>&lt; 99 %</w:t>
            </w:r>
          </w:p>
        </w:tc>
        <w:tc>
          <w:tcPr>
            <w:tcW w:w="5400" w:type="dxa"/>
          </w:tcPr>
          <w:p w14:paraId="4CE5B321" w14:textId="77777777" w:rsidR="004005AF" w:rsidRPr="00EF7CF9" w:rsidRDefault="004005AF" w:rsidP="000F31B4">
            <w:pPr>
              <w:pStyle w:val="ProductList-OfferingBody"/>
              <w:jc w:val="center"/>
            </w:pPr>
            <w:r>
              <w:t>25 %</w:t>
            </w:r>
          </w:p>
        </w:tc>
      </w:tr>
    </w:tbl>
    <w:bookmarkStart w:id="214" w:name="_Toc457821543"/>
    <w:bookmarkStart w:id="215" w:name="_Toc52348944"/>
    <w:bookmarkStart w:id="216" w:name="_Toc513395508"/>
    <w:bookmarkStart w:id="217" w:name="_Toc52348925"/>
    <w:bookmarkStart w:id="218" w:name="_Hlk513540036"/>
    <w:p w14:paraId="0B1A5227" w14:textId="5D137589"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669CFF11" w14:textId="77777777" w:rsidR="0004685C" w:rsidRPr="00EF7CF9" w:rsidRDefault="0004685C" w:rsidP="0004685C">
      <w:pPr>
        <w:pStyle w:val="ProductList-Offering2Heading"/>
        <w:keepNext/>
        <w:tabs>
          <w:tab w:val="clear" w:pos="360"/>
          <w:tab w:val="clear" w:pos="720"/>
          <w:tab w:val="clear" w:pos="1080"/>
        </w:tabs>
        <w:outlineLvl w:val="2"/>
      </w:pPr>
      <w:bookmarkStart w:id="219" w:name="_Toc195543113"/>
      <w:bookmarkStart w:id="220" w:name="_Toc237448967"/>
      <w:r>
        <w:lastRenderedPageBreak/>
        <w:t xml:space="preserve">Azure Cache </w:t>
      </w:r>
      <w:bookmarkEnd w:id="214"/>
      <w:bookmarkEnd w:id="215"/>
      <w:r>
        <w:t>für Redis</w:t>
      </w:r>
      <w:bookmarkEnd w:id="219"/>
      <w:bookmarkEnd w:id="220"/>
    </w:p>
    <w:p w14:paraId="2FF228B6" w14:textId="77777777" w:rsidR="0004685C" w:rsidRPr="00EF7CF9" w:rsidRDefault="0004685C" w:rsidP="0004685C">
      <w:pPr>
        <w:pStyle w:val="ProductList-Body"/>
        <w:rPr>
          <w:b/>
          <w:color w:val="00188F"/>
        </w:rPr>
      </w:pPr>
      <w:r>
        <w:rPr>
          <w:b/>
          <w:color w:val="00188F"/>
        </w:rPr>
        <w:t>Zusätzliche Definitionen</w:t>
      </w:r>
      <w:r w:rsidRPr="00ED75EB">
        <w:rPr>
          <w:b/>
          <w:color w:val="00188F"/>
        </w:rPr>
        <w:t>:</w:t>
      </w:r>
    </w:p>
    <w:p w14:paraId="7810996B" w14:textId="03015411" w:rsidR="0004685C" w:rsidRPr="00EF7CF9" w:rsidRDefault="0004685C" w:rsidP="006F7EF3">
      <w:pPr>
        <w:pStyle w:val="ProductList-Body"/>
      </w:pPr>
      <w:r>
        <w:t>„</w:t>
      </w:r>
      <w:r>
        <w:rPr>
          <w:b/>
          <w:color w:val="00188F"/>
        </w:rPr>
        <w:t>Cache</w:t>
      </w:r>
      <w:r>
        <w:t>“ bezieht sich auf eine vom Kunden erstellte Bereitstellung des Cache-Dienstes, dessen Cache-Endpunkte auf der Registerkarte „Cache“ im</w:t>
      </w:r>
      <w:r w:rsidR="00B32EFE">
        <w:t> </w:t>
      </w:r>
      <w:r>
        <w:t>Verwaltungsportal aufgelistet sind.</w:t>
      </w:r>
    </w:p>
    <w:p w14:paraId="2FDA8CC4" w14:textId="77777777" w:rsidR="0004685C" w:rsidRPr="00EF7CF9" w:rsidRDefault="0004685C" w:rsidP="006F7EF3">
      <w:pPr>
        <w:pStyle w:val="ProductList-Body"/>
      </w:pPr>
      <w:r>
        <w:t>„</w:t>
      </w:r>
      <w:r>
        <w:rPr>
          <w:b/>
          <w:color w:val="00188F"/>
        </w:rPr>
        <w:t>Cache-Endpunkte</w:t>
      </w:r>
      <w:r>
        <w:t>“ bezieht sich auf Endpunkte, über die auf einen Cache zugegriffen werden kann.</w:t>
      </w:r>
    </w:p>
    <w:p w14:paraId="6E570E72" w14:textId="77777777" w:rsidR="0004685C" w:rsidRPr="00ED4527" w:rsidRDefault="0004685C" w:rsidP="006F7EF3">
      <w:pPr>
        <w:pStyle w:val="ProductList-Body"/>
        <w:rPr>
          <w:color w:val="000000" w:themeColor="text1"/>
        </w:rPr>
      </w:pPr>
      <w:r>
        <w:rPr>
          <w:color w:val="000000" w:themeColor="text1"/>
        </w:rPr>
        <w:t>„</w:t>
      </w:r>
      <w:r>
        <w:rPr>
          <w:b/>
          <w:bCs/>
          <w:color w:val="00188F"/>
        </w:rPr>
        <w:t>Verfügbarkeitszone</w:t>
      </w:r>
      <w:r>
        <w:rPr>
          <w:color w:val="000000" w:themeColor="text1"/>
        </w:rPr>
        <w:t>“ ist ein fehlerisolierter Bereich in einer Azure-Region, der redundante Stromversorgung, Kühlung und Vernetzung zur Verfügung stellt.</w:t>
      </w:r>
    </w:p>
    <w:p w14:paraId="1CD2240D" w14:textId="43E3874B" w:rsidR="0004685C" w:rsidRPr="00ED4527" w:rsidRDefault="00EE6E3C" w:rsidP="00343AE2">
      <w:pPr>
        <w:pStyle w:val="ProductList-Body"/>
        <w:spacing w:before="120"/>
        <w:rPr>
          <w:b/>
          <w:bCs/>
          <w:color w:val="00188F"/>
        </w:rPr>
      </w:pPr>
      <w:r>
        <w:rPr>
          <w:b/>
          <w:bCs/>
          <w:color w:val="00188F"/>
        </w:rPr>
        <w:t>Berechnung der Betriebszeit und Service-Levels für den Cache-Dienst</w:t>
      </w:r>
    </w:p>
    <w:p w14:paraId="44BDCB48" w14:textId="0ACA1786" w:rsidR="0004685C" w:rsidRPr="00EF7CF9" w:rsidRDefault="0004685C" w:rsidP="006F7EF3">
      <w:pPr>
        <w:pStyle w:val="ProductList-Body"/>
      </w:pPr>
      <w:r>
        <w:t>„</w:t>
      </w:r>
      <w:r>
        <w:rPr>
          <w:b/>
          <w:color w:val="00188F"/>
        </w:rPr>
        <w:t>Bereitstellungsminuten</w:t>
      </w:r>
      <w:r>
        <w:t>“ ist die Gesamtzahl der Minuten, in denen ein bestimmter Cache im Verlauf eines Anwendbaren Zeitraums in Microsoft Azure bereitgestellt wurde.</w:t>
      </w:r>
    </w:p>
    <w:p w14:paraId="402C6AB7" w14:textId="05F529E7" w:rsidR="0004685C" w:rsidRPr="00EF7CF9" w:rsidRDefault="0004685C" w:rsidP="006F7EF3">
      <w:pPr>
        <w:pStyle w:val="ProductList-Body"/>
      </w:pPr>
      <w:r>
        <w:t>„</w:t>
      </w:r>
      <w:r>
        <w:rPr>
          <w:b/>
          <w:color w:val="00188F"/>
        </w:rPr>
        <w:t>Maximal Verfügbare Minuten</w:t>
      </w:r>
      <w:r>
        <w:t>“ ist die Summe aller Bereitstellungsminuten für alle vom Kunden in einem bestimmten Microsoft Azure-Abonnement während eines Anwendbaren Zeitraums bereitgestellten Caches.</w:t>
      </w:r>
    </w:p>
    <w:p w14:paraId="0306B4FE" w14:textId="77777777" w:rsidR="0004685C" w:rsidRPr="00EF7CF9" w:rsidRDefault="0004685C" w:rsidP="0004685C">
      <w:pPr>
        <w:pStyle w:val="ProductList-Body"/>
      </w:pPr>
      <w:r>
        <w:rPr>
          <w:b/>
          <w:color w:val="00188F"/>
        </w:rPr>
        <w:t>Ausfallzeit</w:t>
      </w:r>
      <w:r w:rsidRPr="00ED75EB">
        <w:rPr>
          <w:b/>
          <w:color w:val="00188F"/>
        </w:rPr>
        <w:t>:</w:t>
      </w:r>
      <w:r>
        <w:t xml:space="preserve"> Summe der kumulierten Bereitstellungsminuten für alle vom Kunden in einem bestimmten Microsoft Azure-Abonnement bereitgestellten Caches, in denen der Cache nicht verfügbar ist. Eine Minute gilt für einen bestimmten Cache als nicht verfügbar, wenn während der gesamten Minute keine Konnektivität zwischen einem oder mehreren mit dem Cache verbundenen Cache-Endpunkten und dem Internetgateway von Microsoft besteht.</w:t>
      </w:r>
    </w:p>
    <w:p w14:paraId="335A24D4" w14:textId="45DAE971" w:rsidR="0004685C" w:rsidRPr="00EF7CF9" w:rsidRDefault="00AC48A7" w:rsidP="0004685C">
      <w:pPr>
        <w:pStyle w:val="ProductList-Body"/>
      </w:pPr>
      <w:r>
        <w:rPr>
          <w:b/>
          <w:color w:val="00188F"/>
        </w:rPr>
        <w:t>Betriebszeitprozentsatz</w:t>
      </w:r>
      <w:r w:rsidRPr="00ED75EB">
        <w:rPr>
          <w:b/>
          <w:color w:val="00188F"/>
        </w:rPr>
        <w:t>:</w:t>
      </w:r>
      <w:r>
        <w:t xml:space="preserve"> Der Betriebszeitprozentsatz errechnet sich nach folgender Formel:</w:t>
      </w:r>
    </w:p>
    <w:p w14:paraId="2443A778" w14:textId="77777777" w:rsidR="0004685C" w:rsidRPr="00EF7CF9" w:rsidRDefault="0004685C" w:rsidP="0004685C">
      <w:pPr>
        <w:pStyle w:val="ProductList-Body"/>
      </w:pPr>
    </w:p>
    <w:p w14:paraId="527C77E4" w14:textId="61038077" w:rsidR="0004685C" w:rsidRPr="007C7313" w:rsidRDefault="00000000" w:rsidP="00E85D4E">
      <w:pPr>
        <w:pStyle w:val="ListParagraph"/>
        <w:spacing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0C1042BE" w14:textId="77777777" w:rsidR="0004685C" w:rsidRPr="00EF7CF9" w:rsidRDefault="0004685C" w:rsidP="0004685C">
      <w:pPr>
        <w:pStyle w:val="ProductList-Body"/>
      </w:pPr>
      <w:r w:rsidRPr="002D40CD">
        <w:rPr>
          <w:b/>
          <w:bCs/>
          <w:color w:val="00188F"/>
        </w:rPr>
        <w:t>Die für die Nutzung des Cache-Dienstes durch den Kunden geltenden Servicelevels und Servicegutschriften variieren je nach den Bereitstellungsbedingungen und der Stufe des Cache-Dienstes.</w:t>
      </w:r>
      <w:r>
        <w:rPr>
          <w:b/>
          <w:color w:val="00188F"/>
        </w:rPr>
        <w:t xml:space="preserve"> </w:t>
      </w:r>
      <w:r>
        <w:t>Sofern oben nicht anders angegeben, gelten die Servicelevels und Servicegutschriften für die Nutzung des Cache-Dienstes durch den Kunden, der den Azure Managed Cache-Dienst oder die Standard-, Premium-, Enterprise- und Enterprise Flash-Stufen des Azure Cache für den Redis-Dienst umfasst. Die Basisstufe des Azure Cache für Redis Cache wird von dieser SLA nicht abgedeckt.</w:t>
      </w:r>
    </w:p>
    <w:p w14:paraId="66DD2F7D" w14:textId="77777777" w:rsidR="0004685C" w:rsidRPr="00EF7CF9" w:rsidRDefault="0004685C" w:rsidP="0004685C">
      <w:pPr>
        <w:pStyle w:val="ProductList-Body"/>
        <w:spacing w:before="120"/>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65D8946E" w14:textId="77777777" w:rsidTr="00D76F8C">
        <w:trPr>
          <w:tblHeader/>
        </w:trPr>
        <w:tc>
          <w:tcPr>
            <w:tcW w:w="5400" w:type="dxa"/>
            <w:shd w:val="clear" w:color="auto" w:fill="0072C6"/>
          </w:tcPr>
          <w:p w14:paraId="4E73BEA7" w14:textId="2C26D191" w:rsidR="0004685C"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4965EA41" w14:textId="77777777" w:rsidR="0004685C" w:rsidRPr="00EF7CF9" w:rsidRDefault="0004685C" w:rsidP="000F31B4">
            <w:pPr>
              <w:pStyle w:val="ProductList-OfferingBody"/>
              <w:jc w:val="center"/>
              <w:rPr>
                <w:color w:val="FFFFFF" w:themeColor="background1"/>
              </w:rPr>
            </w:pPr>
            <w:r>
              <w:rPr>
                <w:color w:val="FFFFFF" w:themeColor="background1"/>
              </w:rPr>
              <w:t>Servicegutschrift</w:t>
            </w:r>
          </w:p>
        </w:tc>
      </w:tr>
      <w:tr w:rsidR="0004685C" w:rsidRPr="00B44CF9" w14:paraId="18EDDD48" w14:textId="77777777" w:rsidTr="00D76F8C">
        <w:trPr>
          <w:tblHeader/>
        </w:trPr>
        <w:tc>
          <w:tcPr>
            <w:tcW w:w="5400" w:type="dxa"/>
          </w:tcPr>
          <w:p w14:paraId="40C3317A" w14:textId="77777777" w:rsidR="0004685C" w:rsidRPr="00EF7CF9" w:rsidRDefault="0004685C" w:rsidP="000F31B4">
            <w:pPr>
              <w:pStyle w:val="ProductList-OfferingBody"/>
              <w:jc w:val="center"/>
            </w:pPr>
            <w:r>
              <w:t>&lt; 99,9 %</w:t>
            </w:r>
          </w:p>
        </w:tc>
        <w:tc>
          <w:tcPr>
            <w:tcW w:w="5400" w:type="dxa"/>
          </w:tcPr>
          <w:p w14:paraId="1B4DF648" w14:textId="77777777" w:rsidR="0004685C" w:rsidRPr="00EF7CF9" w:rsidRDefault="0004685C" w:rsidP="000F31B4">
            <w:pPr>
              <w:pStyle w:val="ProductList-OfferingBody"/>
              <w:jc w:val="center"/>
            </w:pPr>
            <w:r>
              <w:t>10 %</w:t>
            </w:r>
          </w:p>
        </w:tc>
      </w:tr>
      <w:tr w:rsidR="0004685C" w:rsidRPr="00B44CF9" w14:paraId="0D7DFA4E" w14:textId="77777777" w:rsidTr="00D76F8C">
        <w:trPr>
          <w:tblHeader/>
        </w:trPr>
        <w:tc>
          <w:tcPr>
            <w:tcW w:w="5400" w:type="dxa"/>
          </w:tcPr>
          <w:p w14:paraId="784EE4AD" w14:textId="77777777" w:rsidR="0004685C" w:rsidRPr="00EF7CF9" w:rsidRDefault="0004685C" w:rsidP="000F31B4">
            <w:pPr>
              <w:pStyle w:val="ProductList-OfferingBody"/>
              <w:jc w:val="center"/>
            </w:pPr>
            <w:r>
              <w:t>&lt; 99 %</w:t>
            </w:r>
          </w:p>
        </w:tc>
        <w:tc>
          <w:tcPr>
            <w:tcW w:w="5400" w:type="dxa"/>
          </w:tcPr>
          <w:p w14:paraId="05A7B2AB" w14:textId="77777777" w:rsidR="0004685C" w:rsidRPr="00EF7CF9" w:rsidRDefault="0004685C" w:rsidP="000F31B4">
            <w:pPr>
              <w:pStyle w:val="ProductList-OfferingBody"/>
              <w:jc w:val="center"/>
            </w:pPr>
            <w:r>
              <w:t>25 %</w:t>
            </w:r>
          </w:p>
        </w:tc>
      </w:tr>
    </w:tbl>
    <w:p w14:paraId="30076BD1" w14:textId="77777777" w:rsidR="0004685C" w:rsidRPr="00EF7CF9" w:rsidRDefault="0004685C" w:rsidP="006F7EF3">
      <w:pPr>
        <w:pStyle w:val="ProductList-Body"/>
        <w:spacing w:before="120"/>
      </w:pPr>
      <w:r>
        <w:rPr>
          <w:b/>
          <w:color w:val="00188F"/>
        </w:rPr>
        <w:t>Für die Cache-Stufen Enterprise und Enterprise Flash, die in drei oder mehr Verfügbarkeitszonen in derselben Azure-Region bereitgestellt werden, gelten für die Nutzung des Cache-Dienstes durch den Kunden die folgenden Servicelevels und Servicegutschriften</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26A697C5" w14:textId="77777777" w:rsidTr="00277097">
        <w:trPr>
          <w:tblHeader/>
        </w:trPr>
        <w:tc>
          <w:tcPr>
            <w:tcW w:w="5400" w:type="dxa"/>
            <w:shd w:val="clear" w:color="auto" w:fill="0072C6"/>
          </w:tcPr>
          <w:p w14:paraId="27BFEEAB" w14:textId="684266B0" w:rsidR="0004685C"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0933E360" w14:textId="77777777" w:rsidR="0004685C" w:rsidRPr="00EF7CF9" w:rsidRDefault="0004685C" w:rsidP="000F31B4">
            <w:pPr>
              <w:pStyle w:val="ProductList-OfferingBody"/>
              <w:jc w:val="center"/>
              <w:rPr>
                <w:color w:val="FFFFFF" w:themeColor="background1"/>
              </w:rPr>
            </w:pPr>
            <w:r>
              <w:rPr>
                <w:color w:val="FFFFFF" w:themeColor="background1"/>
              </w:rPr>
              <w:t>Servicegutschrift</w:t>
            </w:r>
          </w:p>
        </w:tc>
      </w:tr>
      <w:tr w:rsidR="0004685C" w:rsidRPr="00B44CF9" w14:paraId="3979DA8B" w14:textId="77777777" w:rsidTr="00277097">
        <w:tc>
          <w:tcPr>
            <w:tcW w:w="5400" w:type="dxa"/>
          </w:tcPr>
          <w:p w14:paraId="60191564" w14:textId="77777777" w:rsidR="0004685C" w:rsidRPr="00EF7CF9" w:rsidRDefault="0004685C" w:rsidP="000F31B4">
            <w:pPr>
              <w:pStyle w:val="ProductList-OfferingBody"/>
              <w:jc w:val="center"/>
            </w:pPr>
            <w:r>
              <w:t>&lt; 99,99 %</w:t>
            </w:r>
          </w:p>
        </w:tc>
        <w:tc>
          <w:tcPr>
            <w:tcW w:w="5400" w:type="dxa"/>
          </w:tcPr>
          <w:p w14:paraId="3D567957" w14:textId="77777777" w:rsidR="0004685C" w:rsidRPr="00EF7CF9" w:rsidRDefault="0004685C" w:rsidP="000F31B4">
            <w:pPr>
              <w:pStyle w:val="ProductList-OfferingBody"/>
              <w:jc w:val="center"/>
            </w:pPr>
            <w:r>
              <w:t>10 %</w:t>
            </w:r>
          </w:p>
        </w:tc>
      </w:tr>
      <w:tr w:rsidR="0004685C" w:rsidRPr="00B44CF9" w14:paraId="40F64B81" w14:textId="77777777" w:rsidTr="00277097">
        <w:tc>
          <w:tcPr>
            <w:tcW w:w="5400" w:type="dxa"/>
          </w:tcPr>
          <w:p w14:paraId="12C1DB78" w14:textId="77777777" w:rsidR="0004685C" w:rsidRPr="00EF7CF9" w:rsidRDefault="0004685C" w:rsidP="000F31B4">
            <w:pPr>
              <w:pStyle w:val="ProductList-OfferingBody"/>
              <w:jc w:val="center"/>
            </w:pPr>
            <w:r>
              <w:t>&lt; 99 %</w:t>
            </w:r>
          </w:p>
        </w:tc>
        <w:tc>
          <w:tcPr>
            <w:tcW w:w="5400" w:type="dxa"/>
          </w:tcPr>
          <w:p w14:paraId="320D3D52" w14:textId="77777777" w:rsidR="0004685C" w:rsidRPr="00EF7CF9" w:rsidRDefault="0004685C" w:rsidP="000F31B4">
            <w:pPr>
              <w:pStyle w:val="ProductList-OfferingBody"/>
              <w:jc w:val="center"/>
            </w:pPr>
            <w:r>
              <w:t>25 %</w:t>
            </w:r>
          </w:p>
        </w:tc>
      </w:tr>
    </w:tbl>
    <w:p w14:paraId="08C85FED" w14:textId="5B1193BB" w:rsidR="0004685C" w:rsidRDefault="0004685C" w:rsidP="006F7EF3">
      <w:pPr>
        <w:pStyle w:val="ProductList-Body"/>
        <w:spacing w:before="120"/>
        <w:rPr>
          <w:b/>
          <w:color w:val="00188F"/>
        </w:rPr>
      </w:pPr>
      <w:r>
        <w:rPr>
          <w:b/>
          <w:color w:val="00188F"/>
        </w:rPr>
        <w:t>Für die Cache-Stufen Enterprise und Enterprise Flash, die (1) in mindestens drei Azure-Regionen und drei oder mehr Verfügbarkeitszonen in</w:t>
      </w:r>
      <w:r w:rsidR="00034B00">
        <w:rPr>
          <w:b/>
          <w:color w:val="00188F"/>
        </w:rPr>
        <w:t> </w:t>
      </w:r>
      <w:r>
        <w:rPr>
          <w:b/>
          <w:color w:val="00188F"/>
        </w:rPr>
        <w:t>jeder dieser Regionen bereitgestellt werden und (2) mit aktiver Georeplikation für alle Cache-Instanzen versehen sind, gelten, wenn die</w:t>
      </w:r>
      <w:r w:rsidR="00034B00">
        <w:rPr>
          <w:b/>
          <w:color w:val="00188F"/>
        </w:rPr>
        <w:t> </w:t>
      </w:r>
      <w:r>
        <w:rPr>
          <w:b/>
          <w:color w:val="00188F"/>
        </w:rPr>
        <w:t>Funktion der aktiven Georeplikation aktiviert und allgemein verfügbar ist (d. h. nicht in Vorschau), die folgenden Servicelevels und Servicegutschriften für die Nutzung des Cache-Dienstes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1A173676" w14:textId="77777777" w:rsidTr="00277097">
        <w:trPr>
          <w:tblHeader/>
        </w:trPr>
        <w:tc>
          <w:tcPr>
            <w:tcW w:w="5400" w:type="dxa"/>
            <w:shd w:val="clear" w:color="auto" w:fill="0072C6"/>
          </w:tcPr>
          <w:p w14:paraId="0A14CFB5" w14:textId="566A64EC" w:rsidR="0004685C"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5B71069A" w14:textId="77777777" w:rsidR="0004685C" w:rsidRPr="00EF7CF9" w:rsidRDefault="0004685C" w:rsidP="000F31B4">
            <w:pPr>
              <w:pStyle w:val="ProductList-OfferingBody"/>
              <w:jc w:val="center"/>
              <w:rPr>
                <w:color w:val="FFFFFF" w:themeColor="background1"/>
              </w:rPr>
            </w:pPr>
            <w:r>
              <w:rPr>
                <w:color w:val="FFFFFF" w:themeColor="background1"/>
              </w:rPr>
              <w:t>Servicegutschrift</w:t>
            </w:r>
          </w:p>
        </w:tc>
      </w:tr>
      <w:tr w:rsidR="0004685C" w:rsidRPr="00B44CF9" w14:paraId="4F2056B6" w14:textId="77777777" w:rsidTr="00277097">
        <w:tc>
          <w:tcPr>
            <w:tcW w:w="5400" w:type="dxa"/>
          </w:tcPr>
          <w:p w14:paraId="079111A8" w14:textId="77777777" w:rsidR="0004685C" w:rsidRPr="00EF7CF9" w:rsidRDefault="0004685C" w:rsidP="000F31B4">
            <w:pPr>
              <w:pStyle w:val="ProductList-OfferingBody"/>
              <w:jc w:val="center"/>
            </w:pPr>
            <w:r>
              <w:t>&lt; 99,999 %</w:t>
            </w:r>
          </w:p>
        </w:tc>
        <w:tc>
          <w:tcPr>
            <w:tcW w:w="5400" w:type="dxa"/>
          </w:tcPr>
          <w:p w14:paraId="635F03C4" w14:textId="77777777" w:rsidR="0004685C" w:rsidRPr="00EF7CF9" w:rsidRDefault="0004685C" w:rsidP="000F31B4">
            <w:pPr>
              <w:pStyle w:val="ProductList-OfferingBody"/>
              <w:jc w:val="center"/>
            </w:pPr>
            <w:r>
              <w:t>10 %</w:t>
            </w:r>
          </w:p>
        </w:tc>
      </w:tr>
      <w:tr w:rsidR="0004685C" w:rsidRPr="00B44CF9" w14:paraId="42F045DD" w14:textId="77777777" w:rsidTr="00277097">
        <w:tc>
          <w:tcPr>
            <w:tcW w:w="5400" w:type="dxa"/>
          </w:tcPr>
          <w:p w14:paraId="26AB5C29" w14:textId="77777777" w:rsidR="0004685C" w:rsidRPr="00EF7CF9" w:rsidRDefault="0004685C" w:rsidP="000F31B4">
            <w:pPr>
              <w:pStyle w:val="ProductList-OfferingBody"/>
              <w:jc w:val="center"/>
            </w:pPr>
            <w:r>
              <w:t>&lt; 99 %</w:t>
            </w:r>
          </w:p>
        </w:tc>
        <w:tc>
          <w:tcPr>
            <w:tcW w:w="5400" w:type="dxa"/>
          </w:tcPr>
          <w:p w14:paraId="16FB54C8" w14:textId="77777777" w:rsidR="0004685C" w:rsidRPr="00EF7CF9" w:rsidRDefault="0004685C" w:rsidP="000F31B4">
            <w:pPr>
              <w:pStyle w:val="ProductList-OfferingBody"/>
              <w:jc w:val="center"/>
            </w:pPr>
            <w:r>
              <w:t>25 %</w:t>
            </w:r>
          </w:p>
        </w:tc>
      </w:tr>
    </w:tbl>
    <w:bookmarkStart w:id="221" w:name="_Toc52348946"/>
    <w:p w14:paraId="205632FA" w14:textId="112C3D56"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11EBDFA8" w14:textId="77777777" w:rsidR="00321BC9" w:rsidRPr="00FC1992" w:rsidRDefault="00321BC9" w:rsidP="00321BC9">
      <w:pPr>
        <w:pStyle w:val="ProductList-Offering2Heading"/>
        <w:keepNext/>
        <w:tabs>
          <w:tab w:val="clear" w:pos="360"/>
          <w:tab w:val="clear" w:pos="720"/>
          <w:tab w:val="clear" w:pos="1080"/>
        </w:tabs>
        <w:outlineLvl w:val="2"/>
        <w:rPr>
          <w:rFonts w:ascii="Calibri Light" w:hAnsi="Calibri Light" w:cs="Calibri Light"/>
        </w:rPr>
      </w:pPr>
      <w:bookmarkStart w:id="222" w:name="_Toc230011385"/>
      <w:bookmarkStart w:id="223" w:name="_Toc237448968"/>
      <w:bookmarkStart w:id="224" w:name="_Toc195543114"/>
      <w:r>
        <w:rPr>
          <w:rFonts w:ascii="Calibri Light" w:hAnsi="Calibri Light" w:cs="Calibri Light"/>
        </w:rPr>
        <w:t>Kapazitätsblöcke</w:t>
      </w:r>
      <w:bookmarkEnd w:id="222"/>
      <w:bookmarkEnd w:id="223"/>
    </w:p>
    <w:p w14:paraId="20EFE801" w14:textId="77777777" w:rsidR="00321BC9" w:rsidRPr="00F50A4A" w:rsidRDefault="00321BC9" w:rsidP="00321BC9">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Zusätzliche Definitionen</w:t>
      </w:r>
      <w:r w:rsidRPr="00C94278">
        <w:rPr>
          <w:rFonts w:ascii="Calibri" w:eastAsia="Calibri" w:hAnsi="Calibri" w:cs="Arial"/>
          <w:b/>
          <w:color w:val="00188F"/>
          <w:sz w:val="18"/>
        </w:rPr>
        <w:t>:</w:t>
      </w:r>
    </w:p>
    <w:p w14:paraId="2EA43C24" w14:textId="77777777" w:rsidR="00321BC9" w:rsidRPr="00F50A4A" w:rsidRDefault="00321BC9" w:rsidP="00321BC9">
      <w:pPr>
        <w:tabs>
          <w:tab w:val="left" w:pos="360"/>
          <w:tab w:val="left" w:pos="720"/>
          <w:tab w:val="left" w:pos="1080"/>
        </w:tabs>
        <w:spacing w:after="0" w:line="240" w:lineRule="auto"/>
        <w:rPr>
          <w:rFonts w:ascii="Calibri" w:eastAsia="Calibri" w:hAnsi="Calibri" w:cs="Arial"/>
          <w:sz w:val="18"/>
        </w:rPr>
      </w:pPr>
      <w:r w:rsidRPr="00A80248">
        <w:rPr>
          <w:rFonts w:ascii="Calibri" w:eastAsia="Calibri" w:hAnsi="Calibri" w:cs="Arial"/>
          <w:sz w:val="18"/>
        </w:rPr>
        <w:t>Mit</w:t>
      </w:r>
      <w:r>
        <w:t xml:space="preserve"> </w:t>
      </w:r>
      <w:r>
        <w:rPr>
          <w:rFonts w:ascii="Calibri" w:eastAsia="Calibri" w:hAnsi="Calibri" w:cs="Arial"/>
          <w:b/>
          <w:color w:val="00188F"/>
          <w:sz w:val="18"/>
        </w:rPr>
        <w:t>Kapazitätsblock</w:t>
      </w:r>
      <w:r>
        <w:rPr>
          <w:rFonts w:ascii="Calibri" w:eastAsia="Calibri" w:hAnsi="Calibri" w:cs="Arial"/>
          <w:sz w:val="18"/>
        </w:rPr>
        <w:t xml:space="preserve"> ist die Reservierung von Rechenkapazität für eine bestimmte Dauer innerhalb einer Azure-Region gemeint. </w:t>
      </w:r>
    </w:p>
    <w:p w14:paraId="6DA3F962" w14:textId="77777777" w:rsidR="00321BC9" w:rsidRPr="00F50A4A" w:rsidRDefault="00321BC9" w:rsidP="00321BC9">
      <w:pPr>
        <w:tabs>
          <w:tab w:val="left" w:pos="360"/>
          <w:tab w:val="left" w:pos="720"/>
          <w:tab w:val="left" w:pos="1080"/>
        </w:tabs>
        <w:spacing w:after="0" w:line="240" w:lineRule="auto"/>
        <w:rPr>
          <w:rFonts w:ascii="Calibri" w:eastAsia="Calibri" w:hAnsi="Calibri" w:cs="Arial"/>
          <w:sz w:val="18"/>
        </w:rPr>
      </w:pPr>
      <w:r w:rsidRPr="00A80248">
        <w:rPr>
          <w:rFonts w:ascii="Calibri" w:eastAsia="Calibri" w:hAnsi="Calibri" w:cs="Arial"/>
          <w:sz w:val="18"/>
        </w:rPr>
        <w:t xml:space="preserve">Die </w:t>
      </w:r>
      <w:r>
        <w:rPr>
          <w:rFonts w:ascii="Calibri" w:eastAsia="Calibri" w:hAnsi="Calibri" w:cs="Arial"/>
          <w:b/>
          <w:color w:val="00188F"/>
          <w:sz w:val="18"/>
        </w:rPr>
        <w:t>Verfügbare Kapazität</w:t>
      </w:r>
      <w:r>
        <w:rPr>
          <w:rFonts w:ascii="Calibri" w:eastAsia="Calibri" w:hAnsi="Calibri" w:cs="Arial"/>
          <w:sz w:val="18"/>
        </w:rPr>
        <w:t xml:space="preserve"> bezeichnet den Teil des Kapazitätsblocks, der erfolgreich bereitgestellt wurde und vom Kunden genutzt werden kann. </w:t>
      </w:r>
    </w:p>
    <w:p w14:paraId="46A3094E" w14:textId="77777777" w:rsidR="00321BC9" w:rsidRPr="00F50A4A" w:rsidRDefault="00321BC9" w:rsidP="00321BC9">
      <w:pPr>
        <w:tabs>
          <w:tab w:val="left" w:pos="360"/>
          <w:tab w:val="left" w:pos="720"/>
          <w:tab w:val="left" w:pos="1080"/>
        </w:tabs>
        <w:spacing w:after="0" w:line="240" w:lineRule="auto"/>
        <w:rPr>
          <w:rFonts w:ascii="Calibri" w:eastAsia="Calibri" w:hAnsi="Calibri" w:cs="Arial"/>
          <w:sz w:val="18"/>
        </w:rPr>
      </w:pPr>
      <w:r w:rsidRPr="00A80248">
        <w:rPr>
          <w:rFonts w:ascii="Calibri" w:eastAsia="Calibri" w:hAnsi="Calibri" w:cs="Arial"/>
          <w:sz w:val="18"/>
        </w:rPr>
        <w:t xml:space="preserve">Als </w:t>
      </w:r>
      <w:r>
        <w:rPr>
          <w:rFonts w:ascii="Calibri" w:eastAsia="Calibri" w:hAnsi="Calibri" w:cs="Arial"/>
          <w:b/>
          <w:color w:val="00188F"/>
          <w:sz w:val="18"/>
        </w:rPr>
        <w:t>Volle Kapazität</w:t>
      </w:r>
      <w:r>
        <w:rPr>
          <w:rFonts w:ascii="Calibri" w:eastAsia="Calibri" w:hAnsi="Calibri" w:cs="Arial"/>
          <w:sz w:val="18"/>
        </w:rPr>
        <w:t xml:space="preserve"> wird die Gesamtzahl der in der Kapazitätsblockreservierung definierten Kapazitätseinheiten bezeichnet. </w:t>
      </w:r>
    </w:p>
    <w:p w14:paraId="77A8D3F8" w14:textId="77777777" w:rsidR="00321BC9" w:rsidRPr="00F50A4A" w:rsidRDefault="00321BC9" w:rsidP="00321BC9">
      <w:pPr>
        <w:tabs>
          <w:tab w:val="left" w:pos="360"/>
          <w:tab w:val="left" w:pos="720"/>
          <w:tab w:val="left" w:pos="1080"/>
        </w:tabs>
        <w:spacing w:after="0" w:line="240" w:lineRule="auto"/>
        <w:rPr>
          <w:rFonts w:ascii="Calibri" w:eastAsia="Calibri" w:hAnsi="Calibri" w:cs="Arial"/>
          <w:sz w:val="18"/>
        </w:rPr>
      </w:pPr>
      <w:r w:rsidRPr="00A80248">
        <w:rPr>
          <w:rFonts w:ascii="Calibri" w:eastAsia="Calibri" w:hAnsi="Calibri" w:cs="Arial"/>
          <w:sz w:val="18"/>
        </w:rPr>
        <w:t xml:space="preserve">Mit </w:t>
      </w:r>
      <w:r>
        <w:rPr>
          <w:rFonts w:ascii="Calibri" w:eastAsia="Calibri" w:hAnsi="Calibri" w:cs="Arial"/>
          <w:b/>
          <w:color w:val="00188F"/>
          <w:sz w:val="18"/>
        </w:rPr>
        <w:t>Anwendbarer Zeitraum</w:t>
      </w:r>
      <w:r>
        <w:rPr>
          <w:rFonts w:ascii="Calibri" w:eastAsia="Calibri" w:hAnsi="Calibri" w:cs="Arial"/>
          <w:sz w:val="18"/>
        </w:rPr>
        <w:t xml:space="preserve"> ist die Gesamtdauer der Kapazitätsblockreservierung gemeint. </w:t>
      </w:r>
    </w:p>
    <w:p w14:paraId="22D8BABF" w14:textId="77777777" w:rsidR="00321BC9" w:rsidRPr="00F50A4A" w:rsidRDefault="00321BC9" w:rsidP="00321BC9">
      <w:pPr>
        <w:tabs>
          <w:tab w:val="left" w:pos="360"/>
          <w:tab w:val="left" w:pos="720"/>
          <w:tab w:val="left" w:pos="1080"/>
        </w:tabs>
        <w:spacing w:after="0" w:line="240" w:lineRule="auto"/>
        <w:rPr>
          <w:rFonts w:ascii="Calibri" w:eastAsia="Calibri" w:hAnsi="Calibri" w:cs="Arial"/>
          <w:sz w:val="18"/>
        </w:rPr>
      </w:pPr>
      <w:r w:rsidRPr="00A80248">
        <w:rPr>
          <w:rFonts w:ascii="Calibri" w:eastAsia="Calibri" w:hAnsi="Calibri" w:cs="Arial"/>
          <w:sz w:val="18"/>
        </w:rPr>
        <w:t xml:space="preserve">Die </w:t>
      </w:r>
      <w:r>
        <w:rPr>
          <w:rFonts w:ascii="Calibri" w:eastAsia="Calibri" w:hAnsi="Calibri" w:cs="Arial"/>
          <w:b/>
          <w:color w:val="00188F"/>
          <w:sz w:val="18"/>
        </w:rPr>
        <w:t>Kapazitätsverfügbarkeit</w:t>
      </w:r>
      <w:r>
        <w:rPr>
          <w:rFonts w:ascii="Calibri" w:eastAsia="Calibri" w:hAnsi="Calibri" w:cs="Arial"/>
          <w:sz w:val="18"/>
        </w:rPr>
        <w:t xml:space="preserve"> wird als der Prozentsatz der verfügbaren Gesamtkapazität berechnet, der während des Anwendbaren Zeitraums als verfügbare Kapazität gilt. </w:t>
      </w:r>
    </w:p>
    <w:p w14:paraId="6F80E95B" w14:textId="77777777" w:rsidR="00321BC9" w:rsidRPr="00F50A4A" w:rsidRDefault="00321BC9" w:rsidP="00321BC9">
      <w:pPr>
        <w:tabs>
          <w:tab w:val="left" w:pos="360"/>
          <w:tab w:val="left" w:pos="720"/>
          <w:tab w:val="left" w:pos="1080"/>
        </w:tabs>
        <w:spacing w:after="0" w:line="240" w:lineRule="auto"/>
        <w:rPr>
          <w:rFonts w:ascii="Calibri" w:eastAsia="Calibri" w:hAnsi="Calibri" w:cs="Arial"/>
          <w:sz w:val="18"/>
        </w:rPr>
      </w:pPr>
      <w:r w:rsidRPr="00A80248">
        <w:rPr>
          <w:rFonts w:ascii="Calibri" w:eastAsia="Calibri" w:hAnsi="Calibri" w:cs="Arial"/>
          <w:sz w:val="18"/>
        </w:rPr>
        <w:lastRenderedPageBreak/>
        <w:t xml:space="preserve">Als </w:t>
      </w:r>
      <w:r>
        <w:rPr>
          <w:rFonts w:ascii="Calibri" w:eastAsia="Calibri" w:hAnsi="Calibri" w:cs="Arial"/>
          <w:b/>
          <w:color w:val="00188F"/>
          <w:sz w:val="18"/>
        </w:rPr>
        <w:t>Kapazitätsausfallzeit</w:t>
      </w:r>
      <w:r>
        <w:rPr>
          <w:rFonts w:ascii="Calibri" w:eastAsia="Calibri" w:hAnsi="Calibri" w:cs="Arial"/>
          <w:sz w:val="18"/>
        </w:rPr>
        <w:t xml:space="preserve"> wird jeder Zeitraum bezeichnet, in dem ein Teil der Vollen Kapazität dem Kunden nicht zur Bereitstellung oder Nutzung zur Verfügung steht. </w:t>
      </w:r>
    </w:p>
    <w:p w14:paraId="3F853C33" w14:textId="77777777" w:rsidR="00321BC9" w:rsidRPr="00F50A4A" w:rsidRDefault="00321BC9" w:rsidP="00321BC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Bereitstellung</w:t>
      </w:r>
      <w:r>
        <w:rPr>
          <w:rFonts w:ascii="Calibri" w:eastAsia="Calibri" w:hAnsi="Calibri" w:cs="Arial"/>
          <w:sz w:val="18"/>
        </w:rPr>
        <w:t xml:space="preserve"> bezeichnet die erfolgreiche Zuweisung von Kapazitäten, so dass der Kunde Ressourcen bereitstellen und betreiben kann.</w:t>
      </w:r>
    </w:p>
    <w:p w14:paraId="756338FB" w14:textId="77777777" w:rsidR="00321BC9" w:rsidRDefault="00321BC9" w:rsidP="00321BC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Berechnung der Betriebszeit</w:t>
      </w:r>
      <w:r w:rsidRPr="00C94278">
        <w:rPr>
          <w:rFonts w:ascii="Calibri" w:eastAsia="Calibri" w:hAnsi="Calibri" w:cs="Arial"/>
          <w:b/>
          <w:color w:val="00188F"/>
          <w:sz w:val="18"/>
        </w:rPr>
        <w:t>:</w:t>
      </w:r>
      <w:r>
        <w:rPr>
          <w:rFonts w:ascii="Calibri" w:eastAsia="Calibri" w:hAnsi="Calibri" w:cs="Arial"/>
          <w:sz w:val="18"/>
        </w:rPr>
        <w:t xml:space="preserve"> </w:t>
      </w:r>
    </w:p>
    <w:p w14:paraId="7A8DE7D2" w14:textId="77777777" w:rsidR="00321BC9" w:rsidRDefault="00321BC9" w:rsidP="00321BC9">
      <w:pPr>
        <w:tabs>
          <w:tab w:val="left" w:pos="360"/>
          <w:tab w:val="left" w:pos="720"/>
          <w:tab w:val="left" w:pos="1080"/>
        </w:tabs>
        <w:spacing w:after="0" w:line="240" w:lineRule="auto"/>
        <w:rPr>
          <w:rFonts w:ascii="Calibri" w:eastAsia="Calibri" w:hAnsi="Calibri" w:cs="Arial"/>
          <w:sz w:val="18"/>
        </w:rPr>
      </w:pPr>
      <w:r w:rsidRPr="00A80248">
        <w:rPr>
          <w:rFonts w:ascii="Calibri" w:eastAsia="Calibri" w:hAnsi="Calibri" w:cs="Arial"/>
          <w:sz w:val="18"/>
        </w:rPr>
        <w:t xml:space="preserve">Die </w:t>
      </w:r>
      <w:r>
        <w:rPr>
          <w:rFonts w:ascii="Calibri" w:eastAsia="Calibri" w:hAnsi="Calibri" w:cs="Arial"/>
          <w:b/>
          <w:color w:val="00188F"/>
          <w:sz w:val="18"/>
        </w:rPr>
        <w:t>Maximale verfügbare Kapazität</w:t>
      </w:r>
      <w:r>
        <w:rPr>
          <w:rFonts w:ascii="Calibri" w:eastAsia="Calibri" w:hAnsi="Calibri" w:cs="Arial"/>
          <w:sz w:val="18"/>
        </w:rPr>
        <w:t xml:space="preserve"> ist die Summe der Kapazitätseinheiten, die während des Anwendbaren Zeitraums im Kapazitätsblock enthalten sind. </w:t>
      </w:r>
    </w:p>
    <w:p w14:paraId="31036032" w14:textId="77777777" w:rsidR="00321BC9" w:rsidRDefault="00321BC9" w:rsidP="00321BC9">
      <w:pPr>
        <w:tabs>
          <w:tab w:val="left" w:pos="360"/>
          <w:tab w:val="left" w:pos="720"/>
          <w:tab w:val="left" w:pos="1080"/>
        </w:tabs>
        <w:spacing w:after="0" w:line="240" w:lineRule="auto"/>
        <w:rPr>
          <w:rFonts w:ascii="Calibri" w:eastAsia="Calibri" w:hAnsi="Calibri" w:cs="Arial"/>
          <w:sz w:val="18"/>
        </w:rPr>
      </w:pPr>
      <w:r w:rsidRPr="00A80248">
        <w:rPr>
          <w:rFonts w:ascii="Calibri" w:eastAsia="Calibri" w:hAnsi="Calibri" w:cs="Arial"/>
          <w:sz w:val="18"/>
        </w:rPr>
        <w:t xml:space="preserve">Die </w:t>
      </w:r>
      <w:r>
        <w:rPr>
          <w:rFonts w:ascii="Calibri" w:eastAsia="Calibri" w:hAnsi="Calibri" w:cs="Arial"/>
          <w:b/>
          <w:color w:val="00188F"/>
          <w:sz w:val="18"/>
        </w:rPr>
        <w:t>Kapazitätsausfallzeit</w:t>
      </w:r>
      <w:r>
        <w:rPr>
          <w:rFonts w:ascii="Calibri" w:eastAsia="Calibri" w:hAnsi="Calibri" w:cs="Arial"/>
          <w:sz w:val="18"/>
        </w:rPr>
        <w:t xml:space="preserve"> ist die Summe aller kumulierten Kapazitätseinheiten, die Teil der Maximal verfügbaren Kapazität sind, aber während des Anwendbaren Zeitraums nicht zur Verfügung stehen.</w:t>
      </w:r>
    </w:p>
    <w:p w14:paraId="698E3035" w14:textId="77777777" w:rsidR="00321BC9" w:rsidRDefault="00321BC9" w:rsidP="00321BC9">
      <w:pPr>
        <w:tabs>
          <w:tab w:val="left" w:pos="360"/>
          <w:tab w:val="left" w:pos="720"/>
          <w:tab w:val="left" w:pos="1080"/>
        </w:tabs>
        <w:spacing w:after="0" w:line="240" w:lineRule="auto"/>
        <w:rPr>
          <w:rFonts w:ascii="Calibri" w:eastAsia="Calibri" w:hAnsi="Calibri" w:cs="Arial"/>
          <w:sz w:val="18"/>
        </w:rPr>
      </w:pPr>
      <w:r w:rsidRPr="00A80248">
        <w:rPr>
          <w:rFonts w:ascii="Calibri" w:eastAsia="Calibri" w:hAnsi="Calibri" w:cs="Arial"/>
          <w:sz w:val="18"/>
        </w:rPr>
        <w:t xml:space="preserve">Die </w:t>
      </w:r>
      <w:r>
        <w:rPr>
          <w:rFonts w:ascii="Calibri" w:eastAsia="Calibri" w:hAnsi="Calibri" w:cs="Arial"/>
          <w:b/>
          <w:color w:val="00188F"/>
          <w:sz w:val="18"/>
        </w:rPr>
        <w:t>Kapazitätsverfügbarkeit</w:t>
      </w:r>
      <w:r>
        <w:rPr>
          <w:rFonts w:ascii="Calibri" w:eastAsia="Calibri" w:hAnsi="Calibri" w:cs="Arial"/>
          <w:sz w:val="18"/>
        </w:rPr>
        <w:t xml:space="preserve"> wird berechnet, indem die Kapazitätsausfallzeit von der Maximal verfügbaren Kapazität abgezogen und durch die Maximal verfügbare Kapazität während des Anwendbaren Zeitraums dividiert wird. </w:t>
      </w:r>
    </w:p>
    <w:p w14:paraId="0EDC5D7D" w14:textId="77777777" w:rsidR="00321BC9" w:rsidRPr="00F50A4A" w:rsidRDefault="00321BC9" w:rsidP="00321BC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Der Betriebszeitprozentsatz für einen bestimmten aktiven Mandanten in einem Anwendbaren Zeitraum wird anhand der folgenden Formel berechnet:</w:t>
      </w:r>
    </w:p>
    <w:p w14:paraId="36FB3E08" w14:textId="77777777" w:rsidR="00321BC9" w:rsidRPr="004577B2" w:rsidRDefault="00000000" w:rsidP="007775B3">
      <w:pPr>
        <w:spacing w:before="120" w:after="0" w:line="240" w:lineRule="auto"/>
        <w:jc w:val="both"/>
        <w:rPr>
          <w:rFonts w:ascii="Calibri" w:eastAsia="Calibri" w:hAnsi="Calibri" w:cs="Arial"/>
          <w:sz w:val="18"/>
          <w:szCs w:val="18"/>
        </w:rPr>
      </w:pPr>
      <m:oMathPara>
        <m:oMath>
          <m:f>
            <m:fPr>
              <m:ctrlPr>
                <w:rPr>
                  <w:rFonts w:ascii="Cambria Math" w:eastAsia="Calibri" w:hAnsi="Cambria Math" w:cs="Calibri"/>
                  <w:i/>
                  <w:sz w:val="18"/>
                  <w:szCs w:val="18"/>
                </w:rPr>
              </m:ctrlPr>
            </m:fPr>
            <m:num>
              <m:r>
                <w:rPr>
                  <w:rFonts w:ascii="Cambria Math" w:eastAsia="Calibri" w:hAnsi="Cambria Math" w:cs="Calibri"/>
                  <w:sz w:val="18"/>
                  <w:szCs w:val="18"/>
                </w:rPr>
                <m:t xml:space="preserve">Maximal verfügbare Kapazität - Kapazitätsausfallzeit </m:t>
              </m:r>
            </m:num>
            <m:den>
              <m:r>
                <w:rPr>
                  <w:rFonts w:ascii="Cambria Math" w:eastAsia="Calibri" w:hAnsi="Cambria Math" w:cs="Calibri"/>
                  <w:sz w:val="18"/>
                  <w:szCs w:val="18"/>
                </w:rPr>
                <m:t>Maximale verfügbare Kapazität</m:t>
              </m:r>
            </m:den>
          </m:f>
          <m:r>
            <w:rPr>
              <w:rFonts w:ascii="Cambria Math" w:eastAsia="Calibri" w:hAnsi="Cambria Math" w:cs="Calibri"/>
              <w:sz w:val="18"/>
              <w:szCs w:val="18"/>
            </w:rPr>
            <m:t xml:space="preserve"> x 100</m:t>
          </m:r>
        </m:oMath>
      </m:oMathPara>
    </w:p>
    <w:p w14:paraId="5F878688" w14:textId="77777777" w:rsidR="00321BC9" w:rsidRDefault="00321BC9" w:rsidP="00321BC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Servicegutschrift</w:t>
      </w:r>
      <w:r w:rsidRPr="00C94278">
        <w:rPr>
          <w:rFonts w:ascii="Calibri" w:eastAsia="Calibri" w:hAnsi="Calibri" w:cs="Arial"/>
          <w:b/>
          <w:color w:val="00188F"/>
          <w:sz w:val="18"/>
        </w:rPr>
        <w:t>:</w:t>
      </w:r>
    </w:p>
    <w:p w14:paraId="6D40F023" w14:textId="77777777" w:rsidR="00321BC9" w:rsidRDefault="00321BC9" w:rsidP="00321BC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Folgende Servicelevel und Servicegutschriften gelten für die Nutzung von Kapazitätsblöcken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21BC9" w14:paraId="110A944E" w14:textId="77777777" w:rsidTr="004754D5">
        <w:trPr>
          <w:trHeight w:val="245"/>
          <w:tblHeader/>
        </w:trPr>
        <w:tc>
          <w:tcPr>
            <w:tcW w:w="5400" w:type="dxa"/>
            <w:shd w:val="clear" w:color="auto" w:fill="0072C6"/>
          </w:tcPr>
          <w:p w14:paraId="6F495BA8" w14:textId="77777777" w:rsidR="00321BC9" w:rsidRPr="00ED1027" w:rsidRDefault="00321BC9" w:rsidP="004754D5">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Betriebszeitprozentsatz</w:t>
            </w:r>
          </w:p>
        </w:tc>
        <w:tc>
          <w:tcPr>
            <w:tcW w:w="5400" w:type="dxa"/>
            <w:shd w:val="clear" w:color="auto" w:fill="0072C6"/>
          </w:tcPr>
          <w:p w14:paraId="6C4E406D" w14:textId="77777777" w:rsidR="00321BC9" w:rsidRPr="00ED1027" w:rsidRDefault="00321BC9" w:rsidP="004754D5">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Servicegutschrift</w:t>
            </w:r>
          </w:p>
        </w:tc>
      </w:tr>
      <w:tr w:rsidR="00321BC9" w14:paraId="30B17671" w14:textId="77777777" w:rsidTr="004754D5">
        <w:trPr>
          <w:trHeight w:val="245"/>
          <w:tblHeader/>
        </w:trPr>
        <w:tc>
          <w:tcPr>
            <w:tcW w:w="5400" w:type="dxa"/>
          </w:tcPr>
          <w:p w14:paraId="5DE82DCE" w14:textId="77777777" w:rsidR="00321BC9" w:rsidRPr="00ED1027" w:rsidRDefault="00321BC9" w:rsidP="004754D5">
            <w:pPr>
              <w:pStyle w:val="ProductList-OfferingBody"/>
              <w:jc w:val="center"/>
              <w:rPr>
                <w:rFonts w:ascii="Calibri" w:hAnsi="Calibri" w:cs="Calibri"/>
                <w:szCs w:val="16"/>
              </w:rPr>
            </w:pPr>
            <w:r>
              <w:rPr>
                <w:rFonts w:ascii="Calibri" w:hAnsi="Calibri" w:cs="Calibri"/>
                <w:szCs w:val="16"/>
              </w:rPr>
              <w:t>&lt; 99,9 %</w:t>
            </w:r>
          </w:p>
        </w:tc>
        <w:tc>
          <w:tcPr>
            <w:tcW w:w="5400" w:type="dxa"/>
          </w:tcPr>
          <w:p w14:paraId="2F321DE4" w14:textId="77777777" w:rsidR="00321BC9" w:rsidRPr="00ED1027" w:rsidRDefault="00321BC9" w:rsidP="004754D5">
            <w:pPr>
              <w:pStyle w:val="ProductList-OfferingBody"/>
              <w:jc w:val="center"/>
              <w:rPr>
                <w:rFonts w:ascii="Calibri" w:hAnsi="Calibri" w:cs="Calibri"/>
                <w:szCs w:val="16"/>
              </w:rPr>
            </w:pPr>
            <w:r>
              <w:rPr>
                <w:rFonts w:ascii="Calibri" w:hAnsi="Calibri" w:cs="Calibri"/>
                <w:szCs w:val="16"/>
              </w:rPr>
              <w:t>10 %</w:t>
            </w:r>
          </w:p>
        </w:tc>
      </w:tr>
      <w:tr w:rsidR="00321BC9" w14:paraId="49DA7915" w14:textId="77777777" w:rsidTr="004754D5">
        <w:trPr>
          <w:trHeight w:val="245"/>
          <w:tblHeader/>
        </w:trPr>
        <w:tc>
          <w:tcPr>
            <w:tcW w:w="5400" w:type="dxa"/>
          </w:tcPr>
          <w:p w14:paraId="231992E3" w14:textId="77777777" w:rsidR="00321BC9" w:rsidRPr="00ED1027" w:rsidRDefault="00321BC9" w:rsidP="004754D5">
            <w:pPr>
              <w:pStyle w:val="ProductList-OfferingBody"/>
              <w:jc w:val="center"/>
              <w:rPr>
                <w:rFonts w:ascii="Calibri" w:hAnsi="Calibri" w:cs="Calibri"/>
                <w:szCs w:val="16"/>
              </w:rPr>
            </w:pPr>
            <w:r>
              <w:rPr>
                <w:rFonts w:ascii="Calibri" w:hAnsi="Calibri" w:cs="Calibri"/>
                <w:szCs w:val="16"/>
              </w:rPr>
              <w:t>&lt; 99 %</w:t>
            </w:r>
          </w:p>
        </w:tc>
        <w:tc>
          <w:tcPr>
            <w:tcW w:w="5400" w:type="dxa"/>
          </w:tcPr>
          <w:p w14:paraId="2724CD08" w14:textId="77777777" w:rsidR="00321BC9" w:rsidRPr="00ED1027" w:rsidRDefault="00321BC9" w:rsidP="004754D5">
            <w:pPr>
              <w:pStyle w:val="ProductList-OfferingBody"/>
              <w:jc w:val="center"/>
              <w:rPr>
                <w:rFonts w:ascii="Calibri" w:hAnsi="Calibri" w:cs="Calibri"/>
                <w:szCs w:val="16"/>
              </w:rPr>
            </w:pPr>
            <w:r>
              <w:rPr>
                <w:rFonts w:ascii="Calibri" w:hAnsi="Calibri" w:cs="Calibri"/>
                <w:szCs w:val="16"/>
              </w:rPr>
              <w:t>25 %</w:t>
            </w:r>
          </w:p>
        </w:tc>
      </w:tr>
      <w:tr w:rsidR="00321BC9" w14:paraId="02FB1E11" w14:textId="77777777" w:rsidTr="004754D5">
        <w:trPr>
          <w:trHeight w:val="245"/>
          <w:tblHeader/>
        </w:trPr>
        <w:tc>
          <w:tcPr>
            <w:tcW w:w="5400" w:type="dxa"/>
          </w:tcPr>
          <w:p w14:paraId="5D63F7EA" w14:textId="77777777" w:rsidR="00321BC9" w:rsidRPr="00ED1027" w:rsidRDefault="00321BC9" w:rsidP="004754D5">
            <w:pPr>
              <w:pStyle w:val="ProductList-OfferingBody"/>
              <w:jc w:val="center"/>
              <w:rPr>
                <w:rFonts w:ascii="Calibri" w:hAnsi="Calibri" w:cs="Calibri"/>
                <w:szCs w:val="16"/>
              </w:rPr>
            </w:pPr>
            <w:r>
              <w:rPr>
                <w:rFonts w:ascii="Calibri" w:hAnsi="Calibri" w:cs="Calibri"/>
                <w:szCs w:val="16"/>
              </w:rPr>
              <w:t>&lt; 50 %</w:t>
            </w:r>
          </w:p>
        </w:tc>
        <w:tc>
          <w:tcPr>
            <w:tcW w:w="5400" w:type="dxa"/>
          </w:tcPr>
          <w:p w14:paraId="5F2AAB51" w14:textId="77777777" w:rsidR="00321BC9" w:rsidRPr="00ED1027" w:rsidRDefault="00321BC9" w:rsidP="004754D5">
            <w:pPr>
              <w:pStyle w:val="ProductList-OfferingBody"/>
              <w:jc w:val="center"/>
              <w:rPr>
                <w:rFonts w:ascii="Calibri" w:hAnsi="Calibri" w:cs="Calibri"/>
                <w:szCs w:val="16"/>
              </w:rPr>
            </w:pPr>
            <w:r>
              <w:rPr>
                <w:rFonts w:ascii="Calibri" w:hAnsi="Calibri" w:cs="Calibri"/>
                <w:szCs w:val="16"/>
              </w:rPr>
              <w:t>100 %</w:t>
            </w:r>
          </w:p>
        </w:tc>
      </w:tr>
    </w:tbl>
    <w:p w14:paraId="76BD2B45" w14:textId="77777777" w:rsidR="00321BC9" w:rsidRDefault="00321BC9" w:rsidP="00321BC9">
      <w:pPr>
        <w:tabs>
          <w:tab w:val="left" w:pos="360"/>
          <w:tab w:val="left" w:pos="720"/>
          <w:tab w:val="left" w:pos="1080"/>
        </w:tabs>
        <w:adjustRightInd w:val="0"/>
        <w:snapToGrid w:val="0"/>
        <w:spacing w:before="120" w:after="0" w:line="240" w:lineRule="auto"/>
        <w:rPr>
          <w:rFonts w:ascii="Calibri" w:eastAsia="Calibri" w:hAnsi="Calibri" w:cs="Arial"/>
          <w:sz w:val="18"/>
        </w:rPr>
      </w:pPr>
      <w:r>
        <w:rPr>
          <w:rFonts w:ascii="Calibri" w:eastAsia="Calibri" w:hAnsi="Calibri" w:cs="Arial"/>
          <w:b/>
          <w:color w:val="00188F"/>
          <w:sz w:val="18"/>
        </w:rPr>
        <w:t>Geltungsbereich der SLA</w:t>
      </w:r>
      <w:r w:rsidRPr="00C94278">
        <w:rPr>
          <w:rFonts w:ascii="Calibri" w:eastAsia="Calibri" w:hAnsi="Calibri" w:cs="Arial"/>
          <w:b/>
          <w:color w:val="00188F"/>
          <w:sz w:val="18"/>
        </w:rPr>
        <w:t>:</w:t>
      </w:r>
    </w:p>
    <w:p w14:paraId="5231DFA4" w14:textId="77777777" w:rsidR="00321BC9" w:rsidRDefault="00321BC9" w:rsidP="00321BC9">
      <w:pPr>
        <w:spacing w:after="120" w:line="240" w:lineRule="auto"/>
        <w:rPr>
          <w:rFonts w:ascii="Calibri" w:eastAsia="Calibri" w:hAnsi="Calibri" w:cs="Arial"/>
          <w:sz w:val="18"/>
        </w:rPr>
      </w:pPr>
      <w:r>
        <w:rPr>
          <w:rFonts w:ascii="Calibri" w:eastAsia="Calibri" w:hAnsi="Calibri" w:cs="Arial"/>
          <w:sz w:val="18"/>
        </w:rPr>
        <w:t>Diese Service-Level-Vereinbarung (SLA) gilt ausschließlich für die Nichtbereitstellung oder Nichtverfügbarkeit der reservierten Kapazität innerhalb eines Kapazitätsblocks während des Anwendbaren Zeitraums. Diese SLA gilt ausschließlich für die Verfügbarkeit von Kapazität zum Zweck der Bereitstellung und findet keine Anwendung, sobald Ressourcen unter Nutzung dieser Kapazitäten erfolgreich bereitgestellt wurden. </w:t>
      </w:r>
    </w:p>
    <w:p w14:paraId="5E5D84CC" w14:textId="77777777" w:rsidR="00321BC9" w:rsidRPr="00F50A4A" w:rsidRDefault="00321BC9" w:rsidP="00321BC9">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Interaktion mit der virtuellen Maschine – SLA </w:t>
      </w:r>
    </w:p>
    <w:p w14:paraId="44BC675E" w14:textId="77777777" w:rsidR="00321BC9" w:rsidRPr="00F50A4A" w:rsidRDefault="00321BC9" w:rsidP="00321BC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Sobald die Kapazität erfolgreich bereitgestellt wurde und der Kunde die virtuellen Maschinen bereitgestellt hat, gilt die „SLA für Virtuelle Maschinen” für diese bereitgestellten Ressourcen. </w:t>
      </w:r>
    </w:p>
    <w:p w14:paraId="0AD65226" w14:textId="77777777" w:rsidR="00321BC9" w:rsidRPr="00A80248" w:rsidRDefault="00321BC9" w:rsidP="00321BC9">
      <w:pPr>
        <w:tabs>
          <w:tab w:val="left" w:pos="360"/>
          <w:tab w:val="left" w:pos="720"/>
          <w:tab w:val="left" w:pos="1080"/>
        </w:tabs>
        <w:spacing w:after="120" w:line="240" w:lineRule="auto"/>
        <w:rPr>
          <w:rFonts w:ascii="Calibri" w:eastAsia="Calibri" w:hAnsi="Calibri" w:cs="Arial"/>
          <w:sz w:val="18"/>
          <w:lang w:val="en-US"/>
        </w:rPr>
      </w:pPr>
      <w:r>
        <w:rPr>
          <w:rFonts w:ascii="Calibri" w:eastAsia="Calibri" w:hAnsi="Calibri" w:cs="Arial"/>
          <w:sz w:val="18"/>
        </w:rPr>
        <w:t>Im Falle eines Konflikts zwischen dieser SLA und der SLA für Virtuelle Maschinen gilt nach erfolgreicher Bereitstellung von Ressourcen die SLA für Virtuelle Maschinen. </w:t>
      </w:r>
      <w:hyperlink r:id="rId21" w:tgtFrame="_blank" w:history="1">
        <w:r w:rsidRPr="00A80248">
          <w:rPr>
            <w:rFonts w:ascii="Calibri" w:eastAsia="Calibri" w:hAnsi="Calibri" w:cs="Arial"/>
            <w:sz w:val="18"/>
            <w:lang w:val="en-US"/>
          </w:rPr>
          <w:t>https://microsoft-my.sharepoint.com/personal/rghosalkar_microsoft_com/Documents/Recordings/SLA discussion - Capacity Blocks-20260501_113805-Meeting Recording.mp4</w:t>
        </w:r>
      </w:hyperlink>
    </w:p>
    <w:p w14:paraId="5B1A3CD7" w14:textId="77777777" w:rsidR="00321BC9" w:rsidRPr="00F50A4A" w:rsidRDefault="00321BC9" w:rsidP="00321BC9">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Ausschlüsse </w:t>
      </w:r>
    </w:p>
    <w:p w14:paraId="189CF76C" w14:textId="77777777" w:rsidR="00321BC9" w:rsidRPr="00F50A4A" w:rsidRDefault="00321BC9" w:rsidP="00321BC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Diese SLA gilt nicht für: </w:t>
      </w:r>
    </w:p>
    <w:p w14:paraId="58CCB29D" w14:textId="77777777" w:rsidR="00321BC9" w:rsidRPr="00F50A4A" w:rsidRDefault="00321BC9" w:rsidP="00321BC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Fehler, die auf die Konfiguration durch den Kunden, die Software des Kunden oder die Nutzung durch den Kunden zurückzuführen sind. </w:t>
      </w:r>
    </w:p>
    <w:p w14:paraId="3FED1CB5" w14:textId="77777777" w:rsidR="00321BC9" w:rsidRPr="00F50A4A" w:rsidRDefault="00321BC9" w:rsidP="00321BC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Fehler, die nach der Bereitstellung auftreten, obwohl die Ressourcen erfolgreich bereitgestellt wurden. </w:t>
      </w:r>
    </w:p>
    <w:p w14:paraId="06732645" w14:textId="77777777" w:rsidR="00321BC9" w:rsidRPr="00707270" w:rsidRDefault="00321BC9" w:rsidP="00321BC9">
      <w:pPr>
        <w:tabs>
          <w:tab w:val="left" w:pos="360"/>
          <w:tab w:val="left" w:pos="720"/>
          <w:tab w:val="left" w:pos="1080"/>
        </w:tabs>
        <w:spacing w:after="120" w:line="240" w:lineRule="auto"/>
        <w:rPr>
          <w:rFonts w:ascii="Calibri" w:eastAsia="Calibri" w:hAnsi="Calibri" w:cs="Arial"/>
          <w:sz w:val="18"/>
        </w:rPr>
      </w:pPr>
      <w:r>
        <w:rPr>
          <w:rFonts w:ascii="Calibri" w:eastAsia="Calibri" w:hAnsi="Calibri" w:cs="Arial"/>
          <w:sz w:val="18"/>
        </w:rPr>
        <w:t>Probleme mit Hardware oder Infrastruktur, die die Bereitstellung von Kapazitäten gemäß der geltenden SLA für Virtuelle Maschinen nicht beeinträchtigen.</w:t>
      </w:r>
    </w:p>
    <w:p w14:paraId="0A8FE8BB" w14:textId="77777777" w:rsidR="00321BC9" w:rsidRPr="00F50A4A" w:rsidRDefault="00321BC9" w:rsidP="00321BC9">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Servicegutschriften – Bedingungen </w:t>
      </w:r>
    </w:p>
    <w:p w14:paraId="4DE0023C" w14:textId="77777777" w:rsidR="00321BC9" w:rsidRPr="00F50A4A" w:rsidRDefault="00321BC9" w:rsidP="00321BC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Servicegutschriften stellen den einzigen und ausschließlichen Abhilfeanspruch des Kunden bei Nichteinhaltung des in dieser SLA beschriebenen Servicelevels dar. </w:t>
      </w:r>
    </w:p>
    <w:p w14:paraId="25C28965" w14:textId="77777777" w:rsidR="00321BC9" w:rsidRPr="00F50A4A" w:rsidRDefault="00321BC9" w:rsidP="00321BC9">
      <w:pPr>
        <w:tabs>
          <w:tab w:val="left" w:pos="360"/>
          <w:tab w:val="left" w:pos="720"/>
          <w:tab w:val="left" w:pos="1080"/>
        </w:tabs>
        <w:spacing w:after="120" w:line="240" w:lineRule="auto"/>
        <w:rPr>
          <w:rFonts w:ascii="Calibri" w:eastAsia="Calibri" w:hAnsi="Calibri" w:cs="Arial"/>
          <w:sz w:val="18"/>
        </w:rPr>
      </w:pPr>
      <w:r>
        <w:rPr>
          <w:rFonts w:ascii="Calibri" w:eastAsia="Calibri" w:hAnsi="Calibri" w:cs="Arial"/>
          <w:sz w:val="18"/>
        </w:rPr>
        <w:t>Der Kunde muss alle Ansprüche auf Servicegutschriften nach dem SLA-Anspruchsverfahren von Microsoft Online Services innerhalb der vorgeschriebenen Frist für die Einreichung von Ansprüchen geltend machen. </w:t>
      </w:r>
    </w:p>
    <w:p w14:paraId="331DBA1D" w14:textId="77777777" w:rsidR="00321BC9" w:rsidRPr="00F50A4A" w:rsidRDefault="00321BC9" w:rsidP="00321BC9">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Hinweise zur Plattformanwendbarkeit </w:t>
      </w:r>
    </w:p>
    <w:p w14:paraId="1679BCE2" w14:textId="77777777" w:rsidR="00321BC9" w:rsidRPr="00F50A4A" w:rsidRDefault="00321BC9" w:rsidP="00321BC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Die Kapazitätsverfügbarkeit kann je nach der zugrundeliegenden Plattformarchitektur variieren, einschließlich Szenarien, in denen die Kapazität in festen Einheiten oder Konfigurationen bereitgestellt wird. </w:t>
      </w:r>
    </w:p>
    <w:p w14:paraId="574FF57A" w14:textId="77777777" w:rsidR="00321BC9" w:rsidRDefault="00321BC9" w:rsidP="00321BC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Bei Plattformen, bei denen die SLAs für Virtuelle Maschinen voneinander abweichen (einschließlich bestimmter GPU-basierter Plattformen), kann das anwendbare Servicelevel an die entsprechenden Merkmale der SLA für Virtuelle Maschinen angepasst werden.</w:t>
      </w:r>
    </w:p>
    <w:p w14:paraId="63B08140" w14:textId="77777777" w:rsidR="00321BC9" w:rsidRPr="00BA6F19" w:rsidRDefault="00321BC9" w:rsidP="00321BC9">
      <w:pPr>
        <w:shd w:val="clear" w:color="auto" w:fill="808080"/>
        <w:spacing w:before="120" w:after="240" w:line="240" w:lineRule="auto"/>
        <w:jc w:val="right"/>
        <w:rPr>
          <w:rFonts w:ascii="Calibri" w:eastAsia="Calibri" w:hAnsi="Calibri" w:cs="Arial"/>
          <w:sz w:val="16"/>
          <w:szCs w:val="16"/>
        </w:rPr>
      </w:pPr>
      <w:hyperlink w:anchor="TOC" w:tooltip="Inhalt" w:history="1">
        <w:r>
          <w:rPr>
            <w:rFonts w:ascii="Calibri" w:eastAsia="Calibri" w:hAnsi="Calibri" w:cs="Arial"/>
            <w:color w:val="0563C1"/>
            <w:sz w:val="16"/>
            <w:szCs w:val="16"/>
            <w:u w:val="single"/>
          </w:rPr>
          <w:t>Inhaltsverzeichnis</w:t>
        </w:r>
      </w:hyperlink>
      <w:r>
        <w:rPr>
          <w:rFonts w:ascii="Calibri" w:eastAsia="Calibri" w:hAnsi="Calibri" w:cs="Arial"/>
          <w:sz w:val="16"/>
          <w:szCs w:val="16"/>
        </w:rPr>
        <w:t xml:space="preserve"> / </w:t>
      </w:r>
      <w:hyperlink w:anchor="Begriffsbestimmungen" w:tooltip="Begriffsbestimmungen" w:history="1">
        <w:r>
          <w:rPr>
            <w:rFonts w:ascii="Calibri" w:eastAsia="Calibri" w:hAnsi="Calibri" w:cs="Arial"/>
            <w:color w:val="0563C1"/>
            <w:sz w:val="16"/>
            <w:szCs w:val="16"/>
            <w:u w:val="single"/>
          </w:rPr>
          <w:t>Definitionen</w:t>
        </w:r>
      </w:hyperlink>
    </w:p>
    <w:p w14:paraId="4A4FA78E" w14:textId="5778532C" w:rsidR="00733000" w:rsidRDefault="00733000" w:rsidP="00FA4844">
      <w:pPr>
        <w:pStyle w:val="ProductList-Offering2Heading"/>
        <w:keepNext/>
        <w:tabs>
          <w:tab w:val="clear" w:pos="360"/>
          <w:tab w:val="clear" w:pos="720"/>
          <w:tab w:val="clear" w:pos="1080"/>
        </w:tabs>
        <w:outlineLvl w:val="2"/>
      </w:pPr>
      <w:bookmarkStart w:id="225" w:name="_Toc237448969"/>
      <w:r>
        <w:t>Azure Manged Redis</w:t>
      </w:r>
      <w:bookmarkEnd w:id="225"/>
    </w:p>
    <w:p w14:paraId="071627FE" w14:textId="77777777" w:rsidR="00C74FF1" w:rsidRPr="00C63E56" w:rsidRDefault="00C74FF1" w:rsidP="00C74FF1">
      <w:pPr>
        <w:pStyle w:val="paragraph"/>
        <w:spacing w:before="0" w:beforeAutospacing="0" w:after="0" w:afterAutospacing="0"/>
        <w:textAlignment w:val="baseline"/>
        <w:rPr>
          <w:rFonts w:ascii="Calibri" w:hAnsi="Calibri" w:cs="Calibri"/>
          <w:b/>
          <w:sz w:val="18"/>
          <w:szCs w:val="18"/>
        </w:rPr>
      </w:pPr>
      <w:r>
        <w:rPr>
          <w:rStyle w:val="normaltextrun"/>
          <w:rFonts w:ascii="Calibri" w:eastAsiaTheme="majorEastAsia" w:hAnsi="Calibri" w:cs="Calibri"/>
          <w:b/>
          <w:color w:val="00188F"/>
          <w:sz w:val="18"/>
          <w:szCs w:val="18"/>
        </w:rPr>
        <w:t>Zusätzliche Definitionen</w:t>
      </w:r>
      <w:r>
        <w:rPr>
          <w:rFonts w:ascii="Calibri" w:hAnsi="Calibri" w:cs="Calibri"/>
          <w:b/>
          <w:bCs/>
          <w:color w:val="00188F"/>
          <w:sz w:val="18"/>
          <w:szCs w:val="18"/>
        </w:rPr>
        <w:t>:</w:t>
      </w:r>
    </w:p>
    <w:p w14:paraId="7808DD83" w14:textId="77777777" w:rsidR="00C74FF1" w:rsidRPr="00C63E56" w:rsidRDefault="00C74FF1" w:rsidP="00C74FF1">
      <w:pPr>
        <w:pStyle w:val="paragraph"/>
        <w:spacing w:before="0" w:beforeAutospacing="0" w:after="0" w:afterAutospacing="0"/>
        <w:textAlignment w:val="baseline"/>
        <w:rPr>
          <w:rFonts w:ascii="Calibri" w:hAnsi="Calibri" w:cs="Calibri"/>
          <w:sz w:val="18"/>
          <w:szCs w:val="18"/>
        </w:rPr>
      </w:pPr>
      <w:r w:rsidRPr="000346FC">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Azure Managed Redis-Instanz</w:t>
      </w:r>
      <w:r>
        <w:rPr>
          <w:rFonts w:ascii="Calibri" w:hAnsi="Calibri" w:cs="Calibri"/>
          <w:b/>
          <w:bCs/>
          <w:color w:val="00188F"/>
          <w:sz w:val="18"/>
          <w:szCs w:val="18"/>
          <w:bdr w:val="none" w:sz="0" w:space="0" w:color="auto" w:frame="1"/>
        </w:rPr>
        <w:t>“</w:t>
      </w:r>
      <w:r>
        <w:rPr>
          <w:rStyle w:val="normaltextrun"/>
          <w:rFonts w:ascii="Calibri" w:eastAsiaTheme="majorEastAsia" w:hAnsi="Calibri" w:cs="Calibri"/>
          <w:sz w:val="18"/>
          <w:szCs w:val="18"/>
        </w:rPr>
        <w:t xml:space="preserve"> ist eine Bereitstellung des Azure Managed Redis-Dienstes in einer Weise, dass die Lese-/Schreibzugriffsendpunkte im Verwaltungsportal aufgeführt werden.</w:t>
      </w:r>
    </w:p>
    <w:p w14:paraId="0726EB2C" w14:textId="77777777" w:rsidR="00C74FF1" w:rsidRPr="00C63E56" w:rsidRDefault="00C74FF1" w:rsidP="00C74FF1">
      <w:pPr>
        <w:pStyle w:val="paragraph"/>
        <w:spacing w:before="0" w:beforeAutospacing="0" w:after="0" w:afterAutospacing="0"/>
        <w:textAlignment w:val="baseline"/>
        <w:rPr>
          <w:rFonts w:ascii="Calibri" w:hAnsi="Calibri" w:cs="Calibri"/>
          <w:sz w:val="18"/>
          <w:szCs w:val="18"/>
        </w:rPr>
      </w:pPr>
      <w:r w:rsidRPr="000346FC">
        <w:rPr>
          <w:rStyle w:val="normaltextrun"/>
          <w:rFonts w:ascii="Calibri" w:eastAsiaTheme="majorEastAsia" w:hAnsi="Calibri" w:cs="Calibri"/>
          <w:b/>
          <w:color w:val="00188F"/>
          <w:sz w:val="18"/>
          <w:szCs w:val="18"/>
        </w:rPr>
        <w:t>„</w:t>
      </w:r>
      <w:r>
        <w:rPr>
          <w:rStyle w:val="normaltextrun"/>
          <w:rFonts w:ascii="Calibri" w:eastAsiaTheme="majorEastAsia" w:hAnsi="Calibri" w:cs="Calibri"/>
          <w:b/>
          <w:color w:val="00188F"/>
          <w:sz w:val="18"/>
          <w:szCs w:val="18"/>
        </w:rPr>
        <w:t>Azure Managed Redis-Endpunkte</w:t>
      </w:r>
      <w:r>
        <w:rPr>
          <w:rFonts w:ascii="Calibri" w:hAnsi="Calibri" w:cs="Calibri"/>
          <w:b/>
          <w:bCs/>
          <w:color w:val="00188F"/>
          <w:sz w:val="18"/>
          <w:szCs w:val="18"/>
          <w:bdr w:val="none" w:sz="0" w:space="0" w:color="auto" w:frame="1"/>
        </w:rPr>
        <w:t>“</w:t>
      </w:r>
      <w:r>
        <w:rPr>
          <w:rStyle w:val="normaltextrun"/>
          <w:rFonts w:ascii="Calibri" w:eastAsiaTheme="majorEastAsia" w:hAnsi="Calibri" w:cs="Calibri"/>
          <w:b/>
          <w:bCs/>
          <w:color w:val="00188F"/>
          <w:sz w:val="18"/>
          <w:szCs w:val="18"/>
        </w:rPr>
        <w:t xml:space="preserve"> </w:t>
      </w:r>
      <w:r>
        <w:rPr>
          <w:rStyle w:val="normaltextrun"/>
          <w:rFonts w:ascii="Calibri" w:eastAsiaTheme="majorEastAsia" w:hAnsi="Calibri" w:cs="Calibri"/>
          <w:sz w:val="18"/>
          <w:szCs w:val="18"/>
        </w:rPr>
        <w:t>bezieht sich auf Endpunkte, über die auf ein Azure Managed Redis zugegriffen werden kann.</w:t>
      </w:r>
    </w:p>
    <w:p w14:paraId="7B189EC5" w14:textId="77777777" w:rsidR="00C74FF1" w:rsidRPr="00C63E56" w:rsidRDefault="00C74FF1" w:rsidP="00C74FF1">
      <w:pPr>
        <w:pStyle w:val="paragraph"/>
        <w:spacing w:before="0" w:beforeAutospacing="0" w:after="0" w:afterAutospacing="0"/>
        <w:textAlignment w:val="baseline"/>
        <w:rPr>
          <w:rFonts w:ascii="Calibri" w:hAnsi="Calibri" w:cs="Calibri"/>
          <w:sz w:val="18"/>
          <w:szCs w:val="18"/>
        </w:rPr>
      </w:pPr>
      <w:r w:rsidRPr="000346FC">
        <w:rPr>
          <w:rStyle w:val="normaltextrun"/>
          <w:rFonts w:ascii="Calibri" w:eastAsiaTheme="majorEastAsia" w:hAnsi="Calibri" w:cs="Calibri"/>
          <w:b/>
          <w:bCs/>
          <w:color w:val="00188F"/>
          <w:sz w:val="18"/>
          <w:szCs w:val="18"/>
        </w:rPr>
        <w:lastRenderedPageBreak/>
        <w:t>„</w:t>
      </w:r>
      <w:r>
        <w:rPr>
          <w:rStyle w:val="normaltextrun"/>
          <w:rFonts w:ascii="Calibri" w:eastAsiaTheme="majorEastAsia" w:hAnsi="Calibri" w:cs="Calibri"/>
          <w:b/>
          <w:bCs/>
          <w:color w:val="00188F"/>
          <w:sz w:val="18"/>
          <w:szCs w:val="18"/>
        </w:rPr>
        <w:t>Hohe Verfügbarkeit</w:t>
      </w:r>
      <w:r>
        <w:rPr>
          <w:rFonts w:ascii="Calibri" w:hAnsi="Calibri" w:cs="Calibri"/>
          <w:b/>
          <w:bCs/>
          <w:color w:val="00188F"/>
          <w:sz w:val="18"/>
          <w:szCs w:val="18"/>
          <w:bdr w:val="none" w:sz="0" w:space="0" w:color="auto" w:frame="1"/>
        </w:rPr>
        <w:t>“</w:t>
      </w:r>
      <w:r>
        <w:rPr>
          <w:rStyle w:val="normaltextrun"/>
          <w:rFonts w:ascii="Calibri" w:eastAsiaTheme="majorEastAsia" w:hAnsi="Calibri" w:cs="Calibri"/>
          <w:color w:val="000000"/>
          <w:sz w:val="18"/>
          <w:szCs w:val="18"/>
        </w:rPr>
        <w:t xml:space="preserve"> bedeutet im Kontext von Azure Managed Redis, dass die Azure Managed Redis-Instanz in einer Hochverfügbarkeitskonfiguration mit primären und Replikat-Shards auf zwei oder mehr Knoten bereitgestellt wurde.</w:t>
      </w:r>
    </w:p>
    <w:p w14:paraId="7A8FD6B6" w14:textId="77777777" w:rsidR="00C74FF1" w:rsidRPr="00C63E56" w:rsidRDefault="00C74FF1" w:rsidP="00C74FF1">
      <w:pPr>
        <w:pStyle w:val="paragraph"/>
        <w:spacing w:before="0" w:beforeAutospacing="0" w:after="0" w:afterAutospacing="0"/>
        <w:textAlignment w:val="baseline"/>
        <w:rPr>
          <w:rFonts w:ascii="Calibri" w:hAnsi="Calibri" w:cs="Calibri"/>
          <w:sz w:val="18"/>
          <w:szCs w:val="18"/>
        </w:rPr>
      </w:pPr>
      <w:r w:rsidRPr="000346FC">
        <w:rPr>
          <w:rStyle w:val="normaltextrun"/>
          <w:rFonts w:ascii="Calibri" w:eastAsiaTheme="majorEastAsia" w:hAnsi="Calibri" w:cs="Calibri"/>
          <w:b/>
          <w:color w:val="00188F"/>
          <w:sz w:val="18"/>
          <w:szCs w:val="18"/>
        </w:rPr>
        <w:t>„</w:t>
      </w:r>
      <w:r>
        <w:rPr>
          <w:rStyle w:val="normaltextrun"/>
          <w:rFonts w:ascii="Calibri" w:eastAsiaTheme="majorEastAsia" w:hAnsi="Calibri" w:cs="Calibri"/>
          <w:b/>
          <w:color w:val="00188F"/>
          <w:sz w:val="18"/>
          <w:szCs w:val="18"/>
        </w:rPr>
        <w:t>Aktive Georeplikation</w:t>
      </w:r>
      <w:r>
        <w:rPr>
          <w:rFonts w:ascii="Calibri" w:hAnsi="Calibri" w:cs="Calibri"/>
          <w:b/>
          <w:bCs/>
          <w:color w:val="00188F"/>
          <w:sz w:val="18"/>
          <w:szCs w:val="18"/>
          <w:bdr w:val="none" w:sz="0" w:space="0" w:color="auto" w:frame="1"/>
        </w:rPr>
        <w:t>“</w:t>
      </w:r>
      <w:r>
        <w:rPr>
          <w:rStyle w:val="normaltextrun"/>
          <w:rFonts w:ascii="Calibri" w:eastAsiaTheme="majorEastAsia" w:hAnsi="Calibri" w:cs="Calibri"/>
          <w:b/>
          <w:bCs/>
          <w:color w:val="00188F"/>
          <w:sz w:val="18"/>
          <w:szCs w:val="18"/>
        </w:rPr>
        <w:t xml:space="preserve"> </w:t>
      </w:r>
      <w:r>
        <w:rPr>
          <w:rStyle w:val="normaltextrun"/>
          <w:rFonts w:ascii="Calibri" w:eastAsiaTheme="majorEastAsia" w:hAnsi="Calibri" w:cs="Calibri"/>
          <w:color w:val="000000"/>
          <w:sz w:val="18"/>
          <w:szCs w:val="18"/>
        </w:rPr>
        <w:t>bezieht sich auf die Aktivierung einer Georeplikationsgruppe mit mehreren geografisch verteilten Azure Managed Redis-Instanzen, um Daten in einer Aktiv-Aktiv-Konfiguration zu synchronisieren.</w:t>
      </w:r>
    </w:p>
    <w:p w14:paraId="7B2CFABA" w14:textId="77777777" w:rsidR="00C74FF1" w:rsidRPr="00C63E56" w:rsidRDefault="00C74FF1" w:rsidP="00C74FF1">
      <w:pPr>
        <w:pStyle w:val="paragraph"/>
        <w:spacing w:before="0" w:beforeAutospacing="0" w:after="0" w:afterAutospacing="0"/>
        <w:textAlignment w:val="baseline"/>
        <w:rPr>
          <w:rFonts w:ascii="Calibri" w:hAnsi="Calibri" w:cs="Calibri"/>
          <w:sz w:val="18"/>
          <w:szCs w:val="18"/>
        </w:rPr>
      </w:pPr>
      <w:r w:rsidRPr="000346FC">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Verfügbarkeitszone</w:t>
      </w:r>
      <w:r>
        <w:rPr>
          <w:rFonts w:ascii="Calibri" w:hAnsi="Calibri" w:cs="Calibri"/>
          <w:b/>
          <w:bCs/>
          <w:color w:val="00188F"/>
          <w:sz w:val="18"/>
          <w:szCs w:val="18"/>
          <w:bdr w:val="none" w:sz="0" w:space="0" w:color="auto" w:frame="1"/>
        </w:rPr>
        <w:t>“</w:t>
      </w:r>
      <w:r>
        <w:rPr>
          <w:rStyle w:val="normaltextrun"/>
          <w:rFonts w:ascii="Calibri" w:eastAsiaTheme="majorEastAsia" w:hAnsi="Calibri" w:cs="Calibri"/>
          <w:color w:val="000000"/>
          <w:sz w:val="18"/>
          <w:szCs w:val="18"/>
        </w:rPr>
        <w:t xml:space="preserve"> ist ein fehlerisolierter Bereich in einer Azure-Region, der redundante Stromversorgung, Kühlung und Vernetzung zur Verfügung stellt.</w:t>
      </w:r>
    </w:p>
    <w:p w14:paraId="079BA018" w14:textId="77777777" w:rsidR="00C74FF1" w:rsidRPr="00C63E56" w:rsidRDefault="00C74FF1" w:rsidP="00C74FF1">
      <w:pPr>
        <w:pStyle w:val="paragraph"/>
        <w:spacing w:before="0" w:beforeAutospacing="0" w:after="0" w:afterAutospacing="0"/>
        <w:textAlignment w:val="baseline"/>
        <w:rPr>
          <w:rFonts w:ascii="Calibri" w:hAnsi="Calibri" w:cs="Calibri"/>
          <w:sz w:val="18"/>
          <w:szCs w:val="18"/>
        </w:rPr>
      </w:pPr>
      <w:r w:rsidRPr="000346FC">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Zonenredundanz</w:t>
      </w:r>
      <w:r>
        <w:rPr>
          <w:rFonts w:ascii="Calibri" w:hAnsi="Calibri" w:cs="Calibri"/>
          <w:b/>
          <w:bCs/>
          <w:color w:val="00188F"/>
          <w:sz w:val="18"/>
          <w:szCs w:val="18"/>
          <w:bdr w:val="none" w:sz="0" w:space="0" w:color="auto" w:frame="1"/>
        </w:rPr>
        <w:t>“</w:t>
      </w:r>
      <w:r>
        <w:rPr>
          <w:rStyle w:val="normaltextrun"/>
          <w:rFonts w:ascii="Calibri" w:eastAsiaTheme="majorEastAsia" w:hAnsi="Calibri" w:cs="Calibri"/>
          <w:color w:val="000000"/>
          <w:sz w:val="18"/>
          <w:szCs w:val="18"/>
        </w:rPr>
        <w:t xml:space="preserve"> bezieht sich auf eine Azure Managed Redis-Instanz, die mit hoher Verfügbarkeit bereitgestellt wird, wobei primäre und Replikat-Shards auf zwei oder mehr Verfügbarkeitszonen verteilt sind.</w:t>
      </w:r>
    </w:p>
    <w:p w14:paraId="78596932" w14:textId="77777777" w:rsidR="00C74FF1" w:rsidRPr="00C63E56" w:rsidRDefault="00C74FF1" w:rsidP="00C74FF1">
      <w:pPr>
        <w:pStyle w:val="paragraph"/>
        <w:spacing w:before="120" w:beforeAutospacing="0" w:after="0" w:afterAutospacing="0"/>
        <w:textAlignment w:val="baseline"/>
        <w:rPr>
          <w:rFonts w:ascii="Calibri" w:hAnsi="Calibri" w:cs="Calibri"/>
          <w:b/>
          <w:sz w:val="18"/>
          <w:szCs w:val="18"/>
        </w:rPr>
      </w:pPr>
      <w:r>
        <w:rPr>
          <w:rStyle w:val="normaltextrun"/>
          <w:rFonts w:ascii="Calibri" w:eastAsiaTheme="majorEastAsia" w:hAnsi="Calibri" w:cs="Calibri"/>
          <w:b/>
          <w:color w:val="00188F"/>
          <w:sz w:val="18"/>
          <w:szCs w:val="18"/>
        </w:rPr>
        <w:t>Betriebszeitberechnung und Servicelevels für den Azure Managed Redis-Dienst ohne aktive Georeplikation</w:t>
      </w:r>
    </w:p>
    <w:p w14:paraId="19259103" w14:textId="77777777" w:rsidR="00C74FF1" w:rsidRPr="00C63E56" w:rsidRDefault="00C74FF1" w:rsidP="00C74FF1">
      <w:pPr>
        <w:pStyle w:val="paragraph"/>
        <w:spacing w:before="0" w:beforeAutospacing="0" w:after="0" w:afterAutospacing="0"/>
        <w:textAlignment w:val="baseline"/>
        <w:rPr>
          <w:rFonts w:ascii="Calibri" w:hAnsi="Calibri" w:cs="Calibri"/>
          <w:sz w:val="18"/>
          <w:szCs w:val="18"/>
        </w:rPr>
      </w:pPr>
      <w:r w:rsidRPr="000346FC">
        <w:rPr>
          <w:rStyle w:val="normaltextrun"/>
          <w:rFonts w:ascii="Calibri" w:eastAsiaTheme="majorEastAsia" w:hAnsi="Calibri" w:cs="Calibri"/>
          <w:b/>
          <w:color w:val="00188F"/>
          <w:sz w:val="18"/>
          <w:szCs w:val="18"/>
        </w:rPr>
        <w:t>„</w:t>
      </w:r>
      <w:r>
        <w:rPr>
          <w:rStyle w:val="normaltextrun"/>
          <w:rFonts w:ascii="Calibri" w:eastAsiaTheme="majorEastAsia" w:hAnsi="Calibri" w:cs="Calibri"/>
          <w:b/>
          <w:color w:val="00188F"/>
          <w:sz w:val="18"/>
          <w:szCs w:val="18"/>
        </w:rPr>
        <w:t>Maximal verfügbare Minuten</w:t>
      </w:r>
      <w:r>
        <w:rPr>
          <w:rFonts w:ascii="Calibri" w:hAnsi="Calibri" w:cs="Calibri"/>
          <w:b/>
          <w:bCs/>
          <w:color w:val="00188F"/>
          <w:sz w:val="18"/>
          <w:szCs w:val="18"/>
          <w:bdr w:val="none" w:sz="0" w:space="0" w:color="auto" w:frame="1"/>
        </w:rPr>
        <w:t>“</w:t>
      </w:r>
      <w:r>
        <w:rPr>
          <w:rStyle w:val="normaltextrun"/>
          <w:rFonts w:ascii="Calibri" w:eastAsiaTheme="majorEastAsia" w:hAnsi="Calibri" w:cs="Calibri"/>
          <w:sz w:val="18"/>
          <w:szCs w:val="18"/>
        </w:rPr>
        <w:t xml:space="preserve"> ist die Gesamtzahl der Minuten für eine bestimmte Azure Managed Redis-Instanz, die vom Kunden in einem Microsoft Azure-Abonnement während eines Anwendbaren Zeitraums bereitgestellt wird.</w:t>
      </w:r>
    </w:p>
    <w:p w14:paraId="5138DEA7" w14:textId="77777777" w:rsidR="00C74FF1" w:rsidRPr="00C63E56" w:rsidRDefault="00C74FF1" w:rsidP="00C74FF1">
      <w:pPr>
        <w:pStyle w:val="paragraph"/>
        <w:spacing w:before="0" w:beforeAutospacing="0" w:after="0" w:afterAutospacing="0"/>
        <w:textAlignment w:val="baseline"/>
        <w:rPr>
          <w:rFonts w:ascii="Calibri" w:hAnsi="Calibri" w:cs="Calibri"/>
          <w:sz w:val="18"/>
          <w:szCs w:val="18"/>
        </w:rPr>
      </w:pPr>
      <w:r w:rsidRPr="000346FC">
        <w:rPr>
          <w:rStyle w:val="normaltextrun"/>
          <w:rFonts w:ascii="Calibri" w:eastAsiaTheme="majorEastAsia" w:hAnsi="Calibri" w:cs="Calibri"/>
          <w:b/>
          <w:color w:val="00188F"/>
          <w:sz w:val="18"/>
          <w:szCs w:val="18"/>
        </w:rPr>
        <w:t>„</w:t>
      </w:r>
      <w:r>
        <w:rPr>
          <w:rStyle w:val="normaltextrun"/>
          <w:rFonts w:ascii="Calibri" w:eastAsiaTheme="majorEastAsia" w:hAnsi="Calibri" w:cs="Calibri"/>
          <w:b/>
          <w:color w:val="00188F"/>
          <w:sz w:val="18"/>
          <w:szCs w:val="18"/>
        </w:rPr>
        <w:t>Ausfallzeit</w:t>
      </w:r>
      <w:r>
        <w:rPr>
          <w:rFonts w:ascii="Calibri" w:hAnsi="Calibri" w:cs="Calibri"/>
          <w:b/>
          <w:bCs/>
          <w:color w:val="00188F"/>
          <w:sz w:val="18"/>
          <w:szCs w:val="18"/>
          <w:bdr w:val="none" w:sz="0" w:space="0" w:color="auto" w:frame="1"/>
        </w:rPr>
        <w:t>“</w:t>
      </w:r>
      <w:r>
        <w:rPr>
          <w:rStyle w:val="normaltextrun"/>
          <w:rFonts w:ascii="Calibri" w:eastAsiaTheme="majorEastAsia" w:hAnsi="Calibri" w:cs="Calibri"/>
          <w:sz w:val="18"/>
          <w:szCs w:val="18"/>
        </w:rPr>
        <w:t xml:space="preserve"> ist die Gesamtzahl der Minuten innerhalb der Maximal verfügbaren Minuten, während denen eine Azure Managed Redis-Instanz nicht verfügbar ist. Eine Minute gilt für eine bestimmte Azure Managed Redis-Instanz als nicht verfügbar, wenn während der gesamten Minute keine Verbindung zwischen allen mit der Azure Managed Redis-Instanz verbundenen Azure Managed Redis-Endpunkten und dem Internet-Gateway von Microsoft besteht und der Kunde keine Produktfunktionen oder Verwaltungsaktionen initiiert hat, die nachweislich zu einer vorübergehenden Nichtverfügbarkeit führen.</w:t>
      </w:r>
    </w:p>
    <w:p w14:paraId="0DC2A036" w14:textId="77777777" w:rsidR="00C74FF1" w:rsidRPr="00C63E56" w:rsidRDefault="00C74FF1" w:rsidP="00C74FF1">
      <w:pPr>
        <w:pStyle w:val="paragraph"/>
        <w:spacing w:before="0" w:beforeAutospacing="0" w:after="0" w:afterAutospacing="0"/>
        <w:textAlignment w:val="baseline"/>
        <w:rPr>
          <w:rStyle w:val="eop"/>
          <w:rFonts w:ascii="Calibri" w:eastAsiaTheme="majorEastAsia" w:hAnsi="Calibri" w:cs="Calibri"/>
          <w:szCs w:val="18"/>
          <w:bdr w:val="none" w:sz="0" w:space="0" w:color="auto" w:frame="1"/>
          <w:shd w:val="clear" w:color="auto" w:fill="C6C6C6"/>
        </w:rPr>
      </w:pPr>
      <w:r>
        <w:rPr>
          <w:rStyle w:val="normaltextrun"/>
          <w:rFonts w:ascii="Calibri" w:eastAsiaTheme="majorEastAsia" w:hAnsi="Calibri" w:cs="Calibri"/>
          <w:b/>
          <w:color w:val="00188F"/>
          <w:sz w:val="18"/>
          <w:szCs w:val="18"/>
        </w:rPr>
        <w:t>Betriebszeitprozentsatz</w:t>
      </w:r>
      <w:r>
        <w:rPr>
          <w:rFonts w:ascii="Calibri" w:hAnsi="Calibri" w:cs="Calibri"/>
          <w:b/>
          <w:bCs/>
          <w:color w:val="00188F"/>
          <w:sz w:val="18"/>
          <w:szCs w:val="18"/>
        </w:rPr>
        <w:t>:</w:t>
      </w:r>
      <w:r>
        <w:rPr>
          <w:rStyle w:val="normaltextrun"/>
          <w:rFonts w:ascii="Calibri" w:eastAsiaTheme="majorEastAsia" w:hAnsi="Calibri" w:cs="Calibri"/>
          <w:sz w:val="18"/>
          <w:szCs w:val="18"/>
        </w:rPr>
        <w:t xml:space="preserve"> Der Betriebszeitprozentsatz errechnet sich nach folgender Formel:</w:t>
      </w:r>
    </w:p>
    <w:p w14:paraId="7E88EE89" w14:textId="77777777" w:rsidR="00C74FF1" w:rsidRPr="001E28FB" w:rsidRDefault="00000000" w:rsidP="00C74FF1">
      <w:pPr>
        <w:spacing w:before="160" w:line="240" w:lineRule="auto"/>
        <w:rPr>
          <w:rFonts w:eastAsiaTheme="minorEastAsia"/>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Maximal verfügbare Minuten – Ausfallzeit</m:t>
              </m:r>
            </m:num>
            <m:den>
              <m:r>
                <m:rPr>
                  <m:nor/>
                </m:rPr>
                <w:rPr>
                  <w:rFonts w:ascii="Cambria Math" w:hAnsi="Cambria Math" w:cs="Tahoma"/>
                  <w:i/>
                  <w:sz w:val="18"/>
                  <w:szCs w:val="18"/>
                </w:rPr>
                <m:t>Maximal verfügbare Minuten</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6340371" w14:textId="77777777" w:rsidR="00C74FF1" w:rsidRDefault="00C74FF1" w:rsidP="00C74FF1">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 xml:space="preserve">Die folgenden Servicelevels und Servicegutschriften gelten für die Nutzung der Stufen </w:t>
      </w:r>
      <w:r w:rsidRPr="000346FC">
        <w:rPr>
          <w:rFonts w:ascii="Calibri" w:eastAsia="Times New Roman" w:hAnsi="Calibri" w:cs="Calibri"/>
          <w:b/>
          <w:bCs/>
          <w:color w:val="00188F"/>
          <w:sz w:val="18"/>
          <w:szCs w:val="18"/>
        </w:rPr>
        <w:t>„</w:t>
      </w:r>
      <w:r>
        <w:rPr>
          <w:rFonts w:ascii="Calibri" w:eastAsia="Times New Roman" w:hAnsi="Calibri" w:cs="Calibri"/>
          <w:b/>
          <w:bCs/>
          <w:color w:val="00188F"/>
          <w:sz w:val="18"/>
          <w:szCs w:val="18"/>
        </w:rPr>
        <w:t>Memory Optimized</w:t>
      </w:r>
      <w:r>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rPr>
        <w:t xml:space="preserve">, </w:t>
      </w:r>
      <w:r w:rsidRPr="000346FC">
        <w:rPr>
          <w:rFonts w:ascii="Calibri" w:eastAsia="Times New Roman" w:hAnsi="Calibri" w:cs="Calibri"/>
          <w:b/>
          <w:bCs/>
          <w:color w:val="00188F"/>
          <w:sz w:val="18"/>
          <w:szCs w:val="18"/>
        </w:rPr>
        <w:t>„</w:t>
      </w:r>
      <w:r>
        <w:rPr>
          <w:rFonts w:ascii="Calibri" w:eastAsia="Times New Roman" w:hAnsi="Calibri" w:cs="Calibri"/>
          <w:b/>
          <w:bCs/>
          <w:color w:val="00188F"/>
          <w:sz w:val="18"/>
          <w:szCs w:val="18"/>
        </w:rPr>
        <w:t>Balanced</w:t>
      </w:r>
      <w:r>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rPr>
        <w:t xml:space="preserve">, </w:t>
      </w:r>
      <w:r w:rsidRPr="000346FC">
        <w:rPr>
          <w:rFonts w:ascii="Calibri" w:eastAsia="Times New Roman" w:hAnsi="Calibri" w:cs="Calibri"/>
          <w:b/>
          <w:bCs/>
          <w:color w:val="00188F"/>
          <w:sz w:val="18"/>
          <w:szCs w:val="18"/>
        </w:rPr>
        <w:t>„</w:t>
      </w:r>
      <w:r>
        <w:rPr>
          <w:rFonts w:ascii="Calibri" w:eastAsia="Times New Roman" w:hAnsi="Calibri" w:cs="Calibri"/>
          <w:b/>
          <w:bCs/>
          <w:color w:val="00188F"/>
          <w:sz w:val="18"/>
          <w:szCs w:val="18"/>
        </w:rPr>
        <w:t>Compute Optimized</w:t>
      </w:r>
      <w:r>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rPr>
        <w:t xml:space="preserve"> und </w:t>
      </w:r>
      <w:r w:rsidRPr="000346FC">
        <w:rPr>
          <w:rFonts w:ascii="Calibri" w:eastAsia="Times New Roman" w:hAnsi="Calibri" w:cs="Calibri"/>
          <w:b/>
          <w:bCs/>
          <w:color w:val="00188F"/>
          <w:sz w:val="18"/>
          <w:szCs w:val="18"/>
        </w:rPr>
        <w:t>„</w:t>
      </w:r>
      <w:r>
        <w:rPr>
          <w:rFonts w:ascii="Calibri" w:eastAsia="Times New Roman" w:hAnsi="Calibri" w:cs="Calibri"/>
          <w:b/>
          <w:bCs/>
          <w:color w:val="00188F"/>
          <w:sz w:val="18"/>
          <w:szCs w:val="18"/>
        </w:rPr>
        <w:t>Flash Optimized</w:t>
      </w:r>
      <w:r>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rPr>
        <w:t xml:space="preserve"> von Azure Managed Redis durch den Kunden, die im Hochverfügbarkeitsmodus ohne Verwendung von Zonenredundanz konfiguriert sind:</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74FF1" w:rsidRPr="00EF7CF9" w14:paraId="6499986A" w14:textId="77777777" w:rsidTr="00A17A5A">
        <w:trPr>
          <w:trHeight w:val="245"/>
          <w:tblHeader/>
        </w:trPr>
        <w:tc>
          <w:tcPr>
            <w:tcW w:w="5400" w:type="dxa"/>
            <w:shd w:val="clear" w:color="auto" w:fill="0072C6"/>
          </w:tcPr>
          <w:p w14:paraId="7474E1AF" w14:textId="77777777" w:rsidR="00C74FF1" w:rsidRPr="00E75915" w:rsidRDefault="00C74FF1"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Betriebszeitprozentsatz</w:t>
            </w:r>
          </w:p>
        </w:tc>
        <w:tc>
          <w:tcPr>
            <w:tcW w:w="5400" w:type="dxa"/>
            <w:shd w:val="clear" w:color="auto" w:fill="0072C6"/>
          </w:tcPr>
          <w:p w14:paraId="4302FC65" w14:textId="77777777" w:rsidR="00C74FF1" w:rsidRPr="00E75915" w:rsidRDefault="00C74FF1"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Servicegutschrift</w:t>
            </w:r>
          </w:p>
        </w:tc>
      </w:tr>
      <w:tr w:rsidR="00C74FF1" w:rsidRPr="00EF7CF9" w14:paraId="63219151" w14:textId="77777777" w:rsidTr="00A17A5A">
        <w:trPr>
          <w:trHeight w:val="245"/>
        </w:trPr>
        <w:tc>
          <w:tcPr>
            <w:tcW w:w="5400" w:type="dxa"/>
          </w:tcPr>
          <w:p w14:paraId="7378FFA8" w14:textId="77777777" w:rsidR="00C74FF1" w:rsidRPr="00E75915" w:rsidRDefault="00C74FF1" w:rsidP="00A17A5A">
            <w:pPr>
              <w:pStyle w:val="ProductList-OfferingBody"/>
              <w:jc w:val="center"/>
              <w:rPr>
                <w:rFonts w:ascii="Calibri" w:hAnsi="Calibri" w:cs="Calibri"/>
                <w:szCs w:val="16"/>
              </w:rPr>
            </w:pPr>
            <w:r>
              <w:rPr>
                <w:rFonts w:ascii="Calibri" w:hAnsi="Calibri" w:cs="Calibri"/>
                <w:szCs w:val="16"/>
              </w:rPr>
              <w:t>&lt; 99,9 %</w:t>
            </w:r>
          </w:p>
        </w:tc>
        <w:tc>
          <w:tcPr>
            <w:tcW w:w="5400" w:type="dxa"/>
          </w:tcPr>
          <w:p w14:paraId="03F4D87B" w14:textId="77777777" w:rsidR="00C74FF1" w:rsidRPr="00E75915" w:rsidRDefault="00C74FF1" w:rsidP="00A17A5A">
            <w:pPr>
              <w:pStyle w:val="ProductList-OfferingBody"/>
              <w:jc w:val="center"/>
              <w:rPr>
                <w:rFonts w:ascii="Calibri" w:hAnsi="Calibri" w:cs="Calibri"/>
                <w:szCs w:val="16"/>
              </w:rPr>
            </w:pPr>
            <w:r>
              <w:rPr>
                <w:rFonts w:ascii="Calibri" w:hAnsi="Calibri" w:cs="Calibri"/>
                <w:szCs w:val="16"/>
              </w:rPr>
              <w:t>10 %</w:t>
            </w:r>
          </w:p>
        </w:tc>
      </w:tr>
      <w:tr w:rsidR="00C74FF1" w:rsidRPr="00EF7CF9" w14:paraId="7CE34E79" w14:textId="77777777" w:rsidTr="00A17A5A">
        <w:trPr>
          <w:trHeight w:val="245"/>
        </w:trPr>
        <w:tc>
          <w:tcPr>
            <w:tcW w:w="5400" w:type="dxa"/>
          </w:tcPr>
          <w:p w14:paraId="19D0B7D4" w14:textId="77777777" w:rsidR="00C74FF1" w:rsidRPr="00E75915" w:rsidRDefault="00C74FF1" w:rsidP="00A17A5A">
            <w:pPr>
              <w:pStyle w:val="ProductList-OfferingBody"/>
              <w:jc w:val="center"/>
              <w:rPr>
                <w:rFonts w:ascii="Calibri" w:hAnsi="Calibri" w:cs="Calibri"/>
                <w:szCs w:val="16"/>
              </w:rPr>
            </w:pPr>
            <w:r>
              <w:rPr>
                <w:rFonts w:ascii="Calibri" w:hAnsi="Calibri" w:cs="Calibri"/>
                <w:szCs w:val="16"/>
              </w:rPr>
              <w:t>&lt; 99 %</w:t>
            </w:r>
          </w:p>
        </w:tc>
        <w:tc>
          <w:tcPr>
            <w:tcW w:w="5400" w:type="dxa"/>
          </w:tcPr>
          <w:p w14:paraId="77290CF7" w14:textId="77777777" w:rsidR="00C74FF1" w:rsidRPr="00E75915" w:rsidRDefault="00C74FF1" w:rsidP="00A17A5A">
            <w:pPr>
              <w:pStyle w:val="ProductList-OfferingBody"/>
              <w:jc w:val="center"/>
              <w:rPr>
                <w:rFonts w:ascii="Calibri" w:hAnsi="Calibri" w:cs="Calibri"/>
                <w:szCs w:val="16"/>
              </w:rPr>
            </w:pPr>
            <w:r>
              <w:rPr>
                <w:rFonts w:ascii="Calibri" w:hAnsi="Calibri" w:cs="Calibri"/>
                <w:szCs w:val="16"/>
              </w:rPr>
              <w:t>25 %</w:t>
            </w:r>
          </w:p>
        </w:tc>
      </w:tr>
    </w:tbl>
    <w:p w14:paraId="374663C8" w14:textId="77777777" w:rsidR="00C74FF1" w:rsidRDefault="00C74FF1" w:rsidP="00C74FF1">
      <w:pPr>
        <w:spacing w:before="120" w:after="0" w:line="240" w:lineRule="auto"/>
        <w:textAlignment w:val="baseline"/>
        <w:rPr>
          <w:rFonts w:ascii="Calibri" w:eastAsia="Times New Roman" w:hAnsi="Calibri" w:cs="Calibri"/>
          <w:b/>
          <w:bCs/>
          <w:color w:val="00188F"/>
          <w:sz w:val="18"/>
          <w:szCs w:val="18"/>
        </w:rPr>
      </w:pPr>
      <w:bookmarkStart w:id="226" w:name="_Hlk197960496"/>
      <w:r>
        <w:rPr>
          <w:rFonts w:ascii="Calibri" w:eastAsia="Times New Roman" w:hAnsi="Calibri" w:cs="Calibri"/>
          <w:b/>
          <w:bCs/>
          <w:color w:val="00188F"/>
          <w:sz w:val="18"/>
          <w:szCs w:val="18"/>
        </w:rPr>
        <w:t xml:space="preserve">Die folgenden Servicelevels und Servicegutschriften gelten für die Nutzung der Stufen </w:t>
      </w:r>
      <w:r w:rsidRPr="000346FC">
        <w:rPr>
          <w:rFonts w:ascii="Calibri" w:eastAsia="Times New Roman" w:hAnsi="Calibri" w:cs="Calibri"/>
          <w:b/>
          <w:bCs/>
          <w:color w:val="00188F"/>
          <w:sz w:val="18"/>
          <w:szCs w:val="18"/>
        </w:rPr>
        <w:t>„</w:t>
      </w:r>
      <w:r>
        <w:rPr>
          <w:rFonts w:ascii="Calibri" w:eastAsia="Times New Roman" w:hAnsi="Calibri" w:cs="Calibri"/>
          <w:b/>
          <w:bCs/>
          <w:color w:val="00188F"/>
          <w:sz w:val="18"/>
          <w:szCs w:val="18"/>
        </w:rPr>
        <w:t>Memory Optimized</w:t>
      </w:r>
      <w:r>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rPr>
        <w:t xml:space="preserve">, </w:t>
      </w:r>
      <w:r w:rsidRPr="000346FC">
        <w:rPr>
          <w:rFonts w:ascii="Calibri" w:eastAsia="Times New Roman" w:hAnsi="Calibri" w:cs="Calibri"/>
          <w:b/>
          <w:bCs/>
          <w:color w:val="00188F"/>
          <w:sz w:val="18"/>
          <w:szCs w:val="18"/>
        </w:rPr>
        <w:t>„</w:t>
      </w:r>
      <w:r>
        <w:rPr>
          <w:rFonts w:ascii="Calibri" w:eastAsia="Times New Roman" w:hAnsi="Calibri" w:cs="Calibri"/>
          <w:b/>
          <w:bCs/>
          <w:color w:val="00188F"/>
          <w:sz w:val="18"/>
          <w:szCs w:val="18"/>
        </w:rPr>
        <w:t>Balanced</w:t>
      </w:r>
      <w:r>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rPr>
        <w:t xml:space="preserve">, </w:t>
      </w:r>
      <w:r w:rsidRPr="000346FC">
        <w:rPr>
          <w:rFonts w:ascii="Calibri" w:eastAsia="Times New Roman" w:hAnsi="Calibri" w:cs="Calibri"/>
          <w:b/>
          <w:bCs/>
          <w:color w:val="00188F"/>
          <w:sz w:val="18"/>
          <w:szCs w:val="18"/>
        </w:rPr>
        <w:t>„</w:t>
      </w:r>
      <w:r>
        <w:rPr>
          <w:rFonts w:ascii="Calibri" w:eastAsia="Times New Roman" w:hAnsi="Calibri" w:cs="Calibri"/>
          <w:b/>
          <w:bCs/>
          <w:color w:val="00188F"/>
          <w:sz w:val="18"/>
          <w:szCs w:val="18"/>
        </w:rPr>
        <w:t>Compute Optimized</w:t>
      </w:r>
      <w:r>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rPr>
        <w:t xml:space="preserve"> und </w:t>
      </w:r>
      <w:r w:rsidRPr="000346FC">
        <w:rPr>
          <w:rFonts w:ascii="Calibri" w:eastAsia="Times New Roman" w:hAnsi="Calibri" w:cs="Calibri"/>
          <w:b/>
          <w:bCs/>
          <w:color w:val="00188F"/>
          <w:sz w:val="18"/>
          <w:szCs w:val="18"/>
        </w:rPr>
        <w:t>„</w:t>
      </w:r>
      <w:r>
        <w:rPr>
          <w:rFonts w:ascii="Calibri" w:eastAsia="Times New Roman" w:hAnsi="Calibri" w:cs="Calibri"/>
          <w:b/>
          <w:bCs/>
          <w:color w:val="00188F"/>
          <w:sz w:val="18"/>
          <w:szCs w:val="18"/>
        </w:rPr>
        <w:t>Flash Optimized</w:t>
      </w:r>
      <w:r>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rPr>
        <w:t xml:space="preserve"> von Azure Managed Redis durch den Kunden, die im Hochverfügbarkeitsmodus mit der Verwendung von Zonenredundanz konfiguriert sind:</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74FF1" w:rsidRPr="00E75915" w14:paraId="5B69CF23" w14:textId="77777777" w:rsidTr="00A17A5A">
        <w:trPr>
          <w:trHeight w:val="245"/>
          <w:tblHeader/>
        </w:trPr>
        <w:tc>
          <w:tcPr>
            <w:tcW w:w="5400" w:type="dxa"/>
            <w:shd w:val="clear" w:color="auto" w:fill="0072C6"/>
          </w:tcPr>
          <w:p w14:paraId="226EB1D2" w14:textId="77777777" w:rsidR="00C74FF1" w:rsidRPr="00E75915" w:rsidRDefault="00C74FF1"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Betriebszeitprozentsatz</w:t>
            </w:r>
          </w:p>
        </w:tc>
        <w:tc>
          <w:tcPr>
            <w:tcW w:w="5400" w:type="dxa"/>
            <w:shd w:val="clear" w:color="auto" w:fill="0072C6"/>
          </w:tcPr>
          <w:p w14:paraId="0BA887AE" w14:textId="77777777" w:rsidR="00C74FF1" w:rsidRPr="00E75915" w:rsidRDefault="00C74FF1"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Servicegutschrift</w:t>
            </w:r>
          </w:p>
        </w:tc>
      </w:tr>
      <w:tr w:rsidR="00C74FF1" w:rsidRPr="00E75915" w14:paraId="6EFD2D24" w14:textId="77777777" w:rsidTr="00A17A5A">
        <w:trPr>
          <w:trHeight w:val="245"/>
        </w:trPr>
        <w:tc>
          <w:tcPr>
            <w:tcW w:w="5400" w:type="dxa"/>
          </w:tcPr>
          <w:p w14:paraId="053C6303" w14:textId="5BEC6349" w:rsidR="00C74FF1" w:rsidRPr="00E75915" w:rsidRDefault="00C74FF1" w:rsidP="00A17A5A">
            <w:pPr>
              <w:pStyle w:val="ProductList-OfferingBody"/>
              <w:jc w:val="center"/>
              <w:rPr>
                <w:rFonts w:ascii="Calibri" w:hAnsi="Calibri" w:cs="Calibri"/>
                <w:szCs w:val="16"/>
              </w:rPr>
            </w:pPr>
            <w:r>
              <w:rPr>
                <w:rFonts w:ascii="Calibri" w:hAnsi="Calibri" w:cs="Calibri"/>
                <w:szCs w:val="16"/>
              </w:rPr>
              <w:t>&lt; 99,9</w:t>
            </w:r>
            <w:r w:rsidR="00850395">
              <w:rPr>
                <w:rFonts w:ascii="Calibri" w:hAnsi="Calibri" w:cs="Calibri"/>
                <w:szCs w:val="16"/>
              </w:rPr>
              <w:t>9</w:t>
            </w:r>
            <w:r>
              <w:rPr>
                <w:rFonts w:ascii="Calibri" w:hAnsi="Calibri" w:cs="Calibri"/>
                <w:szCs w:val="16"/>
              </w:rPr>
              <w:t> %</w:t>
            </w:r>
          </w:p>
        </w:tc>
        <w:tc>
          <w:tcPr>
            <w:tcW w:w="5400" w:type="dxa"/>
          </w:tcPr>
          <w:p w14:paraId="78AF0FC7" w14:textId="77777777" w:rsidR="00C74FF1" w:rsidRPr="00E75915" w:rsidRDefault="00C74FF1" w:rsidP="00A17A5A">
            <w:pPr>
              <w:pStyle w:val="ProductList-OfferingBody"/>
              <w:jc w:val="center"/>
              <w:rPr>
                <w:rFonts w:ascii="Calibri" w:hAnsi="Calibri" w:cs="Calibri"/>
                <w:szCs w:val="16"/>
              </w:rPr>
            </w:pPr>
            <w:r>
              <w:rPr>
                <w:rFonts w:ascii="Calibri" w:hAnsi="Calibri" w:cs="Calibri"/>
                <w:szCs w:val="16"/>
              </w:rPr>
              <w:t>10 %</w:t>
            </w:r>
          </w:p>
        </w:tc>
      </w:tr>
      <w:tr w:rsidR="00C74FF1" w:rsidRPr="00E75915" w14:paraId="47C5B0D6" w14:textId="77777777" w:rsidTr="00A17A5A">
        <w:trPr>
          <w:trHeight w:val="245"/>
        </w:trPr>
        <w:tc>
          <w:tcPr>
            <w:tcW w:w="5400" w:type="dxa"/>
          </w:tcPr>
          <w:p w14:paraId="01B9B4FE" w14:textId="77777777" w:rsidR="00C74FF1" w:rsidRPr="00E75915" w:rsidRDefault="00C74FF1" w:rsidP="00A17A5A">
            <w:pPr>
              <w:pStyle w:val="ProductList-OfferingBody"/>
              <w:jc w:val="center"/>
              <w:rPr>
                <w:rFonts w:ascii="Calibri" w:hAnsi="Calibri" w:cs="Calibri"/>
                <w:szCs w:val="16"/>
              </w:rPr>
            </w:pPr>
            <w:r>
              <w:rPr>
                <w:rFonts w:ascii="Calibri" w:hAnsi="Calibri" w:cs="Calibri"/>
                <w:szCs w:val="16"/>
              </w:rPr>
              <w:t>&lt; 99 %</w:t>
            </w:r>
          </w:p>
        </w:tc>
        <w:tc>
          <w:tcPr>
            <w:tcW w:w="5400" w:type="dxa"/>
          </w:tcPr>
          <w:p w14:paraId="4C6131F0" w14:textId="77777777" w:rsidR="00C74FF1" w:rsidRPr="00E75915" w:rsidRDefault="00C74FF1" w:rsidP="00A17A5A">
            <w:pPr>
              <w:pStyle w:val="ProductList-OfferingBody"/>
              <w:jc w:val="center"/>
              <w:rPr>
                <w:rFonts w:ascii="Calibri" w:hAnsi="Calibri" w:cs="Calibri"/>
                <w:szCs w:val="16"/>
              </w:rPr>
            </w:pPr>
            <w:r>
              <w:rPr>
                <w:rFonts w:ascii="Calibri" w:hAnsi="Calibri" w:cs="Calibri"/>
                <w:szCs w:val="16"/>
              </w:rPr>
              <w:t>25 %</w:t>
            </w:r>
          </w:p>
        </w:tc>
      </w:tr>
    </w:tbl>
    <w:p w14:paraId="061DDAC3" w14:textId="77777777" w:rsidR="00C74FF1" w:rsidRPr="00141067" w:rsidRDefault="00C74FF1" w:rsidP="00C74FF1">
      <w:pPr>
        <w:pStyle w:val="paragraph"/>
        <w:spacing w:before="120" w:beforeAutospacing="0" w:after="0" w:afterAutospacing="0"/>
        <w:textAlignment w:val="baseline"/>
        <w:rPr>
          <w:rFonts w:ascii="Calibri" w:hAnsi="Calibri" w:cs="Calibri"/>
          <w:sz w:val="18"/>
          <w:szCs w:val="18"/>
        </w:rPr>
      </w:pPr>
      <w:bookmarkStart w:id="227" w:name="_Hlk197960521"/>
      <w:bookmarkEnd w:id="226"/>
      <w:r>
        <w:rPr>
          <w:rStyle w:val="normaltextrun"/>
          <w:rFonts w:ascii="Calibri" w:eastAsiaTheme="majorEastAsia" w:hAnsi="Calibri" w:cs="Calibri"/>
          <w:b/>
          <w:bCs/>
          <w:color w:val="00188F"/>
          <w:sz w:val="18"/>
          <w:szCs w:val="18"/>
        </w:rPr>
        <w:t>Betriebszeitberechnung und Servicelevels für den Azure Managed Redis-Dienst mit aktiver Georeplikation</w:t>
      </w:r>
    </w:p>
    <w:p w14:paraId="425E1639" w14:textId="77777777" w:rsidR="00C74FF1" w:rsidRPr="00141067" w:rsidRDefault="00C74FF1" w:rsidP="00C74FF1">
      <w:pPr>
        <w:pStyle w:val="paragraph"/>
        <w:spacing w:before="0" w:beforeAutospacing="0" w:after="0" w:afterAutospacing="0"/>
        <w:textAlignment w:val="baseline"/>
        <w:rPr>
          <w:rFonts w:ascii="Calibri" w:hAnsi="Calibri" w:cs="Calibri"/>
          <w:sz w:val="18"/>
          <w:szCs w:val="18"/>
        </w:rPr>
      </w:pPr>
      <w:r w:rsidRPr="000346FC">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Maximal verfügbare Minuten</w:t>
      </w:r>
      <w:r>
        <w:rPr>
          <w:rFonts w:ascii="Calibri" w:hAnsi="Calibri" w:cs="Calibri"/>
          <w:b/>
          <w:bCs/>
          <w:color w:val="00188F"/>
          <w:sz w:val="18"/>
          <w:szCs w:val="18"/>
          <w:bdr w:val="none" w:sz="0" w:space="0" w:color="auto" w:frame="1"/>
        </w:rPr>
        <w:t>“</w:t>
      </w:r>
      <w:r>
        <w:rPr>
          <w:rStyle w:val="normaltextrun"/>
          <w:rFonts w:ascii="Calibri" w:eastAsiaTheme="majorEastAsia" w:hAnsi="Calibri" w:cs="Calibri"/>
          <w:sz w:val="18"/>
          <w:szCs w:val="18"/>
        </w:rPr>
        <w:t xml:space="preserve"> ist die Gesamtzahl der Minuten für eine bestimmte Azure Managed Redis-Instanz, die vom Kunden in einem Microsoft Azure-Abonnement während eines Anwendbaren Zeitraums bereitgestellt wird.</w:t>
      </w:r>
    </w:p>
    <w:p w14:paraId="2E876911" w14:textId="77777777" w:rsidR="00C74FF1" w:rsidRPr="00141067" w:rsidRDefault="00C74FF1" w:rsidP="00C74FF1">
      <w:pPr>
        <w:pStyle w:val="paragraph"/>
        <w:spacing w:before="0" w:beforeAutospacing="0" w:after="0" w:afterAutospacing="0"/>
        <w:textAlignment w:val="baseline"/>
        <w:rPr>
          <w:rFonts w:ascii="Calibri" w:hAnsi="Calibri" w:cs="Calibri"/>
          <w:sz w:val="18"/>
          <w:szCs w:val="18"/>
        </w:rPr>
      </w:pPr>
      <w:r w:rsidRPr="000346FC">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 xml:space="preserve">Georeplikationsgruppe“ </w:t>
      </w:r>
      <w:r>
        <w:rPr>
          <w:rStyle w:val="normaltextrun"/>
          <w:rFonts w:ascii="Calibri" w:eastAsiaTheme="majorEastAsia" w:hAnsi="Calibri" w:cs="Calibri"/>
          <w:sz w:val="18"/>
          <w:szCs w:val="18"/>
        </w:rPr>
        <w:t xml:space="preserve">ist eine logische Gruppierungskonfiguration von Azure Managed Redis-Instanzen, die Daten miteinander synchronisieren. </w:t>
      </w:r>
    </w:p>
    <w:p w14:paraId="1BD67B48" w14:textId="77777777" w:rsidR="00C74FF1" w:rsidRPr="00141067" w:rsidRDefault="00C74FF1" w:rsidP="00C74FF1">
      <w:pPr>
        <w:pStyle w:val="paragraph"/>
        <w:spacing w:before="0" w:beforeAutospacing="0" w:after="0" w:afterAutospacing="0"/>
        <w:textAlignment w:val="baseline"/>
        <w:rPr>
          <w:rFonts w:ascii="Calibri" w:hAnsi="Calibri" w:cs="Calibri"/>
          <w:sz w:val="18"/>
          <w:szCs w:val="18"/>
        </w:rPr>
      </w:pPr>
      <w:r w:rsidRPr="000346FC">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Ausfallzeit</w:t>
      </w:r>
      <w:r>
        <w:rPr>
          <w:rFonts w:ascii="Calibri" w:hAnsi="Calibri" w:cs="Calibri"/>
          <w:b/>
          <w:bCs/>
          <w:color w:val="00188F"/>
          <w:sz w:val="18"/>
          <w:szCs w:val="18"/>
          <w:bdr w:val="none" w:sz="0" w:space="0" w:color="auto" w:frame="1"/>
        </w:rPr>
        <w:t>“</w:t>
      </w:r>
      <w:r>
        <w:rPr>
          <w:rStyle w:val="normaltextrun"/>
          <w:rFonts w:ascii="Calibri" w:eastAsiaTheme="majorEastAsia" w:hAnsi="Calibri" w:cs="Calibri"/>
          <w:sz w:val="18"/>
          <w:szCs w:val="18"/>
        </w:rPr>
        <w:t xml:space="preserve"> ist die Gesamtanzahl der Minuten innerhalb der Maximal verfügbaren Minuten, während der keiner der mit der Georeplikationsgruppe verknüpften Azure Managed Redis-Endpunkte verfügbar ist. Eine Minute gilt für eine bestimmte Georeplikationsgruppe als nicht verfügbar, wenn während der gesamten Minute keine Verbindung zwischen Azure Managed Redis-Endpunkten für mit der Georeplikationsgruppe verbundenen Azure Managed Redis-Instanzen und dem Internet-Gateway von Microsoft besteht und der Kunde keine Produktfunktionen oder Verwaltungsaktionen initiiert hat, die nachweislich zu einer vorübergehenden Nichtverfügbarkeit führen.</w:t>
      </w:r>
    </w:p>
    <w:p w14:paraId="0E444549" w14:textId="77777777" w:rsidR="00C74FF1" w:rsidRPr="00141067" w:rsidRDefault="00C74FF1" w:rsidP="00C74FF1">
      <w:pPr>
        <w:pStyle w:val="paragraph"/>
        <w:spacing w:before="120" w:beforeAutospacing="0" w:after="0" w:afterAutospacing="0"/>
        <w:textAlignment w:val="baseline"/>
        <w:rPr>
          <w:rStyle w:val="normaltextrun"/>
          <w:rFonts w:ascii="Calibri" w:eastAsiaTheme="majorEastAsia" w:hAnsi="Calibri" w:cs="Calibri"/>
          <w:sz w:val="18"/>
          <w:szCs w:val="18"/>
        </w:rPr>
      </w:pPr>
      <w:r>
        <w:rPr>
          <w:rStyle w:val="normaltextrun"/>
          <w:rFonts w:ascii="Calibri" w:eastAsiaTheme="majorEastAsia" w:hAnsi="Calibri" w:cs="Calibri"/>
          <w:b/>
          <w:bCs/>
          <w:color w:val="00188F"/>
          <w:sz w:val="18"/>
          <w:szCs w:val="18"/>
        </w:rPr>
        <w:t>Betriebszeitprozentsatz</w:t>
      </w:r>
      <w:r>
        <w:rPr>
          <w:rFonts w:ascii="Calibri" w:hAnsi="Calibri" w:cs="Calibri"/>
          <w:b/>
          <w:bCs/>
          <w:color w:val="00188F"/>
          <w:sz w:val="18"/>
          <w:szCs w:val="18"/>
        </w:rPr>
        <w:t>:</w:t>
      </w:r>
      <w:r>
        <w:rPr>
          <w:rStyle w:val="normaltextrun"/>
          <w:rFonts w:ascii="Calibri" w:eastAsiaTheme="majorEastAsia" w:hAnsi="Calibri" w:cs="Calibri"/>
          <w:sz w:val="18"/>
          <w:szCs w:val="18"/>
        </w:rPr>
        <w:t xml:space="preserve"> Der Betriebszeitprozentsatz errechnet sich nach folgender Formel:</w:t>
      </w:r>
    </w:p>
    <w:bookmarkEnd w:id="227"/>
    <w:p w14:paraId="6C22C9F9" w14:textId="77777777" w:rsidR="00C74FF1" w:rsidRPr="00DE77A8" w:rsidRDefault="00000000" w:rsidP="00C74FF1">
      <w:pPr>
        <w:pStyle w:val="ListParagraph"/>
        <w:spacing w:before="160" w:line="240" w:lineRule="auto"/>
        <w:contextualSpacing w:val="0"/>
        <w:rPr>
          <w:rStyle w:val="eop"/>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Maximal verfügbare Minuten – Ausfallzeit</m:t>
              </m:r>
            </m:num>
            <m:den>
              <m:r>
                <m:rPr>
                  <m:nor/>
                </m:rPr>
                <w:rPr>
                  <w:rFonts w:ascii="Cambria Math" w:hAnsi="Cambria Math" w:cs="Tahoma"/>
                  <w:i/>
                  <w:sz w:val="18"/>
                  <w:szCs w:val="18"/>
                </w:rPr>
                <m:t>Maximal verfügbare Minuten</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DAB481A" w14:textId="77777777" w:rsidR="00C74FF1" w:rsidRPr="00482B02" w:rsidRDefault="00C74FF1" w:rsidP="00C74FF1">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 xml:space="preserve">Die folgenden Servicelevels und Servicegutschriften gelten für die Nutzung der Stufen </w:t>
      </w:r>
      <w:r w:rsidRPr="000346FC">
        <w:rPr>
          <w:rStyle w:val="normaltextrun"/>
          <w:rFonts w:ascii="Calibri" w:eastAsiaTheme="majorEastAsia" w:hAnsi="Calibri" w:cs="Calibri"/>
          <w:b/>
          <w:color w:val="00188F"/>
          <w:sz w:val="18"/>
          <w:szCs w:val="18"/>
        </w:rPr>
        <w:t>„</w:t>
      </w:r>
      <w:r>
        <w:rPr>
          <w:rFonts w:ascii="Calibri" w:eastAsia="Times New Roman" w:hAnsi="Calibri" w:cs="Calibri"/>
          <w:b/>
          <w:bCs/>
          <w:color w:val="00188F"/>
          <w:sz w:val="18"/>
          <w:szCs w:val="18"/>
        </w:rPr>
        <w:t>Memory Optimized</w:t>
      </w:r>
      <w:r>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rPr>
        <w:t xml:space="preserve">, </w:t>
      </w:r>
      <w:r w:rsidRPr="000346FC">
        <w:rPr>
          <w:rFonts w:ascii="Calibri" w:eastAsia="Times New Roman" w:hAnsi="Calibri" w:cs="Calibri"/>
          <w:b/>
          <w:bCs/>
          <w:color w:val="00188F"/>
          <w:sz w:val="18"/>
          <w:szCs w:val="18"/>
        </w:rPr>
        <w:t>„</w:t>
      </w:r>
      <w:r>
        <w:rPr>
          <w:rFonts w:ascii="Calibri" w:eastAsia="Times New Roman" w:hAnsi="Calibri" w:cs="Calibri"/>
          <w:b/>
          <w:bCs/>
          <w:color w:val="00188F"/>
          <w:sz w:val="18"/>
          <w:szCs w:val="18"/>
        </w:rPr>
        <w:t>Balanced</w:t>
      </w:r>
      <w:r>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rPr>
        <w:t xml:space="preserve"> und </w:t>
      </w:r>
      <w:r w:rsidRPr="000346FC">
        <w:rPr>
          <w:rFonts w:ascii="Calibri" w:eastAsia="Times New Roman" w:hAnsi="Calibri" w:cs="Calibri"/>
          <w:b/>
          <w:bCs/>
          <w:color w:val="00188F"/>
          <w:sz w:val="18"/>
          <w:szCs w:val="18"/>
        </w:rPr>
        <w:t>„</w:t>
      </w:r>
      <w:r>
        <w:rPr>
          <w:rFonts w:ascii="Calibri" w:eastAsia="Times New Roman" w:hAnsi="Calibri" w:cs="Calibri"/>
          <w:b/>
          <w:bCs/>
          <w:color w:val="00188F"/>
          <w:sz w:val="18"/>
          <w:szCs w:val="18"/>
        </w:rPr>
        <w:t>Compute Optimized</w:t>
      </w:r>
      <w:r>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rPr>
        <w:t xml:space="preserve"> von Azure Managed Redis durch den Kunden, die die aktive Georeplikation unterstützen und so konfiguriert sind, dass mindestens drei Azure Managed Redis-Instanzen in mindestens drei Regionen bereitgestellt und mithilfe der aktiven Georeplikation verbunden werden und jede Bereitstellung außerdem den Hochverfügbarkeitsmodus und Zonenredundanz verwendet: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74FF1" w:rsidRPr="00EF7CF9" w14:paraId="03550F23" w14:textId="77777777" w:rsidTr="00A17A5A">
        <w:trPr>
          <w:trHeight w:val="245"/>
          <w:tblHeader/>
        </w:trPr>
        <w:tc>
          <w:tcPr>
            <w:tcW w:w="5400" w:type="dxa"/>
            <w:shd w:val="clear" w:color="auto" w:fill="0072C6"/>
          </w:tcPr>
          <w:p w14:paraId="7EF9BD9F" w14:textId="77777777" w:rsidR="00C74FF1" w:rsidRPr="008B762B" w:rsidRDefault="00C74FF1"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Betriebszeitprozentsatz</w:t>
            </w:r>
          </w:p>
        </w:tc>
        <w:tc>
          <w:tcPr>
            <w:tcW w:w="5400" w:type="dxa"/>
            <w:shd w:val="clear" w:color="auto" w:fill="0072C6"/>
          </w:tcPr>
          <w:p w14:paraId="4DEC7519" w14:textId="77777777" w:rsidR="00C74FF1" w:rsidRPr="008B762B" w:rsidRDefault="00C74FF1"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Servicegutschrift</w:t>
            </w:r>
          </w:p>
        </w:tc>
      </w:tr>
      <w:tr w:rsidR="00C74FF1" w:rsidRPr="00EF7CF9" w14:paraId="75AE1703" w14:textId="77777777" w:rsidTr="00A17A5A">
        <w:trPr>
          <w:trHeight w:val="245"/>
        </w:trPr>
        <w:tc>
          <w:tcPr>
            <w:tcW w:w="5400" w:type="dxa"/>
          </w:tcPr>
          <w:p w14:paraId="71325707" w14:textId="77777777" w:rsidR="00C74FF1" w:rsidRPr="008B762B" w:rsidRDefault="00C74FF1" w:rsidP="00A17A5A">
            <w:pPr>
              <w:pStyle w:val="ProductList-OfferingBody"/>
              <w:jc w:val="center"/>
              <w:rPr>
                <w:rFonts w:ascii="Calibri" w:hAnsi="Calibri" w:cs="Calibri"/>
                <w:szCs w:val="16"/>
              </w:rPr>
            </w:pPr>
            <w:r>
              <w:rPr>
                <w:rFonts w:ascii="Calibri" w:hAnsi="Calibri" w:cs="Calibri"/>
                <w:szCs w:val="16"/>
              </w:rPr>
              <w:t>&lt; 99,999 %</w:t>
            </w:r>
          </w:p>
        </w:tc>
        <w:tc>
          <w:tcPr>
            <w:tcW w:w="5400" w:type="dxa"/>
          </w:tcPr>
          <w:p w14:paraId="334192EB" w14:textId="77777777" w:rsidR="00C74FF1" w:rsidRPr="008B762B" w:rsidRDefault="00C74FF1" w:rsidP="00A17A5A">
            <w:pPr>
              <w:pStyle w:val="ProductList-OfferingBody"/>
              <w:jc w:val="center"/>
              <w:rPr>
                <w:rFonts w:ascii="Calibri" w:hAnsi="Calibri" w:cs="Calibri"/>
                <w:szCs w:val="16"/>
              </w:rPr>
            </w:pPr>
            <w:r>
              <w:rPr>
                <w:rFonts w:ascii="Calibri" w:hAnsi="Calibri" w:cs="Calibri"/>
                <w:szCs w:val="16"/>
              </w:rPr>
              <w:t>10 %</w:t>
            </w:r>
          </w:p>
        </w:tc>
      </w:tr>
      <w:tr w:rsidR="00C74FF1" w:rsidRPr="00EF7CF9" w14:paraId="64AC280A" w14:textId="77777777" w:rsidTr="00A17A5A">
        <w:trPr>
          <w:trHeight w:val="245"/>
        </w:trPr>
        <w:tc>
          <w:tcPr>
            <w:tcW w:w="5400" w:type="dxa"/>
          </w:tcPr>
          <w:p w14:paraId="32B5BF88" w14:textId="77777777" w:rsidR="00C74FF1" w:rsidRPr="008B762B" w:rsidRDefault="00C74FF1" w:rsidP="00A17A5A">
            <w:pPr>
              <w:pStyle w:val="ProductList-OfferingBody"/>
              <w:jc w:val="center"/>
              <w:rPr>
                <w:rFonts w:ascii="Calibri" w:hAnsi="Calibri" w:cs="Calibri"/>
                <w:szCs w:val="16"/>
              </w:rPr>
            </w:pPr>
            <w:r>
              <w:rPr>
                <w:rFonts w:ascii="Calibri" w:hAnsi="Calibri" w:cs="Calibri"/>
                <w:szCs w:val="16"/>
              </w:rPr>
              <w:t>&lt; 99 %</w:t>
            </w:r>
          </w:p>
        </w:tc>
        <w:tc>
          <w:tcPr>
            <w:tcW w:w="5400" w:type="dxa"/>
          </w:tcPr>
          <w:p w14:paraId="01819E8D" w14:textId="77777777" w:rsidR="00C74FF1" w:rsidRPr="008B762B" w:rsidRDefault="00C74FF1" w:rsidP="00A17A5A">
            <w:pPr>
              <w:pStyle w:val="ProductList-OfferingBody"/>
              <w:jc w:val="center"/>
              <w:rPr>
                <w:rFonts w:ascii="Calibri" w:hAnsi="Calibri" w:cs="Calibri"/>
                <w:szCs w:val="16"/>
              </w:rPr>
            </w:pPr>
            <w:r>
              <w:rPr>
                <w:rFonts w:ascii="Calibri" w:hAnsi="Calibri" w:cs="Calibri"/>
                <w:szCs w:val="16"/>
              </w:rPr>
              <w:t>25 %</w:t>
            </w:r>
          </w:p>
        </w:tc>
      </w:tr>
    </w:tbl>
    <w:p w14:paraId="1163DA58" w14:textId="77777777" w:rsidR="00C74FF1" w:rsidRPr="00BA6F19" w:rsidRDefault="00C74FF1" w:rsidP="00C74FF1">
      <w:pPr>
        <w:shd w:val="clear" w:color="auto" w:fill="808080"/>
        <w:spacing w:before="120" w:after="240" w:line="240" w:lineRule="auto"/>
        <w:jc w:val="right"/>
        <w:rPr>
          <w:rFonts w:ascii="Calibri" w:eastAsia="Calibri" w:hAnsi="Calibri" w:cs="Arial"/>
          <w:sz w:val="16"/>
          <w:szCs w:val="16"/>
        </w:rPr>
      </w:pPr>
      <w:hyperlink w:anchor="TOC" w:tooltip="Inhalt" w:history="1">
        <w:r>
          <w:rPr>
            <w:rFonts w:ascii="Calibri" w:eastAsia="Calibri" w:hAnsi="Calibri" w:cs="Arial"/>
            <w:color w:val="0563C1"/>
            <w:sz w:val="16"/>
            <w:szCs w:val="16"/>
            <w:u w:val="single"/>
          </w:rPr>
          <w:t>Inhaltsverzeichnis</w:t>
        </w:r>
      </w:hyperlink>
      <w:r>
        <w:rPr>
          <w:rFonts w:ascii="Calibri" w:eastAsia="Calibri" w:hAnsi="Calibri" w:cs="Arial"/>
          <w:sz w:val="16"/>
          <w:szCs w:val="16"/>
        </w:rPr>
        <w:t xml:space="preserve"> / </w:t>
      </w:r>
      <w:hyperlink w:anchor="Begriffsbestimmungen" w:tooltip="Begriffsbestimmungen" w:history="1">
        <w:r>
          <w:rPr>
            <w:rFonts w:ascii="Calibri" w:eastAsia="Calibri" w:hAnsi="Calibri" w:cs="Arial"/>
            <w:color w:val="0563C1"/>
            <w:sz w:val="16"/>
            <w:szCs w:val="16"/>
            <w:u w:val="single"/>
          </w:rPr>
          <w:t>Definitionen</w:t>
        </w:r>
      </w:hyperlink>
    </w:p>
    <w:p w14:paraId="0CCDE2A4" w14:textId="377623FE" w:rsidR="00143CD4" w:rsidRDefault="00F830B4" w:rsidP="00FA4844">
      <w:pPr>
        <w:pStyle w:val="ProductList-Offering2Heading"/>
        <w:keepNext/>
        <w:tabs>
          <w:tab w:val="clear" w:pos="360"/>
          <w:tab w:val="clear" w:pos="720"/>
          <w:tab w:val="clear" w:pos="1080"/>
        </w:tabs>
        <w:outlineLvl w:val="2"/>
      </w:pPr>
      <w:bookmarkStart w:id="228" w:name="_Toc237448970"/>
      <w:r>
        <w:lastRenderedPageBreak/>
        <w:t>Azure Chaos Studio</w:t>
      </w:r>
      <w:bookmarkEnd w:id="224"/>
      <w:bookmarkEnd w:id="228"/>
    </w:p>
    <w:p w14:paraId="0CEE62CE" w14:textId="77777777" w:rsidR="0019411C" w:rsidRPr="00BA6F19" w:rsidRDefault="0019411C" w:rsidP="0019411C">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bdr w:val="none" w:sz="0" w:space="0" w:color="auto" w:frame="1"/>
        </w:rPr>
        <w:t>„Aktionsminuten“</w:t>
      </w:r>
      <w:r>
        <w:rPr>
          <w:rFonts w:ascii="Calibri" w:eastAsia="Calibri" w:hAnsi="Calibri" w:cs="Arial"/>
          <w:sz w:val="18"/>
          <w:bdr w:val="none" w:sz="0" w:space="0" w:color="auto" w:frame="1"/>
        </w:rPr>
        <w:t xml:space="preserve"> ist die Gesamtzahl der Minuten, für die ein bestimmtes Azure Chaos Studio-Experiment im Anwendbaren Zeitraum eine Aktion auf eine Zielressource in Microsoft Azure anwendet. Aktionsminuten messen den Zeitraum zwischen der Einleitung einer Aktion durch ein Experiment bis zu dem Zeitpunkt, an dem die Aktion für die vorkonfigurierte Dauer ausgeführt oder beendet wurde. Ein Experiment kann aus einer oder mehreren Aktionen bestehen, die nacheinander oder gleichzeitig ausgeführt werden.</w:t>
      </w:r>
    </w:p>
    <w:p w14:paraId="30513A79" w14:textId="77777777" w:rsidR="0019411C" w:rsidRPr="00BA6F19" w:rsidRDefault="0019411C" w:rsidP="0019411C">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bdr w:val="none" w:sz="0" w:space="0" w:color="auto" w:frame="1"/>
        </w:rPr>
        <w:t>„Gesamtzahl der Aktionsminuten“</w:t>
      </w:r>
      <w:r>
        <w:rPr>
          <w:rFonts w:ascii="Calibri" w:eastAsia="Calibri" w:hAnsi="Calibri" w:cs="Arial"/>
          <w:sz w:val="18"/>
          <w:bdr w:val="none" w:sz="0" w:space="0" w:color="auto" w:frame="1"/>
        </w:rPr>
        <w:t xml:space="preserve"> ist die Summe aller Aktionsminuten in einem bestimmten Microsoft Azure-Abonnement im Anwendbaren Zeitraum.</w:t>
      </w:r>
    </w:p>
    <w:p w14:paraId="373D124B" w14:textId="77777777" w:rsidR="0019411C" w:rsidRPr="00BA6F19" w:rsidRDefault="0019411C" w:rsidP="0019411C">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bdr w:val="none" w:sz="0" w:space="0" w:color="auto" w:frame="1"/>
        </w:rPr>
        <w:t>„Ausfallzeit“</w:t>
      </w:r>
      <w:r>
        <w:rPr>
          <w:rFonts w:ascii="Calibri" w:eastAsia="Calibri" w:hAnsi="Calibri" w:cs="Arial"/>
          <w:sz w:val="18"/>
          <w:bdr w:val="none" w:sz="0" w:space="0" w:color="auto" w:frame="1"/>
        </w:rPr>
        <w:t xml:space="preserve"> wird für jede aktive Aktion in 1-Minuten-Intervallen ausgewertet und ist die Summe aller Aktionsminuten in einem bestimmten Microsoft Azure-Abonnement im Anwendbaren Zeitraum, für die Chaos Studio nicht verfügbar ist. Eine Minute gilt für ein bestimmtes Experiment als nicht verfügbar, wenn innerhalb dieses 1-Minuten-Intervalls mindestens eine von Chaos Studio verarbeitete Anforderung zum Stoppen des Experiments den Fehler 500 zurückgibt</w:t>
      </w:r>
      <w:r>
        <w:rPr>
          <w:rFonts w:ascii="Calibri" w:eastAsia="Calibri" w:hAnsi="Calibri" w:cs="Arial"/>
          <w:i/>
          <w:iCs/>
          <w:sz w:val="18"/>
          <w:bdr w:val="none" w:sz="0" w:space="0" w:color="auto" w:frame="1"/>
        </w:rPr>
        <w:t xml:space="preserve">. </w:t>
      </w:r>
      <w:r>
        <w:rPr>
          <w:rFonts w:ascii="Calibri" w:eastAsia="Calibri" w:hAnsi="Calibri" w:cs="Arial"/>
          <w:sz w:val="18"/>
          <w:bdr w:val="none" w:sz="0" w:space="0" w:color="auto" w:frame="1"/>
        </w:rPr>
        <w:t>Wenn Chaos Studio innerhalb eines bestimmten 1-Minuten-Intervalls keine Anforderung zum Stoppen des Experiments verarbeitet, gilt für das Intervall eine Ausfallzeit von 0 Minuten.</w:t>
      </w:r>
    </w:p>
    <w:p w14:paraId="3CF39506" w14:textId="77777777" w:rsidR="0019411C" w:rsidRPr="00BA6F19" w:rsidRDefault="0019411C" w:rsidP="0019411C">
      <w:pPr>
        <w:tabs>
          <w:tab w:val="left" w:pos="360"/>
          <w:tab w:val="left" w:pos="720"/>
          <w:tab w:val="left" w:pos="1080"/>
        </w:tabs>
        <w:spacing w:after="0" w:line="240" w:lineRule="auto"/>
        <w:rPr>
          <w:rFonts w:ascii="Calibri" w:eastAsia="Calibri" w:hAnsi="Calibri" w:cs="Arial"/>
          <w:sz w:val="18"/>
          <w:bdr w:val="none" w:sz="0" w:space="0" w:color="auto" w:frame="1"/>
        </w:rPr>
      </w:pPr>
      <w:r>
        <w:rPr>
          <w:rFonts w:ascii="Calibri" w:eastAsia="Calibri" w:hAnsi="Calibri" w:cs="Arial"/>
          <w:b/>
          <w:bCs/>
          <w:color w:val="00188F"/>
          <w:sz w:val="18"/>
          <w:bdr w:val="none" w:sz="0" w:space="0" w:color="auto" w:frame="1"/>
        </w:rPr>
        <w:t>„Betriebszeitprozentsatz“</w:t>
      </w:r>
      <w:r>
        <w:rPr>
          <w:rFonts w:ascii="Calibri" w:eastAsia="Calibri" w:hAnsi="Calibri" w:cs="Arial"/>
          <w:sz w:val="18"/>
          <w:bdr w:val="none" w:sz="0" w:space="0" w:color="auto" w:frame="1"/>
        </w:rPr>
        <w:t xml:space="preserve"> wird nach folgender Formel berechnet:</w:t>
      </w:r>
    </w:p>
    <w:p w14:paraId="522CACC0" w14:textId="77777777" w:rsidR="0019411C" w:rsidRPr="00BA6F19" w:rsidRDefault="00000000" w:rsidP="00252579">
      <w:pPr>
        <w:spacing w:before="120" w:after="0" w:line="240" w:lineRule="auto"/>
        <w:ind w:left="720"/>
        <w:rPr>
          <w:rFonts w:ascii="Cambria Math" w:eastAsia="PMingLiU" w:hAnsi="Cambria Math" w:cs="Tahoma"/>
          <w:i/>
          <w:sz w:val="18"/>
          <w:szCs w:val="18"/>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Gesamtzahl der Aktionsminuten – Ausfallzeit</m:t>
              </m:r>
            </m:num>
            <m:den>
              <m:r>
                <m:rPr>
                  <m:nor/>
                </m:rPr>
                <w:rPr>
                  <w:rFonts w:ascii="Cambria Math" w:eastAsia="Calibri" w:hAnsi="Cambria Math" w:cs="Tahoma"/>
                  <w:i/>
                  <w:sz w:val="18"/>
                  <w:szCs w:val="18"/>
                </w:rPr>
                <m:t>Gesamtzahl der Aktionsminuten</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16EC2063" w14:textId="77777777" w:rsidR="0019411C" w:rsidRPr="0019411C" w:rsidRDefault="0019411C" w:rsidP="0019411C">
      <w:pPr>
        <w:tabs>
          <w:tab w:val="left" w:pos="360"/>
          <w:tab w:val="left" w:pos="720"/>
          <w:tab w:val="left" w:pos="1080"/>
        </w:tabs>
        <w:spacing w:after="0" w:line="240" w:lineRule="auto"/>
        <w:rPr>
          <w:b/>
          <w:color w:val="00188F"/>
          <w:sz w:val="18"/>
        </w:rPr>
      </w:pPr>
      <w:r w:rsidRPr="0019411C">
        <w:rPr>
          <w:b/>
          <w:color w:val="00188F"/>
          <w:sz w:val="18"/>
        </w:rPr>
        <w:t>Servicegutschrift: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19411C" w:rsidRPr="00BA6F19" w14:paraId="62E0CA99" w14:textId="77777777" w:rsidTr="000D3943">
        <w:trPr>
          <w:tblHeader/>
        </w:trPr>
        <w:tc>
          <w:tcPr>
            <w:tcW w:w="5400" w:type="dxa"/>
            <w:shd w:val="clear" w:color="auto" w:fill="0072C6"/>
          </w:tcPr>
          <w:p w14:paraId="7BA3393F" w14:textId="77777777" w:rsidR="0019411C" w:rsidRPr="00BA6F19" w:rsidRDefault="0019411C" w:rsidP="000D3943">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Betriebszeitprozentsatz</w:t>
            </w:r>
          </w:p>
        </w:tc>
        <w:tc>
          <w:tcPr>
            <w:tcW w:w="5400" w:type="dxa"/>
            <w:shd w:val="clear" w:color="auto" w:fill="0072C6"/>
          </w:tcPr>
          <w:p w14:paraId="3FD82A6F" w14:textId="77777777" w:rsidR="0019411C" w:rsidRPr="00BA6F19" w:rsidRDefault="0019411C" w:rsidP="000D3943">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Servicegutschrift</w:t>
            </w:r>
          </w:p>
        </w:tc>
      </w:tr>
      <w:tr w:rsidR="0019411C" w:rsidRPr="00BA6F19" w14:paraId="313BC415" w14:textId="77777777" w:rsidTr="000D3943">
        <w:tc>
          <w:tcPr>
            <w:tcW w:w="5400" w:type="dxa"/>
          </w:tcPr>
          <w:p w14:paraId="64C94D76" w14:textId="77777777" w:rsidR="0019411C" w:rsidRPr="00BA6F19" w:rsidRDefault="0019411C" w:rsidP="000D394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5400" w:type="dxa"/>
          </w:tcPr>
          <w:p w14:paraId="19AD87B4" w14:textId="77777777" w:rsidR="0019411C" w:rsidRPr="00BA6F19" w:rsidRDefault="0019411C" w:rsidP="000D394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19411C" w:rsidRPr="00BA6F19" w14:paraId="018E53FE" w14:textId="77777777" w:rsidTr="000D3943">
        <w:tc>
          <w:tcPr>
            <w:tcW w:w="5400" w:type="dxa"/>
          </w:tcPr>
          <w:p w14:paraId="5CDE1C3D" w14:textId="77777777" w:rsidR="0019411C" w:rsidRPr="00BA6F19" w:rsidRDefault="0019411C" w:rsidP="000D394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4FEE3C5B" w14:textId="77777777" w:rsidR="0019411C" w:rsidRPr="00BA6F19" w:rsidRDefault="0019411C" w:rsidP="000D394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4C38DE16" w14:textId="77777777" w:rsidR="0019411C" w:rsidRPr="00BA6F19" w:rsidRDefault="0019411C" w:rsidP="0019411C">
      <w:pPr>
        <w:shd w:val="clear" w:color="auto" w:fill="808080"/>
        <w:spacing w:before="120" w:after="240" w:line="240" w:lineRule="auto"/>
        <w:jc w:val="right"/>
        <w:rPr>
          <w:rFonts w:ascii="Calibri" w:eastAsia="Calibri" w:hAnsi="Calibri" w:cs="Arial"/>
          <w:sz w:val="16"/>
          <w:szCs w:val="16"/>
        </w:rPr>
      </w:pPr>
      <w:hyperlink w:anchor="TOC" w:tooltip="Inhalt" w:history="1">
        <w:r>
          <w:rPr>
            <w:rFonts w:ascii="Calibri" w:eastAsia="Calibri" w:hAnsi="Calibri" w:cs="Arial"/>
            <w:color w:val="0563C1"/>
            <w:sz w:val="16"/>
            <w:szCs w:val="16"/>
            <w:u w:val="single"/>
          </w:rPr>
          <w:t>Inhaltsverzeichnis</w:t>
        </w:r>
      </w:hyperlink>
      <w:r>
        <w:rPr>
          <w:rFonts w:ascii="Calibri" w:eastAsia="Calibri" w:hAnsi="Calibri" w:cs="Arial"/>
          <w:sz w:val="16"/>
          <w:szCs w:val="16"/>
        </w:rPr>
        <w:t xml:space="preserve"> / </w:t>
      </w:r>
      <w:hyperlink w:anchor="Begriffsbestimmungen" w:tooltip="Begriffsbestimmungen" w:history="1">
        <w:r>
          <w:rPr>
            <w:rFonts w:ascii="Calibri" w:eastAsia="Calibri" w:hAnsi="Calibri" w:cs="Arial"/>
            <w:color w:val="0563C1"/>
            <w:sz w:val="16"/>
            <w:szCs w:val="16"/>
            <w:u w:val="single"/>
          </w:rPr>
          <w:t>Definitionen</w:t>
        </w:r>
      </w:hyperlink>
    </w:p>
    <w:p w14:paraId="13955584" w14:textId="77777777" w:rsidR="00933446" w:rsidRPr="002D026F" w:rsidRDefault="00933446" w:rsidP="00933446">
      <w:pPr>
        <w:pStyle w:val="ProductList-Offering2Heading"/>
        <w:tabs>
          <w:tab w:val="clear" w:pos="360"/>
          <w:tab w:val="clear" w:pos="720"/>
          <w:tab w:val="clear" w:pos="1080"/>
        </w:tabs>
        <w:outlineLvl w:val="2"/>
        <w:rPr>
          <w:rFonts w:ascii="Calibri Light" w:hAnsi="Calibri Light" w:cs="Calibri Light"/>
        </w:rPr>
      </w:pPr>
      <w:bookmarkStart w:id="229" w:name="_Toc237448971"/>
      <w:bookmarkStart w:id="230" w:name="_Toc195543115"/>
      <w:r>
        <w:rPr>
          <w:rFonts w:ascii="Calibri Light" w:hAnsi="Calibri Light" w:cs="Calibri Light"/>
        </w:rPr>
        <w:t>Azure Cloud HSM</w:t>
      </w:r>
      <w:bookmarkEnd w:id="229"/>
    </w:p>
    <w:p w14:paraId="62FE6006" w14:textId="77777777" w:rsidR="00933446" w:rsidRPr="002D026F" w:rsidRDefault="00933446" w:rsidP="00933446">
      <w:pPr>
        <w:pStyle w:val="ProductList-Body"/>
        <w:rPr>
          <w:rFonts w:ascii="Calibri" w:hAnsi="Calibri" w:cs="Calibri"/>
          <w:b/>
          <w:bCs/>
          <w:color w:val="00188F"/>
        </w:rPr>
      </w:pPr>
      <w:r>
        <w:rPr>
          <w:rFonts w:ascii="Calibri" w:hAnsi="Calibri" w:cs="Calibri"/>
          <w:b/>
          <w:bCs/>
          <w:color w:val="00188F"/>
        </w:rPr>
        <w:t>Berechnung der Betriebszeit und Service-Levels für Cloud HSM</w:t>
      </w:r>
    </w:p>
    <w:p w14:paraId="53B6B36D" w14:textId="77777777" w:rsidR="00933446" w:rsidRPr="002D026F" w:rsidRDefault="00933446" w:rsidP="00933446">
      <w:pPr>
        <w:pStyle w:val="ProductList-Body"/>
        <w:rPr>
          <w:rFonts w:ascii="Calibri" w:hAnsi="Calibri" w:cs="Calibri"/>
        </w:rPr>
      </w:pPr>
      <w:r>
        <w:rPr>
          <w:rFonts w:ascii="Calibri" w:hAnsi="Calibri" w:cs="Calibri"/>
        </w:rPr>
        <w:t>„</w:t>
      </w:r>
      <w:r>
        <w:rPr>
          <w:rFonts w:ascii="Calibri" w:hAnsi="Calibri" w:cs="Calibri"/>
          <w:b/>
          <w:bCs/>
          <w:color w:val="00188F"/>
        </w:rPr>
        <w:t>Bereitstellungsminuten</w:t>
      </w:r>
      <w:r>
        <w:rPr>
          <w:rFonts w:ascii="Calibri" w:hAnsi="Calibri" w:cs="Calibri"/>
        </w:rPr>
        <w:t xml:space="preserve">“ ist die Gesamtzahl der Minuten, in denen ein bestimmtes Cloud HSM im Verlauf eines Anwendbaren Zeitraums in Microsoft Azure bereitgestellt wird. </w:t>
      </w:r>
    </w:p>
    <w:p w14:paraId="230E2FFF" w14:textId="77777777" w:rsidR="00933446" w:rsidRPr="002D026F" w:rsidRDefault="00933446" w:rsidP="00933446">
      <w:pPr>
        <w:pStyle w:val="ProductList-Body"/>
        <w:rPr>
          <w:rFonts w:ascii="Calibri" w:hAnsi="Calibri" w:cs="Calibri"/>
        </w:rPr>
      </w:pPr>
      <w:r>
        <w:rPr>
          <w:rFonts w:ascii="Calibri" w:hAnsi="Calibri" w:cs="Calibri"/>
        </w:rPr>
        <w:t>„</w:t>
      </w:r>
      <w:r>
        <w:rPr>
          <w:rFonts w:ascii="Calibri" w:hAnsi="Calibri" w:cs="Calibri"/>
          <w:b/>
          <w:bCs/>
          <w:color w:val="00188F"/>
        </w:rPr>
        <w:t>Maximal Verfügbare Minuten</w:t>
      </w:r>
      <w:r>
        <w:rPr>
          <w:rFonts w:ascii="Calibri" w:hAnsi="Calibri" w:cs="Calibri"/>
        </w:rPr>
        <w:t>“ ist die Summe aller Bereitstellungsminuten für alle vom Kunden in einem bestimmten Microsoft Azure-Abonnement während eines Anwendbaren Zeitraums bereitgestellten Cloud HSM.</w:t>
      </w:r>
    </w:p>
    <w:p w14:paraId="7254037B" w14:textId="77777777" w:rsidR="00933446" w:rsidRPr="002D026F" w:rsidRDefault="00933446" w:rsidP="00933446">
      <w:pPr>
        <w:pStyle w:val="ProductList-Body"/>
        <w:rPr>
          <w:rFonts w:ascii="Calibri" w:hAnsi="Calibri" w:cs="Calibri"/>
        </w:rPr>
      </w:pPr>
      <w:r>
        <w:rPr>
          <w:rFonts w:ascii="Calibri" w:hAnsi="Calibri" w:cs="Calibri"/>
        </w:rPr>
        <w:t>„</w:t>
      </w:r>
      <w:r>
        <w:rPr>
          <w:rFonts w:ascii="Calibri" w:hAnsi="Calibri" w:cs="Calibri"/>
          <w:b/>
          <w:bCs/>
          <w:color w:val="00188F"/>
        </w:rPr>
        <w:t>Ausgeschlossene Transaktionen</w:t>
      </w:r>
      <w:r>
        <w:rPr>
          <w:rFonts w:ascii="Calibri" w:hAnsi="Calibri" w:cs="Calibri"/>
        </w:rPr>
        <w:t>“ sind Transaktionen zum Erstellen, Aktualisieren oder Löschen von Cloud HSM, Schlüsseln, Rollenzuweisungen, Rollendefinitionen und Herunter-/Hochladen von Sicherheitsdomänen.</w:t>
      </w:r>
    </w:p>
    <w:p w14:paraId="1C166838" w14:textId="77777777" w:rsidR="00933446" w:rsidRPr="002D026F" w:rsidRDefault="00933446" w:rsidP="00933446">
      <w:pPr>
        <w:pStyle w:val="ProductList-Body"/>
        <w:rPr>
          <w:rFonts w:ascii="Calibri" w:hAnsi="Calibri" w:cs="Calibri"/>
        </w:rPr>
      </w:pPr>
      <w:r>
        <w:rPr>
          <w:rFonts w:ascii="Calibri" w:hAnsi="Calibri" w:cs="Calibri"/>
        </w:rPr>
        <w:t>„</w:t>
      </w:r>
      <w:r>
        <w:rPr>
          <w:rFonts w:ascii="Calibri" w:hAnsi="Calibri" w:cs="Calibri"/>
          <w:b/>
          <w:bCs/>
          <w:color w:val="00188F"/>
        </w:rPr>
        <w:t>Ausfallzeit</w:t>
      </w:r>
      <w:r>
        <w:rPr>
          <w:rFonts w:ascii="Calibri" w:hAnsi="Calibri" w:cs="Calibri"/>
        </w:rPr>
        <w:t>“ ist die Kumulation der Bereitstellungsminuten über alle Cloud HSM hinweg, die vom Kunden in einem bestimmten Microsoft Azure-Abonnement bereitgestellt wurden, während der das verwaltete HSM nicht verfügbar ist. Eine Minute gilt für ein bestimmtes Cloud HSM als nicht verfügbar, wenn alle fortlaufend unternommenen Versuche zur Durchführung von Transaktionen (außer den ausgeschlossenen Transaktionen) am Cloud HSM während der gesamten Minute entweder zu einem Fehlercode führen oder binnen fünf Sekunden nach dem Eingang der Aufforderung bei Microsoft nicht zu einem Erfolgscode führen.</w:t>
      </w:r>
    </w:p>
    <w:p w14:paraId="22A8DA6D" w14:textId="77777777" w:rsidR="00933446" w:rsidRPr="002D026F" w:rsidRDefault="00933446" w:rsidP="00933446">
      <w:pPr>
        <w:pStyle w:val="ProductList-Body"/>
        <w:rPr>
          <w:rFonts w:ascii="Calibri" w:hAnsi="Calibri" w:cs="Calibri"/>
        </w:rPr>
      </w:pPr>
      <w:r w:rsidRPr="0019050E">
        <w:rPr>
          <w:rFonts w:ascii="Calibri" w:hAnsi="Calibri" w:cs="Calibri"/>
        </w:rPr>
        <w:t>Der</w:t>
      </w:r>
      <w:r>
        <w:t xml:space="preserve"> </w:t>
      </w:r>
      <w:r>
        <w:rPr>
          <w:rFonts w:ascii="Calibri" w:hAnsi="Calibri" w:cs="Calibri"/>
        </w:rPr>
        <w:t>„</w:t>
      </w:r>
      <w:r>
        <w:rPr>
          <w:rFonts w:ascii="Calibri" w:hAnsi="Calibri" w:cs="Calibri"/>
          <w:b/>
          <w:bCs/>
          <w:color w:val="00188F"/>
        </w:rPr>
        <w:t>Betriebszeitprozentsatz</w:t>
      </w:r>
      <w:r>
        <w:rPr>
          <w:rFonts w:ascii="Calibri" w:hAnsi="Calibri" w:cs="Calibri"/>
        </w:rPr>
        <w:t>“ für den Cloud HSM-Service wird berechnet als Maximal Verfügbare Minuten abzüglich der Ausfallzeit, geteilt durch die Maximal Verfügbaren Minuten in einem Anwendbaren Zeitraum für ein bestimmtes Microsoft Azure-Abonnement.</w:t>
      </w:r>
    </w:p>
    <w:p w14:paraId="42D05646" w14:textId="77777777" w:rsidR="00933446" w:rsidRPr="002D026F" w:rsidRDefault="00933446" w:rsidP="00933446">
      <w:pPr>
        <w:pStyle w:val="ProductList-Body"/>
        <w:rPr>
          <w:rFonts w:ascii="Calibri" w:hAnsi="Calibri" w:cs="Calibri"/>
        </w:rPr>
      </w:pPr>
      <w:r>
        <w:rPr>
          <w:rFonts w:ascii="Calibri" w:hAnsi="Calibri" w:cs="Calibri"/>
        </w:rPr>
        <w:t>Der Betriebszeitprozentsatz wird durch die folgende Formel ermittelt:</w:t>
      </w:r>
    </w:p>
    <w:p w14:paraId="4D8A8AA1" w14:textId="77777777" w:rsidR="00933446" w:rsidRPr="001E28FB" w:rsidRDefault="00000000" w:rsidP="00933446">
      <w:pPr>
        <w:spacing w:before="120" w:after="120" w:line="240" w:lineRule="auto"/>
        <w:rPr>
          <w:rFonts w:eastAsiaTheme="minorEastAsia"/>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Maximal verfügbare Minuten – Ausfallzeit</m:t>
              </m:r>
            </m:num>
            <m:den>
              <m:r>
                <m:rPr>
                  <m:nor/>
                </m:rPr>
                <w:rPr>
                  <w:rFonts w:ascii="Cambria Math" w:hAnsi="Cambria Math" w:cs="Tahoma"/>
                  <w:i/>
                  <w:sz w:val="18"/>
                  <w:szCs w:val="18"/>
                </w:rPr>
                <m:t>Maximal verfügbare Minuten</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6F51C1A" w14:textId="77777777" w:rsidR="00933446" w:rsidRPr="002D026F" w:rsidRDefault="00933446" w:rsidP="00933446">
      <w:pPr>
        <w:pStyle w:val="ProductList-Body"/>
        <w:rPr>
          <w:rFonts w:ascii="Calibri" w:hAnsi="Calibri" w:cs="Calibri"/>
          <w:b/>
          <w:color w:val="00188F"/>
        </w:rPr>
      </w:pPr>
      <w:r>
        <w:rPr>
          <w:rFonts w:ascii="Calibri" w:hAnsi="Calibri" w:cs="Calibri"/>
          <w:b/>
          <w:color w:val="00188F"/>
        </w:rPr>
        <w:t>Die folgenden Servicelevels und Servicegutschriften gelten für die Nutzung des Cloud HSM-Diensts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33446" w:rsidRPr="00B44CF9" w14:paraId="466F78A2" w14:textId="77777777" w:rsidTr="00C20A28">
        <w:trPr>
          <w:tblHeader/>
        </w:trPr>
        <w:tc>
          <w:tcPr>
            <w:tcW w:w="5400" w:type="dxa"/>
            <w:shd w:val="clear" w:color="auto" w:fill="0072C6"/>
          </w:tcPr>
          <w:p w14:paraId="1443F494" w14:textId="77777777" w:rsidR="00933446" w:rsidRPr="002D026F" w:rsidRDefault="00933446"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Betriebszeitprozentsatz</w:t>
            </w:r>
          </w:p>
        </w:tc>
        <w:tc>
          <w:tcPr>
            <w:tcW w:w="5400" w:type="dxa"/>
            <w:shd w:val="clear" w:color="auto" w:fill="0072C6"/>
          </w:tcPr>
          <w:p w14:paraId="0E0A9129" w14:textId="77777777" w:rsidR="00933446" w:rsidRPr="002D026F" w:rsidRDefault="00933446"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Servicegutschrift</w:t>
            </w:r>
          </w:p>
        </w:tc>
      </w:tr>
      <w:tr w:rsidR="00933446" w:rsidRPr="00B44CF9" w14:paraId="072CCBFD" w14:textId="77777777" w:rsidTr="00C20A28">
        <w:trPr>
          <w:trHeight w:val="245"/>
        </w:trPr>
        <w:tc>
          <w:tcPr>
            <w:tcW w:w="5400" w:type="dxa"/>
          </w:tcPr>
          <w:p w14:paraId="3D73B52B" w14:textId="77777777" w:rsidR="00933446" w:rsidRPr="002D026F" w:rsidRDefault="00933446" w:rsidP="00C20A28">
            <w:pPr>
              <w:pStyle w:val="ProductList-OfferingBody"/>
              <w:jc w:val="center"/>
              <w:rPr>
                <w:rFonts w:ascii="Calibri" w:hAnsi="Calibri" w:cs="Calibri"/>
                <w:szCs w:val="16"/>
              </w:rPr>
            </w:pPr>
            <w:r>
              <w:rPr>
                <w:rFonts w:ascii="Calibri" w:hAnsi="Calibri" w:cs="Calibri"/>
                <w:szCs w:val="16"/>
              </w:rPr>
              <w:t>&lt; 99,9%</w:t>
            </w:r>
          </w:p>
        </w:tc>
        <w:tc>
          <w:tcPr>
            <w:tcW w:w="5400" w:type="dxa"/>
          </w:tcPr>
          <w:p w14:paraId="1AFA160E" w14:textId="77777777" w:rsidR="00933446" w:rsidRPr="002D026F" w:rsidRDefault="00933446" w:rsidP="00C20A28">
            <w:pPr>
              <w:pStyle w:val="ProductList-OfferingBody"/>
              <w:jc w:val="center"/>
              <w:rPr>
                <w:rFonts w:ascii="Calibri" w:hAnsi="Calibri" w:cs="Calibri"/>
                <w:szCs w:val="16"/>
              </w:rPr>
            </w:pPr>
            <w:r>
              <w:rPr>
                <w:rFonts w:ascii="Calibri" w:hAnsi="Calibri" w:cs="Calibri"/>
                <w:szCs w:val="16"/>
              </w:rPr>
              <w:t>10%</w:t>
            </w:r>
          </w:p>
        </w:tc>
      </w:tr>
      <w:tr w:rsidR="00933446" w:rsidRPr="00B44CF9" w14:paraId="6BA7A443" w14:textId="77777777" w:rsidTr="00C20A28">
        <w:trPr>
          <w:trHeight w:val="245"/>
        </w:trPr>
        <w:tc>
          <w:tcPr>
            <w:tcW w:w="5400" w:type="dxa"/>
          </w:tcPr>
          <w:p w14:paraId="5C9A6587" w14:textId="77777777" w:rsidR="00933446" w:rsidRPr="002D026F" w:rsidRDefault="00933446" w:rsidP="00C20A28">
            <w:pPr>
              <w:pStyle w:val="ProductList-OfferingBody"/>
              <w:jc w:val="center"/>
              <w:rPr>
                <w:rFonts w:ascii="Calibri" w:hAnsi="Calibri" w:cs="Calibri"/>
                <w:szCs w:val="16"/>
              </w:rPr>
            </w:pPr>
            <w:r>
              <w:rPr>
                <w:rFonts w:ascii="Calibri" w:hAnsi="Calibri" w:cs="Calibri"/>
                <w:szCs w:val="16"/>
              </w:rPr>
              <w:t>&lt; 99%</w:t>
            </w:r>
          </w:p>
        </w:tc>
        <w:tc>
          <w:tcPr>
            <w:tcW w:w="5400" w:type="dxa"/>
          </w:tcPr>
          <w:p w14:paraId="2A35C3DC" w14:textId="77777777" w:rsidR="00933446" w:rsidRPr="002D026F" w:rsidRDefault="00933446" w:rsidP="00C20A28">
            <w:pPr>
              <w:pStyle w:val="ProductList-OfferingBody"/>
              <w:jc w:val="center"/>
              <w:rPr>
                <w:rFonts w:ascii="Calibri" w:hAnsi="Calibri" w:cs="Calibri"/>
                <w:szCs w:val="16"/>
              </w:rPr>
            </w:pPr>
            <w:r>
              <w:rPr>
                <w:rFonts w:ascii="Calibri" w:hAnsi="Calibri" w:cs="Calibri"/>
                <w:szCs w:val="16"/>
              </w:rPr>
              <w:t>25%</w:t>
            </w:r>
          </w:p>
        </w:tc>
      </w:tr>
    </w:tbl>
    <w:p w14:paraId="1DDA9E40" w14:textId="77777777" w:rsidR="00933446" w:rsidRPr="00BA6F19" w:rsidRDefault="00933446" w:rsidP="00933446">
      <w:pPr>
        <w:shd w:val="clear" w:color="auto" w:fill="808080"/>
        <w:spacing w:before="120" w:after="240" w:line="240" w:lineRule="auto"/>
        <w:jc w:val="right"/>
        <w:rPr>
          <w:rFonts w:ascii="Calibri" w:eastAsia="Calibri" w:hAnsi="Calibri" w:cs="Arial"/>
          <w:sz w:val="16"/>
          <w:szCs w:val="16"/>
        </w:rPr>
      </w:pPr>
      <w:hyperlink w:anchor="TOC" w:tooltip="Inhalt" w:history="1">
        <w:r>
          <w:rPr>
            <w:rFonts w:ascii="Calibri" w:eastAsia="Calibri" w:hAnsi="Calibri" w:cs="Arial"/>
            <w:color w:val="0563C1"/>
            <w:sz w:val="16"/>
            <w:szCs w:val="16"/>
            <w:u w:val="single"/>
          </w:rPr>
          <w:t>Inhaltsverzeichnis</w:t>
        </w:r>
      </w:hyperlink>
      <w:r>
        <w:rPr>
          <w:rFonts w:ascii="Calibri" w:eastAsia="Calibri" w:hAnsi="Calibri" w:cs="Arial"/>
          <w:sz w:val="16"/>
          <w:szCs w:val="16"/>
        </w:rPr>
        <w:t xml:space="preserve"> / </w:t>
      </w:r>
      <w:hyperlink w:anchor="Begriffsbestimmungen" w:tooltip="Begriffsbestimmungen" w:history="1">
        <w:r>
          <w:rPr>
            <w:rFonts w:ascii="Calibri" w:eastAsia="Calibri" w:hAnsi="Calibri" w:cs="Arial"/>
            <w:color w:val="0563C1"/>
            <w:sz w:val="16"/>
            <w:szCs w:val="16"/>
            <w:u w:val="single"/>
          </w:rPr>
          <w:t>Definitionen</w:t>
        </w:r>
      </w:hyperlink>
    </w:p>
    <w:p w14:paraId="391B251F" w14:textId="0807325A" w:rsidR="00FA4844" w:rsidRPr="00EF7CF9" w:rsidRDefault="00FA4844" w:rsidP="00FA4844">
      <w:pPr>
        <w:pStyle w:val="ProductList-Offering2Heading"/>
        <w:keepNext/>
        <w:tabs>
          <w:tab w:val="clear" w:pos="360"/>
          <w:tab w:val="clear" w:pos="720"/>
          <w:tab w:val="clear" w:pos="1080"/>
        </w:tabs>
        <w:outlineLvl w:val="2"/>
      </w:pPr>
      <w:bookmarkStart w:id="231" w:name="_Toc237448972"/>
      <w:r>
        <w:t>Cloud-Dienste</w:t>
      </w:r>
      <w:bookmarkEnd w:id="221"/>
      <w:bookmarkEnd w:id="230"/>
      <w:bookmarkEnd w:id="231"/>
    </w:p>
    <w:p w14:paraId="616BD5A6" w14:textId="77777777" w:rsidR="00FA4844" w:rsidRPr="00EF7CF9" w:rsidRDefault="00FA4844" w:rsidP="00FA4844">
      <w:pPr>
        <w:pStyle w:val="ProductList-Body"/>
        <w:rPr>
          <w:b/>
          <w:color w:val="00188F"/>
        </w:rPr>
      </w:pPr>
      <w:r>
        <w:rPr>
          <w:b/>
          <w:color w:val="00188F"/>
        </w:rPr>
        <w:t>Zusätzliche Definitionen</w:t>
      </w:r>
      <w:r w:rsidRPr="00ED75EB">
        <w:rPr>
          <w:b/>
          <w:color w:val="00188F"/>
        </w:rPr>
        <w:t>:</w:t>
      </w:r>
    </w:p>
    <w:p w14:paraId="00F034C6" w14:textId="77777777" w:rsidR="00FA4844" w:rsidRPr="00EF7CF9" w:rsidRDefault="00FA4844" w:rsidP="00FA4844">
      <w:pPr>
        <w:pStyle w:val="ProductList-Body"/>
      </w:pPr>
      <w:r>
        <w:t>„</w:t>
      </w:r>
      <w:r>
        <w:rPr>
          <w:b/>
          <w:color w:val="00188F"/>
        </w:rPr>
        <w:t>Cloud-Dienste</w:t>
      </w:r>
      <w:r>
        <w:t>“ bezieht sich auf eine Reihe Rechenressourcen, die für Web- und Worker-Rollen verwendet werden.</w:t>
      </w:r>
    </w:p>
    <w:p w14:paraId="1A253FE3" w14:textId="77777777" w:rsidR="00FA4844" w:rsidRPr="00EF7CF9" w:rsidRDefault="00FA4844" w:rsidP="00FA4844">
      <w:pPr>
        <w:pStyle w:val="ProductList-Body"/>
      </w:pPr>
      <w:r>
        <w:t>„</w:t>
      </w:r>
      <w:r>
        <w:rPr>
          <w:b/>
          <w:color w:val="00188F"/>
        </w:rPr>
        <w:t>Verbindungen mit Rolleninstanzen</w:t>
      </w:r>
      <w:r>
        <w:t>“ bezeichnet den bidirektionalen Netzwerkverkehr zwischen der Rolleninstanz und anderen IP-Adressen mithilfe von TCP- oder UDP-Netzwerkprotokollen, in denen die Rolleninstanz für den zulässigen Verkehr konfiguriert ist. Die IP-Adressen können IP-Adressen sein, die sich im selben Cloud-Dienst befinden wie der virtuelle Computer, die sich im selben virtuellen Netzwerk wie der virtuelle Computer befinden, oder öffentliche, routingfähige IP-Adressen sein.</w:t>
      </w:r>
    </w:p>
    <w:p w14:paraId="2210A489" w14:textId="77777777" w:rsidR="00FA4844" w:rsidRPr="00EF7CF9" w:rsidRDefault="00FA4844" w:rsidP="00FA4844">
      <w:pPr>
        <w:pStyle w:val="ProductList-Body"/>
      </w:pPr>
      <w:r>
        <w:lastRenderedPageBreak/>
        <w:t>„</w:t>
      </w:r>
      <w:r>
        <w:rPr>
          <w:b/>
          <w:color w:val="00188F"/>
        </w:rPr>
        <w:t>Mandant</w:t>
      </w:r>
      <w:r>
        <w:t>“ stellt eine oder mehrere Rollen dar, die je aus einer oder mehreren Rolleninstanzen bestehen, die in einem einzigen Paket bereitgestellt werden.</w:t>
      </w:r>
    </w:p>
    <w:p w14:paraId="7384DC2B" w14:textId="77777777" w:rsidR="00FA4844" w:rsidRPr="00EF7CF9" w:rsidRDefault="00FA4844" w:rsidP="00FA4844">
      <w:pPr>
        <w:pStyle w:val="ProductList-Body"/>
      </w:pPr>
      <w:r>
        <w:t>„</w:t>
      </w:r>
      <w:r>
        <w:rPr>
          <w:b/>
          <w:color w:val="00188F"/>
        </w:rPr>
        <w:t>Aktualisierungsdomäne</w:t>
      </w:r>
      <w:r>
        <w:t>“ bezieht sich auf Microsoft Azure-Instanzen, auf die Plattformaktualisierungen gleichzeitig angewendet werden.</w:t>
      </w:r>
    </w:p>
    <w:p w14:paraId="4AFF4F40" w14:textId="77777777" w:rsidR="00FA4844" w:rsidRPr="00EF7CF9" w:rsidRDefault="00FA4844" w:rsidP="00FA4844">
      <w:pPr>
        <w:pStyle w:val="ProductList-Body"/>
      </w:pPr>
      <w:r>
        <w:t>„</w:t>
      </w:r>
      <w:r>
        <w:rPr>
          <w:b/>
          <w:color w:val="00188F"/>
        </w:rPr>
        <w:t>Web-Rolle</w:t>
      </w:r>
      <w:r>
        <w:t>“ ist eine Cloud-Dienstkomponente, die in der Azure-Ausführungsumgebung ausgeführt wird und für die Webanwendungsprogrammierung wie von IIS und ASP.Net unterstützt angepasst ist.</w:t>
      </w:r>
    </w:p>
    <w:p w14:paraId="3F902297" w14:textId="77777777" w:rsidR="00FA4844" w:rsidRPr="00EF7CF9" w:rsidRDefault="00FA4844" w:rsidP="00FA4844">
      <w:pPr>
        <w:pStyle w:val="ProductList-Body"/>
      </w:pPr>
      <w:r>
        <w:t>„</w:t>
      </w:r>
      <w:r>
        <w:rPr>
          <w:b/>
          <w:color w:val="00188F"/>
        </w:rPr>
        <w:t>Worker-Rolle</w:t>
      </w:r>
      <w:r>
        <w:t>“</w:t>
      </w:r>
      <w:r>
        <w:rPr>
          <w:b/>
          <w:color w:val="00188F"/>
        </w:rPr>
        <w:t xml:space="preserve"> </w:t>
      </w:r>
      <w:r>
        <w:t>ist eine Cloud-Dienstkomponente, die in der Azure-Ausführungsumgebung ausgeführt wird. Sie ist hilfreich für die allgemeine Entwicklung und kann Hintergrundverarbeitung für eine Web-Rolle leisten.</w:t>
      </w:r>
    </w:p>
    <w:p w14:paraId="6B4E981E" w14:textId="4AAE9CA8" w:rsidR="00FA4844" w:rsidRPr="00ED4527" w:rsidRDefault="00EE6E3C" w:rsidP="00FA4844">
      <w:pPr>
        <w:pStyle w:val="ProductList-Body"/>
        <w:spacing w:before="120"/>
        <w:rPr>
          <w:b/>
          <w:bCs/>
          <w:color w:val="00188F"/>
        </w:rPr>
      </w:pPr>
      <w:r>
        <w:rPr>
          <w:b/>
          <w:bCs/>
          <w:color w:val="00188F"/>
        </w:rPr>
        <w:t>Berechnung der Betriebszeit und Service-Levels für Cloud-Dienste</w:t>
      </w:r>
    </w:p>
    <w:p w14:paraId="412EA3FF" w14:textId="27BCBA97" w:rsidR="00FA4844" w:rsidRPr="00EF7CF9" w:rsidRDefault="00FA4844" w:rsidP="00FA4844">
      <w:pPr>
        <w:pStyle w:val="ProductList-Body"/>
      </w:pPr>
      <w:r>
        <w:t>„</w:t>
      </w:r>
      <w:r>
        <w:rPr>
          <w:b/>
          <w:color w:val="00188F"/>
        </w:rPr>
        <w:t>Maximal Verfügbare Minuten</w:t>
      </w:r>
      <w:r>
        <w:t>“ ist die Gesamtzahl der Minuten während eines Anwendbaren Zeitraums für alle internetseitigen Rollen, für die zwei oder mehr Instanzen in verschiedenen Aktualisierungsdomänen bereitgestellt sind. Die Maximal verfügbaren Minuten werden ab dem Bereitstellungszeitpunkt des Mandanten und Start der zugeordneten Rollen als Ergebnis einer vom Kunden initiierten Aktion bis zu dem Zeitpunkt gemessen, an dem der Kunde eine Aktion eingeleitet hat, die zum Stoppen oder Löschen des Mandanten führt.</w:t>
      </w:r>
    </w:p>
    <w:p w14:paraId="35563319" w14:textId="77777777" w:rsidR="00FA4844" w:rsidRPr="00EF7CF9" w:rsidRDefault="00FA4844" w:rsidP="00FA4844">
      <w:pPr>
        <w:pStyle w:val="ProductList-Body"/>
      </w:pPr>
      <w:r>
        <w:rPr>
          <w:b/>
          <w:color w:val="00188F"/>
        </w:rPr>
        <w:t>Ausfallzeit</w:t>
      </w:r>
      <w:r w:rsidRPr="00ED75EB">
        <w:rPr>
          <w:b/>
          <w:color w:val="00188F"/>
        </w:rPr>
        <w:t>:</w:t>
      </w:r>
      <w:r>
        <w:t xml:space="preserve"> Die Gesamtzahl der Minuten unter den Maximal Verfügbaren Minuten, für die keine Verbindungen mit Rolleninstanzen bestehen.</w:t>
      </w:r>
    </w:p>
    <w:p w14:paraId="46F3082B" w14:textId="3E1C36D7" w:rsidR="00FA4844" w:rsidRPr="00EF7CF9" w:rsidRDefault="00AC48A7" w:rsidP="00FA4844">
      <w:pPr>
        <w:pStyle w:val="ProductList-Body"/>
      </w:pPr>
      <w:r>
        <w:rPr>
          <w:b/>
          <w:color w:val="00188F"/>
        </w:rPr>
        <w:t>Betriebszeitprozentsatz</w:t>
      </w:r>
      <w:r w:rsidRPr="00ED75EB">
        <w:rPr>
          <w:b/>
          <w:color w:val="00188F"/>
        </w:rPr>
        <w:t>:</w:t>
      </w:r>
      <w:r>
        <w:t xml:space="preserve"> Der Betriebszeitprozentsatz wird durch die folgende Formel ermittelt:</w:t>
      </w:r>
    </w:p>
    <w:p w14:paraId="692CB9D4" w14:textId="7CF1339B" w:rsidR="00FA4844" w:rsidRPr="00B1426B" w:rsidRDefault="00B1426B" w:rsidP="00933446">
      <w:pPr>
        <w:pStyle w:val="ListParagraph"/>
        <w:spacing w:before="12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 xml:space="preserve">Monatliche Betriebszeit % = </m:t>
          </m:r>
          <m:f>
            <m:fPr>
              <m:ctrlPr>
                <w:rPr>
                  <w:rFonts w:ascii="Cambria Math" w:hAnsi="Cambria Math" w:cs="Tahoma"/>
                  <w:i/>
                  <w:sz w:val="18"/>
                  <w:szCs w:val="18"/>
                </w:rPr>
              </m:ctrlPr>
            </m:fPr>
            <m:num>
              <m:r>
                <m:rPr>
                  <m:nor/>
                </m:rPr>
                <w:rPr>
                  <w:rFonts w:ascii="Cambria Math" w:hAnsi="Cambria Math" w:cs="Tahoma"/>
                  <w:i/>
                  <w:sz w:val="18"/>
                  <w:szCs w:val="18"/>
                </w:rPr>
                <m:t>(Maximal verfügbare Minuten - Standzeit)</m:t>
              </m:r>
            </m:num>
            <m:den>
              <m:r>
                <m:rPr>
                  <m:nor/>
                </m:rPr>
                <w:rPr>
                  <w:rFonts w:ascii="Cambria Math" w:hAnsi="Cambria Math" w:cs="Tahoma"/>
                  <w:i/>
                  <w:sz w:val="18"/>
                  <w:szCs w:val="18"/>
                </w:rPr>
                <m:t>Maximal Verfügbare Minuten</m:t>
              </m:r>
            </m:den>
          </m:f>
          <m:r>
            <w:rPr>
              <w:rFonts w:ascii="Cambria Math" w:hAnsi="Cambria Math" w:cs="Tahoma"/>
              <w:sz w:val="18"/>
              <w:szCs w:val="18"/>
            </w:rPr>
            <m:t xml:space="preserve"> </m:t>
          </m:r>
          <m:r>
            <w:rPr>
              <w:rFonts w:ascii="Cambria Math" w:hAnsi="Cambria Math" w:cs="Calibri"/>
              <w:sz w:val="18"/>
              <w:szCs w:val="18"/>
            </w:rPr>
            <m:t>x 100</m:t>
          </m:r>
        </m:oMath>
      </m:oMathPara>
    </w:p>
    <w:p w14:paraId="73E1EAEE" w14:textId="77777777" w:rsidR="00FA4844" w:rsidRPr="00EF7CF9" w:rsidRDefault="00FA4844" w:rsidP="00FA4844">
      <w:pPr>
        <w:pStyle w:val="ProductList-Body"/>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A4844" w:rsidRPr="00B44CF9" w14:paraId="6070B512" w14:textId="77777777" w:rsidTr="00277097">
        <w:trPr>
          <w:tblHeader/>
        </w:trPr>
        <w:tc>
          <w:tcPr>
            <w:tcW w:w="5400" w:type="dxa"/>
            <w:shd w:val="clear" w:color="auto" w:fill="0072C6"/>
          </w:tcPr>
          <w:p w14:paraId="3CFEA266" w14:textId="5B70B6C3" w:rsidR="00FA4844"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0FA8F94D" w14:textId="77777777" w:rsidR="00FA4844" w:rsidRPr="00EF7CF9" w:rsidRDefault="00FA4844" w:rsidP="000F31B4">
            <w:pPr>
              <w:pStyle w:val="ProductList-OfferingBody"/>
              <w:jc w:val="center"/>
              <w:rPr>
                <w:color w:val="FFFFFF" w:themeColor="background1"/>
              </w:rPr>
            </w:pPr>
            <w:r>
              <w:rPr>
                <w:color w:val="FFFFFF" w:themeColor="background1"/>
              </w:rPr>
              <w:t>Servicegutschrift</w:t>
            </w:r>
          </w:p>
        </w:tc>
      </w:tr>
      <w:tr w:rsidR="00FA4844" w:rsidRPr="00B44CF9" w14:paraId="300286F2" w14:textId="77777777" w:rsidTr="00277097">
        <w:tc>
          <w:tcPr>
            <w:tcW w:w="5400" w:type="dxa"/>
          </w:tcPr>
          <w:p w14:paraId="5EDF52EC" w14:textId="77777777" w:rsidR="00FA4844" w:rsidRPr="00EF7CF9" w:rsidRDefault="00FA4844" w:rsidP="000F31B4">
            <w:pPr>
              <w:pStyle w:val="ProductList-OfferingBody"/>
              <w:jc w:val="center"/>
            </w:pPr>
            <w:r>
              <w:t>&lt; 99,95 %</w:t>
            </w:r>
          </w:p>
        </w:tc>
        <w:tc>
          <w:tcPr>
            <w:tcW w:w="5400" w:type="dxa"/>
          </w:tcPr>
          <w:p w14:paraId="387D0A57" w14:textId="77777777" w:rsidR="00FA4844" w:rsidRPr="00EF7CF9" w:rsidRDefault="00FA4844" w:rsidP="000F31B4">
            <w:pPr>
              <w:pStyle w:val="ProductList-OfferingBody"/>
              <w:jc w:val="center"/>
            </w:pPr>
            <w:r>
              <w:t>10 %</w:t>
            </w:r>
          </w:p>
        </w:tc>
      </w:tr>
      <w:tr w:rsidR="00FA4844" w:rsidRPr="00B44CF9" w14:paraId="55672AF5" w14:textId="77777777" w:rsidTr="00277097">
        <w:tc>
          <w:tcPr>
            <w:tcW w:w="5400" w:type="dxa"/>
          </w:tcPr>
          <w:p w14:paraId="6BFFB57F" w14:textId="77777777" w:rsidR="00FA4844" w:rsidRPr="00EF7CF9" w:rsidRDefault="00FA4844" w:rsidP="000F31B4">
            <w:pPr>
              <w:pStyle w:val="ProductList-OfferingBody"/>
              <w:keepNext/>
              <w:jc w:val="center"/>
            </w:pPr>
            <w:r>
              <w:t>&lt; 99 %</w:t>
            </w:r>
          </w:p>
        </w:tc>
        <w:tc>
          <w:tcPr>
            <w:tcW w:w="5400" w:type="dxa"/>
          </w:tcPr>
          <w:p w14:paraId="4BE2C332" w14:textId="77777777" w:rsidR="00FA4844" w:rsidRPr="00EF7CF9" w:rsidRDefault="00FA4844" w:rsidP="000F31B4">
            <w:pPr>
              <w:pStyle w:val="ProductList-OfferingBody"/>
              <w:jc w:val="center"/>
            </w:pPr>
            <w:r>
              <w:t>25 %</w:t>
            </w:r>
          </w:p>
        </w:tc>
      </w:tr>
    </w:tbl>
    <w:bookmarkStart w:id="232" w:name="_Toc52348980"/>
    <w:p w14:paraId="3BB32BA3" w14:textId="41C68E7B"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48AE841E" w14:textId="30B514FA" w:rsidR="00014752" w:rsidRPr="00EF7CF9" w:rsidRDefault="00014752" w:rsidP="00014752">
      <w:pPr>
        <w:pStyle w:val="ProductList-Offering2Heading"/>
        <w:keepNext/>
        <w:tabs>
          <w:tab w:val="clear" w:pos="360"/>
          <w:tab w:val="clear" w:pos="720"/>
          <w:tab w:val="clear" w:pos="1080"/>
        </w:tabs>
        <w:outlineLvl w:val="2"/>
      </w:pPr>
      <w:bookmarkStart w:id="233" w:name="_Toc195543116"/>
      <w:bookmarkStart w:id="234" w:name="_Toc237448973"/>
      <w:r>
        <w:t xml:space="preserve">Azure </w:t>
      </w:r>
      <w:r w:rsidR="0019411C">
        <w:t>AI</w:t>
      </w:r>
      <w:r>
        <w:t xml:space="preserve"> Search</w:t>
      </w:r>
      <w:bookmarkEnd w:id="232"/>
      <w:bookmarkEnd w:id="233"/>
      <w:bookmarkEnd w:id="234"/>
    </w:p>
    <w:p w14:paraId="6A0F4491" w14:textId="77777777" w:rsidR="00014752" w:rsidRPr="00EF7CF9" w:rsidRDefault="00014752" w:rsidP="00014752">
      <w:pPr>
        <w:pStyle w:val="ProductList-Body"/>
      </w:pPr>
      <w:r>
        <w:rPr>
          <w:b/>
          <w:color w:val="00188F"/>
        </w:rPr>
        <w:t>Zusätzliche Definitionen</w:t>
      </w:r>
      <w:r w:rsidRPr="00ED75EB">
        <w:rPr>
          <w:b/>
          <w:color w:val="00188F"/>
        </w:rPr>
        <w:t>:</w:t>
      </w:r>
    </w:p>
    <w:p w14:paraId="66C750E3" w14:textId="77777777" w:rsidR="00B820B8" w:rsidRPr="00EA71CE" w:rsidRDefault="00B820B8" w:rsidP="00B820B8">
      <w:pPr>
        <w:pStyle w:val="ProductList-Body"/>
        <w:rPr>
          <w:rFonts w:ascii="Calibri" w:hAnsi="Calibri" w:cs="Calibri"/>
        </w:rPr>
      </w:pPr>
      <w:r>
        <w:rPr>
          <w:rFonts w:ascii="Calibri" w:hAnsi="Calibri" w:cs="Calibri"/>
        </w:rPr>
        <w:t>Die „</w:t>
      </w:r>
      <w:r>
        <w:rPr>
          <w:rFonts w:ascii="Calibri" w:hAnsi="Calibri" w:cs="Calibri"/>
          <w:b/>
          <w:color w:val="00188F"/>
        </w:rPr>
        <w:t>Durchschnittliche Fehlerrate</w:t>
      </w:r>
      <w:r>
        <w:rPr>
          <w:rFonts w:ascii="Calibri" w:hAnsi="Calibri" w:cs="Calibri"/>
        </w:rPr>
        <w:t>“ für einen Anwendbaren Zeitraum ist die Summe der Fehlerraten für jede Stunde im Anwendbaren Zeitraum geteilt durch die Gesamtzahl der Stunden im Anwendbaren Zeitraum.</w:t>
      </w:r>
    </w:p>
    <w:p w14:paraId="07771199" w14:textId="77777777" w:rsidR="00B820B8" w:rsidRPr="00EA71CE" w:rsidRDefault="00B820B8" w:rsidP="00B820B8">
      <w:pPr>
        <w:pStyle w:val="ProductList-Body"/>
        <w:rPr>
          <w:rFonts w:ascii="Calibri" w:hAnsi="Calibri" w:cs="Calibri"/>
        </w:rPr>
      </w:pPr>
      <w:r>
        <w:rPr>
          <w:rFonts w:ascii="Calibri" w:hAnsi="Calibri" w:cs="Calibri"/>
        </w:rPr>
        <w:t>„</w:t>
      </w:r>
      <w:r>
        <w:rPr>
          <w:rFonts w:ascii="Calibri" w:hAnsi="Calibri" w:cs="Calibri"/>
          <w:b/>
          <w:color w:val="00188F"/>
        </w:rPr>
        <w:t>Fehlerrate</w:t>
      </w:r>
      <w:r>
        <w:rPr>
          <w:rFonts w:ascii="Calibri" w:hAnsi="Calibri" w:cs="Calibri"/>
        </w:rPr>
        <w:t>“ ist die Gesamtzahl der Fehlerhaften Anforderungen geteilt durch die Gesamtzahl der Anforderungen für einen Suchdienst in einem einstündigen Intervall. Wenn die Gesamtzahl der Anfragen in einem einstündigen Intervall null ist, beträgt die Fehlerrate für dieses Intervall 0 %.</w:t>
      </w:r>
    </w:p>
    <w:p w14:paraId="7DEADB18" w14:textId="77777777" w:rsidR="00B820B8" w:rsidRPr="00EA71CE" w:rsidRDefault="00B820B8" w:rsidP="00B820B8">
      <w:pPr>
        <w:pStyle w:val="ProductList-Body"/>
        <w:rPr>
          <w:rFonts w:ascii="Calibri" w:hAnsi="Calibri" w:cs="Calibri"/>
        </w:rPr>
      </w:pPr>
      <w:r>
        <w:rPr>
          <w:rFonts w:ascii="Calibri" w:hAnsi="Calibri" w:cs="Calibri"/>
        </w:rPr>
        <w:t>„</w:t>
      </w:r>
      <w:r>
        <w:rPr>
          <w:rFonts w:ascii="Calibri" w:hAnsi="Calibri" w:cs="Calibri"/>
          <w:b/>
          <w:color w:val="00188F"/>
        </w:rPr>
        <w:t>Ausgeschlossene Anforderungen</w:t>
      </w:r>
      <w:r>
        <w:rPr>
          <w:rFonts w:ascii="Calibri" w:hAnsi="Calibri" w:cs="Calibri"/>
        </w:rPr>
        <w:t>“ sind alle Anforderungen, die aufgrund der Erschöpfung der für eine Suchdienstinstanz zugewiesenen Ressourcen gedrosselt wurden. Dies wird durch einen HTTP 503-Statuscode und eine Antwortkopfzeile angezeigt, der angibt, dass die Anforderung gedrosselt wurde.</w:t>
      </w:r>
    </w:p>
    <w:p w14:paraId="35E4109F" w14:textId="77777777" w:rsidR="00B820B8" w:rsidRPr="00EA71CE" w:rsidRDefault="00B820B8" w:rsidP="00B820B8">
      <w:pPr>
        <w:pStyle w:val="ProductList-Body"/>
        <w:rPr>
          <w:rFonts w:ascii="Calibri" w:hAnsi="Calibri" w:cs="Calibri"/>
        </w:rPr>
      </w:pPr>
      <w:r>
        <w:rPr>
          <w:rFonts w:ascii="Calibri" w:hAnsi="Calibri" w:cs="Calibri"/>
        </w:rPr>
        <w:t>„</w:t>
      </w:r>
      <w:r>
        <w:rPr>
          <w:rFonts w:ascii="Calibri" w:hAnsi="Calibri" w:cs="Calibri"/>
          <w:b/>
          <w:color w:val="00188F"/>
        </w:rPr>
        <w:t>Fehlerhafte Anforderungen</w:t>
      </w:r>
      <w:r>
        <w:rPr>
          <w:rFonts w:ascii="Calibri" w:hAnsi="Calibri" w:cs="Calibri"/>
        </w:rPr>
        <w:t>“ ist die Menge aller Anforderungen innerhalb der Gesamtanzahl von Anforderungen, die weder einen Erfolgscode noch eine HTTP 4xx-Antwort zurückgeben.</w:t>
      </w:r>
    </w:p>
    <w:p w14:paraId="095E62A1" w14:textId="77777777" w:rsidR="00B820B8" w:rsidRPr="00EA71CE" w:rsidRDefault="00B820B8" w:rsidP="00B820B8">
      <w:pPr>
        <w:pStyle w:val="ProductList-Body"/>
        <w:rPr>
          <w:rFonts w:ascii="Calibri" w:hAnsi="Calibri" w:cs="Calibri"/>
        </w:rPr>
      </w:pPr>
      <w:r>
        <w:rPr>
          <w:rFonts w:ascii="Calibri" w:hAnsi="Calibri" w:cs="Calibri"/>
        </w:rPr>
        <w:t>„</w:t>
      </w:r>
      <w:r>
        <w:rPr>
          <w:rFonts w:ascii="Calibri" w:hAnsi="Calibri" w:cs="Calibri"/>
          <w:b/>
          <w:color w:val="00188F"/>
        </w:rPr>
        <w:t>Replikat</w:t>
      </w:r>
      <w:r>
        <w:rPr>
          <w:rFonts w:ascii="Calibri" w:hAnsi="Calibri" w:cs="Calibri"/>
        </w:rPr>
        <w:t>“ ist eine Kopie eines Suchindexes innerhalb einer Suchdienstinstanz.</w:t>
      </w:r>
    </w:p>
    <w:p w14:paraId="04FA7D2E" w14:textId="77777777" w:rsidR="00B820B8" w:rsidRPr="00EA71CE" w:rsidRDefault="00B820B8" w:rsidP="00B820B8">
      <w:pPr>
        <w:pStyle w:val="ProductList-Body"/>
        <w:rPr>
          <w:rFonts w:ascii="Calibri" w:hAnsi="Calibri" w:cs="Calibri"/>
        </w:rPr>
      </w:pPr>
      <w:r>
        <w:rPr>
          <w:rFonts w:ascii="Calibri" w:hAnsi="Calibri" w:cs="Calibri"/>
        </w:rPr>
        <w:t>„</w:t>
      </w:r>
      <w:r>
        <w:rPr>
          <w:rFonts w:ascii="Calibri" w:hAnsi="Calibri" w:cs="Calibri"/>
          <w:b/>
          <w:color w:val="00188F"/>
        </w:rPr>
        <w:t>Suchdienstinstanz</w:t>
      </w:r>
      <w:r>
        <w:rPr>
          <w:rFonts w:ascii="Calibri" w:hAnsi="Calibri" w:cs="Calibri"/>
        </w:rPr>
        <w:t>“ ist eine Azure-Suchdienstinstanz, die einen oder mehrere Suchindizes enthält.</w:t>
      </w:r>
    </w:p>
    <w:p w14:paraId="18A0F427" w14:textId="77777777" w:rsidR="00B820B8" w:rsidRPr="00EA71CE" w:rsidRDefault="00B820B8" w:rsidP="00B820B8">
      <w:pPr>
        <w:pStyle w:val="ProductList-Body"/>
        <w:rPr>
          <w:rFonts w:ascii="Calibri" w:hAnsi="Calibri" w:cs="Calibri"/>
        </w:rPr>
      </w:pPr>
      <w:r>
        <w:rPr>
          <w:rFonts w:ascii="Calibri" w:hAnsi="Calibri" w:cs="Calibri"/>
        </w:rPr>
        <w:t>„</w:t>
      </w:r>
      <w:r>
        <w:rPr>
          <w:rFonts w:ascii="Calibri" w:hAnsi="Calibri" w:cs="Calibri"/>
          <w:b/>
          <w:color w:val="00188F"/>
        </w:rPr>
        <w:t>Gesamtzahl der Anforderungen</w:t>
      </w:r>
      <w:r>
        <w:rPr>
          <w:rFonts w:ascii="Calibri" w:hAnsi="Calibri" w:cs="Calibri"/>
        </w:rPr>
        <w:t>“ ist die Menge (i) aller Anforderungen zur Aktualisierung einer Suchdienstinstanz mit drei oder mehr Replikaten, plus (ii) aller Anforderungen zur Abfrage einer Suchdienstinstanz mit zwei oder mehr Replikaten, mit Ausnahme von Ausgeschlossenen Anforderungen, innerhalb eines einstündigen Intervalls während eines Anwendbaren Zeitraums.</w:t>
      </w:r>
    </w:p>
    <w:p w14:paraId="376FF54B" w14:textId="29E324F0" w:rsidR="00014752" w:rsidRDefault="00AC48A7" w:rsidP="00014752">
      <w:pPr>
        <w:pStyle w:val="ProductList-Body"/>
      </w:pPr>
      <w:r>
        <w:rPr>
          <w:b/>
          <w:color w:val="00188F"/>
        </w:rPr>
        <w:t>Betriebszeitprozentsatz</w:t>
      </w:r>
      <w:r w:rsidRPr="00ED75EB">
        <w:rPr>
          <w:b/>
          <w:color w:val="00188F"/>
        </w:rPr>
        <w:t>:</w:t>
      </w:r>
      <w:r>
        <w:t xml:space="preserve"> Der Betriebszeitprozentsatz errechnet sich nach folgender Formel:</w:t>
      </w:r>
    </w:p>
    <w:p w14:paraId="7D3715DD" w14:textId="700DD9FB" w:rsidR="00014752" w:rsidRPr="00EF7CF9" w:rsidRDefault="00B1426B" w:rsidP="00933446">
      <w:pPr>
        <w:spacing w:before="120" w:after="0" w:line="240" w:lineRule="auto"/>
        <w:rPr>
          <w:rFonts w:ascii="Cambria Math" w:hAnsi="Cambria Math" w:cs="Tahoma"/>
          <w:i/>
          <w:color w:val="000000" w:themeColor="text1"/>
          <w:sz w:val="18"/>
          <w:szCs w:val="18"/>
        </w:rPr>
      </w:pPr>
      <m:oMathPara>
        <m:oMath>
          <m:r>
            <w:rPr>
              <w:rFonts w:ascii="Cambria Math" w:hAnsi="Cambria Math" w:cs="Tahoma"/>
              <w:color w:val="000000" w:themeColor="text1"/>
              <w:sz w:val="18"/>
              <w:szCs w:val="18"/>
            </w:rPr>
            <m:t xml:space="preserve">100 % </m:t>
          </m:r>
          <m:r>
            <m:rPr>
              <m:nor/>
            </m:rPr>
            <w:rPr>
              <w:rFonts w:ascii="Cambria Math" w:hAnsi="Cambria Math" w:cs="Tahoma"/>
              <w:i/>
              <w:color w:val="000000" w:themeColor="text1"/>
              <w:sz w:val="18"/>
              <w:szCs w:val="18"/>
            </w:rPr>
            <m:t>abzüglich Durchschnittliche Fehlerrate</m:t>
          </m:r>
        </m:oMath>
      </m:oMathPara>
    </w:p>
    <w:p w14:paraId="454EB55F" w14:textId="77777777" w:rsidR="00014752" w:rsidRPr="00EF7CF9" w:rsidRDefault="00014752" w:rsidP="00014752">
      <w:pPr>
        <w:pStyle w:val="ProductList-Body"/>
      </w:pPr>
      <w:r>
        <w:rPr>
          <w:b/>
          <w:color w:val="00188F"/>
        </w:rPr>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14752" w:rsidRPr="00B44CF9" w14:paraId="291955D2" w14:textId="77777777" w:rsidTr="00277097">
        <w:trPr>
          <w:tblHeader/>
        </w:trPr>
        <w:tc>
          <w:tcPr>
            <w:tcW w:w="5400" w:type="dxa"/>
            <w:shd w:val="clear" w:color="auto" w:fill="0072C6"/>
          </w:tcPr>
          <w:p w14:paraId="7790E18A" w14:textId="0A0CC243" w:rsidR="00014752"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0C2957C8" w14:textId="77777777" w:rsidR="00014752" w:rsidRPr="00EF7CF9" w:rsidRDefault="00014752" w:rsidP="000F31B4">
            <w:pPr>
              <w:pStyle w:val="ProductList-OfferingBody"/>
              <w:jc w:val="center"/>
              <w:rPr>
                <w:color w:val="FFFFFF" w:themeColor="background1"/>
              </w:rPr>
            </w:pPr>
            <w:r>
              <w:rPr>
                <w:color w:val="FFFFFF" w:themeColor="background1"/>
              </w:rPr>
              <w:t>Servicegutschrift</w:t>
            </w:r>
          </w:p>
        </w:tc>
      </w:tr>
      <w:tr w:rsidR="00014752" w:rsidRPr="00B44CF9" w14:paraId="22B19702" w14:textId="77777777" w:rsidTr="00277097">
        <w:tc>
          <w:tcPr>
            <w:tcW w:w="5400" w:type="dxa"/>
          </w:tcPr>
          <w:p w14:paraId="4BFE1BAD" w14:textId="77777777" w:rsidR="00014752" w:rsidRPr="00EF7CF9" w:rsidRDefault="00014752" w:rsidP="000F31B4">
            <w:pPr>
              <w:pStyle w:val="ProductList-OfferingBody"/>
              <w:jc w:val="center"/>
            </w:pPr>
            <w:r>
              <w:t>&lt; 99,9 %</w:t>
            </w:r>
          </w:p>
        </w:tc>
        <w:tc>
          <w:tcPr>
            <w:tcW w:w="5400" w:type="dxa"/>
          </w:tcPr>
          <w:p w14:paraId="6E789323" w14:textId="77777777" w:rsidR="00014752" w:rsidRPr="00EF7CF9" w:rsidRDefault="00014752" w:rsidP="000F31B4">
            <w:pPr>
              <w:pStyle w:val="ProductList-OfferingBody"/>
              <w:jc w:val="center"/>
            </w:pPr>
            <w:r>
              <w:t>10 %</w:t>
            </w:r>
          </w:p>
        </w:tc>
      </w:tr>
      <w:tr w:rsidR="00014752" w:rsidRPr="00B44CF9" w14:paraId="01A3B8D8" w14:textId="77777777" w:rsidTr="00277097">
        <w:tc>
          <w:tcPr>
            <w:tcW w:w="5400" w:type="dxa"/>
          </w:tcPr>
          <w:p w14:paraId="11FAF3C8" w14:textId="77777777" w:rsidR="00014752" w:rsidRPr="00EF7CF9" w:rsidRDefault="00014752" w:rsidP="000F31B4">
            <w:pPr>
              <w:pStyle w:val="ProductList-OfferingBody"/>
              <w:jc w:val="center"/>
            </w:pPr>
            <w:r>
              <w:t>&lt; 99 %</w:t>
            </w:r>
          </w:p>
        </w:tc>
        <w:tc>
          <w:tcPr>
            <w:tcW w:w="5400" w:type="dxa"/>
          </w:tcPr>
          <w:p w14:paraId="63670124" w14:textId="77777777" w:rsidR="00014752" w:rsidRPr="00EF7CF9" w:rsidRDefault="00014752" w:rsidP="000F31B4">
            <w:pPr>
              <w:pStyle w:val="ProductList-OfferingBody"/>
              <w:jc w:val="center"/>
            </w:pPr>
            <w:r>
              <w:t>25 %</w:t>
            </w:r>
          </w:p>
        </w:tc>
      </w:tr>
    </w:tbl>
    <w:bookmarkStart w:id="235" w:name="_Toc468346589"/>
    <w:bookmarkStart w:id="236" w:name="MicrosoftCognitiveServices"/>
    <w:bookmarkStart w:id="237" w:name="_Toc52348972"/>
    <w:p w14:paraId="03E8AD33" w14:textId="1A072659"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2478A19B" w14:textId="20E51DEB" w:rsidR="00FE45CF" w:rsidRPr="00EF7CF9" w:rsidRDefault="00FE45CF" w:rsidP="00E85D4E">
      <w:pPr>
        <w:pStyle w:val="ProductList-Offering2Heading"/>
        <w:keepNext/>
        <w:tabs>
          <w:tab w:val="clear" w:pos="360"/>
          <w:tab w:val="clear" w:pos="720"/>
          <w:tab w:val="clear" w:pos="1080"/>
        </w:tabs>
        <w:spacing w:before="0" w:after="0"/>
        <w:outlineLvl w:val="2"/>
      </w:pPr>
      <w:bookmarkStart w:id="238" w:name="_Toc195543117"/>
      <w:bookmarkStart w:id="239" w:name="_Toc237448974"/>
      <w:r>
        <w:t xml:space="preserve">Azure </w:t>
      </w:r>
      <w:r w:rsidR="00252579">
        <w:t>KI</w:t>
      </w:r>
      <w:r>
        <w:t xml:space="preserve"> Services</w:t>
      </w:r>
      <w:bookmarkEnd w:id="235"/>
      <w:bookmarkEnd w:id="236"/>
      <w:bookmarkEnd w:id="237"/>
      <w:bookmarkEnd w:id="238"/>
      <w:bookmarkEnd w:id="239"/>
    </w:p>
    <w:p w14:paraId="42DC8CF4" w14:textId="77777777" w:rsidR="00FE45CF" w:rsidRPr="00B1426B" w:rsidRDefault="00FE45CF" w:rsidP="00FE45CF">
      <w:pPr>
        <w:pStyle w:val="ProductList-Body"/>
        <w:rPr>
          <w:rFonts w:cstheme="minorHAnsi"/>
          <w:szCs w:val="18"/>
        </w:rPr>
      </w:pPr>
      <w:r w:rsidRPr="00B1426B">
        <w:rPr>
          <w:rFonts w:cstheme="minorHAnsi"/>
          <w:b/>
          <w:color w:val="00188F"/>
          <w:szCs w:val="18"/>
        </w:rPr>
        <w:t>Zusätzliche Definitionen</w:t>
      </w:r>
      <w:r w:rsidRPr="00ED75EB">
        <w:rPr>
          <w:b/>
          <w:color w:val="00188F"/>
        </w:rPr>
        <w:t>:</w:t>
      </w:r>
    </w:p>
    <w:p w14:paraId="4CFBDB08" w14:textId="77777777" w:rsidR="00461D4F" w:rsidRPr="00143BDB" w:rsidRDefault="00461D4F" w:rsidP="00461D4F">
      <w:pPr>
        <w:pStyle w:val="NormalWeb"/>
        <w:spacing w:before="0" w:beforeAutospacing="0" w:after="0" w:afterAutospacing="0"/>
        <w:rPr>
          <w:rFonts w:ascii="Calibri" w:eastAsiaTheme="minorHAnsi" w:hAnsi="Calibri" w:cs="Calibri"/>
          <w:sz w:val="18"/>
          <w:szCs w:val="18"/>
        </w:rPr>
      </w:pPr>
      <w:r w:rsidRPr="00A80248">
        <w:rPr>
          <w:rFonts w:ascii="Calibri" w:eastAsiaTheme="minorHAnsi" w:hAnsi="Calibri" w:cs="Calibri"/>
          <w:sz w:val="18"/>
          <w:szCs w:val="18"/>
        </w:rPr>
        <w:t xml:space="preserve">Die </w:t>
      </w:r>
      <w:r w:rsidRPr="00A80248">
        <w:rPr>
          <w:rFonts w:ascii="Calibri" w:eastAsiaTheme="minorHAnsi" w:hAnsi="Calibri" w:cs="Calibri"/>
          <w:b/>
          <w:color w:val="00188F"/>
          <w:sz w:val="18"/>
          <w:szCs w:val="18"/>
        </w:rPr>
        <w:t>„</w:t>
      </w:r>
      <w:r>
        <w:rPr>
          <w:rFonts w:ascii="Calibri" w:eastAsiaTheme="minorHAnsi" w:hAnsi="Calibri" w:cs="Calibri"/>
          <w:b/>
          <w:color w:val="00188F"/>
          <w:sz w:val="18"/>
          <w:szCs w:val="18"/>
        </w:rPr>
        <w:t>Gesamtzahl der Transaktionsversuche</w:t>
      </w:r>
      <w:r w:rsidRPr="00A80248">
        <w:rPr>
          <w:rFonts w:ascii="Calibri" w:eastAsiaTheme="minorHAnsi" w:hAnsi="Calibri" w:cs="Calibri"/>
          <w:b/>
          <w:color w:val="00188F"/>
          <w:sz w:val="18"/>
          <w:szCs w:val="18"/>
        </w:rPr>
        <w:t>“</w:t>
      </w:r>
      <w:r>
        <w:rPr>
          <w:rFonts w:ascii="Calibri" w:eastAsiaTheme="minorHAnsi" w:hAnsi="Calibri" w:cs="Calibri"/>
          <w:b/>
          <w:color w:val="00188F"/>
          <w:sz w:val="18"/>
          <w:szCs w:val="18"/>
        </w:rPr>
        <w:t xml:space="preserve"> </w:t>
      </w:r>
      <w:r>
        <w:rPr>
          <w:rFonts w:ascii="Calibri" w:eastAsiaTheme="minorHAnsi" w:hAnsi="Calibri" w:cs="Calibri"/>
          <w:sz w:val="18"/>
          <w:szCs w:val="18"/>
        </w:rPr>
        <w:t>ist die Gesamtzahl der authentifizierten API-Anforderungen des Kunden während eines Anwendbaren Zeitraums für eine bestimmte Foundry Tools-API. Die Gesamtzahl der Transaktionsversuche umfasst nicht die API-Anfragen, die einen Fehlercode zurückgeben und innerhalb eines Fünf-Minuten-Fensters nach Erhalt des ersten Fehlercodes kontinuierlich wiederholt werden.</w:t>
      </w:r>
    </w:p>
    <w:p w14:paraId="750EA94E" w14:textId="77777777" w:rsidR="00461D4F" w:rsidRDefault="00461D4F" w:rsidP="00461D4F">
      <w:pPr>
        <w:pStyle w:val="NormalWeb"/>
        <w:spacing w:before="0" w:beforeAutospacing="0" w:after="0" w:afterAutospacing="0"/>
        <w:rPr>
          <w:rFonts w:ascii="Calibri" w:eastAsiaTheme="minorHAnsi" w:hAnsi="Calibri" w:cs="Calibri"/>
          <w:sz w:val="18"/>
          <w:szCs w:val="18"/>
        </w:rPr>
      </w:pPr>
      <w:r w:rsidRPr="00A80248">
        <w:rPr>
          <w:rFonts w:ascii="Calibri" w:eastAsiaTheme="minorHAnsi" w:hAnsi="Calibri" w:cs="Calibri"/>
          <w:sz w:val="18"/>
          <w:szCs w:val="18"/>
        </w:rPr>
        <w:lastRenderedPageBreak/>
        <w:t xml:space="preserve">Unter </w:t>
      </w:r>
      <w:r w:rsidRPr="00A80248">
        <w:rPr>
          <w:rFonts w:ascii="Calibri" w:eastAsiaTheme="minorHAnsi" w:hAnsi="Calibri" w:cs="Calibri"/>
          <w:b/>
          <w:color w:val="00188F"/>
          <w:sz w:val="18"/>
          <w:szCs w:val="18"/>
        </w:rPr>
        <w:t>„</w:t>
      </w:r>
      <w:r>
        <w:rPr>
          <w:rFonts w:ascii="Calibri" w:eastAsiaTheme="minorHAnsi" w:hAnsi="Calibri" w:cs="Calibri"/>
          <w:b/>
          <w:color w:val="00188F"/>
          <w:sz w:val="18"/>
          <w:szCs w:val="18"/>
        </w:rPr>
        <w:t>Fehlerhafte Transaktionen</w:t>
      </w:r>
      <w:r w:rsidRPr="00A80248">
        <w:rPr>
          <w:rFonts w:ascii="Calibri" w:eastAsiaTheme="minorHAnsi" w:hAnsi="Calibri" w:cs="Calibri"/>
          <w:b/>
          <w:color w:val="00188F"/>
          <w:sz w:val="18"/>
          <w:szCs w:val="18"/>
        </w:rPr>
        <w:t>“</w:t>
      </w:r>
      <w:r>
        <w:rPr>
          <w:rFonts w:ascii="Calibri" w:eastAsiaTheme="minorHAnsi" w:hAnsi="Calibri" w:cs="Calibri"/>
          <w:b/>
          <w:color w:val="00188F"/>
          <w:sz w:val="18"/>
          <w:szCs w:val="18"/>
        </w:rPr>
        <w:t xml:space="preserve"> </w:t>
      </w:r>
      <w:r>
        <w:rPr>
          <w:rFonts w:ascii="Calibri" w:eastAsiaTheme="minorHAnsi" w:hAnsi="Calibri" w:cs="Calibri"/>
          <w:sz w:val="18"/>
          <w:szCs w:val="18"/>
        </w:rPr>
        <w:t>versteht man die Menge aller Anforderungen an Foundry Tools-API im Rahmen der Gesamtzahl der Transaktionsversuche, die einen Fehlercode zurückgeben. Fehlerhafte Transaktionsversuche schließen keine API-Anforderungen ein, die einen Fehlercode rückmelden und innerhalb eines Fünf-Minuten-Fensters nach dem Erhalt des ersten Fehlercodes kontinuierlich wiederholt werden.</w:t>
      </w:r>
    </w:p>
    <w:p w14:paraId="3B429BEB" w14:textId="77777777" w:rsidR="00524C9D" w:rsidRPr="00C51C89" w:rsidRDefault="00524C9D" w:rsidP="00B74CA0">
      <w:pPr>
        <w:pStyle w:val="NormalWeb"/>
        <w:spacing w:before="0" w:beforeAutospacing="0" w:after="0" w:afterAutospacing="0"/>
        <w:rPr>
          <w:rFonts w:ascii="Calibri" w:eastAsiaTheme="minorHAnsi" w:hAnsi="Calibri" w:cs="Calibri"/>
          <w:sz w:val="18"/>
          <w:szCs w:val="18"/>
        </w:rPr>
      </w:pPr>
      <w:r w:rsidRPr="009A3E38">
        <w:rPr>
          <w:rFonts w:ascii="Calibri" w:eastAsiaTheme="minorHAnsi" w:hAnsi="Calibri" w:cs="Calibri"/>
          <w:sz w:val="18"/>
          <w:szCs w:val="18"/>
        </w:rPr>
        <w:t>Der</w:t>
      </w:r>
      <w:r>
        <w:t xml:space="preserve"> </w:t>
      </w:r>
      <w:r>
        <w:rPr>
          <w:rFonts w:ascii="Calibri" w:eastAsia="Times New Roman" w:hAnsi="Calibri" w:cs="Calibri"/>
          <w:b/>
          <w:bCs/>
          <w:color w:val="00188F"/>
          <w:sz w:val="18"/>
          <w:szCs w:val="18"/>
          <w:bdr w:val="none" w:sz="0" w:space="0" w:color="auto" w:frame="1"/>
        </w:rPr>
        <w:t>„</w:t>
      </w:r>
      <w:r>
        <w:rPr>
          <w:rFonts w:ascii="Calibri" w:eastAsiaTheme="minorHAnsi" w:hAnsi="Calibri" w:cs="Calibri"/>
          <w:b/>
          <w:color w:val="00188F"/>
          <w:sz w:val="18"/>
          <w:szCs w:val="18"/>
        </w:rPr>
        <w:t>Betriebszeitprozentsatz</w:t>
      </w:r>
      <w:r>
        <w:rPr>
          <w:rFonts w:ascii="Calibri" w:eastAsia="Times New Roman" w:hAnsi="Calibri" w:cs="Calibri"/>
          <w:b/>
          <w:bCs/>
          <w:color w:val="00188F"/>
          <w:sz w:val="18"/>
          <w:szCs w:val="18"/>
          <w:bdr w:val="none" w:sz="0" w:space="0" w:color="auto" w:frame="1"/>
        </w:rPr>
        <w:t>“</w:t>
      </w:r>
      <w:r>
        <w:rPr>
          <w:rFonts w:ascii="Calibri" w:hAnsi="Calibri" w:cs="Calibri"/>
          <w:sz w:val="18"/>
          <w:szCs w:val="18"/>
        </w:rPr>
        <w:t xml:space="preserve"> </w:t>
      </w:r>
      <w:r>
        <w:rPr>
          <w:rFonts w:ascii="Calibri" w:eastAsiaTheme="minorHAnsi" w:hAnsi="Calibri" w:cs="Calibri"/>
          <w:sz w:val="18"/>
          <w:szCs w:val="18"/>
        </w:rPr>
        <w:t>für jeden API-Dienst wird berechnet als Gesamtzahl der Transaktionsversuche abzüglich der Fehlgeschlagenen Transaktionen geteilt durch die Gesamtzahl der Transaktionsversuche in einem Anwendbaren Zeitraum für ein bestimmtes API-Abonnement.</w:t>
      </w:r>
    </w:p>
    <w:p w14:paraId="056467EE" w14:textId="77777777" w:rsidR="00524C9D" w:rsidRPr="00C51C89" w:rsidRDefault="00524C9D" w:rsidP="00B74CA0">
      <w:pPr>
        <w:pStyle w:val="NormalWeb"/>
        <w:spacing w:before="0" w:beforeAutospacing="0" w:after="0" w:afterAutospacing="0"/>
        <w:rPr>
          <w:rFonts w:ascii="Calibri" w:hAnsi="Calibri" w:cs="Calibri"/>
          <w:sz w:val="18"/>
          <w:szCs w:val="18"/>
        </w:rPr>
      </w:pPr>
      <w:r w:rsidRPr="009A3E38">
        <w:rPr>
          <w:rFonts w:ascii="Calibri" w:eastAsiaTheme="minorHAnsi" w:hAnsi="Calibri" w:cs="Calibri"/>
          <w:sz w:val="18"/>
          <w:szCs w:val="18"/>
        </w:rPr>
        <w:t>Der</w:t>
      </w:r>
      <w:r>
        <w:t xml:space="preserve"> </w:t>
      </w:r>
      <w:r>
        <w:rPr>
          <w:rFonts w:ascii="Calibri" w:eastAsiaTheme="minorHAnsi" w:hAnsi="Calibri" w:cs="Calibri"/>
          <w:sz w:val="18"/>
          <w:szCs w:val="18"/>
        </w:rPr>
        <w:t>Betriebszeitprozentsatz wird durch die folgende Formel ermittelt</w:t>
      </w:r>
      <w:r>
        <w:rPr>
          <w:rFonts w:ascii="Calibri" w:hAnsi="Calibri" w:cs="Calibri"/>
          <w:sz w:val="18"/>
          <w:szCs w:val="18"/>
        </w:rPr>
        <w:t>:</w:t>
      </w:r>
    </w:p>
    <w:p w14:paraId="614A9002" w14:textId="77777777" w:rsidR="00524C9D" w:rsidRPr="00EF7CF9" w:rsidRDefault="00524C9D" w:rsidP="00461D4F">
      <w:pPr>
        <w:spacing w:before="120" w:after="0" w:line="240" w:lineRule="auto"/>
        <w:rPr>
          <w:rFonts w:ascii="Cambria Math" w:hAnsi="Cambria Math" w:cs="Tahoma"/>
          <w:i/>
          <w:color w:val="000000" w:themeColor="text1"/>
          <w:sz w:val="18"/>
          <w:szCs w:val="18"/>
        </w:rPr>
      </w:pPr>
      <m:oMathPara>
        <m:oMath>
          <m:r>
            <w:rPr>
              <w:rFonts w:ascii="Cambria Math" w:hAnsi="Cambria Math" w:cs="Tahoma"/>
              <w:sz w:val="18"/>
              <w:szCs w:val="18"/>
            </w:rPr>
            <m:t xml:space="preserve"> Monatliche Betriebszeit in %= </m:t>
          </m:r>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(Gesamtzahl der Transaktionsversuche abzüglich Fehlerhafte Transaktionen)</m:t>
              </m:r>
            </m:num>
            <m:den>
              <m:r>
                <w:rPr>
                  <w:rFonts w:ascii="Cambria Math" w:hAnsi="Cambria Math" w:cs="Tahoma"/>
                  <w:color w:val="000000" w:themeColor="text1"/>
                  <w:sz w:val="18"/>
                  <w:szCs w:val="18"/>
                </w:rPr>
                <m:t>Gesamtzahl der Transaktionsversuche</m:t>
              </m:r>
            </m:den>
          </m:f>
          <m:r>
            <w:rPr>
              <w:rFonts w:ascii="Cambria Math" w:hAnsi="Cambria Math" w:cs="Tahoma"/>
              <w:color w:val="000000" w:themeColor="text1"/>
              <w:sz w:val="18"/>
              <w:szCs w:val="18"/>
            </w:rPr>
            <m:t xml:space="preserve"> x 100</m:t>
          </m:r>
        </m:oMath>
      </m:oMathPara>
    </w:p>
    <w:p w14:paraId="46733BCA" w14:textId="296B1E11" w:rsidR="00524C9D" w:rsidRPr="009F405E" w:rsidRDefault="00524C9D" w:rsidP="009F405E">
      <w:pPr>
        <w:pStyle w:val="NormalWeb"/>
        <w:spacing w:before="0" w:beforeAutospacing="0" w:after="0" w:afterAutospacing="0"/>
        <w:rPr>
          <w:rFonts w:ascii="Calibri" w:hAnsi="Calibri" w:cs="Calibri"/>
          <w:sz w:val="18"/>
          <w:szCs w:val="18"/>
        </w:rPr>
      </w:pPr>
      <w:r>
        <w:rPr>
          <w:rFonts w:ascii="Calibri" w:hAnsi="Calibri" w:cs="Calibri"/>
          <w:b/>
          <w:color w:val="00188F"/>
          <w:sz w:val="18"/>
          <w:szCs w:val="18"/>
        </w:rPr>
        <w:t>Servicegutschrift: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E45CF" w:rsidRPr="00B44CF9" w14:paraId="42D5AC2A" w14:textId="77777777" w:rsidTr="00277097">
        <w:trPr>
          <w:tblHeader/>
        </w:trPr>
        <w:tc>
          <w:tcPr>
            <w:tcW w:w="5400" w:type="dxa"/>
            <w:shd w:val="clear" w:color="auto" w:fill="0072C6"/>
          </w:tcPr>
          <w:p w14:paraId="6C366D13" w14:textId="5BE5DBE5" w:rsidR="00FE45CF" w:rsidRPr="00EF7CF9" w:rsidRDefault="00AC48A7" w:rsidP="000F31B4">
            <w:pPr>
              <w:pStyle w:val="ProductList-OfferingBody"/>
              <w:spacing w:before="0" w:after="0"/>
              <w:jc w:val="center"/>
              <w:rPr>
                <w:color w:val="FFFFFF" w:themeColor="background1"/>
              </w:rPr>
            </w:pPr>
            <w:r>
              <w:rPr>
                <w:color w:val="FFFFFF" w:themeColor="background1"/>
              </w:rPr>
              <w:t>Betriebszeitprozentsatz</w:t>
            </w:r>
          </w:p>
        </w:tc>
        <w:tc>
          <w:tcPr>
            <w:tcW w:w="5400" w:type="dxa"/>
            <w:shd w:val="clear" w:color="auto" w:fill="0072C6"/>
          </w:tcPr>
          <w:p w14:paraId="7F037613" w14:textId="77777777" w:rsidR="00FE45CF" w:rsidRPr="00EF7CF9" w:rsidRDefault="00FE45CF" w:rsidP="000F31B4">
            <w:pPr>
              <w:pStyle w:val="ProductList-OfferingBody"/>
              <w:spacing w:before="0" w:after="0"/>
              <w:jc w:val="center"/>
              <w:rPr>
                <w:color w:val="FFFFFF" w:themeColor="background1"/>
              </w:rPr>
            </w:pPr>
            <w:r>
              <w:rPr>
                <w:color w:val="FFFFFF" w:themeColor="background1"/>
              </w:rPr>
              <w:t>Servicegutschrift</w:t>
            </w:r>
          </w:p>
        </w:tc>
      </w:tr>
      <w:tr w:rsidR="00FE45CF" w:rsidRPr="00B44CF9" w14:paraId="5768936A" w14:textId="77777777" w:rsidTr="00277097">
        <w:tc>
          <w:tcPr>
            <w:tcW w:w="5400" w:type="dxa"/>
          </w:tcPr>
          <w:p w14:paraId="1A3AAB71" w14:textId="77777777" w:rsidR="00FE45CF" w:rsidRPr="00EF7CF9" w:rsidRDefault="00FE45CF" w:rsidP="00B94F88">
            <w:pPr>
              <w:pStyle w:val="ProductList-OfferingBody"/>
              <w:jc w:val="center"/>
            </w:pPr>
            <w:r>
              <w:t>&lt; 99,9 %</w:t>
            </w:r>
          </w:p>
        </w:tc>
        <w:tc>
          <w:tcPr>
            <w:tcW w:w="5400" w:type="dxa"/>
          </w:tcPr>
          <w:p w14:paraId="57CFBBE8" w14:textId="77777777" w:rsidR="00FE45CF" w:rsidRPr="00EF7CF9" w:rsidRDefault="00FE45CF" w:rsidP="00B94F88">
            <w:pPr>
              <w:pStyle w:val="ProductList-OfferingBody"/>
              <w:jc w:val="center"/>
            </w:pPr>
            <w:r>
              <w:t>10 %</w:t>
            </w:r>
          </w:p>
        </w:tc>
      </w:tr>
      <w:tr w:rsidR="00FE45CF" w:rsidRPr="00B44CF9" w14:paraId="130F863E" w14:textId="77777777" w:rsidTr="00277097">
        <w:tc>
          <w:tcPr>
            <w:tcW w:w="5400" w:type="dxa"/>
          </w:tcPr>
          <w:p w14:paraId="61EC2512" w14:textId="77777777" w:rsidR="00FE45CF" w:rsidRPr="00EF7CF9" w:rsidRDefault="00FE45CF" w:rsidP="00B94F88">
            <w:pPr>
              <w:pStyle w:val="ProductList-OfferingBody"/>
              <w:jc w:val="center"/>
            </w:pPr>
            <w:r>
              <w:t>&lt; 99 %</w:t>
            </w:r>
          </w:p>
        </w:tc>
        <w:tc>
          <w:tcPr>
            <w:tcW w:w="5400" w:type="dxa"/>
          </w:tcPr>
          <w:p w14:paraId="3B56FC08" w14:textId="77777777" w:rsidR="00FE45CF" w:rsidRPr="00EF7CF9" w:rsidRDefault="00FE45CF" w:rsidP="00B94F88">
            <w:pPr>
              <w:pStyle w:val="ProductList-OfferingBody"/>
              <w:jc w:val="center"/>
            </w:pPr>
            <w:r>
              <w:t>25 %</w:t>
            </w:r>
          </w:p>
        </w:tc>
      </w:tr>
    </w:tbl>
    <w:p w14:paraId="37A5D2B9" w14:textId="77777777" w:rsidR="004D140E" w:rsidRDefault="004D140E" w:rsidP="006F7EF3">
      <w:pPr>
        <w:spacing w:before="120" w:after="0" w:line="240" w:lineRule="auto"/>
        <w:rPr>
          <w:rFonts w:ascii="Times New Roman" w:hAnsi="Times New Roman" w:cs="Times New Roman"/>
          <w:sz w:val="24"/>
          <w:szCs w:val="24"/>
        </w:rPr>
      </w:pPr>
      <w:r>
        <w:rPr>
          <w:rFonts w:ascii="Calibri" w:eastAsia="Calibri" w:hAnsi="Calibri" w:cs="Calibri"/>
          <w:b/>
          <w:bCs/>
          <w:color w:val="00188F"/>
          <w:sz w:val="18"/>
          <w:szCs w:val="18"/>
        </w:rPr>
        <w:t>Servicelevel-Ausnahmen</w:t>
      </w:r>
      <w:r w:rsidRPr="00ED75EB">
        <w:rPr>
          <w:b/>
          <w:color w:val="00188F"/>
          <w:sz w:val="18"/>
        </w:rPr>
        <w:t>:</w:t>
      </w:r>
      <w:r>
        <w:rPr>
          <w:rFonts w:ascii="Calibri" w:eastAsia="Calibri" w:hAnsi="Calibri" w:cs="Calibri"/>
          <w:sz w:val="18"/>
          <w:szCs w:val="18"/>
        </w:rPr>
        <w:t xml:space="preserve"> </w:t>
      </w:r>
      <w:r>
        <w:rPr>
          <w:rFonts w:cstheme="minorHAnsi"/>
          <w:sz w:val="18"/>
          <w:szCs w:val="18"/>
        </w:rPr>
        <w:t>Für den Azure OpenAI-Dienst gilt ein separates SLA</w:t>
      </w:r>
      <w:r>
        <w:rPr>
          <w:rFonts w:ascii="Times New Roman" w:hAnsi="Times New Roman" w:cs="Times New Roman"/>
          <w:sz w:val="24"/>
          <w:szCs w:val="24"/>
        </w:rPr>
        <w:t xml:space="preserve"> </w:t>
      </w:r>
    </w:p>
    <w:p w14:paraId="10492FA8" w14:textId="72B3D2DE"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4063A3D5" w14:textId="7F1C8748" w:rsidR="00175814" w:rsidRPr="00B6541B" w:rsidRDefault="00175814" w:rsidP="00B1426B">
      <w:pPr>
        <w:pStyle w:val="ProductList-Offering2Heading"/>
        <w:keepNext/>
        <w:keepLines/>
        <w:tabs>
          <w:tab w:val="clear" w:pos="360"/>
          <w:tab w:val="clear" w:pos="720"/>
          <w:tab w:val="clear" w:pos="1080"/>
        </w:tabs>
        <w:spacing w:before="0" w:after="0"/>
        <w:outlineLvl w:val="2"/>
      </w:pPr>
      <w:bookmarkStart w:id="240" w:name="_Toc195543118"/>
      <w:bookmarkStart w:id="241" w:name="_Toc237448975"/>
      <w:r>
        <w:t>Azure Communication Gateway</w:t>
      </w:r>
      <w:bookmarkEnd w:id="240"/>
      <w:bookmarkEnd w:id="241"/>
    </w:p>
    <w:p w14:paraId="590B504A" w14:textId="77777777" w:rsidR="00B2013C" w:rsidRPr="00B1426B" w:rsidRDefault="00B2013C" w:rsidP="00B1426B">
      <w:pPr>
        <w:pStyle w:val="ProductList-Body"/>
        <w:keepNext/>
        <w:keepLines/>
        <w:rPr>
          <w:rFonts w:cstheme="minorHAnsi"/>
          <w:b/>
          <w:color w:val="00188F"/>
          <w:szCs w:val="18"/>
        </w:rPr>
      </w:pPr>
      <w:r w:rsidRPr="00B1426B">
        <w:rPr>
          <w:rFonts w:cstheme="minorHAnsi"/>
          <w:b/>
          <w:color w:val="00188F"/>
          <w:szCs w:val="18"/>
        </w:rPr>
        <w:t>Zusätzliche Definitionen</w:t>
      </w:r>
    </w:p>
    <w:p w14:paraId="22141E65" w14:textId="2BEAD358" w:rsidR="00B2013C" w:rsidRPr="00B1426B" w:rsidRDefault="00B2013C" w:rsidP="00B1426B">
      <w:pPr>
        <w:pStyle w:val="xmsonormal"/>
        <w:keepNext/>
        <w:keepLines/>
        <w:shd w:val="clear" w:color="auto" w:fill="FFFFFF" w:themeFill="background1"/>
        <w:spacing w:before="0" w:beforeAutospacing="0" w:after="0" w:afterAutospacing="0"/>
        <w:rPr>
          <w:rFonts w:asciiTheme="minorHAnsi" w:eastAsiaTheme="minorEastAsia" w:hAnsiTheme="minorHAnsi" w:cstheme="minorHAnsi"/>
          <w:sz w:val="18"/>
          <w:szCs w:val="18"/>
        </w:rPr>
      </w:pPr>
      <w:r w:rsidRPr="000269C5">
        <w:rPr>
          <w:rFonts w:asciiTheme="minorHAnsi" w:eastAsiaTheme="minorHAnsi" w:hAnsiTheme="minorHAnsi" w:cstheme="minorBidi"/>
          <w:sz w:val="18"/>
          <w:szCs w:val="22"/>
        </w:rPr>
        <w:t>„</w:t>
      </w:r>
      <w:r w:rsidRPr="00B1426B">
        <w:rPr>
          <w:rFonts w:asciiTheme="minorHAnsi" w:eastAsiaTheme="minorEastAsia" w:hAnsiTheme="minorHAnsi" w:cstheme="minorHAnsi"/>
          <w:b/>
          <w:color w:val="00188F"/>
          <w:sz w:val="18"/>
          <w:szCs w:val="18"/>
        </w:rPr>
        <w:t>Zugewiesene Telefonnummer</w:t>
      </w:r>
      <w:r w:rsidR="000269C5" w:rsidRPr="000269C5">
        <w:rPr>
          <w:rFonts w:asciiTheme="minorHAnsi" w:eastAsiaTheme="minorHAnsi" w:hAnsiTheme="minorHAnsi" w:cstheme="minorBidi"/>
          <w:sz w:val="18"/>
          <w:szCs w:val="22"/>
        </w:rPr>
        <w:t>“</w:t>
      </w:r>
      <w:r w:rsidRPr="000269C5">
        <w:rPr>
          <w:rFonts w:asciiTheme="minorHAnsi" w:eastAsiaTheme="minorHAnsi" w:hAnsiTheme="minorHAnsi" w:cstheme="minorBidi"/>
          <w:sz w:val="18"/>
          <w:szCs w:val="22"/>
        </w:rPr>
        <w:t xml:space="preserve"> </w:t>
      </w:r>
      <w:r w:rsidRPr="00B1426B">
        <w:rPr>
          <w:rFonts w:asciiTheme="minorHAnsi" w:eastAsiaTheme="minorEastAsia" w:hAnsiTheme="minorHAnsi" w:cstheme="minorHAnsi"/>
          <w:sz w:val="18"/>
          <w:szCs w:val="18"/>
        </w:rPr>
        <w:t>ist eine Telefonnummer, die alle der folgenden Kriterien erfüllt:</w:t>
      </w:r>
    </w:p>
    <w:p w14:paraId="78DED7AA" w14:textId="77777777" w:rsidR="00B2013C" w:rsidRPr="00B1426B" w:rsidRDefault="00B2013C">
      <w:pPr>
        <w:pStyle w:val="xmsolistparagraph"/>
        <w:keepNext/>
        <w:keepLines/>
        <w:numPr>
          <w:ilvl w:val="0"/>
          <w:numId w:val="18"/>
        </w:numPr>
        <w:shd w:val="clear" w:color="auto" w:fill="FFFFFF"/>
        <w:spacing w:before="0" w:beforeAutospacing="0" w:after="0" w:afterAutospacing="0"/>
        <w:rPr>
          <w:rFonts w:asciiTheme="minorHAnsi" w:eastAsiaTheme="minorHAnsi" w:hAnsiTheme="minorHAnsi" w:cstheme="minorHAnsi"/>
          <w:sz w:val="18"/>
          <w:szCs w:val="18"/>
        </w:rPr>
      </w:pPr>
      <w:r w:rsidRPr="00B1426B">
        <w:rPr>
          <w:rFonts w:asciiTheme="minorHAnsi" w:eastAsiaTheme="minorHAnsi" w:hAnsiTheme="minorHAnsi" w:cstheme="minorHAnsi"/>
          <w:sz w:val="18"/>
          <w:szCs w:val="18"/>
        </w:rPr>
        <w:t>Es wurde in den Umgebungen Operator Connect oder Teams Phone Mobile bereitgestellt.</w:t>
      </w:r>
    </w:p>
    <w:p w14:paraId="18047FD5" w14:textId="77777777" w:rsidR="00B2013C" w:rsidRPr="00B1426B" w:rsidRDefault="00B2013C">
      <w:pPr>
        <w:pStyle w:val="xmsolistparagraph"/>
        <w:numPr>
          <w:ilvl w:val="0"/>
          <w:numId w:val="18"/>
        </w:numPr>
        <w:shd w:val="clear" w:color="auto" w:fill="FFFFFF"/>
        <w:spacing w:before="0" w:beforeAutospacing="0" w:after="0" w:afterAutospacing="0"/>
        <w:rPr>
          <w:rFonts w:asciiTheme="minorHAnsi" w:eastAsiaTheme="minorHAnsi" w:hAnsiTheme="minorHAnsi" w:cstheme="minorHAnsi"/>
          <w:sz w:val="18"/>
          <w:szCs w:val="18"/>
        </w:rPr>
      </w:pPr>
      <w:r w:rsidRPr="00B1426B">
        <w:rPr>
          <w:rFonts w:asciiTheme="minorHAnsi" w:eastAsiaTheme="minorHAnsi" w:hAnsiTheme="minorHAnsi" w:cstheme="minorHAnsi"/>
          <w:sz w:val="18"/>
          <w:szCs w:val="18"/>
        </w:rPr>
        <w:t>Die Telefonnummer ist für die Konnektivität über das Azure Communications Gateway konfiguriert.</w:t>
      </w:r>
    </w:p>
    <w:p w14:paraId="7FA8D795" w14:textId="3CACCD5D" w:rsidR="00B2013C" w:rsidRPr="00B1426B" w:rsidRDefault="00B2013C">
      <w:pPr>
        <w:pStyle w:val="xmsolistparagraph"/>
        <w:numPr>
          <w:ilvl w:val="0"/>
          <w:numId w:val="18"/>
        </w:numPr>
        <w:shd w:val="clear" w:color="auto" w:fill="FFFFFF" w:themeFill="background1"/>
        <w:spacing w:before="0" w:beforeAutospacing="0" w:after="0" w:afterAutospacing="0"/>
        <w:rPr>
          <w:rFonts w:asciiTheme="minorHAnsi" w:eastAsiaTheme="minorHAnsi" w:hAnsiTheme="minorHAnsi" w:cstheme="minorHAnsi"/>
          <w:sz w:val="18"/>
          <w:szCs w:val="18"/>
        </w:rPr>
      </w:pPr>
      <w:r w:rsidRPr="00B1426B">
        <w:rPr>
          <w:rFonts w:asciiTheme="minorHAnsi" w:eastAsiaTheme="minorHAnsi" w:hAnsiTheme="minorHAnsi" w:cstheme="minorHAnsi"/>
          <w:sz w:val="18"/>
          <w:szCs w:val="18"/>
        </w:rPr>
        <w:t>Der Status der Telefonnummer in den Umgebungen Operator Connect oder Teams Phone Mobile ist „zugewiesen“. Dies umfasst (ist jedoch nicht beschränkt auf) die Zuordnung zu Benutzern, Konferenz-Bridges, Sprachanwendungen und Drittanbieteranwendungen.</w:t>
      </w:r>
    </w:p>
    <w:p w14:paraId="0B635ABB" w14:textId="75F8F5F2" w:rsidR="00B2013C" w:rsidRPr="00B1426B" w:rsidRDefault="00B2013C" w:rsidP="00B2013C">
      <w:pPr>
        <w:pStyle w:val="xmsonormal"/>
        <w:shd w:val="clear" w:color="auto" w:fill="FFFFFF"/>
        <w:spacing w:before="0" w:beforeAutospacing="0" w:after="0" w:afterAutospacing="0"/>
        <w:rPr>
          <w:rFonts w:asciiTheme="minorHAnsi" w:eastAsiaTheme="minorHAnsi" w:hAnsiTheme="minorHAnsi" w:cstheme="minorHAnsi"/>
          <w:sz w:val="18"/>
          <w:szCs w:val="18"/>
        </w:rPr>
      </w:pPr>
      <w:r w:rsidRPr="00B1426B">
        <w:rPr>
          <w:rFonts w:asciiTheme="minorHAnsi" w:hAnsiTheme="minorHAnsi" w:cstheme="minorHAnsi"/>
          <w:sz w:val="18"/>
          <w:szCs w:val="18"/>
        </w:rPr>
        <w:t xml:space="preserve">Eine </w:t>
      </w:r>
      <w:r w:rsidRPr="000269C5">
        <w:rPr>
          <w:rFonts w:asciiTheme="minorHAnsi" w:eastAsiaTheme="minorHAnsi" w:hAnsiTheme="minorHAnsi" w:cstheme="minorBidi"/>
          <w:sz w:val="18"/>
          <w:szCs w:val="22"/>
        </w:rPr>
        <w:t>„</w:t>
      </w:r>
      <w:r w:rsidRPr="00B1426B">
        <w:rPr>
          <w:rFonts w:asciiTheme="minorHAnsi" w:eastAsiaTheme="minorHAnsi" w:hAnsiTheme="minorHAnsi" w:cstheme="minorHAnsi"/>
          <w:b/>
          <w:bCs/>
          <w:color w:val="00188F"/>
          <w:sz w:val="18"/>
          <w:szCs w:val="18"/>
        </w:rPr>
        <w:t>Ausfallzeit</w:t>
      </w:r>
      <w:r w:rsidR="000269C5" w:rsidRPr="000269C5">
        <w:rPr>
          <w:rFonts w:asciiTheme="minorHAnsi" w:eastAsiaTheme="minorHAnsi" w:hAnsiTheme="minorHAnsi" w:cstheme="minorBidi"/>
          <w:sz w:val="18"/>
          <w:szCs w:val="22"/>
        </w:rPr>
        <w:t>“</w:t>
      </w:r>
      <w:r w:rsidRPr="000269C5">
        <w:rPr>
          <w:rFonts w:asciiTheme="minorHAnsi" w:eastAsiaTheme="minorHAnsi" w:hAnsiTheme="minorHAnsi" w:cstheme="minorBidi"/>
          <w:sz w:val="18"/>
          <w:szCs w:val="22"/>
        </w:rPr>
        <w:t xml:space="preserve"> </w:t>
      </w:r>
      <w:r w:rsidRPr="00B1426B">
        <w:rPr>
          <w:rFonts w:asciiTheme="minorHAnsi" w:eastAsiaTheme="minorHAnsi" w:hAnsiTheme="minorHAnsi" w:cstheme="minorHAnsi"/>
          <w:sz w:val="18"/>
          <w:szCs w:val="18"/>
        </w:rPr>
        <w:t>ist ein beliebiger Zeitraum in einem Anwendbaren Zeitraum für ein bestimmtes Microsoft Azure-Abonnement, in dem zugewiesene Telefonnummern keine Sprachanrufe über das Azure Communications Gateway tätigen oder annehmen können.</w:t>
      </w:r>
    </w:p>
    <w:p w14:paraId="7D9C651D" w14:textId="17AD8068" w:rsidR="00B2013C" w:rsidRPr="00B1426B" w:rsidRDefault="00B2013C" w:rsidP="00B2013C">
      <w:pPr>
        <w:pStyle w:val="xmsonormal"/>
        <w:shd w:val="clear" w:color="auto" w:fill="FFFFFF"/>
        <w:spacing w:before="0" w:beforeAutospacing="0" w:after="0" w:afterAutospacing="0"/>
        <w:rPr>
          <w:rFonts w:asciiTheme="minorHAnsi" w:eastAsiaTheme="minorHAnsi" w:hAnsiTheme="minorHAnsi" w:cstheme="minorHAnsi"/>
          <w:sz w:val="18"/>
          <w:szCs w:val="18"/>
        </w:rPr>
      </w:pPr>
      <w:r w:rsidRPr="000269C5">
        <w:rPr>
          <w:rFonts w:asciiTheme="minorHAnsi" w:eastAsiaTheme="minorHAnsi" w:hAnsiTheme="minorHAnsi" w:cstheme="minorBidi"/>
          <w:sz w:val="18"/>
          <w:szCs w:val="22"/>
        </w:rPr>
        <w:t>„</w:t>
      </w:r>
      <w:r w:rsidRPr="00B1426B">
        <w:rPr>
          <w:rFonts w:asciiTheme="minorHAnsi" w:eastAsiaTheme="minorHAnsi" w:hAnsiTheme="minorHAnsi" w:cstheme="minorHAnsi"/>
          <w:b/>
          <w:bCs/>
          <w:color w:val="00188F"/>
          <w:sz w:val="18"/>
          <w:szCs w:val="18"/>
        </w:rPr>
        <w:t>Dauer der Ausfallzeit in Minuten</w:t>
      </w:r>
      <w:r w:rsidR="000269C5" w:rsidRPr="000269C5">
        <w:rPr>
          <w:rFonts w:asciiTheme="minorHAnsi" w:eastAsiaTheme="minorHAnsi" w:hAnsiTheme="minorHAnsi" w:cstheme="minorBidi"/>
          <w:sz w:val="18"/>
          <w:szCs w:val="22"/>
        </w:rPr>
        <w:t>“</w:t>
      </w:r>
      <w:r w:rsidRPr="00B1426B">
        <w:rPr>
          <w:rFonts w:asciiTheme="minorHAnsi" w:eastAsiaTheme="minorHAnsi" w:hAnsiTheme="minorHAnsi" w:cstheme="minorHAnsi"/>
          <w:sz w:val="18"/>
          <w:szCs w:val="18"/>
        </w:rPr>
        <w:t xml:space="preserve"> ist die Summe aller Ausfallzeiten, multipliziert mit der Anzahl der zugewiesenen Telefonnummern, die für die angegebene Ausfallzeit keine Anrufe über das Azure Communications Gateway tätigen oder annehmen können.</w:t>
      </w:r>
    </w:p>
    <w:p w14:paraId="73DFF7AD" w14:textId="31E564E0" w:rsidR="00B2013C" w:rsidRPr="00B1426B" w:rsidRDefault="00B2013C" w:rsidP="00B2013C">
      <w:pPr>
        <w:pStyle w:val="xmsonormal"/>
        <w:shd w:val="clear" w:color="auto" w:fill="FFFFFF"/>
        <w:spacing w:before="0" w:beforeAutospacing="0" w:after="0" w:afterAutospacing="0"/>
        <w:rPr>
          <w:rFonts w:asciiTheme="minorHAnsi" w:eastAsiaTheme="minorHAnsi" w:hAnsiTheme="minorHAnsi" w:cstheme="minorHAnsi"/>
          <w:sz w:val="18"/>
          <w:szCs w:val="18"/>
        </w:rPr>
      </w:pPr>
      <w:r w:rsidRPr="000269C5">
        <w:rPr>
          <w:rFonts w:asciiTheme="minorHAnsi" w:eastAsiaTheme="minorHAnsi" w:hAnsiTheme="minorHAnsi" w:cstheme="minorBidi"/>
          <w:sz w:val="18"/>
          <w:szCs w:val="22"/>
        </w:rPr>
        <w:t>„</w:t>
      </w:r>
      <w:r w:rsidRPr="00B1426B">
        <w:rPr>
          <w:rFonts w:asciiTheme="minorHAnsi" w:eastAsiaTheme="minorHAnsi" w:hAnsiTheme="minorHAnsi" w:cstheme="minorHAnsi"/>
          <w:b/>
          <w:bCs/>
          <w:color w:val="00188F"/>
          <w:sz w:val="18"/>
          <w:szCs w:val="18"/>
        </w:rPr>
        <w:t>Maximal Verfügbare Minutenanzahl</w:t>
      </w:r>
      <w:r w:rsidR="000269C5" w:rsidRPr="000269C5">
        <w:rPr>
          <w:rFonts w:asciiTheme="minorHAnsi" w:eastAsiaTheme="minorHAnsi" w:hAnsiTheme="minorHAnsi" w:cstheme="minorBidi"/>
          <w:sz w:val="18"/>
          <w:szCs w:val="22"/>
        </w:rPr>
        <w:t>“</w:t>
      </w:r>
      <w:r w:rsidRPr="00B1426B">
        <w:rPr>
          <w:rFonts w:asciiTheme="minorHAnsi" w:eastAsiaTheme="minorHAnsi" w:hAnsiTheme="minorHAnsi" w:cstheme="minorHAnsi"/>
          <w:sz w:val="18"/>
          <w:szCs w:val="18"/>
        </w:rPr>
        <w:t xml:space="preserve"> ist die Gesamtzahl der Minuten in einem Anwendbaren Zeitraum, in denen das Azure Communications Gateway erfolgreich bereitgestellt wurde (d. h. der Bereitstellungsstatus ist als abgeschlossen markiert), multipliziert mit der maximalen Anzahl der</w:t>
      </w:r>
      <w:r w:rsidR="004A4F32">
        <w:rPr>
          <w:rFonts w:asciiTheme="minorHAnsi" w:eastAsiaTheme="minorHAnsi" w:hAnsiTheme="minorHAnsi" w:cstheme="minorHAnsi"/>
          <w:sz w:val="18"/>
          <w:szCs w:val="18"/>
        </w:rPr>
        <w:t> </w:t>
      </w:r>
      <w:r w:rsidRPr="00B1426B">
        <w:rPr>
          <w:rFonts w:asciiTheme="minorHAnsi" w:eastAsiaTheme="minorHAnsi" w:hAnsiTheme="minorHAnsi" w:cstheme="minorHAnsi"/>
          <w:sz w:val="18"/>
          <w:szCs w:val="18"/>
        </w:rPr>
        <w:t>zu einem beliebigen Zeitpunkt innerhalb dieses Anwendbaren Zeitraums zugewiesenen Telefonnummern.</w:t>
      </w:r>
    </w:p>
    <w:p w14:paraId="722DA8A6" w14:textId="25BA79B5" w:rsidR="00B2013C" w:rsidRPr="00B1426B" w:rsidRDefault="00B2013C" w:rsidP="00B2013C">
      <w:pPr>
        <w:pStyle w:val="xmsonormal"/>
        <w:shd w:val="clear" w:color="auto" w:fill="FFFFFF" w:themeFill="background1"/>
        <w:spacing w:before="0" w:beforeAutospacing="0" w:after="0" w:afterAutospacing="0"/>
        <w:rPr>
          <w:rFonts w:asciiTheme="minorHAnsi" w:eastAsiaTheme="minorEastAsia" w:hAnsiTheme="minorHAnsi" w:cstheme="minorHAnsi"/>
          <w:sz w:val="18"/>
          <w:szCs w:val="18"/>
        </w:rPr>
      </w:pPr>
      <w:r w:rsidRPr="000269C5">
        <w:rPr>
          <w:rFonts w:asciiTheme="minorHAnsi" w:eastAsiaTheme="minorHAnsi" w:hAnsiTheme="minorHAnsi" w:cstheme="minorBidi"/>
          <w:sz w:val="18"/>
          <w:szCs w:val="22"/>
        </w:rPr>
        <w:t>„</w:t>
      </w:r>
      <w:r w:rsidRPr="00B1426B">
        <w:rPr>
          <w:rFonts w:asciiTheme="minorHAnsi" w:eastAsiaTheme="minorEastAsia" w:hAnsiTheme="minorHAnsi" w:cstheme="minorHAnsi"/>
          <w:b/>
          <w:color w:val="00188F"/>
          <w:sz w:val="18"/>
          <w:szCs w:val="18"/>
        </w:rPr>
        <w:t>Betriebszeitprozentsatz</w:t>
      </w:r>
      <w:r w:rsidR="000269C5" w:rsidRPr="000269C5">
        <w:rPr>
          <w:rFonts w:asciiTheme="minorHAnsi" w:eastAsiaTheme="minorHAnsi" w:hAnsiTheme="minorHAnsi" w:cstheme="minorBidi"/>
          <w:sz w:val="18"/>
          <w:szCs w:val="22"/>
        </w:rPr>
        <w:t>“</w:t>
      </w:r>
      <w:r w:rsidRPr="00ED75EB">
        <w:rPr>
          <w:rFonts w:asciiTheme="minorHAnsi" w:eastAsiaTheme="minorHAnsi" w:hAnsiTheme="minorHAnsi" w:cstheme="minorBidi"/>
          <w:b/>
          <w:color w:val="00188F"/>
          <w:sz w:val="18"/>
          <w:szCs w:val="22"/>
        </w:rPr>
        <w:t>:</w:t>
      </w:r>
      <w:r w:rsidRPr="00B1426B">
        <w:rPr>
          <w:rFonts w:asciiTheme="minorHAnsi" w:eastAsiaTheme="minorEastAsia" w:hAnsiTheme="minorHAnsi" w:cstheme="minorHAnsi"/>
          <w:sz w:val="18"/>
          <w:szCs w:val="18"/>
        </w:rPr>
        <w:t xml:space="preserve"> Der Betriebszeitprozentsatz errechnet sich nach folgender Formel:</w:t>
      </w:r>
    </w:p>
    <w:p w14:paraId="63BE773C" w14:textId="7ADB0EE3" w:rsidR="00B2013C" w:rsidRPr="00B1426B" w:rsidRDefault="00000000" w:rsidP="00933446">
      <w:pPr>
        <w:pStyle w:val="ListParagraph"/>
        <w:spacing w:before="120" w:after="120" w:line="240" w:lineRule="auto"/>
        <w:contextualSpacing w:val="0"/>
        <w:rPr>
          <w:rFonts w:ascii="Cambria Math" w:eastAsiaTheme="minorEastAsia"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Maximal verfügbare Minutenanzahl – Dauer der Ausfallzeit in Minuten</m:t>
              </m:r>
            </m:num>
            <m:den>
              <m:r>
                <m:rPr>
                  <m:nor/>
                </m:rPr>
                <w:rPr>
                  <w:rFonts w:ascii="Cambria Math" w:hAnsi="Cambria Math" w:cs="Tahoma"/>
                  <w:i/>
                  <w:sz w:val="18"/>
                  <w:szCs w:val="18"/>
                </w:rPr>
                <m:t>Maximal verfügbare Minutenanzahl</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BFF53DC" w14:textId="77777777" w:rsidR="00B2013C" w:rsidRDefault="00B2013C" w:rsidP="00B2013C">
      <w:pPr>
        <w:rPr>
          <w:sz w:val="18"/>
        </w:rPr>
      </w:pPr>
      <w:r>
        <w:rPr>
          <w:sz w:val="18"/>
        </w:rPr>
        <w:t>Diese SLA gilt nicht für Ausfälle, die durch einen Ausfall von Software, Geräten oder Diensten Dritter verursacht werden, die nicht von Microsoft kontrolliert werden, oder für Microsoft-Software, die nicht als Teil dieses Dienstes ausgeführt wird.</w:t>
      </w:r>
    </w:p>
    <w:p w14:paraId="3D411D07" w14:textId="77777777" w:rsidR="00B2013C" w:rsidRDefault="00B2013C" w:rsidP="00B2013C">
      <w:pPr>
        <w:pStyle w:val="ProductList-Body"/>
        <w:keepNext/>
        <w:rPr>
          <w:b/>
          <w:bCs/>
          <w:color w:val="00188F"/>
        </w:rPr>
      </w:pPr>
      <w:r>
        <w:rPr>
          <w:b/>
          <w:bCs/>
          <w:color w:val="00188F"/>
        </w:rPr>
        <w:t>Die folgenden Servicelevels und Servicegutschriften gelten für die Nutzung von Azure Communications Gateway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013C" w14:paraId="22117B71" w14:textId="77777777" w:rsidTr="00B2013C">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60363FF" w14:textId="066F1063" w:rsidR="00B2013C" w:rsidRDefault="00AC48A7">
            <w:pPr>
              <w:pStyle w:val="ProductList-OfferingBody"/>
              <w:spacing w:line="254" w:lineRule="auto"/>
              <w:jc w:val="center"/>
              <w:rPr>
                <w:color w:val="FFFFFF" w:themeColor="background1"/>
              </w:rPr>
            </w:pPr>
            <w:r>
              <w:rPr>
                <w:color w:val="FFFFFF" w:themeColor="background1"/>
              </w:rPr>
              <w:t>Betriebszeitprozentsatz</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B1FE7EE" w14:textId="77777777" w:rsidR="00B2013C" w:rsidRDefault="00B2013C">
            <w:pPr>
              <w:pStyle w:val="ProductList-OfferingBody"/>
              <w:spacing w:line="254" w:lineRule="auto"/>
              <w:jc w:val="center"/>
              <w:rPr>
                <w:color w:val="FFFFFF" w:themeColor="background1"/>
              </w:rPr>
            </w:pPr>
            <w:r>
              <w:rPr>
                <w:color w:val="FFFFFF" w:themeColor="background1"/>
              </w:rPr>
              <w:t>Servicegutschrift</w:t>
            </w:r>
          </w:p>
        </w:tc>
      </w:tr>
      <w:tr w:rsidR="00B2013C" w14:paraId="0E3A50F5" w14:textId="77777777" w:rsidTr="00B2013C">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B959B2" w14:textId="77777777" w:rsidR="00B2013C" w:rsidRDefault="00B2013C">
            <w:pPr>
              <w:pStyle w:val="ProductList-OfferingBody"/>
              <w:spacing w:line="254" w:lineRule="auto"/>
              <w:jc w:val="center"/>
            </w:pPr>
            <w:r>
              <w:t>&lt; 99,99 %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B2CB9E" w14:textId="77777777" w:rsidR="00B2013C" w:rsidRDefault="00B2013C">
            <w:pPr>
              <w:pStyle w:val="ProductList-OfferingBody"/>
              <w:spacing w:line="254" w:lineRule="auto"/>
              <w:jc w:val="center"/>
            </w:pPr>
            <w:r>
              <w:t>25 %</w:t>
            </w:r>
          </w:p>
        </w:tc>
      </w:tr>
      <w:tr w:rsidR="00B2013C" w14:paraId="3C180FCA" w14:textId="77777777" w:rsidTr="00B2013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407156" w14:textId="77777777" w:rsidR="00B2013C" w:rsidRDefault="00B2013C">
            <w:pPr>
              <w:pStyle w:val="ProductList-OfferingBody"/>
              <w:spacing w:line="254" w:lineRule="auto"/>
              <w:jc w:val="center"/>
            </w:pPr>
            <w:r>
              <w:t>&lt; 98 %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48E222" w14:textId="77777777" w:rsidR="00B2013C" w:rsidRDefault="00B2013C">
            <w:pPr>
              <w:pStyle w:val="ProductList-OfferingBody"/>
              <w:spacing w:line="254" w:lineRule="auto"/>
              <w:jc w:val="center"/>
            </w:pPr>
            <w:r>
              <w:t>50 %</w:t>
            </w:r>
          </w:p>
        </w:tc>
      </w:tr>
      <w:tr w:rsidR="00B2013C" w14:paraId="42DDCA4B" w14:textId="77777777" w:rsidTr="00B2013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227F45" w14:textId="77777777" w:rsidR="00B2013C" w:rsidRDefault="00B2013C">
            <w:pPr>
              <w:pStyle w:val="ProductList-OfferingBody"/>
              <w:spacing w:line="254" w:lineRule="auto"/>
              <w:jc w:val="center"/>
            </w:pPr>
            <w:r>
              <w:t>&lt; 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79271A" w14:textId="77777777" w:rsidR="00B2013C" w:rsidRDefault="00B2013C">
            <w:pPr>
              <w:pStyle w:val="ProductList-OfferingBody"/>
              <w:spacing w:line="254" w:lineRule="auto"/>
              <w:jc w:val="center"/>
            </w:pPr>
            <w:r>
              <w:t>100 %</w:t>
            </w:r>
          </w:p>
        </w:tc>
      </w:tr>
    </w:tbl>
    <w:p w14:paraId="62B6075C" w14:textId="71B43DFD"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3389F154" w14:textId="3BB2D9DD" w:rsidR="00B6541B" w:rsidRPr="00B6541B" w:rsidRDefault="00B6541B" w:rsidP="00E85D4E">
      <w:pPr>
        <w:pStyle w:val="ProductList-Offering2Heading"/>
        <w:keepNext/>
        <w:tabs>
          <w:tab w:val="clear" w:pos="360"/>
          <w:tab w:val="clear" w:pos="720"/>
          <w:tab w:val="clear" w:pos="1080"/>
        </w:tabs>
        <w:spacing w:before="0" w:after="0"/>
        <w:outlineLvl w:val="2"/>
      </w:pPr>
      <w:bookmarkStart w:id="242" w:name="_Toc195543119"/>
      <w:bookmarkStart w:id="243" w:name="_Toc237448976"/>
      <w:r>
        <w:t>Azure-Kommunikationsdienste</w:t>
      </w:r>
      <w:bookmarkEnd w:id="242"/>
      <w:bookmarkEnd w:id="243"/>
    </w:p>
    <w:p w14:paraId="4DFBE77A" w14:textId="77777777" w:rsidR="00B6541B" w:rsidRPr="00B6541B" w:rsidRDefault="00B6541B" w:rsidP="00B6541B">
      <w:pPr>
        <w:pStyle w:val="ProductList-Body"/>
        <w:rPr>
          <w:b/>
          <w:color w:val="00188F"/>
        </w:rPr>
      </w:pPr>
      <w:r>
        <w:rPr>
          <w:b/>
          <w:color w:val="00188F"/>
        </w:rPr>
        <w:t>Zusätzliche Definitionen</w:t>
      </w:r>
    </w:p>
    <w:p w14:paraId="53EC037E" w14:textId="0121076A" w:rsidR="00B6541B" w:rsidRDefault="00B6541B" w:rsidP="00B6541B">
      <w:pPr>
        <w:pStyle w:val="ProductList-Body"/>
      </w:pPr>
      <w:r>
        <w:t>Eine „</w:t>
      </w:r>
      <w:r>
        <w:rPr>
          <w:b/>
          <w:bCs/>
          <w:color w:val="00188F"/>
        </w:rPr>
        <w:t>Ausfallzeit</w:t>
      </w:r>
      <w:r w:rsidR="000269C5" w:rsidRPr="00ED75EB">
        <w:rPr>
          <w:rFonts w:eastAsia="Segoe UI" w:cs="Segoe UI"/>
          <w:szCs w:val="18"/>
        </w:rPr>
        <w:t>“</w:t>
      </w:r>
      <w:r>
        <w:t xml:space="preserve"> </w:t>
      </w:r>
      <w:r>
        <w:rPr>
          <w:rFonts w:ascii="Calibri" w:eastAsia="Calibri" w:hAnsi="Calibri" w:cs="Calibri"/>
        </w:rPr>
        <w:t>ist die Gesamtzahl der Maximal Verfügbaren Minuten während eines Anwendbaren Zeitraums, in denen Azure Communication Services nicht verfügbar ist. Eine Minute gilt als nicht verfügbar, wenn alle Anfragen innerhalb dieser Minute zu 5xx-Fehlern führen.</w:t>
      </w:r>
    </w:p>
    <w:p w14:paraId="1DD25A5C" w14:textId="2E25D3BE" w:rsidR="009E0C69" w:rsidRDefault="008F7199" w:rsidP="00B6541B">
      <w:pPr>
        <w:pStyle w:val="ProductList-Body"/>
      </w:pPr>
      <w:r>
        <w:t>„</w:t>
      </w:r>
      <w:r>
        <w:rPr>
          <w:b/>
          <w:bCs/>
          <w:color w:val="00188F"/>
        </w:rPr>
        <w:t>Maximal Verfügbare Minuten</w:t>
      </w:r>
      <w:r w:rsidR="000269C5" w:rsidRPr="00ED75EB">
        <w:rPr>
          <w:rFonts w:eastAsia="Segoe UI" w:cs="Segoe UI"/>
          <w:szCs w:val="18"/>
        </w:rPr>
        <w:t>“</w:t>
      </w:r>
      <w:r>
        <w:rPr>
          <w:rFonts w:ascii="Calibri" w:eastAsia="Calibri" w:hAnsi="Calibri" w:cs="Calibri"/>
        </w:rPr>
        <w:t xml:space="preserve"> ist die Gesamtzahl der Minuten, in denen Azure Communication Services von einem Kunden während eines Anwendbaren Zeitraums in einem Microsoft Azure-Abonnement bereitgestellt wird.</w:t>
      </w:r>
    </w:p>
    <w:p w14:paraId="47E4892E" w14:textId="6415D2FD" w:rsidR="00B6541B" w:rsidRDefault="00AC48A7" w:rsidP="00B6541B">
      <w:pPr>
        <w:pStyle w:val="ProductList-Body"/>
      </w:pPr>
      <w:r>
        <w:rPr>
          <w:b/>
          <w:bCs/>
          <w:color w:val="00188F"/>
        </w:rPr>
        <w:t>Betriebszeitprozentsatz:</w:t>
      </w:r>
      <w:r>
        <w:t xml:space="preserve"> Der Betriebszeitprozentsatz errechnet sich nach folgender Formel:</w:t>
      </w:r>
    </w:p>
    <w:p w14:paraId="63F391E8" w14:textId="31B27354" w:rsidR="00B6541B" w:rsidRPr="007C7313" w:rsidRDefault="00000000" w:rsidP="00B820B8">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0BC57BA9" w14:textId="77777777" w:rsidR="00B6541B" w:rsidRPr="00B6541B" w:rsidRDefault="00B6541B" w:rsidP="00B6541B">
      <w:pPr>
        <w:pStyle w:val="ProductList-Body"/>
        <w:keepNext/>
        <w:rPr>
          <w:b/>
          <w:bCs/>
          <w:color w:val="00188F"/>
        </w:rPr>
      </w:pPr>
      <w:r>
        <w:rPr>
          <w:b/>
          <w:bCs/>
          <w:color w:val="00188F"/>
        </w:rPr>
        <w:lastRenderedPageBreak/>
        <w:t>Servicegutschrift</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6541B" w:rsidRPr="00B44CF9" w14:paraId="5B653007" w14:textId="77777777" w:rsidTr="00277097">
        <w:trPr>
          <w:tblHeader/>
        </w:trPr>
        <w:tc>
          <w:tcPr>
            <w:tcW w:w="5400" w:type="dxa"/>
            <w:shd w:val="clear" w:color="auto" w:fill="0072C6"/>
          </w:tcPr>
          <w:p w14:paraId="7E82B296" w14:textId="69475BEA" w:rsidR="00B6541B" w:rsidRPr="00EF7CF9" w:rsidRDefault="00AC48A7" w:rsidP="000F31B4">
            <w:pPr>
              <w:pStyle w:val="ProductList-OfferingBody"/>
              <w:spacing w:before="0" w:after="0"/>
              <w:jc w:val="center"/>
              <w:rPr>
                <w:color w:val="FFFFFF" w:themeColor="background1"/>
              </w:rPr>
            </w:pPr>
            <w:r>
              <w:rPr>
                <w:color w:val="FFFFFF" w:themeColor="background1"/>
              </w:rPr>
              <w:t>Betriebszeitprozentsatz</w:t>
            </w:r>
          </w:p>
        </w:tc>
        <w:tc>
          <w:tcPr>
            <w:tcW w:w="5400" w:type="dxa"/>
            <w:shd w:val="clear" w:color="auto" w:fill="0072C6"/>
          </w:tcPr>
          <w:p w14:paraId="770A261D" w14:textId="77777777" w:rsidR="00B6541B" w:rsidRPr="00EF7CF9" w:rsidRDefault="00B6541B" w:rsidP="000F31B4">
            <w:pPr>
              <w:pStyle w:val="ProductList-OfferingBody"/>
              <w:spacing w:before="0" w:after="0"/>
              <w:jc w:val="center"/>
              <w:rPr>
                <w:color w:val="FFFFFF" w:themeColor="background1"/>
              </w:rPr>
            </w:pPr>
            <w:r>
              <w:rPr>
                <w:color w:val="FFFFFF" w:themeColor="background1"/>
              </w:rPr>
              <w:t>Servicegutschrift</w:t>
            </w:r>
          </w:p>
        </w:tc>
      </w:tr>
      <w:tr w:rsidR="00B6541B" w:rsidRPr="00B44CF9" w14:paraId="766EE852" w14:textId="77777777" w:rsidTr="00277097">
        <w:tc>
          <w:tcPr>
            <w:tcW w:w="5400" w:type="dxa"/>
          </w:tcPr>
          <w:p w14:paraId="53F0625F" w14:textId="77777777" w:rsidR="00B6541B" w:rsidRPr="00EF7CF9" w:rsidRDefault="00B6541B" w:rsidP="00980525">
            <w:pPr>
              <w:pStyle w:val="ProductList-OfferingBody"/>
              <w:jc w:val="center"/>
            </w:pPr>
            <w:r>
              <w:t>&lt; 99,9 %</w:t>
            </w:r>
          </w:p>
        </w:tc>
        <w:tc>
          <w:tcPr>
            <w:tcW w:w="5400" w:type="dxa"/>
          </w:tcPr>
          <w:p w14:paraId="47FAAA95" w14:textId="77777777" w:rsidR="00B6541B" w:rsidRPr="00EF7CF9" w:rsidRDefault="00B6541B" w:rsidP="00980525">
            <w:pPr>
              <w:pStyle w:val="ProductList-OfferingBody"/>
              <w:jc w:val="center"/>
            </w:pPr>
            <w:r>
              <w:t>10 %</w:t>
            </w:r>
          </w:p>
        </w:tc>
      </w:tr>
      <w:tr w:rsidR="00B6541B" w:rsidRPr="00B44CF9" w14:paraId="6AD1B6C2" w14:textId="77777777" w:rsidTr="00277097">
        <w:tc>
          <w:tcPr>
            <w:tcW w:w="5400" w:type="dxa"/>
          </w:tcPr>
          <w:p w14:paraId="17D39BF6" w14:textId="77777777" w:rsidR="00B6541B" w:rsidRPr="00EF7CF9" w:rsidRDefault="00B6541B" w:rsidP="00980525">
            <w:pPr>
              <w:pStyle w:val="ProductList-OfferingBody"/>
              <w:jc w:val="center"/>
            </w:pPr>
            <w:r>
              <w:t>&lt; 99 %</w:t>
            </w:r>
          </w:p>
        </w:tc>
        <w:tc>
          <w:tcPr>
            <w:tcW w:w="5400" w:type="dxa"/>
          </w:tcPr>
          <w:p w14:paraId="2C12DDBF" w14:textId="77777777" w:rsidR="00B6541B" w:rsidRPr="00EF7CF9" w:rsidRDefault="00B6541B" w:rsidP="00980525">
            <w:pPr>
              <w:pStyle w:val="ProductList-OfferingBody"/>
              <w:jc w:val="center"/>
            </w:pPr>
            <w:r>
              <w:t>25 %</w:t>
            </w:r>
          </w:p>
        </w:tc>
      </w:tr>
    </w:tbl>
    <w:p w14:paraId="06E0A7F5" w14:textId="0BADDD2C" w:rsidR="00B6541B" w:rsidRDefault="00532226" w:rsidP="00532226">
      <w:pPr>
        <w:pStyle w:val="ProductList-Body"/>
        <w:spacing w:before="120"/>
      </w:pPr>
      <w:r>
        <w:rPr>
          <w:b/>
          <w:bCs/>
          <w:color w:val="00188F"/>
        </w:rPr>
        <w:t>Zusatzbestimmungen</w:t>
      </w:r>
      <w:r w:rsidRPr="00ED75EB">
        <w:rPr>
          <w:b/>
          <w:color w:val="00188F"/>
        </w:rPr>
        <w:t>:</w:t>
      </w:r>
      <w:r>
        <w:t xml:space="preserve"> Das Dienstguthaben wird auf den spezifischen Dienst angewendet, der nicht verfügbar war. Wenn der Kunde beispielsweise SMS- und Chat-Dienste nutzt und der SMS-Dienst die SLA nicht erfüllt, erhält er eine Gutschrift für die SMS-Nutzung, nicht für die Chat-Nutzung.</w:t>
      </w:r>
    </w:p>
    <w:p w14:paraId="2B82CC9C" w14:textId="2FE31A1A" w:rsidR="00B6541B" w:rsidRDefault="00B6541B" w:rsidP="006F7EF3">
      <w:pPr>
        <w:pStyle w:val="ProductList-Body"/>
        <w:spacing w:before="120"/>
      </w:pPr>
      <w:r>
        <w:t>Die verfügbaren Minuten basieren nur auf Diensten, die unter der Kontrolle von Azure-Kommunikationsdiensten stehen; dies schließt Dienste von Drittanbietern wie Telekommunikationsanbietern und Netzbetreibern aus.</w:t>
      </w:r>
    </w:p>
    <w:p w14:paraId="3165F258" w14:textId="79F8E096"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776DED38" w14:textId="0A20F4E8" w:rsidR="00774368" w:rsidRPr="00774368" w:rsidRDefault="00774368" w:rsidP="00774368">
      <w:pPr>
        <w:pStyle w:val="ProductList-Offering2Heading"/>
        <w:keepNext/>
        <w:tabs>
          <w:tab w:val="clear" w:pos="360"/>
          <w:tab w:val="clear" w:pos="720"/>
          <w:tab w:val="clear" w:pos="1080"/>
        </w:tabs>
        <w:spacing w:before="0" w:after="0"/>
        <w:outlineLvl w:val="2"/>
      </w:pPr>
      <w:bookmarkStart w:id="244" w:name="_Toc195543120"/>
      <w:bookmarkStart w:id="245" w:name="_Toc237448977"/>
      <w:r>
        <w:t>Azure Confidential Ledger</w:t>
      </w:r>
      <w:bookmarkEnd w:id="244"/>
      <w:bookmarkEnd w:id="245"/>
    </w:p>
    <w:p w14:paraId="4F327946" w14:textId="719E083B" w:rsidR="00774368" w:rsidRPr="00774368" w:rsidRDefault="00EE6E3C" w:rsidP="00774368">
      <w:pPr>
        <w:pStyle w:val="ProductList-Body"/>
        <w:rPr>
          <w:b/>
          <w:bCs/>
          <w:color w:val="00188F"/>
        </w:rPr>
      </w:pPr>
      <w:r>
        <w:rPr>
          <w:b/>
          <w:bCs/>
          <w:color w:val="00188F"/>
        </w:rPr>
        <w:t>Berechnung der Betriebszeit und Service-Levels für Azure Confidential Ledger</w:t>
      </w:r>
    </w:p>
    <w:p w14:paraId="5E635D0D" w14:textId="56AEB2AC" w:rsidR="00774368" w:rsidRDefault="00774368" w:rsidP="00774368">
      <w:pPr>
        <w:pStyle w:val="ProductList-Body"/>
      </w:pPr>
      <w:r>
        <w:t>„</w:t>
      </w:r>
      <w:r>
        <w:rPr>
          <w:b/>
          <w:bCs/>
          <w:color w:val="00188F"/>
        </w:rPr>
        <w:t>Bereitstellungsminuten</w:t>
      </w:r>
      <w:r>
        <w:t>“ ist die Gesamtzahl der Minuten, die ein bestimmtes verwaltetes Confidential Ledger im Verlauf eines Anwendbaren Zeitraums in Microsoft Azure bereitgestellt wird.</w:t>
      </w:r>
    </w:p>
    <w:p w14:paraId="7F32078E" w14:textId="0709586A" w:rsidR="00774368" w:rsidRDefault="00774368" w:rsidP="00774368">
      <w:pPr>
        <w:pStyle w:val="ProductList-Body"/>
      </w:pPr>
      <w:r>
        <w:t>„</w:t>
      </w:r>
      <w:r>
        <w:rPr>
          <w:b/>
          <w:bCs/>
          <w:color w:val="00188F"/>
        </w:rPr>
        <w:t>Maximal Verfügbare Minuten</w:t>
      </w:r>
      <w:r>
        <w:t>“ ist die Summe aller Bereitstellungsminuten für alle verwalteten Confidential Ledgers, die vom Kunden in einem bestimmten Microsoft Azure-Abonnement während eines Anwendbaren Zeitraums bereitgestellt werden.</w:t>
      </w:r>
    </w:p>
    <w:p w14:paraId="12F1C8B0" w14:textId="77777777" w:rsidR="00774368" w:rsidRDefault="00774368" w:rsidP="00774368">
      <w:pPr>
        <w:pStyle w:val="ProductList-Body"/>
      </w:pPr>
      <w:r>
        <w:t>„</w:t>
      </w:r>
      <w:r>
        <w:rPr>
          <w:b/>
          <w:bCs/>
          <w:color w:val="00188F"/>
        </w:rPr>
        <w:t>Ausgeschlossene Transaktionen</w:t>
      </w:r>
      <w:r>
        <w:t>“ sind Transaktionen zum Erstellen, Aktualisieren oder Löschen von verwalteten Confidential Ledgers.</w:t>
      </w:r>
    </w:p>
    <w:p w14:paraId="5F7EAD95" w14:textId="77777777" w:rsidR="00774368" w:rsidRDefault="00774368" w:rsidP="00774368">
      <w:pPr>
        <w:pStyle w:val="ProductList-Body"/>
      </w:pPr>
      <w:r>
        <w:t>„</w:t>
      </w:r>
      <w:r>
        <w:rPr>
          <w:b/>
          <w:bCs/>
          <w:color w:val="00188F"/>
        </w:rPr>
        <w:t>Ausfallzeit</w:t>
      </w:r>
      <w:r>
        <w:t>“ ist die Summe der Minuten, in denen die verwalteten Confidential Ledgers im Verlauf eines bestimmten Microsoft Azure-Abonnements für alle vom Kunden bereitgestellten verwalteten Confidential Ledgers nicht verfügbar waren. Eine Minute gilt für ein bestimmtes Confidential Ledger als nicht verfügbar, wenn alle kontinuierlichen Versuche, während der Minute Transaktionen mit Ausnahme von ausgeschlossenen Transaktionen im Confidential Ledger durchzuführen, entweder einen Fehlercode zurückgeben oder innerhalb von 5 Sekunden nach Eingang der Anforderung bei Microsoft nicht zu einem Erfolgscode führen.</w:t>
      </w:r>
    </w:p>
    <w:p w14:paraId="431E0688" w14:textId="4DE06D57" w:rsidR="00774368" w:rsidRDefault="00774368" w:rsidP="00774368">
      <w:pPr>
        <w:pStyle w:val="ProductList-Body"/>
      </w:pPr>
      <w:r>
        <w:t>„</w:t>
      </w:r>
      <w:r>
        <w:rPr>
          <w:b/>
          <w:bCs/>
          <w:color w:val="00188F"/>
        </w:rPr>
        <w:t>Betriebszeitprozentsatz</w:t>
      </w:r>
      <w:r>
        <w:t>“ für den Azure Confidential Ledger-Dienst wird berechnet als Maximal Verfügbare Minuten abzüglich der Ausfallzeit geteilt durch die Maximal Verfügbaren Minuten in einem Anwendbaren Zeitraum für ein bestimmtes Microsoft Azure-Abonnement. Der Betriebszeitprozentsatz wird durch die folgende Formel ermittelt:</w:t>
      </w:r>
    </w:p>
    <w:p w14:paraId="79D5452C" w14:textId="25FF2B71" w:rsidR="00774368" w:rsidRPr="007C7313" w:rsidRDefault="00000000" w:rsidP="00300C7F">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3C2DF121" w14:textId="77777777" w:rsidR="00774368" w:rsidRPr="00774368" w:rsidRDefault="00774368" w:rsidP="00774368">
      <w:pPr>
        <w:pStyle w:val="ProductList-Body"/>
        <w:keepNext/>
        <w:rPr>
          <w:b/>
          <w:bCs/>
          <w:color w:val="00188F"/>
        </w:rPr>
      </w:pPr>
      <w:r>
        <w:rPr>
          <w:b/>
          <w:bCs/>
          <w:color w:val="00188F"/>
        </w:rPr>
        <w:t>Die folgenden Servicelevels und Servicegutschriften gelten für die Nutzung von Azure Confidential Ledger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74368" w:rsidRPr="00B44CF9" w14:paraId="5FBDC424" w14:textId="77777777" w:rsidTr="00277097">
        <w:trPr>
          <w:tblHeader/>
        </w:trPr>
        <w:tc>
          <w:tcPr>
            <w:tcW w:w="5400" w:type="dxa"/>
            <w:shd w:val="clear" w:color="auto" w:fill="0072C6"/>
          </w:tcPr>
          <w:p w14:paraId="66A30EA1" w14:textId="35CF8AD5" w:rsidR="00774368" w:rsidRPr="001A0074"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18751BF2" w14:textId="77777777" w:rsidR="00774368" w:rsidRPr="001A0074" w:rsidRDefault="00774368" w:rsidP="000F31B4">
            <w:pPr>
              <w:pStyle w:val="ProductList-OfferingBody"/>
              <w:jc w:val="center"/>
              <w:rPr>
                <w:color w:val="FFFFFF" w:themeColor="background1"/>
              </w:rPr>
            </w:pPr>
            <w:r>
              <w:rPr>
                <w:color w:val="FFFFFF" w:themeColor="background1"/>
              </w:rPr>
              <w:t>Servicegutschrift</w:t>
            </w:r>
          </w:p>
        </w:tc>
      </w:tr>
      <w:tr w:rsidR="00774368" w:rsidRPr="00B44CF9" w14:paraId="495AD578" w14:textId="77777777" w:rsidTr="00277097">
        <w:tc>
          <w:tcPr>
            <w:tcW w:w="5400" w:type="dxa"/>
          </w:tcPr>
          <w:p w14:paraId="0E1A7FE2" w14:textId="77777777" w:rsidR="00774368" w:rsidRPr="0076238C" w:rsidRDefault="00774368" w:rsidP="000F31B4">
            <w:pPr>
              <w:pStyle w:val="ProductList-OfferingBody"/>
              <w:jc w:val="center"/>
            </w:pPr>
            <w:r>
              <w:t>&lt; 99,9 %</w:t>
            </w:r>
          </w:p>
        </w:tc>
        <w:tc>
          <w:tcPr>
            <w:tcW w:w="5400" w:type="dxa"/>
          </w:tcPr>
          <w:p w14:paraId="29A8BCAC" w14:textId="77777777" w:rsidR="00774368" w:rsidRPr="0076238C" w:rsidRDefault="00774368" w:rsidP="000F31B4">
            <w:pPr>
              <w:pStyle w:val="ProductList-OfferingBody"/>
              <w:jc w:val="center"/>
            </w:pPr>
            <w:r>
              <w:t>10 %</w:t>
            </w:r>
          </w:p>
        </w:tc>
      </w:tr>
      <w:tr w:rsidR="00774368" w:rsidRPr="00B44CF9" w14:paraId="0C122362" w14:textId="77777777" w:rsidTr="00277097">
        <w:tc>
          <w:tcPr>
            <w:tcW w:w="5400" w:type="dxa"/>
          </w:tcPr>
          <w:p w14:paraId="3CBC4545" w14:textId="77777777" w:rsidR="00774368" w:rsidRPr="0076238C" w:rsidRDefault="00774368" w:rsidP="000F31B4">
            <w:pPr>
              <w:pStyle w:val="ProductList-OfferingBody"/>
              <w:jc w:val="center"/>
            </w:pPr>
            <w:r>
              <w:t>&lt; 99 %</w:t>
            </w:r>
          </w:p>
        </w:tc>
        <w:tc>
          <w:tcPr>
            <w:tcW w:w="5400" w:type="dxa"/>
          </w:tcPr>
          <w:p w14:paraId="1DBA3864" w14:textId="77777777" w:rsidR="00774368" w:rsidRPr="0076238C" w:rsidRDefault="00774368" w:rsidP="000F31B4">
            <w:pPr>
              <w:pStyle w:val="ProductList-OfferingBody"/>
              <w:jc w:val="center"/>
            </w:pPr>
            <w:r>
              <w:t>25 %</w:t>
            </w:r>
          </w:p>
        </w:tc>
      </w:tr>
    </w:tbl>
    <w:p w14:paraId="2F0EF947" w14:textId="61D274E2"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6EEF48DB" w14:textId="77777777" w:rsidR="000B24EC" w:rsidRPr="000B24EC" w:rsidRDefault="000B24EC" w:rsidP="000B24EC">
      <w:pPr>
        <w:pStyle w:val="ProductList-Offering2Heading"/>
        <w:keepNext/>
        <w:tabs>
          <w:tab w:val="clear" w:pos="360"/>
          <w:tab w:val="clear" w:pos="720"/>
          <w:tab w:val="clear" w:pos="1080"/>
        </w:tabs>
        <w:spacing w:before="0" w:after="0"/>
        <w:outlineLvl w:val="2"/>
      </w:pPr>
      <w:bookmarkStart w:id="246" w:name="_Toc195543121"/>
      <w:bookmarkStart w:id="247" w:name="_Toc237448978"/>
      <w:r>
        <w:t>Azure Container Apps</w:t>
      </w:r>
      <w:bookmarkEnd w:id="246"/>
      <w:bookmarkEnd w:id="247"/>
    </w:p>
    <w:p w14:paraId="6CCAE860" w14:textId="77777777" w:rsidR="000B24EC" w:rsidRPr="000B24EC" w:rsidRDefault="000B24EC" w:rsidP="000B24EC">
      <w:pPr>
        <w:pStyle w:val="ProductList-Body"/>
        <w:rPr>
          <w:b/>
          <w:bCs/>
          <w:color w:val="00188F"/>
        </w:rPr>
      </w:pPr>
      <w:r>
        <w:rPr>
          <w:b/>
          <w:bCs/>
          <w:color w:val="00188F"/>
        </w:rPr>
        <w:t>Zusätzliche Definitionen</w:t>
      </w:r>
    </w:p>
    <w:p w14:paraId="3F419D97" w14:textId="77777777" w:rsidR="000B24EC" w:rsidRDefault="000B24EC" w:rsidP="000B24EC">
      <w:pPr>
        <w:pStyle w:val="ProductList-Body"/>
      </w:pPr>
      <w:r>
        <w:t>„</w:t>
      </w:r>
      <w:r>
        <w:rPr>
          <w:b/>
          <w:bCs/>
          <w:color w:val="00188F"/>
        </w:rPr>
        <w:t>App</w:t>
      </w:r>
      <w:r>
        <w:t>“ ist ein Microservice oder eine Anwendung, die von einem Kunden des Azure Container Apps-Dienstes bereitgestellt wird.</w:t>
      </w:r>
    </w:p>
    <w:p w14:paraId="7A1E0F20" w14:textId="0C7AD764" w:rsidR="000B24EC" w:rsidRDefault="000B24EC" w:rsidP="000B24EC">
      <w:pPr>
        <w:pStyle w:val="ProductList-Body"/>
      </w:pPr>
      <w:r>
        <w:t>„</w:t>
      </w:r>
      <w:r>
        <w:rPr>
          <w:b/>
          <w:bCs/>
          <w:color w:val="00188F"/>
        </w:rPr>
        <w:t>Bereitstellungsminuten</w:t>
      </w:r>
      <w:r>
        <w:t>“ bezeichnet die Gesamtzahl der Minuten, die eine App voraussichtlich in einem Anwendbaren Zeitraum aktiv ist. Die Zeit, die eine App voraussichtlich in einem Anwendbaren Zeitraum aktiv sein wird, basiert auf den vom Kunden festgelegten Skalierungsregeln.</w:t>
      </w:r>
    </w:p>
    <w:p w14:paraId="577AE7E2" w14:textId="5FA5E0D5" w:rsidR="000B24EC" w:rsidRDefault="000B24EC" w:rsidP="000B24EC">
      <w:pPr>
        <w:pStyle w:val="ProductList-Body"/>
      </w:pPr>
      <w:r>
        <w:t>„</w:t>
      </w:r>
      <w:r>
        <w:rPr>
          <w:b/>
          <w:bCs/>
          <w:color w:val="00188F"/>
        </w:rPr>
        <w:t>Maximal Verfügbare Minuten</w:t>
      </w:r>
      <w:r>
        <w:t>“ ist die Summe aller Bereitstellungsminuten für eine bestimmte App, die vom Kunden in einem bestimmten Microsoft Azure-Abonnement im Verlauf eines Anwendbaren Zeitraums bereitgestellt wird.</w:t>
      </w:r>
    </w:p>
    <w:p w14:paraId="31B96E11" w14:textId="79AF2C7C" w:rsidR="000B24EC" w:rsidRPr="000B24EC" w:rsidRDefault="00EE6E3C" w:rsidP="00300C7F">
      <w:pPr>
        <w:pStyle w:val="ProductList-Body"/>
        <w:rPr>
          <w:b/>
          <w:bCs/>
          <w:color w:val="00188F"/>
        </w:rPr>
      </w:pPr>
      <w:r>
        <w:rPr>
          <w:b/>
          <w:bCs/>
          <w:color w:val="00188F"/>
        </w:rPr>
        <w:t>Berechnung der Betriebszeit und Service-Levels für Azure Container Apps</w:t>
      </w:r>
    </w:p>
    <w:p w14:paraId="31C04623" w14:textId="3DAEB4CD" w:rsidR="000B24EC" w:rsidRDefault="000B24EC" w:rsidP="000B24EC">
      <w:pPr>
        <w:pStyle w:val="ProductList-Body"/>
      </w:pPr>
      <w:r>
        <w:t>„</w:t>
      </w:r>
      <w:r>
        <w:rPr>
          <w:b/>
          <w:bCs/>
          <w:color w:val="00188F"/>
        </w:rPr>
        <w:t>Ausfallzeit</w:t>
      </w:r>
      <w:r>
        <w:t>“ ist die Summe aller Minuten für alle von einem Kunden in einem bestimmten Microsoft Azure-Abonnement bereitgestellten Apps, in denen mindestens eine der Apps nicht verfügbar ist. Eine Minute gilt für eine bestimmte App als nicht verfügbar, wenn keine Verbindung zwischen der App und dem Internetgateway von Microsoft besteht.</w:t>
      </w:r>
    </w:p>
    <w:p w14:paraId="5C76F7F0" w14:textId="54493D50" w:rsidR="000B24EC" w:rsidRDefault="00AC48A7" w:rsidP="000B24EC">
      <w:pPr>
        <w:pStyle w:val="ProductList-Body"/>
      </w:pPr>
      <w:r>
        <w:rPr>
          <w:b/>
          <w:bCs/>
          <w:color w:val="00188F"/>
        </w:rPr>
        <w:t>Betriebszeitprozentsatz:</w:t>
      </w:r>
      <w:r>
        <w:t xml:space="preserve"> Der Betriebszeitprozentsatz errechnet sich nach folgender Formel:</w:t>
      </w:r>
    </w:p>
    <w:p w14:paraId="2449A806" w14:textId="4932644B" w:rsidR="000B24EC" w:rsidRPr="007C7313" w:rsidRDefault="00000000" w:rsidP="00B820B8">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6CC817AF" w14:textId="77777777" w:rsidR="000B24EC" w:rsidRPr="0009720F" w:rsidRDefault="000B24EC" w:rsidP="0009720F">
      <w:pPr>
        <w:pStyle w:val="ProductList-Body"/>
        <w:keepNext/>
        <w:rPr>
          <w:b/>
          <w:bCs/>
          <w:color w:val="00188F"/>
        </w:rPr>
      </w:pPr>
      <w:r>
        <w:rPr>
          <w:b/>
          <w:bCs/>
          <w:color w:val="00188F"/>
        </w:rPr>
        <w:t>Die folgenden Servicelevels und Servicegutschriften gelten für die Nutzung des Azure Container Apps-Dienstes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9720F" w:rsidRPr="00B44CF9" w14:paraId="08669EAE" w14:textId="77777777" w:rsidTr="00277097">
        <w:trPr>
          <w:tblHeader/>
        </w:trPr>
        <w:tc>
          <w:tcPr>
            <w:tcW w:w="5400" w:type="dxa"/>
            <w:shd w:val="clear" w:color="auto" w:fill="0072C6"/>
          </w:tcPr>
          <w:p w14:paraId="3F7E3D49" w14:textId="18C1F93C" w:rsidR="0009720F" w:rsidRPr="001A0074"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6901E2CC" w14:textId="77777777" w:rsidR="0009720F" w:rsidRPr="001A0074" w:rsidRDefault="0009720F" w:rsidP="000F31B4">
            <w:pPr>
              <w:pStyle w:val="ProductList-OfferingBody"/>
              <w:jc w:val="center"/>
              <w:rPr>
                <w:color w:val="FFFFFF" w:themeColor="background1"/>
              </w:rPr>
            </w:pPr>
            <w:r>
              <w:rPr>
                <w:color w:val="FFFFFF" w:themeColor="background1"/>
              </w:rPr>
              <w:t>Servicegutschrift</w:t>
            </w:r>
          </w:p>
        </w:tc>
      </w:tr>
      <w:tr w:rsidR="0009720F" w:rsidRPr="00B44CF9" w14:paraId="247C1443" w14:textId="77777777" w:rsidTr="00277097">
        <w:tc>
          <w:tcPr>
            <w:tcW w:w="5400" w:type="dxa"/>
          </w:tcPr>
          <w:p w14:paraId="63E22245" w14:textId="0C0A2D6A" w:rsidR="0009720F" w:rsidRPr="0076238C" w:rsidRDefault="0009720F" w:rsidP="000F31B4">
            <w:pPr>
              <w:pStyle w:val="ProductList-OfferingBody"/>
              <w:jc w:val="center"/>
            </w:pPr>
            <w:r>
              <w:t>&lt; 99,95 %</w:t>
            </w:r>
          </w:p>
        </w:tc>
        <w:tc>
          <w:tcPr>
            <w:tcW w:w="5400" w:type="dxa"/>
          </w:tcPr>
          <w:p w14:paraId="75499F95" w14:textId="77777777" w:rsidR="0009720F" w:rsidRPr="0076238C" w:rsidRDefault="0009720F" w:rsidP="000F31B4">
            <w:pPr>
              <w:pStyle w:val="ProductList-OfferingBody"/>
              <w:jc w:val="center"/>
            </w:pPr>
            <w:r>
              <w:t>10 %</w:t>
            </w:r>
          </w:p>
        </w:tc>
      </w:tr>
      <w:tr w:rsidR="0009720F" w:rsidRPr="00B44CF9" w14:paraId="0B3713BB" w14:textId="77777777" w:rsidTr="00277097">
        <w:tc>
          <w:tcPr>
            <w:tcW w:w="5400" w:type="dxa"/>
          </w:tcPr>
          <w:p w14:paraId="47220F01" w14:textId="77777777" w:rsidR="0009720F" w:rsidRPr="0076238C" w:rsidRDefault="0009720F" w:rsidP="000F31B4">
            <w:pPr>
              <w:pStyle w:val="ProductList-OfferingBody"/>
              <w:jc w:val="center"/>
            </w:pPr>
            <w:r>
              <w:t>&lt; 99 %</w:t>
            </w:r>
          </w:p>
        </w:tc>
        <w:tc>
          <w:tcPr>
            <w:tcW w:w="5400" w:type="dxa"/>
          </w:tcPr>
          <w:p w14:paraId="00A669D7" w14:textId="77777777" w:rsidR="0009720F" w:rsidRPr="0076238C" w:rsidRDefault="0009720F" w:rsidP="000F31B4">
            <w:pPr>
              <w:pStyle w:val="ProductList-OfferingBody"/>
              <w:jc w:val="center"/>
            </w:pPr>
            <w:r>
              <w:t>25 %</w:t>
            </w:r>
          </w:p>
        </w:tc>
      </w:tr>
      <w:tr w:rsidR="0009720F" w:rsidRPr="00B44CF9" w14:paraId="43FEDA1B" w14:textId="77777777" w:rsidTr="00277097">
        <w:tc>
          <w:tcPr>
            <w:tcW w:w="5400" w:type="dxa"/>
          </w:tcPr>
          <w:p w14:paraId="304A67E9" w14:textId="02332AE5" w:rsidR="0009720F" w:rsidRPr="0076238C" w:rsidRDefault="0009720F" w:rsidP="000F31B4">
            <w:pPr>
              <w:pStyle w:val="ProductList-OfferingBody"/>
              <w:jc w:val="center"/>
            </w:pPr>
            <w:r>
              <w:t>&lt; 95 %</w:t>
            </w:r>
          </w:p>
        </w:tc>
        <w:tc>
          <w:tcPr>
            <w:tcW w:w="5400" w:type="dxa"/>
          </w:tcPr>
          <w:p w14:paraId="31812F43" w14:textId="34C34F3C" w:rsidR="0009720F" w:rsidRDefault="0009720F" w:rsidP="000F31B4">
            <w:pPr>
              <w:pStyle w:val="ProductList-OfferingBody"/>
              <w:jc w:val="center"/>
            </w:pPr>
            <w:r>
              <w:t>100 %</w:t>
            </w:r>
          </w:p>
        </w:tc>
      </w:tr>
    </w:tbl>
    <w:p w14:paraId="30A79798" w14:textId="0F6B99B2"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2D97ED15" w14:textId="47BE4869" w:rsidR="004005AF" w:rsidRDefault="004005AF" w:rsidP="00B94B01">
      <w:pPr>
        <w:pStyle w:val="ProductList-Offering2Heading"/>
        <w:keepNext/>
        <w:tabs>
          <w:tab w:val="clear" w:pos="360"/>
          <w:tab w:val="clear" w:pos="720"/>
          <w:tab w:val="clear" w:pos="1080"/>
        </w:tabs>
        <w:outlineLvl w:val="2"/>
      </w:pPr>
      <w:bookmarkStart w:id="248" w:name="_Toc195543122"/>
      <w:bookmarkStart w:id="249" w:name="_Toc237448979"/>
      <w:r>
        <w:t>Azure-Containerinstanzen</w:t>
      </w:r>
      <w:bookmarkEnd w:id="216"/>
      <w:bookmarkEnd w:id="217"/>
      <w:bookmarkEnd w:id="248"/>
      <w:bookmarkEnd w:id="249"/>
    </w:p>
    <w:p w14:paraId="386F1074" w14:textId="77777777" w:rsidR="004005AF" w:rsidRPr="00DA6241" w:rsidRDefault="004005AF" w:rsidP="004005AF">
      <w:pPr>
        <w:pStyle w:val="ProductList-Body"/>
      </w:pPr>
      <w:r>
        <w:rPr>
          <w:b/>
          <w:color w:val="00188F"/>
        </w:rPr>
        <w:t>Zusätzliche Definitionen</w:t>
      </w:r>
      <w:r w:rsidRPr="00ED75EB">
        <w:rPr>
          <w:b/>
          <w:color w:val="00188F"/>
        </w:rPr>
        <w:t>:</w:t>
      </w:r>
    </w:p>
    <w:p w14:paraId="17D6F31B" w14:textId="77777777" w:rsidR="004005AF" w:rsidRPr="00B44CF9" w:rsidRDefault="004005AF" w:rsidP="004005AF">
      <w:pPr>
        <w:spacing w:after="0" w:line="240" w:lineRule="auto"/>
        <w:rPr>
          <w:rFonts w:eastAsiaTheme="minorEastAsia"/>
          <w:sz w:val="18"/>
          <w:szCs w:val="18"/>
          <w:lang w:eastAsia="zh-TW"/>
        </w:rPr>
      </w:pPr>
      <w:r>
        <w:rPr>
          <w:sz w:val="18"/>
        </w:rPr>
        <w:t>„</w:t>
      </w:r>
      <w:r>
        <w:rPr>
          <w:b/>
          <w:color w:val="00188F"/>
          <w:sz w:val="18"/>
        </w:rPr>
        <w:t>Konnektivität</w:t>
      </w:r>
      <w:r>
        <w:rPr>
          <w:sz w:val="18"/>
        </w:rPr>
        <w:t>“</w:t>
      </w:r>
      <w:r>
        <w:rPr>
          <w:rFonts w:eastAsiaTheme="minorEastAsia"/>
          <w:sz w:val="18"/>
          <w:szCs w:val="18"/>
        </w:rPr>
        <w:t xml:space="preserve"> </w:t>
      </w:r>
      <w:r>
        <w:rPr>
          <w:sz w:val="18"/>
        </w:rPr>
        <w:t>ist der bidirektionale Netzwerkverkehr zwischen der Containergruppe und anderen IP-Adressen unter Verwendung von TCP- oder UDP-Netzwerkprotokollen, in denen die Containergruppe für zulässigen Verkehr konfiguriert ist.</w:t>
      </w:r>
    </w:p>
    <w:p w14:paraId="2C3918CB" w14:textId="7C38EC13" w:rsidR="004005AF" w:rsidRPr="00B44CF9" w:rsidRDefault="004005AF" w:rsidP="004005AF">
      <w:pPr>
        <w:spacing w:after="0"/>
        <w:rPr>
          <w:rFonts w:eastAsiaTheme="minorEastAsia"/>
          <w:sz w:val="18"/>
          <w:szCs w:val="18"/>
          <w:lang w:eastAsia="zh-TW"/>
        </w:rPr>
      </w:pPr>
      <w:r>
        <w:rPr>
          <w:sz w:val="18"/>
        </w:rPr>
        <w:t>„</w:t>
      </w:r>
      <w:r>
        <w:rPr>
          <w:b/>
          <w:color w:val="00188F"/>
          <w:sz w:val="18"/>
        </w:rPr>
        <w:t>Containergruppe</w:t>
      </w:r>
      <w:r>
        <w:rPr>
          <w:sz w:val="18"/>
        </w:rPr>
        <w:t>“</w:t>
      </w:r>
      <w:r>
        <w:rPr>
          <w:rFonts w:eastAsiaTheme="minorEastAsia"/>
          <w:sz w:val="18"/>
          <w:szCs w:val="18"/>
        </w:rPr>
        <w:t xml:space="preserve"> </w:t>
      </w:r>
      <w:r>
        <w:rPr>
          <w:sz w:val="18"/>
        </w:rPr>
        <w:t>ist eine Sammlung von gemeinsam aufgestellten Containern, die denselben Lebenszyklus und dieselben Netzwerkressourcen nutzen.</w:t>
      </w:r>
    </w:p>
    <w:p w14:paraId="2BA58C30" w14:textId="64833E19" w:rsidR="004005AF" w:rsidRPr="006B254C" w:rsidRDefault="00EE6E3C" w:rsidP="007676FA">
      <w:pPr>
        <w:spacing w:after="0" w:line="240" w:lineRule="auto"/>
        <w:rPr>
          <w:sz w:val="18"/>
          <w:szCs w:val="18"/>
        </w:rPr>
      </w:pPr>
      <w:r>
        <w:rPr>
          <w:b/>
          <w:color w:val="00188F"/>
          <w:sz w:val="18"/>
          <w:szCs w:val="18"/>
        </w:rPr>
        <w:t>Berechnung der Betriebszeit und Service-Levels für die Containergruppe</w:t>
      </w:r>
      <w:r w:rsidRPr="00ED75EB">
        <w:rPr>
          <w:b/>
          <w:color w:val="00188F"/>
          <w:sz w:val="18"/>
        </w:rPr>
        <w:t>:</w:t>
      </w:r>
    </w:p>
    <w:p w14:paraId="08FFC51D" w14:textId="7C89FBC0" w:rsidR="004005AF" w:rsidRPr="00B44CF9" w:rsidRDefault="004005AF" w:rsidP="004005AF">
      <w:pPr>
        <w:spacing w:after="0"/>
        <w:rPr>
          <w:rFonts w:eastAsiaTheme="minorEastAsia"/>
          <w:sz w:val="18"/>
          <w:szCs w:val="18"/>
          <w:lang w:eastAsia="zh-TW"/>
        </w:rPr>
      </w:pPr>
      <w:r>
        <w:rPr>
          <w:sz w:val="18"/>
        </w:rPr>
        <w:t>„</w:t>
      </w:r>
      <w:r>
        <w:rPr>
          <w:b/>
          <w:color w:val="00188F"/>
          <w:sz w:val="18"/>
        </w:rPr>
        <w:t>Maximal Verfügbare Minuten</w:t>
      </w:r>
      <w:r>
        <w:rPr>
          <w:sz w:val="18"/>
        </w:rPr>
        <w:t>“</w:t>
      </w:r>
      <w:r>
        <w:rPr>
          <w:rFonts w:eastAsiaTheme="minorEastAsia"/>
          <w:sz w:val="18"/>
          <w:szCs w:val="18"/>
        </w:rPr>
        <w:t xml:space="preserve"> </w:t>
      </w:r>
      <w:r>
        <w:rPr>
          <w:sz w:val="18"/>
        </w:rPr>
        <w:t>ist die Gesamtzahl der Minuten, in denen eine bestimmte Containergruppe vom Kunden in einem Microsoft Azure-Abonnement im Verlauf eines Anwendbaren Zeitraums bereitgestellt wurde. Die Maximal Verfügbaren Minuten werden ab der Kundenaktion, die zum Starten einer bestimmten Containergruppe führt, bis zu dem Zeitpunkt gemessen, in dem die Kundenaktion zum Stoppen</w:t>
      </w:r>
      <w:r w:rsidR="0076788A">
        <w:rPr>
          <w:sz w:val="18"/>
        </w:rPr>
        <w:t> </w:t>
      </w:r>
      <w:r>
        <w:rPr>
          <w:sz w:val="18"/>
        </w:rPr>
        <w:t>oder Löschen einer bestimmten Containergruppe führt.</w:t>
      </w:r>
    </w:p>
    <w:p w14:paraId="57399B70" w14:textId="77777777" w:rsidR="004005AF" w:rsidRPr="00B44CF9" w:rsidRDefault="004005AF" w:rsidP="004005AF">
      <w:pPr>
        <w:spacing w:after="0" w:line="240" w:lineRule="auto"/>
        <w:rPr>
          <w:rFonts w:eastAsiaTheme="minorEastAsia"/>
          <w:sz w:val="18"/>
          <w:szCs w:val="18"/>
          <w:lang w:eastAsia="zh-TW"/>
        </w:rPr>
      </w:pPr>
      <w:r>
        <w:rPr>
          <w:sz w:val="18"/>
        </w:rPr>
        <w:t>„</w:t>
      </w:r>
      <w:r>
        <w:rPr>
          <w:b/>
          <w:color w:val="00188F"/>
          <w:sz w:val="18"/>
        </w:rPr>
        <w:t>Ausfallzeit</w:t>
      </w:r>
      <w:r>
        <w:rPr>
          <w:sz w:val="18"/>
        </w:rPr>
        <w:t>“</w:t>
      </w:r>
      <w:r>
        <w:rPr>
          <w:rFonts w:eastAsiaTheme="minorEastAsia"/>
          <w:sz w:val="18"/>
          <w:szCs w:val="18"/>
        </w:rPr>
        <w:t xml:space="preserve"> </w:t>
      </w:r>
      <w:r>
        <w:rPr>
          <w:sz w:val="18"/>
        </w:rPr>
        <w:t>ist die Gesamtzahl der Minuten innerhalb der Maximal verfügbaren Minuten, die keine Konnektivität aufweisen.</w:t>
      </w:r>
    </w:p>
    <w:p w14:paraId="03725B88" w14:textId="2B583F57" w:rsidR="004005AF" w:rsidRDefault="00AC48A7" w:rsidP="004005AF">
      <w:pPr>
        <w:pStyle w:val="ProductList-Body"/>
      </w:pPr>
      <w:r>
        <w:rPr>
          <w:b/>
          <w:color w:val="00188F"/>
        </w:rPr>
        <w:t>Betriebszeitprozentsatz</w:t>
      </w:r>
      <w:r w:rsidRPr="00ED75EB">
        <w:rPr>
          <w:b/>
          <w:color w:val="00188F"/>
        </w:rPr>
        <w:t>:</w:t>
      </w:r>
      <w:r>
        <w:t xml:space="preserve"> Der Betriebszeitprozentsatz errechnet sich nach folgender Formel:</w:t>
      </w:r>
    </w:p>
    <w:p w14:paraId="63380865" w14:textId="2D3E6DB6" w:rsidR="004005AF" w:rsidRPr="007C7313" w:rsidRDefault="00000000" w:rsidP="00B820B8">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77A707BE" w14:textId="77777777" w:rsidR="004005AF" w:rsidRPr="00774368" w:rsidRDefault="004005AF" w:rsidP="004005AF">
      <w:pPr>
        <w:pStyle w:val="ProductList-Body"/>
        <w:keepNext/>
        <w:rPr>
          <w:b/>
          <w:bCs/>
          <w:color w:val="00188F"/>
        </w:rPr>
      </w:pPr>
      <w:r>
        <w:rPr>
          <w:rFonts w:ascii="Calibri" w:hAnsi="Calibri" w:cs="Calibri"/>
          <w:b/>
          <w:bCs/>
          <w:color w:val="00188F"/>
          <w:shd w:val="clear" w:color="auto" w:fill="FFFFFF"/>
        </w:rPr>
        <w:t>Die folgenden Servicelevels und Servicegutschriften gelten für die Nutzung der Containergruppe durch den Kunden</w:t>
      </w:r>
      <w:r w:rsidRPr="00ED75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92D318E" w14:textId="77777777" w:rsidTr="00277097">
        <w:trPr>
          <w:tblHeader/>
        </w:trPr>
        <w:tc>
          <w:tcPr>
            <w:tcW w:w="5400" w:type="dxa"/>
            <w:shd w:val="clear" w:color="auto" w:fill="0072C6"/>
          </w:tcPr>
          <w:p w14:paraId="5DE10A4B" w14:textId="7382A7CC" w:rsidR="004005AF" w:rsidRPr="001A0074"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1D54CC45" w14:textId="77777777" w:rsidR="004005AF" w:rsidRPr="001A0074" w:rsidRDefault="004005AF" w:rsidP="000F31B4">
            <w:pPr>
              <w:pStyle w:val="ProductList-OfferingBody"/>
              <w:jc w:val="center"/>
              <w:rPr>
                <w:color w:val="FFFFFF" w:themeColor="background1"/>
              </w:rPr>
            </w:pPr>
            <w:r>
              <w:rPr>
                <w:color w:val="FFFFFF" w:themeColor="background1"/>
              </w:rPr>
              <w:t>Servicegutschrift</w:t>
            </w:r>
          </w:p>
        </w:tc>
      </w:tr>
      <w:tr w:rsidR="004005AF" w:rsidRPr="00B44CF9" w14:paraId="078EA220" w14:textId="77777777" w:rsidTr="00277097">
        <w:tc>
          <w:tcPr>
            <w:tcW w:w="5400" w:type="dxa"/>
          </w:tcPr>
          <w:p w14:paraId="35D30128" w14:textId="77777777" w:rsidR="004005AF" w:rsidRPr="0076238C" w:rsidRDefault="004005AF" w:rsidP="000F31B4">
            <w:pPr>
              <w:pStyle w:val="ProductList-OfferingBody"/>
              <w:jc w:val="center"/>
            </w:pPr>
            <w:r>
              <w:t>&lt; 99,9 %</w:t>
            </w:r>
          </w:p>
        </w:tc>
        <w:tc>
          <w:tcPr>
            <w:tcW w:w="5400" w:type="dxa"/>
          </w:tcPr>
          <w:p w14:paraId="7AE03CEF" w14:textId="77777777" w:rsidR="004005AF" w:rsidRPr="0076238C" w:rsidRDefault="004005AF" w:rsidP="000F31B4">
            <w:pPr>
              <w:pStyle w:val="ProductList-OfferingBody"/>
              <w:jc w:val="center"/>
            </w:pPr>
            <w:r>
              <w:t>10 %</w:t>
            </w:r>
          </w:p>
        </w:tc>
      </w:tr>
      <w:tr w:rsidR="004005AF" w:rsidRPr="00B44CF9" w14:paraId="75F47C6A" w14:textId="77777777" w:rsidTr="00277097">
        <w:tc>
          <w:tcPr>
            <w:tcW w:w="5400" w:type="dxa"/>
          </w:tcPr>
          <w:p w14:paraId="05EE5E80" w14:textId="77777777" w:rsidR="004005AF" w:rsidRPr="0076238C" w:rsidRDefault="004005AF" w:rsidP="000F31B4">
            <w:pPr>
              <w:pStyle w:val="ProductList-OfferingBody"/>
              <w:jc w:val="center"/>
            </w:pPr>
            <w:r>
              <w:t>&lt; 99 %</w:t>
            </w:r>
          </w:p>
        </w:tc>
        <w:tc>
          <w:tcPr>
            <w:tcW w:w="5400" w:type="dxa"/>
          </w:tcPr>
          <w:p w14:paraId="24AC02CF" w14:textId="77777777" w:rsidR="004005AF" w:rsidRPr="0076238C" w:rsidRDefault="004005AF" w:rsidP="000F31B4">
            <w:pPr>
              <w:pStyle w:val="ProductList-OfferingBody"/>
              <w:jc w:val="center"/>
            </w:pPr>
            <w:r>
              <w:t>25 %</w:t>
            </w:r>
          </w:p>
        </w:tc>
      </w:tr>
    </w:tbl>
    <w:bookmarkStart w:id="250" w:name="_Toc52348947"/>
    <w:bookmarkStart w:id="251" w:name="_Toc52348926"/>
    <w:bookmarkStart w:id="252" w:name="AzureCosmosDB"/>
    <w:bookmarkEnd w:id="218"/>
    <w:p w14:paraId="286F7325" w14:textId="5882B655"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583BB6F2" w14:textId="77777777" w:rsidR="00491D0A" w:rsidRPr="00EF7CF9" w:rsidRDefault="00491D0A" w:rsidP="00FD5737">
      <w:pPr>
        <w:pStyle w:val="ProductList-Offering2Heading"/>
        <w:keepNext/>
        <w:tabs>
          <w:tab w:val="clear" w:pos="360"/>
          <w:tab w:val="clear" w:pos="720"/>
          <w:tab w:val="clear" w:pos="1080"/>
        </w:tabs>
        <w:outlineLvl w:val="2"/>
      </w:pPr>
      <w:bookmarkStart w:id="253" w:name="_Toc195543123"/>
      <w:bookmarkStart w:id="254" w:name="_Toc237448980"/>
      <w:r>
        <w:t>Azure-Containerregistrierung</w:t>
      </w:r>
      <w:bookmarkEnd w:id="250"/>
      <w:bookmarkEnd w:id="253"/>
      <w:bookmarkEnd w:id="254"/>
    </w:p>
    <w:p w14:paraId="05E63E28" w14:textId="77777777" w:rsidR="00491D0A" w:rsidRPr="00EF7CF9" w:rsidRDefault="00491D0A" w:rsidP="00FD5737">
      <w:pPr>
        <w:pStyle w:val="ProductList-Body"/>
        <w:keepNext/>
        <w:rPr>
          <w:rFonts w:cstheme="minorHAnsi"/>
          <w:b/>
          <w:color w:val="00188F"/>
          <w:szCs w:val="18"/>
        </w:rPr>
      </w:pPr>
      <w:r>
        <w:rPr>
          <w:rFonts w:cstheme="minorHAnsi"/>
          <w:b/>
          <w:color w:val="00188F"/>
          <w:szCs w:val="18"/>
        </w:rPr>
        <w:t>Zusätzliche Definitionen</w:t>
      </w:r>
      <w:r w:rsidRPr="00ED75EB">
        <w:rPr>
          <w:b/>
          <w:color w:val="00188F"/>
        </w:rPr>
        <w:t>:</w:t>
      </w:r>
    </w:p>
    <w:p w14:paraId="6CEB28A5" w14:textId="3F385FF2" w:rsidR="00491D0A" w:rsidRPr="00EF7CF9" w:rsidRDefault="000269C5" w:rsidP="00491D0A">
      <w:pPr>
        <w:spacing w:after="0" w:line="240" w:lineRule="auto"/>
        <w:rPr>
          <w:rFonts w:eastAsia="Calibri" w:cstheme="minorHAnsi"/>
          <w:sz w:val="18"/>
          <w:szCs w:val="18"/>
        </w:rPr>
      </w:pPr>
      <w:r>
        <w:rPr>
          <w:sz w:val="18"/>
        </w:rPr>
        <w:t>„</w:t>
      </w:r>
      <w:r w:rsidR="00491D0A">
        <w:rPr>
          <w:rFonts w:cstheme="minorHAnsi"/>
          <w:b/>
          <w:color w:val="00188F"/>
          <w:sz w:val="18"/>
          <w:szCs w:val="18"/>
        </w:rPr>
        <w:t>Verwaltete</w:t>
      </w:r>
      <w:r w:rsidR="00491D0A">
        <w:rPr>
          <w:rFonts w:eastAsia="Calibri" w:cstheme="minorHAnsi"/>
          <w:b/>
          <w:sz w:val="18"/>
          <w:szCs w:val="18"/>
        </w:rPr>
        <w:t xml:space="preserve"> </w:t>
      </w:r>
      <w:r w:rsidR="00491D0A">
        <w:rPr>
          <w:rFonts w:cstheme="minorHAnsi"/>
          <w:b/>
          <w:color w:val="00188F"/>
          <w:sz w:val="18"/>
          <w:szCs w:val="18"/>
        </w:rPr>
        <w:t>Registrierung</w:t>
      </w:r>
      <w:r w:rsidRPr="000269C5">
        <w:rPr>
          <w:sz w:val="18"/>
        </w:rPr>
        <w:t>“</w:t>
      </w:r>
      <w:r w:rsidR="00491D0A">
        <w:rPr>
          <w:rFonts w:eastAsia="Calibri" w:cstheme="minorHAnsi"/>
          <w:sz w:val="18"/>
          <w:szCs w:val="18"/>
        </w:rPr>
        <w:t xml:space="preserve"> ist eine beliebige Instanz einer Basis-, Standard- oder Premium-Containerregistrierung.</w:t>
      </w:r>
    </w:p>
    <w:p w14:paraId="148330EA" w14:textId="6AABE727" w:rsidR="00491D0A" w:rsidRPr="00EF7CF9" w:rsidRDefault="000269C5" w:rsidP="00491D0A">
      <w:pPr>
        <w:spacing w:after="0" w:line="240" w:lineRule="auto"/>
        <w:rPr>
          <w:rFonts w:cstheme="minorHAnsi"/>
          <w:sz w:val="18"/>
          <w:szCs w:val="18"/>
        </w:rPr>
      </w:pPr>
      <w:r>
        <w:rPr>
          <w:sz w:val="18"/>
        </w:rPr>
        <w:t>„</w:t>
      </w:r>
      <w:r w:rsidR="00491D0A">
        <w:rPr>
          <w:rFonts w:cstheme="minorHAnsi"/>
          <w:b/>
          <w:color w:val="00188F"/>
          <w:sz w:val="18"/>
          <w:szCs w:val="18"/>
        </w:rPr>
        <w:t>Register</w:t>
      </w:r>
      <w:r w:rsidR="00491D0A">
        <w:rPr>
          <w:rFonts w:cstheme="minorHAnsi"/>
          <w:b/>
          <w:sz w:val="18"/>
          <w:szCs w:val="18"/>
        </w:rPr>
        <w:t>-</w:t>
      </w:r>
      <w:r w:rsidR="00491D0A">
        <w:rPr>
          <w:rFonts w:cstheme="minorHAnsi"/>
          <w:b/>
          <w:color w:val="00188F"/>
          <w:sz w:val="18"/>
          <w:szCs w:val="18"/>
        </w:rPr>
        <w:t>Endpunkt</w:t>
      </w:r>
      <w:r w:rsidRPr="000269C5">
        <w:rPr>
          <w:sz w:val="18"/>
        </w:rPr>
        <w:t>“</w:t>
      </w:r>
      <w:r w:rsidR="00491D0A">
        <w:rPr>
          <w:rFonts w:cstheme="minorHAnsi"/>
          <w:sz w:val="18"/>
          <w:szCs w:val="18"/>
        </w:rPr>
        <w:t xml:space="preserve"> ist der Hostname, von dem aus Clients auf eine bestimmte Verwaltete Registrierung zugreifen, um Operationen im Zusammenhang mit der Containerregistrierung durchzuführen. </w:t>
      </w:r>
    </w:p>
    <w:p w14:paraId="07F834F0" w14:textId="3BE0DABA" w:rsidR="00491D0A" w:rsidRPr="00EF7CF9" w:rsidRDefault="000269C5" w:rsidP="00491D0A">
      <w:pPr>
        <w:spacing w:after="0" w:line="240" w:lineRule="auto"/>
        <w:rPr>
          <w:rFonts w:cstheme="minorHAnsi"/>
          <w:sz w:val="18"/>
          <w:szCs w:val="18"/>
        </w:rPr>
      </w:pPr>
      <w:r>
        <w:rPr>
          <w:sz w:val="18"/>
        </w:rPr>
        <w:t>„</w:t>
      </w:r>
      <w:r w:rsidR="00491D0A">
        <w:rPr>
          <w:rFonts w:cstheme="minorHAnsi"/>
          <w:b/>
          <w:color w:val="00188F"/>
          <w:sz w:val="18"/>
          <w:szCs w:val="18"/>
        </w:rPr>
        <w:t>Register</w:t>
      </w:r>
      <w:r w:rsidR="00491D0A">
        <w:rPr>
          <w:rFonts w:cstheme="minorHAnsi"/>
          <w:b/>
          <w:sz w:val="18"/>
          <w:szCs w:val="18"/>
        </w:rPr>
        <w:t>-</w:t>
      </w:r>
      <w:r w:rsidR="00491D0A">
        <w:rPr>
          <w:rFonts w:cstheme="minorHAnsi"/>
          <w:b/>
          <w:color w:val="00188F"/>
          <w:sz w:val="18"/>
          <w:szCs w:val="18"/>
        </w:rPr>
        <w:t>Transaktionen</w:t>
      </w:r>
      <w:r w:rsidRPr="000269C5">
        <w:rPr>
          <w:sz w:val="18"/>
        </w:rPr>
        <w:t>“</w:t>
      </w:r>
      <w:r w:rsidR="00491D0A" w:rsidRPr="000269C5">
        <w:rPr>
          <w:sz w:val="18"/>
        </w:rPr>
        <w:t xml:space="preserve"> </w:t>
      </w:r>
      <w:r w:rsidR="00491D0A">
        <w:rPr>
          <w:rFonts w:cstheme="minorHAnsi"/>
          <w:sz w:val="18"/>
          <w:szCs w:val="18"/>
        </w:rPr>
        <w:t xml:space="preserve">ist die Menge der vom Client an den Register-Endpunkt gesendeten Transaktionsanforderungen. </w:t>
      </w:r>
    </w:p>
    <w:p w14:paraId="009FC995" w14:textId="2E93592D" w:rsidR="00491D0A" w:rsidRPr="00ED4527" w:rsidRDefault="00EE6E3C" w:rsidP="007676FA">
      <w:pPr>
        <w:spacing w:after="0" w:line="240" w:lineRule="auto"/>
        <w:rPr>
          <w:rFonts w:eastAsia="Calibri" w:cstheme="minorHAnsi"/>
          <w:b/>
          <w:bCs/>
          <w:color w:val="00188F"/>
          <w:sz w:val="18"/>
          <w:szCs w:val="18"/>
        </w:rPr>
      </w:pPr>
      <w:r>
        <w:rPr>
          <w:rFonts w:eastAsia="Calibri" w:cstheme="minorHAnsi"/>
          <w:b/>
          <w:bCs/>
          <w:color w:val="00188F"/>
          <w:sz w:val="18"/>
          <w:szCs w:val="18"/>
        </w:rPr>
        <w:t>Betriebszeitberechnung und Service-Levels für die Verwaltete Containerregistrierung</w:t>
      </w:r>
    </w:p>
    <w:p w14:paraId="0D05033E" w14:textId="566BDF1C" w:rsidR="00491D0A" w:rsidRPr="00EF7CF9" w:rsidRDefault="00491D0A" w:rsidP="00491D0A">
      <w:pPr>
        <w:spacing w:after="0" w:line="240" w:lineRule="auto"/>
        <w:rPr>
          <w:rFonts w:cstheme="minorHAnsi"/>
          <w:sz w:val="18"/>
          <w:szCs w:val="18"/>
        </w:rPr>
      </w:pPr>
      <w:r w:rsidRPr="000269C5">
        <w:rPr>
          <w:sz w:val="18"/>
        </w:rPr>
        <w:t>„</w:t>
      </w:r>
      <w:r>
        <w:rPr>
          <w:rFonts w:cstheme="minorHAnsi"/>
          <w:b/>
          <w:color w:val="00188F"/>
          <w:sz w:val="18"/>
          <w:szCs w:val="18"/>
        </w:rPr>
        <w:t>Maximal</w:t>
      </w:r>
      <w:r>
        <w:rPr>
          <w:rFonts w:eastAsia="Calibri" w:cstheme="minorHAnsi"/>
          <w:b/>
          <w:bCs/>
          <w:sz w:val="18"/>
          <w:szCs w:val="18"/>
        </w:rPr>
        <w:t xml:space="preserve"> </w:t>
      </w:r>
      <w:r>
        <w:rPr>
          <w:rFonts w:cstheme="minorHAnsi"/>
          <w:b/>
          <w:color w:val="00188F"/>
          <w:sz w:val="18"/>
          <w:szCs w:val="18"/>
        </w:rPr>
        <w:t>Verfügbare</w:t>
      </w:r>
      <w:r>
        <w:rPr>
          <w:rFonts w:eastAsia="Calibri" w:cstheme="minorHAnsi"/>
          <w:b/>
          <w:bCs/>
          <w:sz w:val="18"/>
          <w:szCs w:val="18"/>
        </w:rPr>
        <w:t xml:space="preserve"> </w:t>
      </w:r>
      <w:r>
        <w:rPr>
          <w:rFonts w:cstheme="minorHAnsi"/>
          <w:b/>
          <w:color w:val="00188F"/>
          <w:sz w:val="18"/>
          <w:szCs w:val="18"/>
        </w:rPr>
        <w:t>Minuten</w:t>
      </w:r>
      <w:r w:rsidR="000269C5" w:rsidRPr="000269C5">
        <w:rPr>
          <w:sz w:val="18"/>
        </w:rPr>
        <w:t>“</w:t>
      </w:r>
      <w:r>
        <w:rPr>
          <w:rFonts w:cstheme="minorHAnsi"/>
          <w:sz w:val="18"/>
          <w:szCs w:val="18"/>
        </w:rPr>
        <w:t xml:space="preserve"> ist die Gesamtzahl der Minuten, in denen eine bestimmte Verwaltete Containerregistrierung vom Kunden in einem Microsoft Abonnement während eines Anwendbaren Zeitraums bereitgestellt wird.</w:t>
      </w:r>
    </w:p>
    <w:p w14:paraId="145A1826" w14:textId="56BABF01" w:rsidR="00491D0A" w:rsidRDefault="000269C5" w:rsidP="00491D0A">
      <w:pPr>
        <w:spacing w:after="0" w:line="240" w:lineRule="auto"/>
        <w:rPr>
          <w:rFonts w:eastAsia="Calibri" w:cstheme="minorHAnsi"/>
          <w:sz w:val="18"/>
          <w:szCs w:val="18"/>
        </w:rPr>
      </w:pPr>
      <w:r>
        <w:rPr>
          <w:sz w:val="18"/>
        </w:rPr>
        <w:t>„</w:t>
      </w:r>
      <w:r w:rsidR="00491D0A">
        <w:rPr>
          <w:rFonts w:cstheme="minorHAnsi"/>
          <w:b/>
          <w:color w:val="00188F"/>
          <w:sz w:val="18"/>
          <w:szCs w:val="18"/>
        </w:rPr>
        <w:t>Ausfallzeit</w:t>
      </w:r>
      <w:r w:rsidRPr="000269C5">
        <w:rPr>
          <w:sz w:val="18"/>
        </w:rPr>
        <w:t>“</w:t>
      </w:r>
      <w:r w:rsidR="00491D0A">
        <w:rPr>
          <w:rFonts w:eastAsia="Calibri" w:cstheme="minorHAnsi"/>
          <w:sz w:val="18"/>
          <w:szCs w:val="18"/>
        </w:rPr>
        <w:t xml:space="preserve"> ist die Gesamtzahl der Minuten innerhalb der Maximal verfügbaren Minuten, in denen die Verwaltete Registrierung nicht verfügbar ist. Eine Minute gilt als nicht verfügbar, wenn alle aufeinander folgenden Versuche, die Registry-Transaktionen zu senden, einen Fehlercode ergeben oder nicht innerhalb der in der nachstehenden Tabelle genannten Maximalen Verarbeitungszeit antworten.</w:t>
      </w:r>
    </w:p>
    <w:p w14:paraId="45E8ECFA" w14:textId="77777777" w:rsidR="007775B3" w:rsidRPr="00EF7CF9" w:rsidRDefault="007775B3" w:rsidP="00491D0A">
      <w:pPr>
        <w:spacing w:after="0" w:line="240" w:lineRule="auto"/>
        <w:rPr>
          <w:rFonts w:eastAsia="Calibri" w:cstheme="minorHAnsi"/>
          <w:sz w:val="18"/>
          <w:szCs w:val="18"/>
        </w:rPr>
      </w:pPr>
    </w:p>
    <w:tbl>
      <w:tblPr>
        <w:tblStyle w:val="ListTable6Colorfu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491D0A" w:rsidRPr="00B44CF9" w14:paraId="15154B60" w14:textId="77777777" w:rsidTr="000F31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0070C0"/>
          </w:tcPr>
          <w:p w14:paraId="5F5D38BD" w14:textId="77777777" w:rsidR="00491D0A" w:rsidRPr="00D30B89" w:rsidRDefault="00491D0A" w:rsidP="000215DD">
            <w:pPr>
              <w:keepNext/>
              <w:spacing w:before="20" w:after="20"/>
              <w:jc w:val="center"/>
              <w:rPr>
                <w:rFonts w:eastAsia="Calibri" w:cstheme="minorHAnsi"/>
                <w:b w:val="0"/>
                <w:bCs w:val="0"/>
                <w:color w:val="FFFFFF" w:themeColor="background1"/>
                <w:sz w:val="16"/>
                <w:szCs w:val="16"/>
              </w:rPr>
            </w:pPr>
            <w:r>
              <w:rPr>
                <w:rFonts w:eastAsia="Calibri" w:cstheme="minorHAnsi"/>
                <w:b w:val="0"/>
                <w:bCs w:val="0"/>
                <w:color w:val="FFFFFF" w:themeColor="background1"/>
                <w:sz w:val="16"/>
                <w:szCs w:val="16"/>
              </w:rPr>
              <w:t>Transaktionstypen</w:t>
            </w:r>
          </w:p>
        </w:tc>
        <w:tc>
          <w:tcPr>
            <w:tcW w:w="2500" w:type="pct"/>
            <w:shd w:val="clear" w:color="auto" w:fill="0070C0"/>
          </w:tcPr>
          <w:p w14:paraId="1656A56F" w14:textId="77777777" w:rsidR="00491D0A" w:rsidRPr="00D30B89" w:rsidRDefault="00491D0A" w:rsidP="000215DD">
            <w:pPr>
              <w:keepNext/>
              <w:spacing w:before="20" w:after="20"/>
              <w:jc w:val="center"/>
              <w:cnfStyle w:val="100000000000" w:firstRow="1" w:lastRow="0" w:firstColumn="0" w:lastColumn="0" w:oddVBand="0" w:evenVBand="0" w:oddHBand="0" w:evenHBand="0" w:firstRowFirstColumn="0" w:firstRowLastColumn="0" w:lastRowFirstColumn="0" w:lastRowLastColumn="0"/>
              <w:rPr>
                <w:rFonts w:eastAsia="Calibri" w:cstheme="minorHAnsi"/>
                <w:b w:val="0"/>
                <w:bCs w:val="0"/>
                <w:color w:val="FFFFFF" w:themeColor="background1"/>
                <w:sz w:val="16"/>
                <w:szCs w:val="16"/>
              </w:rPr>
            </w:pPr>
            <w:r>
              <w:rPr>
                <w:rFonts w:eastAsia="Calibri" w:cstheme="minorHAnsi"/>
                <w:b w:val="0"/>
                <w:bCs w:val="0"/>
                <w:color w:val="FFFFFF" w:themeColor="background1"/>
                <w:sz w:val="16"/>
                <w:szCs w:val="16"/>
              </w:rPr>
              <w:t>Maximale Verarbeitungszeit</w:t>
            </w:r>
          </w:p>
        </w:tc>
      </w:tr>
      <w:tr w:rsidR="00491D0A" w:rsidRPr="00B44CF9" w14:paraId="1F0DE220"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6CF95041" w14:textId="77777777" w:rsidR="00491D0A" w:rsidRPr="00980525" w:rsidRDefault="00491D0A" w:rsidP="000215DD">
            <w:pPr>
              <w:keepNext/>
              <w:spacing w:before="20" w:after="20"/>
              <w:jc w:val="center"/>
              <w:rPr>
                <w:rFonts w:eastAsia="Calibri" w:cstheme="minorHAnsi"/>
                <w:b w:val="0"/>
                <w:sz w:val="16"/>
                <w:szCs w:val="16"/>
              </w:rPr>
            </w:pPr>
            <w:r w:rsidRPr="00980525">
              <w:rPr>
                <w:rFonts w:eastAsia="Calibri" w:cstheme="minorHAnsi"/>
                <w:b w:val="0"/>
                <w:sz w:val="16"/>
                <w:szCs w:val="16"/>
              </w:rPr>
              <w:t>Liste (Repository, Manifeste, Markierungen)</w:t>
            </w:r>
          </w:p>
        </w:tc>
        <w:tc>
          <w:tcPr>
            <w:tcW w:w="2500" w:type="pct"/>
          </w:tcPr>
          <w:p w14:paraId="3388B82A" w14:textId="77777777" w:rsidR="00491D0A" w:rsidRPr="00980525" w:rsidRDefault="00491D0A" w:rsidP="000215DD">
            <w:pPr>
              <w:keepNext/>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980525">
              <w:rPr>
                <w:rFonts w:eastAsia="Calibri" w:cstheme="minorHAnsi"/>
                <w:sz w:val="16"/>
                <w:szCs w:val="16"/>
              </w:rPr>
              <w:t>8 Minuten</w:t>
            </w:r>
          </w:p>
        </w:tc>
      </w:tr>
      <w:tr w:rsidR="00491D0A" w:rsidRPr="00B44CF9" w14:paraId="0378EC2C"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72A8A84F" w14:textId="77777777" w:rsidR="00491D0A" w:rsidRPr="00980525" w:rsidRDefault="00491D0A" w:rsidP="000215DD">
            <w:pPr>
              <w:spacing w:before="20" w:after="20"/>
              <w:jc w:val="center"/>
              <w:rPr>
                <w:rFonts w:eastAsia="Calibri" w:cstheme="minorHAnsi"/>
                <w:b w:val="0"/>
                <w:sz w:val="16"/>
                <w:szCs w:val="16"/>
              </w:rPr>
            </w:pPr>
            <w:r w:rsidRPr="00980525">
              <w:rPr>
                <w:rFonts w:eastAsia="Calibri" w:cstheme="minorHAnsi"/>
                <w:b w:val="0"/>
                <w:sz w:val="16"/>
                <w:szCs w:val="16"/>
              </w:rPr>
              <w:t>Sonstige</w:t>
            </w:r>
          </w:p>
        </w:tc>
        <w:tc>
          <w:tcPr>
            <w:tcW w:w="2500" w:type="pct"/>
          </w:tcPr>
          <w:p w14:paraId="4B4DD1DD" w14:textId="77777777" w:rsidR="00491D0A" w:rsidRPr="00980525" w:rsidRDefault="00491D0A" w:rsidP="000215DD">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980525">
              <w:rPr>
                <w:rFonts w:eastAsia="Calibri" w:cstheme="minorHAnsi"/>
                <w:sz w:val="16"/>
                <w:szCs w:val="16"/>
              </w:rPr>
              <w:t>1 Minute</w:t>
            </w:r>
          </w:p>
        </w:tc>
      </w:tr>
    </w:tbl>
    <w:p w14:paraId="61A3F4B8" w14:textId="249A1BA5" w:rsidR="00491D0A" w:rsidRPr="00EF7CF9" w:rsidRDefault="00491D0A" w:rsidP="00AD6216">
      <w:pPr>
        <w:pStyle w:val="ProductList-Body"/>
        <w:spacing w:before="120"/>
        <w:rPr>
          <w:rFonts w:eastAsia="Calibri" w:cstheme="minorHAnsi"/>
          <w:szCs w:val="18"/>
        </w:rPr>
      </w:pPr>
      <w:r>
        <w:t xml:space="preserve">Der </w:t>
      </w:r>
      <w:r>
        <w:rPr>
          <w:rFonts w:eastAsia="Calibri" w:cstheme="minorHAnsi"/>
          <w:szCs w:val="18"/>
        </w:rPr>
        <w:t>„</w:t>
      </w:r>
      <w:r>
        <w:rPr>
          <w:rFonts w:cstheme="minorHAnsi"/>
          <w:b/>
          <w:color w:val="00188F"/>
          <w:szCs w:val="18"/>
        </w:rPr>
        <w:t>Betriebszeitprozentsatz</w:t>
      </w:r>
      <w:r w:rsidR="00C5689E" w:rsidRPr="000269C5">
        <w:t>“</w:t>
      </w:r>
      <w:r>
        <w:rPr>
          <w:rFonts w:eastAsia="Calibri" w:cstheme="minorHAnsi"/>
          <w:szCs w:val="18"/>
        </w:rPr>
        <w:t xml:space="preserve"> für die Verwaltete Containerregistrierung wird anhand der folgenden Formel berechnet: </w:t>
      </w:r>
    </w:p>
    <w:p w14:paraId="3D465282" w14:textId="1CF8DDF8" w:rsidR="00491D0A" w:rsidRPr="00EF7CF9" w:rsidRDefault="008E31A8" w:rsidP="007676FA">
      <w:pPr>
        <w:spacing w:before="120" w:after="0" w:line="240" w:lineRule="auto"/>
        <w:rPr>
          <w:rFonts w:eastAsia="Calibri" w:cstheme="minorHAnsi"/>
          <w:sz w:val="18"/>
          <w:szCs w:val="18"/>
        </w:rPr>
      </w:pPr>
      <m:oMathPara>
        <m:oMath>
          <m:r>
            <m:rPr>
              <m:nor/>
            </m:rPr>
            <w:rPr>
              <w:rFonts w:ascii="Cambria Math" w:hAnsi="Cambria Math" w:cs="Tahoma"/>
              <w:i/>
              <w:sz w:val="18"/>
              <w:szCs w:val="18"/>
            </w:rPr>
            <m:t xml:space="preserve">Monatliche Betriebszeit % = </m:t>
          </m:r>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(Maximal verfügbare Minuten - Standzeit)</m:t>
              </m:r>
            </m:num>
            <m:den>
              <m:r>
                <m:rPr>
                  <m:nor/>
                </m:rPr>
                <w:rPr>
                  <w:rFonts w:ascii="Cambria Math" w:hAnsi="Cambria Math" w:cs="Tahoma"/>
                  <w:i/>
                  <w:color w:val="000000" w:themeColor="text1"/>
                  <w:sz w:val="18"/>
                  <w:szCs w:val="18"/>
                </w:rPr>
                <m:t>Maximal Verfügbare Minuten</m:t>
              </m:r>
            </m:den>
          </m:f>
          <m:r>
            <w:rPr>
              <w:rFonts w:ascii="Cambria Math" w:hAnsi="Cambria Math" w:cs="Tahoma"/>
              <w:color w:val="000000" w:themeColor="text1"/>
              <w:sz w:val="18"/>
              <w:szCs w:val="18"/>
            </w:rPr>
            <m:t xml:space="preserve"> x 100</m:t>
          </m:r>
        </m:oMath>
      </m:oMathPara>
    </w:p>
    <w:p w14:paraId="4DD824D6" w14:textId="77777777" w:rsidR="00491D0A" w:rsidRPr="00EF7CF9" w:rsidRDefault="00491D0A" w:rsidP="00D740B4">
      <w:pPr>
        <w:keepNext/>
        <w:spacing w:after="0" w:line="240" w:lineRule="auto"/>
        <w:rPr>
          <w:rFonts w:cstheme="minorHAnsi"/>
          <w:b/>
          <w:color w:val="00188F"/>
          <w:sz w:val="18"/>
          <w:szCs w:val="18"/>
        </w:rPr>
      </w:pPr>
      <w:r>
        <w:rPr>
          <w:rFonts w:cstheme="minorHAnsi"/>
          <w:b/>
          <w:color w:val="00188F"/>
          <w:sz w:val="18"/>
          <w:szCs w:val="18"/>
        </w:rPr>
        <w:t>Servicegutschrift</w:t>
      </w:r>
      <w:r w:rsidRPr="00ED75EB">
        <w:rPr>
          <w:b/>
          <w:color w:val="00188F"/>
          <w:sz w:val="18"/>
        </w:rPr>
        <w:t>:</w:t>
      </w:r>
    </w:p>
    <w:tbl>
      <w:tblPr>
        <w:tblStyle w:val="ListTable6Colorfu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491D0A" w:rsidRPr="00B44CF9" w14:paraId="18A23EB3" w14:textId="77777777" w:rsidTr="000F31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0070C0"/>
          </w:tcPr>
          <w:p w14:paraId="7809F6E3" w14:textId="51BA7CC1" w:rsidR="00491D0A" w:rsidRPr="00D30B89" w:rsidRDefault="00AC48A7" w:rsidP="000215DD">
            <w:pPr>
              <w:pStyle w:val="ProductList-OfferingBody"/>
              <w:keepNext/>
              <w:jc w:val="center"/>
              <w:rPr>
                <w:b w:val="0"/>
                <w:bCs w:val="0"/>
                <w:color w:val="FFFFFF" w:themeColor="background1"/>
              </w:rPr>
            </w:pPr>
            <w:r>
              <w:rPr>
                <w:b w:val="0"/>
                <w:bCs w:val="0"/>
                <w:color w:val="FFFFFF" w:themeColor="background1"/>
              </w:rPr>
              <w:t xml:space="preserve">Betriebszeitprozentsatz </w:t>
            </w:r>
          </w:p>
        </w:tc>
        <w:tc>
          <w:tcPr>
            <w:tcW w:w="2500" w:type="pct"/>
            <w:shd w:val="clear" w:color="auto" w:fill="0070C0"/>
          </w:tcPr>
          <w:p w14:paraId="315157CE" w14:textId="77777777" w:rsidR="00491D0A" w:rsidRPr="00D30B89" w:rsidRDefault="00491D0A" w:rsidP="000215DD">
            <w:pPr>
              <w:keepNext/>
              <w:spacing w:before="20" w:after="20"/>
              <w:jc w:val="center"/>
              <w:cnfStyle w:val="100000000000" w:firstRow="1" w:lastRow="0" w:firstColumn="0" w:lastColumn="0" w:oddVBand="0" w:evenVBand="0" w:oddHBand="0" w:evenHBand="0" w:firstRowFirstColumn="0" w:firstRowLastColumn="0" w:lastRowFirstColumn="0" w:lastRowLastColumn="0"/>
              <w:rPr>
                <w:rFonts w:eastAsiaTheme="minorHAnsi"/>
                <w:b w:val="0"/>
                <w:bCs w:val="0"/>
                <w:color w:val="FFFFFF" w:themeColor="background1"/>
                <w:sz w:val="16"/>
                <w:lang w:eastAsia="en-US"/>
              </w:rPr>
            </w:pPr>
            <w:r>
              <w:rPr>
                <w:rFonts w:eastAsiaTheme="minorHAnsi"/>
                <w:b w:val="0"/>
                <w:bCs w:val="0"/>
                <w:color w:val="FFFFFF" w:themeColor="background1"/>
                <w:sz w:val="16"/>
              </w:rPr>
              <w:t>Servicegutschrift</w:t>
            </w:r>
          </w:p>
        </w:tc>
      </w:tr>
      <w:tr w:rsidR="00491D0A" w:rsidRPr="00B44CF9" w14:paraId="1AD74D35"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234C09BC" w14:textId="77777777" w:rsidR="00491D0A" w:rsidRPr="00980525" w:rsidRDefault="00491D0A" w:rsidP="000215DD">
            <w:pPr>
              <w:keepNext/>
              <w:spacing w:before="20" w:after="20"/>
              <w:jc w:val="center"/>
              <w:rPr>
                <w:rFonts w:cstheme="minorHAnsi"/>
                <w:b w:val="0"/>
                <w:sz w:val="16"/>
                <w:szCs w:val="16"/>
              </w:rPr>
            </w:pPr>
            <w:r w:rsidRPr="00980525">
              <w:rPr>
                <w:rFonts w:cstheme="minorHAnsi"/>
                <w:b w:val="0"/>
                <w:sz w:val="16"/>
                <w:szCs w:val="16"/>
              </w:rPr>
              <w:t>&lt; 99,9 %</w:t>
            </w:r>
          </w:p>
        </w:tc>
        <w:tc>
          <w:tcPr>
            <w:tcW w:w="2500" w:type="pct"/>
          </w:tcPr>
          <w:p w14:paraId="371E2752" w14:textId="77777777" w:rsidR="00491D0A" w:rsidRPr="00980525" w:rsidRDefault="00491D0A" w:rsidP="000215DD">
            <w:pPr>
              <w:keepNext/>
              <w:spacing w:before="20" w:after="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980525">
              <w:rPr>
                <w:rFonts w:cstheme="minorHAnsi"/>
                <w:sz w:val="16"/>
                <w:szCs w:val="16"/>
              </w:rPr>
              <w:t>10 %</w:t>
            </w:r>
          </w:p>
        </w:tc>
      </w:tr>
      <w:tr w:rsidR="00491D0A" w:rsidRPr="00B44CF9" w14:paraId="2DD898E5"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50B9AA9E" w14:textId="77777777" w:rsidR="00491D0A" w:rsidRPr="00980525" w:rsidRDefault="00491D0A" w:rsidP="000215DD">
            <w:pPr>
              <w:spacing w:before="20" w:after="20"/>
              <w:jc w:val="center"/>
              <w:rPr>
                <w:rFonts w:cstheme="minorHAnsi"/>
                <w:b w:val="0"/>
                <w:sz w:val="16"/>
                <w:szCs w:val="16"/>
              </w:rPr>
            </w:pPr>
            <w:r w:rsidRPr="00980525">
              <w:rPr>
                <w:rFonts w:cstheme="minorHAnsi"/>
                <w:b w:val="0"/>
                <w:sz w:val="16"/>
                <w:szCs w:val="16"/>
              </w:rPr>
              <w:t>&lt; 99 %</w:t>
            </w:r>
          </w:p>
        </w:tc>
        <w:tc>
          <w:tcPr>
            <w:tcW w:w="2500" w:type="pct"/>
          </w:tcPr>
          <w:p w14:paraId="7DD34A5C" w14:textId="77777777" w:rsidR="00491D0A" w:rsidRPr="00980525" w:rsidRDefault="00491D0A" w:rsidP="000215DD">
            <w:pPr>
              <w:spacing w:before="20" w:after="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980525">
              <w:rPr>
                <w:rFonts w:cstheme="minorHAnsi"/>
                <w:sz w:val="16"/>
                <w:szCs w:val="16"/>
              </w:rPr>
              <w:t>25 %</w:t>
            </w:r>
          </w:p>
        </w:tc>
      </w:tr>
    </w:tbl>
    <w:p w14:paraId="56A10C83" w14:textId="3644D7CA"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4FBEF38A" w14:textId="77777777" w:rsidR="007775B3" w:rsidRDefault="007775B3">
      <w:pPr>
        <w:rPr>
          <w:rFonts w:asciiTheme="majorHAnsi" w:hAnsiTheme="majorHAnsi"/>
          <w:b/>
          <w:color w:val="0072C6"/>
          <w:sz w:val="28"/>
        </w:rPr>
      </w:pPr>
      <w:bookmarkStart w:id="255" w:name="_Toc195543124"/>
      <w:r>
        <w:br w:type="page"/>
      </w:r>
    </w:p>
    <w:p w14:paraId="6004D553" w14:textId="6E22FFDF" w:rsidR="00491D0A" w:rsidRPr="00EF7CF9" w:rsidRDefault="00491D0A" w:rsidP="00AD6216">
      <w:pPr>
        <w:pStyle w:val="ProductList-Offering2Heading"/>
        <w:keepNext/>
        <w:tabs>
          <w:tab w:val="clear" w:pos="360"/>
          <w:tab w:val="clear" w:pos="720"/>
          <w:tab w:val="clear" w:pos="1080"/>
        </w:tabs>
        <w:outlineLvl w:val="2"/>
      </w:pPr>
      <w:bookmarkStart w:id="256" w:name="_Toc237448981"/>
      <w:r>
        <w:lastRenderedPageBreak/>
        <w:t>Content Delivery Network (CDN)</w:t>
      </w:r>
      <w:bookmarkEnd w:id="255"/>
      <w:bookmarkEnd w:id="256"/>
    </w:p>
    <w:p w14:paraId="3478C418" w14:textId="7A50E535" w:rsidR="00491D0A" w:rsidRDefault="00EE6E3C" w:rsidP="00491D0A">
      <w:pPr>
        <w:pStyle w:val="ProductList-Body"/>
        <w:rPr>
          <w:b/>
          <w:color w:val="00188F"/>
        </w:rPr>
      </w:pPr>
      <w:r>
        <w:rPr>
          <w:b/>
          <w:color w:val="00188F"/>
        </w:rPr>
        <w:t>Berechnung der Betriebszeit und Service-Levels für den CDN-Dienst</w:t>
      </w:r>
    </w:p>
    <w:p w14:paraId="180798A0" w14:textId="77777777" w:rsidR="00491D0A" w:rsidRPr="00EF7CF9" w:rsidRDefault="00491D0A" w:rsidP="00491D0A">
      <w:pPr>
        <w:pStyle w:val="ProductList-Body"/>
      </w:pPr>
      <w:r>
        <w:t>Microsoft überprüft die Daten von jedem wirtschaftlich angemessenen, unabhängigen Messsystem, das der Kunde verwendet.</w:t>
      </w:r>
    </w:p>
    <w:p w14:paraId="7676E5AC" w14:textId="77777777" w:rsidR="00491D0A" w:rsidRPr="00EF7CF9" w:rsidRDefault="00491D0A" w:rsidP="00491D0A">
      <w:pPr>
        <w:pStyle w:val="ProductList-Body"/>
      </w:pPr>
    </w:p>
    <w:p w14:paraId="4A55F67D" w14:textId="77777777" w:rsidR="00491D0A" w:rsidRPr="00EF7CF9" w:rsidRDefault="00491D0A" w:rsidP="00491D0A">
      <w:pPr>
        <w:pStyle w:val="ProductList-Body"/>
      </w:pPr>
      <w:r>
        <w:t>Der Kunde muss eine Reihe Agents aus der Liste der Standard-Agents für das Messsystem auswählen, die allgemein verfügbar sind und mindestens fünf unterschiedliche geografische Standorte in wichtigen Großstadtbereichen weltweit repräsentieren (außer der VR China).</w:t>
      </w:r>
    </w:p>
    <w:p w14:paraId="5EDDEEC0" w14:textId="77777777" w:rsidR="00491D0A" w:rsidRPr="00EF7CF9" w:rsidRDefault="00491D0A" w:rsidP="00491D0A">
      <w:pPr>
        <w:pStyle w:val="ProductList-Body"/>
      </w:pPr>
    </w:p>
    <w:p w14:paraId="031D37AF" w14:textId="77777777" w:rsidR="00491D0A" w:rsidRPr="00EF7CF9" w:rsidRDefault="00491D0A" w:rsidP="00491D0A">
      <w:pPr>
        <w:pStyle w:val="ProductList-Body"/>
      </w:pPr>
      <w:r>
        <w:t>Messsystemtests (Häufigkeit mindestens ein Test pro Stunde und Agent) werden so konfiguriert, dass ein HTTP GET-Vorgang entsprechend dem folgenden Modell durchgeführt wird:</w:t>
      </w:r>
    </w:p>
    <w:p w14:paraId="12EDF8B0" w14:textId="43E22733" w:rsidR="00491D0A" w:rsidRPr="00EF7CF9" w:rsidRDefault="00491D0A" w:rsidP="00491D0A">
      <w:pPr>
        <w:pStyle w:val="ProductList-Body"/>
        <w:numPr>
          <w:ilvl w:val="0"/>
          <w:numId w:val="2"/>
        </w:numPr>
      </w:pPr>
      <w:r>
        <w:t>Eine Testdatei wird im Kundenursprung (z. B. Azure-Speicherkonto) platziert.</w:t>
      </w:r>
    </w:p>
    <w:p w14:paraId="4E6A2FB0" w14:textId="77777777" w:rsidR="00491D0A" w:rsidRPr="00EF7CF9" w:rsidRDefault="00491D0A" w:rsidP="00491D0A">
      <w:pPr>
        <w:pStyle w:val="ProductList-Body"/>
        <w:numPr>
          <w:ilvl w:val="0"/>
          <w:numId w:val="2"/>
        </w:numPr>
      </w:pPr>
      <w:r>
        <w:t xml:space="preserve">Mit dem GET-Vorgang wird die Datei über den CDN-Dienst abgerufen, indem das Objekt vom entsprechenden Microsoft Azure-Domänennamen-Hostnamen angefordert wird. </w:t>
      </w:r>
    </w:p>
    <w:p w14:paraId="5AB442CF" w14:textId="77777777" w:rsidR="00491D0A" w:rsidRPr="00EF7CF9" w:rsidRDefault="00491D0A" w:rsidP="00491D0A">
      <w:pPr>
        <w:pStyle w:val="ProductList-Body"/>
        <w:numPr>
          <w:ilvl w:val="0"/>
          <w:numId w:val="2"/>
        </w:numPr>
      </w:pPr>
      <w:r>
        <w:t>Die Testdatei muss die folgenden Kriterien erfüllen:</w:t>
      </w:r>
    </w:p>
    <w:p w14:paraId="5073F12A" w14:textId="77777777" w:rsidR="00491D0A" w:rsidRPr="00EF7CF9" w:rsidRDefault="00491D0A" w:rsidP="00491D0A">
      <w:pPr>
        <w:pStyle w:val="ProductList-Body"/>
        <w:numPr>
          <w:ilvl w:val="0"/>
          <w:numId w:val="3"/>
        </w:numPr>
        <w:tabs>
          <w:tab w:val="clear" w:pos="360"/>
          <w:tab w:val="clear" w:pos="720"/>
        </w:tabs>
        <w:ind w:hanging="360"/>
      </w:pPr>
      <w:r>
        <w:t>Das Testobjekt lässt Zwischenspeicherung durch Einschließen explizierter Header „Cache-control: public“ oder Fehlen von „Cache-Control: private“ zu.</w:t>
      </w:r>
    </w:p>
    <w:p w14:paraId="0AF7BCAA" w14:textId="77777777" w:rsidR="00491D0A" w:rsidRPr="00EF7CF9" w:rsidRDefault="00491D0A" w:rsidP="00491D0A">
      <w:pPr>
        <w:pStyle w:val="ProductList-Body"/>
        <w:numPr>
          <w:ilvl w:val="0"/>
          <w:numId w:val="3"/>
        </w:numPr>
        <w:tabs>
          <w:tab w:val="clear" w:pos="360"/>
          <w:tab w:val="clear" w:pos="720"/>
        </w:tabs>
        <w:ind w:hanging="360"/>
      </w:pPr>
      <w:r>
        <w:t>Das Testobjekt ist eine Datei, die mindestens 50 KB und maximal 1 MB groß ist.</w:t>
      </w:r>
    </w:p>
    <w:p w14:paraId="5D0D8884" w14:textId="77777777" w:rsidR="00491D0A" w:rsidRPr="00EF7CF9" w:rsidRDefault="00491D0A" w:rsidP="00491D0A">
      <w:pPr>
        <w:pStyle w:val="ProductList-Body"/>
        <w:numPr>
          <w:ilvl w:val="0"/>
          <w:numId w:val="3"/>
        </w:numPr>
        <w:tabs>
          <w:tab w:val="clear" w:pos="360"/>
          <w:tab w:val="clear" w:pos="720"/>
        </w:tabs>
        <w:ind w:hanging="360"/>
      </w:pPr>
      <w:r>
        <w:t>Rohdaten werden zugeschnitten, um alle Messungen zu entfernen, die von einem Agent mit technischen Problemen während des Messzeitraums stammen.</w:t>
      </w:r>
    </w:p>
    <w:p w14:paraId="57CA6AAD" w14:textId="2806D76E" w:rsidR="00491D0A" w:rsidRPr="00EF7CF9" w:rsidRDefault="00491D0A" w:rsidP="00AD6216">
      <w:pPr>
        <w:pStyle w:val="ProductList-Body"/>
        <w:spacing w:before="120"/>
      </w:pPr>
      <w:r w:rsidRPr="000269C5">
        <w:t>„</w:t>
      </w:r>
      <w:r>
        <w:rPr>
          <w:b/>
          <w:color w:val="00188F"/>
        </w:rPr>
        <w:t>Betriebszeitprozentsatz</w:t>
      </w:r>
      <w:r>
        <w:t>“ ist der Prozentsatz der HTTP-Transaktionen, bei denen das CDN auf Client-Anforderungen antwortet und den angeforderten Inhalt ohne Fehler liefert. Der Betriebszeitprozentsatz des CDN-Dienstes wird als Anzahl der Male berechnet, die das Objekt erfolgreich bereitgestellt wurde, geteilt durch die Gesamtzahl der Anforderungen (nach Entfernen der fehlerhaften Daten).</w:t>
      </w:r>
    </w:p>
    <w:p w14:paraId="0B6B6337" w14:textId="77777777" w:rsidR="00491D0A" w:rsidRPr="00EF7CF9" w:rsidRDefault="00491D0A" w:rsidP="00491D0A">
      <w:pPr>
        <w:pStyle w:val="ProductList-Body"/>
      </w:pPr>
    </w:p>
    <w:p w14:paraId="31C9EBD4" w14:textId="77777777" w:rsidR="00491D0A" w:rsidRPr="00EF7CF9" w:rsidRDefault="00491D0A" w:rsidP="00491D0A">
      <w:pPr>
        <w:pStyle w:val="ProductList-Body"/>
        <w:keepNext/>
      </w:pPr>
      <w:r>
        <w:rPr>
          <w:b/>
          <w:color w:val="00188F"/>
        </w:rPr>
        <w:t>Die folgenden Servicelevels und Servicegutschriften gelten für die Nutzung des CDN-Dienstes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91D0A" w:rsidRPr="00B44CF9" w14:paraId="35934703" w14:textId="77777777" w:rsidTr="00277097">
        <w:trPr>
          <w:tblHeader/>
        </w:trPr>
        <w:tc>
          <w:tcPr>
            <w:tcW w:w="5400" w:type="dxa"/>
            <w:shd w:val="clear" w:color="auto" w:fill="0072C6"/>
          </w:tcPr>
          <w:p w14:paraId="2A68FC5C" w14:textId="29835959" w:rsidR="00491D0A"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18A60ED2" w14:textId="77777777" w:rsidR="00491D0A" w:rsidRPr="00EF7CF9" w:rsidRDefault="00491D0A" w:rsidP="000F31B4">
            <w:pPr>
              <w:pStyle w:val="ProductList-OfferingBody"/>
              <w:jc w:val="center"/>
              <w:rPr>
                <w:color w:val="FFFFFF" w:themeColor="background1"/>
              </w:rPr>
            </w:pPr>
            <w:r>
              <w:rPr>
                <w:color w:val="FFFFFF" w:themeColor="background1"/>
              </w:rPr>
              <w:t>Servicegutschrift</w:t>
            </w:r>
          </w:p>
        </w:tc>
      </w:tr>
      <w:tr w:rsidR="00491D0A" w:rsidRPr="00B44CF9" w14:paraId="38D892B3" w14:textId="77777777" w:rsidTr="00277097">
        <w:tc>
          <w:tcPr>
            <w:tcW w:w="5400" w:type="dxa"/>
          </w:tcPr>
          <w:p w14:paraId="6E1804D2" w14:textId="77777777" w:rsidR="00491D0A" w:rsidRPr="00EF7CF9" w:rsidRDefault="00491D0A" w:rsidP="000F31B4">
            <w:pPr>
              <w:pStyle w:val="ProductList-OfferingBody"/>
              <w:jc w:val="center"/>
            </w:pPr>
            <w:r>
              <w:t>&lt; 99,9 %</w:t>
            </w:r>
          </w:p>
        </w:tc>
        <w:tc>
          <w:tcPr>
            <w:tcW w:w="5400" w:type="dxa"/>
          </w:tcPr>
          <w:p w14:paraId="2A7DD81D" w14:textId="77777777" w:rsidR="00491D0A" w:rsidRPr="00EF7CF9" w:rsidRDefault="00491D0A" w:rsidP="000F31B4">
            <w:pPr>
              <w:pStyle w:val="ProductList-OfferingBody"/>
              <w:jc w:val="center"/>
            </w:pPr>
            <w:r>
              <w:t>10 %</w:t>
            </w:r>
          </w:p>
        </w:tc>
      </w:tr>
      <w:tr w:rsidR="00491D0A" w:rsidRPr="00B44CF9" w14:paraId="12708F67" w14:textId="77777777" w:rsidTr="00277097">
        <w:tc>
          <w:tcPr>
            <w:tcW w:w="5400" w:type="dxa"/>
          </w:tcPr>
          <w:p w14:paraId="67809F69" w14:textId="77777777" w:rsidR="00491D0A" w:rsidRPr="00EF7CF9" w:rsidRDefault="00491D0A" w:rsidP="000F31B4">
            <w:pPr>
              <w:pStyle w:val="ProductList-OfferingBody"/>
              <w:jc w:val="center"/>
            </w:pPr>
            <w:r>
              <w:t>&lt; 99,5 %</w:t>
            </w:r>
          </w:p>
        </w:tc>
        <w:tc>
          <w:tcPr>
            <w:tcW w:w="5400" w:type="dxa"/>
          </w:tcPr>
          <w:p w14:paraId="4C707CCD" w14:textId="77777777" w:rsidR="00491D0A" w:rsidRPr="00EF7CF9" w:rsidRDefault="00491D0A" w:rsidP="000F31B4">
            <w:pPr>
              <w:pStyle w:val="ProductList-OfferingBody"/>
              <w:jc w:val="center"/>
            </w:pPr>
            <w:r>
              <w:t>25 %</w:t>
            </w:r>
          </w:p>
        </w:tc>
      </w:tr>
    </w:tbl>
    <w:p w14:paraId="52EE6D38" w14:textId="678FEA72"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5B41157E" w14:textId="459F39B0" w:rsidR="004005AF" w:rsidRPr="00EF7CF9" w:rsidRDefault="004005AF" w:rsidP="00AC35B1">
      <w:pPr>
        <w:pStyle w:val="ProductList-Offering2Heading"/>
        <w:keepNext/>
        <w:tabs>
          <w:tab w:val="clear" w:pos="360"/>
          <w:tab w:val="clear" w:pos="720"/>
          <w:tab w:val="clear" w:pos="1080"/>
        </w:tabs>
        <w:outlineLvl w:val="2"/>
      </w:pPr>
      <w:bookmarkStart w:id="257" w:name="_Toc195543125"/>
      <w:bookmarkStart w:id="258" w:name="_Toc237448982"/>
      <w:r>
        <w:t>Azure Cosmos DB</w:t>
      </w:r>
      <w:bookmarkEnd w:id="196"/>
      <w:bookmarkEnd w:id="251"/>
      <w:bookmarkEnd w:id="257"/>
      <w:bookmarkEnd w:id="258"/>
    </w:p>
    <w:bookmarkEnd w:id="252"/>
    <w:p w14:paraId="6AE25B56" w14:textId="77777777" w:rsidR="004005AF" w:rsidRPr="00401AE7" w:rsidRDefault="004005AF" w:rsidP="004005AF">
      <w:pPr>
        <w:pStyle w:val="ProductList-Body"/>
        <w:rPr>
          <w:bCs/>
          <w:color w:val="000000" w:themeColor="text1"/>
        </w:rPr>
      </w:pPr>
      <w:r>
        <w:rPr>
          <w:bCs/>
          <w:color w:val="000000" w:themeColor="text1"/>
        </w:rPr>
        <w:t>Die SLA-Details, die für den Azure Cosmos DB-Dienst aufgezählt werden, umfassen die folgenden Datenbank-APIs mit unterschiedlichen Definitionen und Details für die API für PostgreSQL im Vergleich zu den übrigen Datenbank-APIs:</w:t>
      </w:r>
    </w:p>
    <w:p w14:paraId="08D6E6E9" w14:textId="77777777" w:rsidR="004005AF" w:rsidRDefault="004005AF">
      <w:pPr>
        <w:pStyle w:val="ProductList-Body"/>
        <w:numPr>
          <w:ilvl w:val="0"/>
          <w:numId w:val="8"/>
        </w:numPr>
        <w:rPr>
          <w:bCs/>
          <w:color w:val="000000" w:themeColor="text1"/>
        </w:rPr>
      </w:pPr>
      <w:r>
        <w:rPr>
          <w:bCs/>
          <w:color w:val="000000" w:themeColor="text1"/>
        </w:rPr>
        <w:t>Azure Cosmos DB für PostgreSQL</w:t>
      </w:r>
    </w:p>
    <w:p w14:paraId="37652514" w14:textId="77777777" w:rsidR="004005AF" w:rsidRPr="00401AE7" w:rsidRDefault="004005AF">
      <w:pPr>
        <w:pStyle w:val="ProductList-Body"/>
        <w:numPr>
          <w:ilvl w:val="0"/>
          <w:numId w:val="8"/>
        </w:numPr>
        <w:rPr>
          <w:bCs/>
          <w:color w:val="000000" w:themeColor="text1"/>
        </w:rPr>
      </w:pPr>
      <w:r>
        <w:rPr>
          <w:bCs/>
          <w:color w:val="000000" w:themeColor="text1"/>
        </w:rPr>
        <w:t>Azure Cosmos DB für NoSQL</w:t>
      </w:r>
    </w:p>
    <w:p w14:paraId="3E4C3F17" w14:textId="57A7AB97" w:rsidR="004005AF" w:rsidRPr="00401AE7" w:rsidRDefault="004005AF">
      <w:pPr>
        <w:pStyle w:val="ProductList-Body"/>
        <w:numPr>
          <w:ilvl w:val="0"/>
          <w:numId w:val="8"/>
        </w:numPr>
        <w:rPr>
          <w:bCs/>
          <w:color w:val="000000" w:themeColor="text1"/>
        </w:rPr>
      </w:pPr>
      <w:r>
        <w:rPr>
          <w:bCs/>
          <w:color w:val="000000" w:themeColor="text1"/>
        </w:rPr>
        <w:t>Azure Cosmos DB für MongoDB</w:t>
      </w:r>
      <w:r w:rsidR="00D7706E">
        <w:rPr>
          <w:bCs/>
          <w:color w:val="000000" w:themeColor="text1"/>
        </w:rPr>
        <w:t xml:space="preserve"> RU</w:t>
      </w:r>
    </w:p>
    <w:p w14:paraId="0E1D327F" w14:textId="77777777" w:rsidR="004005AF" w:rsidRPr="00EA5BFD" w:rsidRDefault="004005AF">
      <w:pPr>
        <w:pStyle w:val="ProductList-Body"/>
        <w:numPr>
          <w:ilvl w:val="0"/>
          <w:numId w:val="8"/>
        </w:numPr>
        <w:rPr>
          <w:bCs/>
          <w:color w:val="000000" w:themeColor="text1"/>
          <w:lang w:val="it-IT"/>
        </w:rPr>
      </w:pPr>
      <w:r w:rsidRPr="00EA5BFD">
        <w:rPr>
          <w:bCs/>
          <w:color w:val="000000" w:themeColor="text1"/>
          <w:lang w:val="it-IT"/>
        </w:rPr>
        <w:t>Azure Cosmos DB für Apache Cassandra</w:t>
      </w:r>
    </w:p>
    <w:p w14:paraId="1126DD26" w14:textId="77777777" w:rsidR="004005AF" w:rsidRPr="008D766A" w:rsidRDefault="004005AF">
      <w:pPr>
        <w:pStyle w:val="ProductList-Body"/>
        <w:numPr>
          <w:ilvl w:val="0"/>
          <w:numId w:val="8"/>
        </w:numPr>
        <w:rPr>
          <w:bCs/>
          <w:color w:val="000000" w:themeColor="text1"/>
          <w:lang w:val="pt-BR"/>
        </w:rPr>
      </w:pPr>
      <w:r w:rsidRPr="008D766A">
        <w:rPr>
          <w:bCs/>
          <w:color w:val="000000" w:themeColor="text1"/>
          <w:lang w:val="pt-BR"/>
        </w:rPr>
        <w:t>Azure Cosmos DB für Apache Gremlin</w:t>
      </w:r>
    </w:p>
    <w:p w14:paraId="1AFEB853" w14:textId="77777777" w:rsidR="004005AF" w:rsidRPr="00401AE7" w:rsidRDefault="004005AF">
      <w:pPr>
        <w:pStyle w:val="ProductList-Body"/>
        <w:numPr>
          <w:ilvl w:val="0"/>
          <w:numId w:val="8"/>
        </w:numPr>
        <w:rPr>
          <w:bCs/>
          <w:color w:val="000000" w:themeColor="text1"/>
        </w:rPr>
      </w:pPr>
      <w:r>
        <w:rPr>
          <w:bCs/>
          <w:color w:val="000000" w:themeColor="text1"/>
        </w:rPr>
        <w:t>Azure Cosmos DB für Tabelle</w:t>
      </w:r>
    </w:p>
    <w:p w14:paraId="3709F8C1" w14:textId="77777777" w:rsidR="004005AF" w:rsidRDefault="004005AF" w:rsidP="004005AF">
      <w:pPr>
        <w:pStyle w:val="ProductList-Body"/>
        <w:rPr>
          <w:b/>
          <w:color w:val="00188F"/>
        </w:rPr>
      </w:pPr>
      <w:r>
        <w:rPr>
          <w:b/>
          <w:color w:val="00188F"/>
        </w:rPr>
        <w:t>Microsoft Azure Cosmos DB für PostgreSQL</w:t>
      </w:r>
    </w:p>
    <w:p w14:paraId="1498DE2E" w14:textId="77777777" w:rsidR="004005AF" w:rsidRPr="00AC11E3" w:rsidRDefault="004005AF" w:rsidP="004005AF">
      <w:pPr>
        <w:pStyle w:val="ProductList-Body"/>
        <w:rPr>
          <w:bCs/>
          <w:color w:val="000000" w:themeColor="text1"/>
        </w:rPr>
      </w:pPr>
      <w:r w:rsidRPr="000269C5">
        <w:t>„</w:t>
      </w:r>
      <w:r>
        <w:rPr>
          <w:b/>
          <w:color w:val="00188F"/>
        </w:rPr>
        <w:t>Server</w:t>
      </w:r>
      <w:r w:rsidRPr="000269C5">
        <w:t xml:space="preserve">“ </w:t>
      </w:r>
      <w:r>
        <w:rPr>
          <w:bCs/>
          <w:color w:val="000000" w:themeColor="text1"/>
        </w:rPr>
        <w:t>ist ein beliebiger Azure Cosmos DB für PostgreSQL Server.</w:t>
      </w:r>
    </w:p>
    <w:p w14:paraId="47904AED" w14:textId="77777777" w:rsidR="004005AF" w:rsidRPr="00AC11E3" w:rsidRDefault="004005AF" w:rsidP="004005AF">
      <w:pPr>
        <w:pStyle w:val="ProductList-Body"/>
        <w:rPr>
          <w:bCs/>
          <w:color w:val="000000" w:themeColor="text1"/>
        </w:rPr>
      </w:pPr>
      <w:r w:rsidRPr="000269C5">
        <w:t>„</w:t>
      </w:r>
      <w:r>
        <w:rPr>
          <w:b/>
          <w:color w:val="00188F"/>
        </w:rPr>
        <w:t>Hochverfügbarkeitscluster</w:t>
      </w:r>
      <w:r w:rsidRPr="000269C5">
        <w:t xml:space="preserve">“ </w:t>
      </w:r>
      <w:r>
        <w:rPr>
          <w:bCs/>
          <w:color w:val="000000" w:themeColor="text1"/>
        </w:rPr>
        <w:t>bezeichnet eine Reihe von Hochverfügbarkeitsknoten.</w:t>
      </w:r>
    </w:p>
    <w:p w14:paraId="05973321" w14:textId="77777777" w:rsidR="004005AF" w:rsidRPr="00AC11E3" w:rsidRDefault="004005AF" w:rsidP="004005AF">
      <w:pPr>
        <w:pStyle w:val="ProductList-Body"/>
        <w:rPr>
          <w:bCs/>
          <w:color w:val="000000" w:themeColor="text1"/>
        </w:rPr>
      </w:pPr>
      <w:r w:rsidRPr="000269C5">
        <w:t>„</w:t>
      </w:r>
      <w:r>
        <w:rPr>
          <w:b/>
          <w:color w:val="00188F"/>
        </w:rPr>
        <w:t>Hochverfügbarkeitsknoten</w:t>
      </w:r>
      <w:r w:rsidRPr="000269C5">
        <w:t>“</w:t>
      </w:r>
      <w:r>
        <w:rPr>
          <w:bCs/>
          <w:color w:val="000000" w:themeColor="text1"/>
        </w:rPr>
        <w:t xml:space="preserve"> bezeichnet einen Knoten innerhalb eines Clusters, bei dem Hochverfügbarkeit aktiviert ist.</w:t>
      </w:r>
    </w:p>
    <w:p w14:paraId="149121FA" w14:textId="77777777" w:rsidR="004005AF" w:rsidRPr="00AC11E3" w:rsidRDefault="004005AF" w:rsidP="004005AF">
      <w:pPr>
        <w:pStyle w:val="ProductList-Body"/>
        <w:rPr>
          <w:bCs/>
          <w:color w:val="000000" w:themeColor="text1"/>
        </w:rPr>
      </w:pPr>
      <w:r w:rsidRPr="000269C5">
        <w:t>„</w:t>
      </w:r>
      <w:r>
        <w:rPr>
          <w:b/>
          <w:color w:val="00188F"/>
        </w:rPr>
        <w:t>Koordinatorknoten</w:t>
      </w:r>
      <w:r w:rsidRPr="000269C5">
        <w:t xml:space="preserve">“ </w:t>
      </w:r>
      <w:r>
        <w:rPr>
          <w:bCs/>
          <w:color w:val="000000" w:themeColor="text1"/>
        </w:rPr>
        <w:t>ist ein Knoten, dem die Rolle des Clusterkoordinators zugewiesen ist.</w:t>
      </w:r>
    </w:p>
    <w:p w14:paraId="1ED13503" w14:textId="77777777" w:rsidR="004005AF" w:rsidRPr="00AC11E3" w:rsidRDefault="004005AF" w:rsidP="004005AF">
      <w:pPr>
        <w:pStyle w:val="ProductList-Body"/>
        <w:rPr>
          <w:bCs/>
          <w:color w:val="000000" w:themeColor="text1"/>
        </w:rPr>
      </w:pPr>
      <w:r w:rsidRPr="000269C5">
        <w:t>„</w:t>
      </w:r>
      <w:r>
        <w:rPr>
          <w:b/>
          <w:color w:val="00188F"/>
        </w:rPr>
        <w:t>Workerknoten</w:t>
      </w:r>
      <w:r w:rsidRPr="000269C5">
        <w:t xml:space="preserve">“ </w:t>
      </w:r>
      <w:r>
        <w:rPr>
          <w:bCs/>
          <w:color w:val="000000" w:themeColor="text1"/>
        </w:rPr>
        <w:t>ist ein Knoten, dem die Rolle des Workers zugewiesen ist.</w:t>
      </w:r>
    </w:p>
    <w:p w14:paraId="5AEB689D" w14:textId="77777777" w:rsidR="004005AF" w:rsidRPr="00AC11E3" w:rsidRDefault="004005AF" w:rsidP="004005AF">
      <w:pPr>
        <w:pStyle w:val="ProductList-Body"/>
        <w:rPr>
          <w:bCs/>
          <w:color w:val="000000" w:themeColor="text1"/>
        </w:rPr>
      </w:pPr>
      <w:r w:rsidRPr="000269C5">
        <w:t>„</w:t>
      </w:r>
      <w:r>
        <w:rPr>
          <w:b/>
          <w:color w:val="00188F"/>
        </w:rPr>
        <w:t>Knoten</w:t>
      </w:r>
      <w:r w:rsidRPr="000269C5">
        <w:t xml:space="preserve">“ </w:t>
      </w:r>
      <w:r>
        <w:rPr>
          <w:bCs/>
          <w:color w:val="000000" w:themeColor="text1"/>
        </w:rPr>
        <w:t xml:space="preserve">oder </w:t>
      </w:r>
      <w:r w:rsidRPr="000269C5">
        <w:t>„</w:t>
      </w:r>
      <w:r>
        <w:rPr>
          <w:b/>
          <w:color w:val="00188F"/>
        </w:rPr>
        <w:t>Knoten</w:t>
      </w:r>
      <w:r w:rsidRPr="000269C5">
        <w:t xml:space="preserve">“ </w:t>
      </w:r>
      <w:r>
        <w:rPr>
          <w:bCs/>
          <w:color w:val="000000" w:themeColor="text1"/>
        </w:rPr>
        <w:t>(Plural) ist ein Azure Cosmos DB für PostgreSQL-Koordinator oder Workerknoten.</w:t>
      </w:r>
    </w:p>
    <w:p w14:paraId="2627B531" w14:textId="2F0782A0" w:rsidR="004005AF" w:rsidRPr="00401AE7" w:rsidRDefault="00EE6E3C" w:rsidP="00AD6216">
      <w:pPr>
        <w:pStyle w:val="ProductList-Body"/>
        <w:spacing w:before="120"/>
        <w:rPr>
          <w:b/>
          <w:color w:val="00188F"/>
        </w:rPr>
      </w:pPr>
      <w:r>
        <w:rPr>
          <w:b/>
          <w:color w:val="00188F"/>
        </w:rPr>
        <w:t>Berechnung der Betriebszeit und Service-Levels für Microsoft Azure Cosmos DB für PostgreSQL – Hochverfügbarkeitsknoten</w:t>
      </w:r>
    </w:p>
    <w:p w14:paraId="5C5EEC45" w14:textId="4E2AFF0E" w:rsidR="004005AF" w:rsidRPr="00AC11E3" w:rsidRDefault="004005AF" w:rsidP="004005AF">
      <w:pPr>
        <w:pStyle w:val="ProductList-Body"/>
        <w:rPr>
          <w:bCs/>
          <w:color w:val="000000" w:themeColor="text1"/>
        </w:rPr>
      </w:pPr>
      <w:r w:rsidRPr="000269C5">
        <w:t>„</w:t>
      </w:r>
      <w:r>
        <w:rPr>
          <w:b/>
          <w:color w:val="00188F"/>
        </w:rPr>
        <w:t>Maximal Verfügbare Minuten</w:t>
      </w:r>
      <w:r w:rsidRPr="000269C5">
        <w:t xml:space="preserve">“ </w:t>
      </w:r>
      <w:r>
        <w:rPr>
          <w:bCs/>
          <w:color w:val="000000" w:themeColor="text1"/>
        </w:rPr>
        <w:t>ist die Gesamtzahl der Minuten für einen bestimmten Hochverfügbarkeitsknoten, der vom Kunden in einem Microsoft Azure-Abonnement während eines Anwendbaren Zeitraums bereitgestellt wird.</w:t>
      </w:r>
    </w:p>
    <w:p w14:paraId="409AFA3E" w14:textId="77777777" w:rsidR="004005AF" w:rsidRPr="00AC11E3" w:rsidRDefault="004005AF" w:rsidP="004005AF">
      <w:pPr>
        <w:pStyle w:val="ProductList-Body"/>
        <w:rPr>
          <w:bCs/>
          <w:color w:val="000000" w:themeColor="text1"/>
        </w:rPr>
      </w:pPr>
      <w:r w:rsidRPr="000269C5">
        <w:t>„</w:t>
      </w:r>
      <w:r>
        <w:rPr>
          <w:b/>
          <w:color w:val="00188F"/>
        </w:rPr>
        <w:t>Ausfallzeit</w:t>
      </w:r>
      <w:r w:rsidRPr="000269C5">
        <w:t xml:space="preserve">“ </w:t>
      </w:r>
      <w:r>
        <w:rPr>
          <w:bCs/>
          <w:color w:val="000000" w:themeColor="text1"/>
        </w:rPr>
        <w:t>ist die Gesamtzahl der Minuten innerhalb der Maximal verfügbaren Minuten, in denen ein Knoten nicht verfügbar ist. Eine Minute gilt als nicht verfügbar, wenn alle fortlaufenden Versuche des Kunden, eine Verbindung mit dem Knoten herzustellen, einen Fehlercode ergeben oder eine Minute lang nicht reagiert haben. Eine Minute gilt für einen Worker-Knoten auch dann als nicht verfügbar, wenn sein Koordinatorknoten in der Minute nicht verfügbar war.</w:t>
      </w:r>
    </w:p>
    <w:p w14:paraId="147EFAF0" w14:textId="62878823" w:rsidR="004005AF" w:rsidRPr="00AC11E3" w:rsidRDefault="004005AF" w:rsidP="004005AF">
      <w:pPr>
        <w:pStyle w:val="ProductList-Body"/>
        <w:rPr>
          <w:bCs/>
          <w:color w:val="000000" w:themeColor="text1"/>
        </w:rPr>
      </w:pPr>
      <w:r>
        <w:t xml:space="preserve">Der </w:t>
      </w:r>
      <w:r w:rsidRPr="000269C5">
        <w:t>„</w:t>
      </w:r>
      <w:r>
        <w:rPr>
          <w:b/>
          <w:color w:val="00188F"/>
        </w:rPr>
        <w:t>Betriebszeitprozentsatz</w:t>
      </w:r>
      <w:r w:rsidRPr="000269C5">
        <w:t xml:space="preserve">“ </w:t>
      </w:r>
      <w:r>
        <w:rPr>
          <w:bCs/>
          <w:color w:val="000000" w:themeColor="text1"/>
        </w:rPr>
        <w:t>für den Azure Cosmos DB für PostgreSQL – Hochverfügbarkeitsknoten wird berechnet als Maximal Verfügbare Minuten abzüglich Ausfallzeit geteilt durch Maximal Verfügbare Minuten.</w:t>
      </w:r>
    </w:p>
    <w:p w14:paraId="1090E03A" w14:textId="047E8E92" w:rsidR="004005AF" w:rsidRDefault="004005AF" w:rsidP="004005AF">
      <w:pPr>
        <w:pStyle w:val="ProductList-Body"/>
      </w:pPr>
      <w:r>
        <w:t>Der Betriebszeitprozentsatz errechnet sich nach folgender Formel:</w:t>
      </w:r>
    </w:p>
    <w:p w14:paraId="378E2D22" w14:textId="0707040A" w:rsidR="004005AF" w:rsidRPr="007C7313" w:rsidRDefault="00000000" w:rsidP="00B820B8">
      <w:pPr>
        <w:pStyle w:val="ProductList-Body"/>
        <w:spacing w:before="120" w:after="120"/>
        <w:rPr>
          <w:bCs/>
          <w:color w:val="00188F"/>
        </w:rPr>
      </w:pPr>
      <m:oMathPara>
        <m:oMath>
          <m:f>
            <m:fPr>
              <m:ctrlPr>
                <w:rPr>
                  <w:rFonts w:ascii="Cambria Math" w:hAnsi="Cambria Math" w:cs="Calibri"/>
                  <w:i/>
                  <w:szCs w:val="18"/>
                </w:rPr>
              </m:ctrlPr>
            </m:fPr>
            <m:num>
              <m:r>
                <m:rPr>
                  <m:nor/>
                </m:rPr>
                <w:rPr>
                  <w:rFonts w:ascii="Cambria Math" w:hAnsi="Cambria Math" w:cs="Calibri"/>
                  <w:i/>
                  <w:szCs w:val="18"/>
                </w:rPr>
                <m:t>Maximal Verfügbare Minuten abzüglich Ausfallzeit</m:t>
              </m:r>
            </m:num>
            <m:den>
              <m:r>
                <m:rPr>
                  <m:nor/>
                </m:rPr>
                <w:rPr>
                  <w:rFonts w:ascii="Cambria Math" w:hAnsi="Cambria Math" w:cs="Calibri"/>
                  <w:i/>
                  <w:szCs w:val="18"/>
                </w:rPr>
                <m:t>Maximal Verfügbare Minuten</m:t>
              </m:r>
            </m:den>
          </m:f>
          <m:r>
            <w:rPr>
              <w:rFonts w:ascii="Cambria Math" w:hAnsi="Cambria Math" w:cs="Calibri"/>
              <w:szCs w:val="18"/>
            </w:rPr>
            <m:t xml:space="preserve"> x 100</m:t>
          </m:r>
        </m:oMath>
      </m:oMathPara>
    </w:p>
    <w:p w14:paraId="42A770C0" w14:textId="77777777" w:rsidR="004005AF" w:rsidRPr="00491D0A" w:rsidRDefault="004005AF" w:rsidP="004005AF">
      <w:pPr>
        <w:pStyle w:val="ProductList-Body"/>
        <w:keepNext/>
        <w:rPr>
          <w:b/>
          <w:bCs/>
          <w:color w:val="00188F"/>
        </w:rPr>
      </w:pPr>
      <w:r>
        <w:rPr>
          <w:rFonts w:ascii="Calibri" w:hAnsi="Calibri" w:cs="Calibri"/>
          <w:b/>
          <w:bCs/>
          <w:color w:val="00188F"/>
          <w:shd w:val="clear" w:color="auto" w:fill="FFFFFF"/>
        </w:rPr>
        <w:t>Die folgenden Servicelevels und Servicegutschriften gelten für die Nutzung des Microsoft Azure Cosmos DB für PostgreSQL – Hochverfügbarkeitsknoten.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E829116" w14:textId="77777777" w:rsidTr="00277097">
        <w:trPr>
          <w:tblHeader/>
        </w:trPr>
        <w:tc>
          <w:tcPr>
            <w:tcW w:w="5400" w:type="dxa"/>
            <w:shd w:val="clear" w:color="auto" w:fill="0072C6"/>
          </w:tcPr>
          <w:p w14:paraId="2C9D4A58" w14:textId="06302114" w:rsidR="004005AF" w:rsidRPr="001A0074"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2939EE95" w14:textId="77777777" w:rsidR="004005AF" w:rsidRPr="001A0074" w:rsidRDefault="004005AF" w:rsidP="000F31B4">
            <w:pPr>
              <w:pStyle w:val="ProductList-OfferingBody"/>
              <w:jc w:val="center"/>
              <w:rPr>
                <w:color w:val="FFFFFF" w:themeColor="background1"/>
              </w:rPr>
            </w:pPr>
            <w:r>
              <w:rPr>
                <w:color w:val="FFFFFF" w:themeColor="background1"/>
              </w:rPr>
              <w:t>Servicegutschrift</w:t>
            </w:r>
          </w:p>
        </w:tc>
      </w:tr>
      <w:tr w:rsidR="004005AF" w:rsidRPr="00B44CF9" w14:paraId="551D3C59" w14:textId="77777777" w:rsidTr="00277097">
        <w:tc>
          <w:tcPr>
            <w:tcW w:w="5400" w:type="dxa"/>
          </w:tcPr>
          <w:p w14:paraId="6204D35B" w14:textId="4B88CAE8" w:rsidR="004005AF" w:rsidRPr="0076238C" w:rsidRDefault="004005AF" w:rsidP="000F31B4">
            <w:pPr>
              <w:pStyle w:val="ProductList-OfferingBody"/>
              <w:jc w:val="center"/>
            </w:pPr>
            <w:r>
              <w:t>&lt; 99,99 %</w:t>
            </w:r>
          </w:p>
        </w:tc>
        <w:tc>
          <w:tcPr>
            <w:tcW w:w="5400" w:type="dxa"/>
          </w:tcPr>
          <w:p w14:paraId="6E2D2625" w14:textId="77777777" w:rsidR="004005AF" w:rsidRPr="0076238C" w:rsidRDefault="004005AF" w:rsidP="000F31B4">
            <w:pPr>
              <w:pStyle w:val="ProductList-OfferingBody"/>
              <w:jc w:val="center"/>
            </w:pPr>
            <w:r>
              <w:t>10 %</w:t>
            </w:r>
          </w:p>
        </w:tc>
      </w:tr>
      <w:tr w:rsidR="004005AF" w:rsidRPr="00B44CF9" w14:paraId="0339648C" w14:textId="77777777" w:rsidTr="00277097">
        <w:tc>
          <w:tcPr>
            <w:tcW w:w="5400" w:type="dxa"/>
          </w:tcPr>
          <w:p w14:paraId="5DA0F32E" w14:textId="77777777" w:rsidR="004005AF" w:rsidRPr="0076238C" w:rsidRDefault="004005AF" w:rsidP="000F31B4">
            <w:pPr>
              <w:pStyle w:val="ProductList-OfferingBody"/>
              <w:jc w:val="center"/>
            </w:pPr>
            <w:r>
              <w:t>&lt; 99 %</w:t>
            </w:r>
          </w:p>
        </w:tc>
        <w:tc>
          <w:tcPr>
            <w:tcW w:w="5400" w:type="dxa"/>
          </w:tcPr>
          <w:p w14:paraId="029E052E" w14:textId="77777777" w:rsidR="004005AF" w:rsidRPr="0076238C" w:rsidRDefault="004005AF" w:rsidP="000F31B4">
            <w:pPr>
              <w:pStyle w:val="ProductList-OfferingBody"/>
              <w:jc w:val="center"/>
            </w:pPr>
            <w:r>
              <w:t>25 %</w:t>
            </w:r>
          </w:p>
        </w:tc>
      </w:tr>
    </w:tbl>
    <w:p w14:paraId="76530556" w14:textId="37027EFA" w:rsidR="004005AF" w:rsidRPr="00AC11E3" w:rsidRDefault="004005AF" w:rsidP="002F450A">
      <w:pPr>
        <w:pStyle w:val="ProductList-Body"/>
        <w:spacing w:before="120"/>
        <w:rPr>
          <w:b/>
          <w:color w:val="00188F"/>
        </w:rPr>
      </w:pPr>
      <w:r>
        <w:rPr>
          <w:b/>
          <w:color w:val="00188F"/>
        </w:rPr>
        <w:t>Microsoft Azure Cosmos DB für NoSQL, Microsoft Azure Cosmos DB für MongoDB</w:t>
      </w:r>
      <w:r w:rsidR="00A45012">
        <w:rPr>
          <w:b/>
          <w:color w:val="00188F"/>
        </w:rPr>
        <w:t xml:space="preserve"> (RU)</w:t>
      </w:r>
      <w:r>
        <w:rPr>
          <w:b/>
          <w:color w:val="00188F"/>
        </w:rPr>
        <w:t>, Microsoft Azure Cosmos DB für Apache Cassandra, Microsoft Azure Cosmos DB für Apache Gremlin, Microsoft Azure Cosmos DB für Tabelle</w:t>
      </w:r>
    </w:p>
    <w:p w14:paraId="6A00A741" w14:textId="77777777" w:rsidR="004005AF" w:rsidRPr="00EF7CF9" w:rsidRDefault="004005AF" w:rsidP="00BE6B7A">
      <w:pPr>
        <w:pStyle w:val="ProductList-Body"/>
        <w:rPr>
          <w:b/>
          <w:color w:val="00188F"/>
        </w:rPr>
      </w:pPr>
      <w:r>
        <w:rPr>
          <w:b/>
          <w:color w:val="00188F"/>
        </w:rPr>
        <w:t>Zusätzliche Definitionen</w:t>
      </w:r>
      <w:r w:rsidRPr="00ED75EB">
        <w:rPr>
          <w:b/>
          <w:color w:val="00188F"/>
        </w:rPr>
        <w:t>:</w:t>
      </w:r>
    </w:p>
    <w:p w14:paraId="361D61EC" w14:textId="77777777" w:rsidR="004005AF" w:rsidRPr="00EF7CF9" w:rsidRDefault="004005AF" w:rsidP="00BE6B7A">
      <w:pPr>
        <w:pStyle w:val="ProductList-Body"/>
      </w:pPr>
      <w:r w:rsidRPr="000269C5">
        <w:t>„</w:t>
      </w:r>
      <w:r>
        <w:rPr>
          <w:b/>
          <w:color w:val="00188F"/>
        </w:rPr>
        <w:t>Container</w:t>
      </w:r>
      <w:r w:rsidRPr="000269C5">
        <w:t>“</w:t>
      </w:r>
      <w:r>
        <w:t xml:space="preserve"> ist ein Container mit Datenelementen und eine Maßeinheit für Transaktionen und Abfragen.</w:t>
      </w:r>
    </w:p>
    <w:p w14:paraId="2042777F" w14:textId="77777777" w:rsidR="004005AF" w:rsidRPr="00EF7CF9" w:rsidRDefault="004005AF" w:rsidP="00BE6B7A">
      <w:pPr>
        <w:pStyle w:val="ProductList-Body"/>
      </w:pPr>
      <w:r w:rsidRPr="000269C5">
        <w:t>„</w:t>
      </w:r>
      <w:r>
        <w:rPr>
          <w:b/>
          <w:color w:val="00188F"/>
        </w:rPr>
        <w:t>Verbrauchte AEs</w:t>
      </w:r>
      <w:r w:rsidRPr="000269C5">
        <w:t>“</w:t>
      </w:r>
      <w:r>
        <w:t xml:space="preserve"> ist die Summe der Anforderungseinheiten, die von allen Anforderungen verbraucht werden, die vom Azure Cosmos DB Container in einer bestimmten Sekunde verarbeitet werden.</w:t>
      </w:r>
    </w:p>
    <w:p w14:paraId="30EF1808" w14:textId="77777777" w:rsidR="004005AF" w:rsidRPr="00EF7CF9" w:rsidRDefault="004005AF" w:rsidP="00BE6B7A">
      <w:pPr>
        <w:pStyle w:val="ProductList-Body"/>
      </w:pPr>
      <w:r>
        <w:t>„</w:t>
      </w:r>
      <w:r>
        <w:rPr>
          <w:b/>
          <w:color w:val="00188F"/>
        </w:rPr>
        <w:t>Datenbankkonto</w:t>
      </w:r>
      <w:r>
        <w:t>“ ist die Ressource auf oberster Ebene des Azure Cosmos DB-Ressourcenmodells. Ein Azure Cosmos DB-Datenbankkonto umfasst eine oder mehrere Datenbanken.</w:t>
      </w:r>
    </w:p>
    <w:p w14:paraId="5F79BD07" w14:textId="77777777" w:rsidR="004005AF" w:rsidRPr="00EF7CF9" w:rsidRDefault="004005AF" w:rsidP="00BE6B7A">
      <w:pPr>
        <w:pStyle w:val="ProductList-Body"/>
      </w:pPr>
      <w:r>
        <w:t>„</w:t>
      </w:r>
      <w:r>
        <w:rPr>
          <w:b/>
          <w:color w:val="00188F"/>
        </w:rPr>
        <w:t>Fehlerhafte Anforderungen</w:t>
      </w:r>
      <w:r>
        <w:t>“ sind Anforderungen innerhalb der Gesamtzahl der Anforderungen, die entweder einen Fehlercode zurückgeben oder keinen Erfolgscode innerhalb der in der nachstehenden Tabelle dokumentierten maximalen Obergrenzen zurückgeben.</w:t>
      </w:r>
    </w:p>
    <w:p w14:paraId="5C559261" w14:textId="77777777" w:rsidR="004005AF" w:rsidRPr="00EF7CF9" w:rsidRDefault="004005AF" w:rsidP="00BE6B7A">
      <w:pPr>
        <w:pStyle w:val="ProductList-Body"/>
      </w:pPr>
      <w:r>
        <w:t>„</w:t>
      </w:r>
      <w:r>
        <w:rPr>
          <w:b/>
          <w:color w:val="00188F"/>
        </w:rPr>
        <w:t>Fehlerhafte Leseanforderungen</w:t>
      </w:r>
      <w:r>
        <w:t>“ sind Anforderungen innerhalb der Gesamtzahl der Leseanforderungen, die entweder einen Fehlercode zurückgeben oder keinen Erfolgscode innerhalb der in der nachstehenden Tabelle dokumentierten maximalen Obergrenzen zurückgeben.</w:t>
      </w:r>
    </w:p>
    <w:p w14:paraId="59DD6F19" w14:textId="77777777" w:rsidR="004005AF" w:rsidRPr="00EF7CF9" w:rsidRDefault="004005AF" w:rsidP="004005AF">
      <w:pPr>
        <w:pStyle w:val="ProductList-Body"/>
        <w:spacing w:after="40"/>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5407277" w14:textId="77777777" w:rsidTr="00277097">
        <w:trPr>
          <w:tblHeader/>
        </w:trPr>
        <w:tc>
          <w:tcPr>
            <w:tcW w:w="5400" w:type="dxa"/>
            <w:shd w:val="clear" w:color="auto" w:fill="0072C6"/>
          </w:tcPr>
          <w:p w14:paraId="1EFC0673" w14:textId="77777777" w:rsidR="004005AF" w:rsidRPr="00EF7CF9" w:rsidRDefault="004005AF" w:rsidP="00093B7C">
            <w:pPr>
              <w:pStyle w:val="ProductList-OfferingBody"/>
              <w:jc w:val="center"/>
              <w:rPr>
                <w:color w:val="FFFFFF" w:themeColor="background1"/>
              </w:rPr>
            </w:pPr>
            <w:r>
              <w:rPr>
                <w:color w:val="FFFFFF" w:themeColor="background1"/>
              </w:rPr>
              <w:t>Vorgang</w:t>
            </w:r>
          </w:p>
        </w:tc>
        <w:tc>
          <w:tcPr>
            <w:tcW w:w="5400" w:type="dxa"/>
            <w:shd w:val="clear" w:color="auto" w:fill="0072C6"/>
          </w:tcPr>
          <w:p w14:paraId="459020A0" w14:textId="77777777" w:rsidR="004005AF" w:rsidRPr="00EF7CF9" w:rsidRDefault="004005AF" w:rsidP="00093B7C">
            <w:pPr>
              <w:pStyle w:val="ProductList-OfferingBody"/>
              <w:jc w:val="center"/>
              <w:rPr>
                <w:color w:val="FFFFFF" w:themeColor="background1"/>
              </w:rPr>
            </w:pPr>
            <w:r>
              <w:rPr>
                <w:color w:val="FFFFFF" w:themeColor="background1"/>
              </w:rPr>
              <w:t>Höchstobergrenze für Verarbeitungswartezeit</w:t>
            </w:r>
          </w:p>
        </w:tc>
      </w:tr>
      <w:tr w:rsidR="004005AF" w:rsidRPr="00B44CF9" w14:paraId="71A7335E" w14:textId="77777777" w:rsidTr="00277097">
        <w:tc>
          <w:tcPr>
            <w:tcW w:w="5400" w:type="dxa"/>
          </w:tcPr>
          <w:p w14:paraId="54741EFD" w14:textId="77777777" w:rsidR="004005AF" w:rsidRPr="00EF7CF9" w:rsidRDefault="004005AF" w:rsidP="00093B7C">
            <w:pPr>
              <w:pStyle w:val="ProductList-OfferingBody"/>
              <w:jc w:val="center"/>
            </w:pPr>
            <w:r>
              <w:t>Ressourcenvorgänge</w:t>
            </w:r>
          </w:p>
        </w:tc>
        <w:tc>
          <w:tcPr>
            <w:tcW w:w="5400" w:type="dxa"/>
          </w:tcPr>
          <w:p w14:paraId="05D5AEFF" w14:textId="77777777" w:rsidR="004005AF" w:rsidRPr="00EF7CF9" w:rsidRDefault="004005AF" w:rsidP="00093B7C">
            <w:pPr>
              <w:pStyle w:val="ProductList-OfferingBody"/>
              <w:jc w:val="center"/>
              <w:rPr>
                <w:rFonts w:ascii="Calibri" w:eastAsia="Times New Roman" w:hAnsi="Calibri"/>
              </w:rPr>
            </w:pPr>
            <w:r>
              <w:rPr>
                <w:rFonts w:ascii="Calibri" w:eastAsia="Times New Roman" w:hAnsi="Calibri"/>
              </w:rPr>
              <w:t>5 Sekunden</w:t>
            </w:r>
          </w:p>
        </w:tc>
      </w:tr>
      <w:tr w:rsidR="004005AF" w:rsidRPr="00B44CF9" w14:paraId="430DE826" w14:textId="77777777" w:rsidTr="00277097">
        <w:tc>
          <w:tcPr>
            <w:tcW w:w="5400" w:type="dxa"/>
          </w:tcPr>
          <w:p w14:paraId="366A88F9" w14:textId="77777777" w:rsidR="004005AF" w:rsidRPr="00EF7CF9" w:rsidRDefault="004005AF" w:rsidP="00093B7C">
            <w:pPr>
              <w:pStyle w:val="ProductList-OfferingBody"/>
              <w:jc w:val="center"/>
            </w:pPr>
            <w:r>
              <w:t>Medienvorgänge</w:t>
            </w:r>
          </w:p>
        </w:tc>
        <w:tc>
          <w:tcPr>
            <w:tcW w:w="5400" w:type="dxa"/>
          </w:tcPr>
          <w:p w14:paraId="30157A9F" w14:textId="77777777" w:rsidR="004005AF" w:rsidRPr="00EF7CF9" w:rsidRDefault="004005AF" w:rsidP="00093B7C">
            <w:pPr>
              <w:pStyle w:val="ProductList-OfferingBody"/>
              <w:jc w:val="center"/>
            </w:pPr>
            <w:r>
              <w:t>60 Sekunden</w:t>
            </w:r>
          </w:p>
        </w:tc>
      </w:tr>
    </w:tbl>
    <w:p w14:paraId="33557703" w14:textId="77777777" w:rsidR="004005AF" w:rsidRPr="00EF7CF9" w:rsidRDefault="004005AF" w:rsidP="00BE6B7A">
      <w:pPr>
        <w:spacing w:before="120" w:after="0" w:line="240" w:lineRule="auto"/>
        <w:rPr>
          <w:sz w:val="18"/>
        </w:rPr>
      </w:pPr>
      <w:r w:rsidRPr="000269C5">
        <w:rPr>
          <w:sz w:val="18"/>
        </w:rPr>
        <w:t>„</w:t>
      </w:r>
      <w:r>
        <w:rPr>
          <w:b/>
          <w:color w:val="00188F"/>
          <w:sz w:val="18"/>
        </w:rPr>
        <w:t>Bereitgestellte AEs</w:t>
      </w:r>
      <w:r w:rsidRPr="000269C5">
        <w:rPr>
          <w:sz w:val="18"/>
        </w:rPr>
        <w:t>“</w:t>
      </w:r>
      <w:r>
        <w:rPr>
          <w:sz w:val="18"/>
        </w:rPr>
        <w:t xml:space="preserve"> ist die Summe der bereitgestellten Anforderungseinheiten für einen bestimmten Azure </w:t>
      </w:r>
      <w:r>
        <w:rPr>
          <w:rStyle w:val="ProductList-BodyChar"/>
        </w:rPr>
        <w:t>Cosmos DB</w:t>
      </w:r>
      <w:r>
        <w:rPr>
          <w:sz w:val="18"/>
        </w:rPr>
        <w:t xml:space="preserve"> Container für eine bestimmte Sekunde.</w:t>
      </w:r>
    </w:p>
    <w:p w14:paraId="70C37A24" w14:textId="77777777" w:rsidR="004005AF" w:rsidRPr="00ED4527" w:rsidRDefault="004005AF" w:rsidP="00A62F92">
      <w:pPr>
        <w:spacing w:after="0" w:line="240" w:lineRule="auto"/>
        <w:rPr>
          <w:color w:val="000000" w:themeColor="text1"/>
          <w:sz w:val="18"/>
        </w:rPr>
      </w:pPr>
      <w:r w:rsidRPr="000269C5">
        <w:rPr>
          <w:sz w:val="18"/>
        </w:rPr>
        <w:t>„</w:t>
      </w:r>
      <w:r>
        <w:rPr>
          <w:b/>
          <w:bCs/>
          <w:color w:val="00188F"/>
          <w:sz w:val="18"/>
        </w:rPr>
        <w:t>Bereitgestellte Durchsatzressourcen</w:t>
      </w:r>
      <w:r w:rsidRPr="000269C5">
        <w:rPr>
          <w:sz w:val="18"/>
        </w:rPr>
        <w:t xml:space="preserve">“ </w:t>
      </w:r>
      <w:r>
        <w:rPr>
          <w:color w:val="000000" w:themeColor="text1"/>
          <w:sz w:val="18"/>
        </w:rPr>
        <w:t>sind Azure Cosmos DB-Container, die im Modus des bereitgestellten Durchsatzes konfiguriert sind, wobei die Anzahl der bereitgestellten AEs in Rechnung gestellt wird.</w:t>
      </w:r>
    </w:p>
    <w:p w14:paraId="16319EEE" w14:textId="77777777" w:rsidR="004005AF" w:rsidRPr="00EF7CF9" w:rsidRDefault="004005AF" w:rsidP="00A62F92">
      <w:pPr>
        <w:spacing w:after="0" w:line="240" w:lineRule="auto"/>
        <w:rPr>
          <w:sz w:val="18"/>
        </w:rPr>
      </w:pPr>
      <w:r w:rsidRPr="000269C5">
        <w:rPr>
          <w:sz w:val="18"/>
        </w:rPr>
        <w:t>„</w:t>
      </w:r>
      <w:r>
        <w:rPr>
          <w:b/>
          <w:color w:val="00188F"/>
          <w:sz w:val="18"/>
        </w:rPr>
        <w:t>Ratenbegrenzte Anforderungen</w:t>
      </w:r>
      <w:r w:rsidRPr="000269C5">
        <w:rPr>
          <w:sz w:val="18"/>
        </w:rPr>
        <w:t>“</w:t>
      </w:r>
      <w:r>
        <w:rPr>
          <w:sz w:val="18"/>
        </w:rPr>
        <w:t xml:space="preserve"> sind Anforderungen, die aus dem Azure Cosmos DB Container einen Statuscode 429 rücksenden, was bedeutet, dass die verbrauchten AEs die bereitgestellten AEs für eine Partition im Container für eine bestimmte Sekunde überschritten haben.</w:t>
      </w:r>
    </w:p>
    <w:p w14:paraId="08AAE103" w14:textId="77777777" w:rsidR="004005AF" w:rsidRPr="00EF7CF9" w:rsidRDefault="004005AF" w:rsidP="00A62F92">
      <w:pPr>
        <w:pStyle w:val="ProductList-Body"/>
      </w:pPr>
      <w:r>
        <w:t>„</w:t>
      </w:r>
      <w:r>
        <w:rPr>
          <w:b/>
          <w:color w:val="00188F"/>
        </w:rPr>
        <w:t>Anforderungseinheit (AE)</w:t>
      </w:r>
      <w:r>
        <w:t>“ ist ein Maß für den Durchsatz in Azure Cosmos</w:t>
      </w:r>
      <w:r>
        <w:rPr>
          <w:rStyle w:val="ProductList-BodyChar"/>
        </w:rPr>
        <w:t xml:space="preserve"> DB</w:t>
      </w:r>
      <w:r>
        <w:t>.</w:t>
      </w:r>
    </w:p>
    <w:p w14:paraId="1E86EDAF" w14:textId="77777777" w:rsidR="004005AF" w:rsidRPr="00EF7CF9" w:rsidRDefault="004005AF" w:rsidP="00A62F92">
      <w:pPr>
        <w:pStyle w:val="ProductList-Body"/>
      </w:pPr>
      <w:r>
        <w:t>„</w:t>
      </w:r>
      <w:r>
        <w:rPr>
          <w:b/>
          <w:color w:val="00188F"/>
        </w:rPr>
        <w:t>Ressource</w:t>
      </w:r>
      <w:r>
        <w:t>“ ist eine Reihe URI-adressierbarer Entitäten, die einem Datenbankkonto zugeordnet sind.</w:t>
      </w:r>
    </w:p>
    <w:p w14:paraId="395911E4" w14:textId="77777777" w:rsidR="004005AF" w:rsidRPr="00ED4527" w:rsidRDefault="004005AF" w:rsidP="00A62F92">
      <w:pPr>
        <w:pStyle w:val="ProductList-Body"/>
        <w:rPr>
          <w:color w:val="000000" w:themeColor="text1"/>
        </w:rPr>
      </w:pPr>
      <w:r w:rsidRPr="000269C5">
        <w:t>„</w:t>
      </w:r>
      <w:r>
        <w:rPr>
          <w:b/>
          <w:bCs/>
          <w:color w:val="00188F"/>
        </w:rPr>
        <w:t>Serverlose Ressourcen</w:t>
      </w:r>
      <w:r w:rsidRPr="000269C5">
        <w:t xml:space="preserve">“ </w:t>
      </w:r>
      <w:r>
        <w:rPr>
          <w:color w:val="000000" w:themeColor="text1"/>
        </w:rPr>
        <w:t>sind Azure Cosmos DB Container, die im Serverlos-Modus konfiguriert sind, wobei die Anzahl der verbrauchten AEs in Rechnung gestellt wird.</w:t>
      </w:r>
    </w:p>
    <w:p w14:paraId="29101DF6" w14:textId="77777777" w:rsidR="004005AF" w:rsidRPr="00EF7CF9" w:rsidRDefault="004005AF" w:rsidP="00A62F92">
      <w:pPr>
        <w:pStyle w:val="ProductList-Body"/>
      </w:pPr>
      <w:r>
        <w:t>„</w:t>
      </w:r>
      <w:r>
        <w:rPr>
          <w:b/>
          <w:color w:val="00188F"/>
        </w:rPr>
        <w:t>Erfolgreiche Anforderungen</w:t>
      </w:r>
      <w:r>
        <w:t>“ sind Gesamtzahl der Anforderungen minus Fehlerhafte Anforderungen.</w:t>
      </w:r>
    </w:p>
    <w:p w14:paraId="6A5A40CE" w14:textId="7F71ABEB" w:rsidR="004005AF" w:rsidRPr="00EF7CF9" w:rsidRDefault="004005AF" w:rsidP="00A62F92">
      <w:pPr>
        <w:pStyle w:val="ProductList-Body"/>
      </w:pPr>
      <w:r>
        <w:t>Die „</w:t>
      </w:r>
      <w:r>
        <w:rPr>
          <w:b/>
          <w:color w:val="00188F"/>
        </w:rPr>
        <w:t>Gesamtzahl der Leseanforderungen</w:t>
      </w:r>
      <w:r>
        <w:t>“ ist die Menge aller Leseanforderungen, einschließlich der Ratenbegrenzten Anforderungen, und aller Fehlerhaften Leseanforderungen, die innerhalb eines einstündigen Intervalls innerhalb eines bestimmten Azure-Abonnements im Verlauf eines Anwendbaren Zeitraums gegen Ressourcen gestellt werden.</w:t>
      </w:r>
    </w:p>
    <w:p w14:paraId="237501E5" w14:textId="46DD444A" w:rsidR="004005AF" w:rsidRPr="00EF7CF9" w:rsidRDefault="004005AF" w:rsidP="00A62F92">
      <w:pPr>
        <w:pStyle w:val="ProductList-Body"/>
      </w:pPr>
      <w:r>
        <w:t>Die „</w:t>
      </w:r>
      <w:r>
        <w:rPr>
          <w:b/>
          <w:color w:val="00188F"/>
        </w:rPr>
        <w:t>Gesamtzahl der Anforderungen</w:t>
      </w:r>
      <w:r>
        <w:t>“ ist die Menge aller Anforderungen, einschließlich der Ratenbegrenzten Anforderungen, und aller Fehlerhaften Anforderungen, die innerhalb eines einstündigen Intervalls innerhalb eines bestimmten Azure-Abonnements im Verlauf eines Anwendbaren Zeitraums gegen Ressourcen gestellt werden.</w:t>
      </w:r>
    </w:p>
    <w:p w14:paraId="6E2B6641" w14:textId="77777777" w:rsidR="004005AF" w:rsidRPr="00EF7CF9" w:rsidRDefault="004005AF" w:rsidP="00BE6B7A">
      <w:pPr>
        <w:pStyle w:val="ProductList-Body"/>
        <w:spacing w:before="120"/>
        <w:rPr>
          <w:b/>
          <w:color w:val="00188F"/>
        </w:rPr>
      </w:pPr>
      <w:r>
        <w:rPr>
          <w:b/>
          <w:color w:val="00188F"/>
        </w:rPr>
        <w:t>Verfügbarkeits-SLA</w:t>
      </w:r>
    </w:p>
    <w:p w14:paraId="11FEC7EC" w14:textId="3B9E7C25" w:rsidR="004005AF" w:rsidRPr="00EF7CF9" w:rsidRDefault="000269C5" w:rsidP="004005AF">
      <w:pPr>
        <w:pStyle w:val="ProductList-Body"/>
        <w:ind w:left="360"/>
      </w:pPr>
      <w:r>
        <w:t>„</w:t>
      </w:r>
      <w:r w:rsidR="004005AF">
        <w:rPr>
          <w:b/>
          <w:color w:val="0072C6"/>
        </w:rPr>
        <w:t>Lesefehlerrate</w:t>
      </w:r>
      <w:r>
        <w:t>“</w:t>
      </w:r>
      <w:r w:rsidR="004005AF">
        <w:t xml:space="preserve"> ist die Gesamtzahl der Fehlerhaften Leseanforderungen geteilt durch die Gesamtzahl der Leseanforderungen für alle Ressourcen in einem bestimmten Azure-Abonnement im Verlauf eines bestimmten Ein-Stunden-Intervalls. Wenn die Summe der Leseanforderungen in einem gegebenen einstündigen Intervall null ist, beträgt die Lesefehlerrate für dieses Intervall 0 %. </w:t>
      </w:r>
    </w:p>
    <w:p w14:paraId="76486965" w14:textId="77777777" w:rsidR="004005AF" w:rsidRPr="00EF7CF9" w:rsidRDefault="004005AF" w:rsidP="004005AF">
      <w:pPr>
        <w:pStyle w:val="ProductList-Body"/>
        <w:ind w:left="360"/>
      </w:pPr>
      <w:r>
        <w:t>„</w:t>
      </w:r>
      <w:r>
        <w:rPr>
          <w:b/>
          <w:color w:val="0072C6"/>
        </w:rPr>
        <w:t>Fehlerrate</w:t>
      </w:r>
      <w:r>
        <w:t>“ ist die Gesamtzahl der Fehlerhaften Anforderungen geteilt durch die Gesamtzahl der Anforderungen in einem Azure-Abonnement während eines bestimmten Ein-Stunden-Intervalls. Wenn die Gesamtzahl der Anforderungen in einem bestimmten Ein-Stunden-Intervall null ist, liegt die Fehlerrate für dieses Intervall bei 0 %.</w:t>
      </w:r>
    </w:p>
    <w:p w14:paraId="53003E87" w14:textId="2CD5BCE3" w:rsidR="004005AF" w:rsidRPr="00EF7CF9" w:rsidRDefault="004005AF" w:rsidP="004005AF">
      <w:pPr>
        <w:pStyle w:val="ProductList-Body"/>
        <w:ind w:left="360"/>
      </w:pPr>
      <w:r>
        <w:t>Die „</w:t>
      </w:r>
      <w:r>
        <w:rPr>
          <w:b/>
          <w:color w:val="0072C6"/>
        </w:rPr>
        <w:t>Durchschnittliche Fehlerrate</w:t>
      </w:r>
      <w:r>
        <w:t xml:space="preserve">“ für einen Anwendbaren Zeitraum ist die Summe der Fehlerraten für jede Stunde im Anwendbaren Zeitraum geteilt durch die Gesamtzahl der Stunden im Anwendbaren Zeitraum. </w:t>
      </w:r>
    </w:p>
    <w:p w14:paraId="4B6B9E2E" w14:textId="3C739362" w:rsidR="004005AF" w:rsidRPr="00ED4527" w:rsidRDefault="004005AF" w:rsidP="004005AF">
      <w:pPr>
        <w:pStyle w:val="ProductList-Body"/>
        <w:ind w:left="360"/>
        <w:rPr>
          <w:rFonts w:cstheme="minorHAnsi"/>
          <w:color w:val="000000" w:themeColor="text1"/>
        </w:rPr>
      </w:pPr>
      <w:r>
        <w:t>Die „</w:t>
      </w:r>
      <w:r>
        <w:rPr>
          <w:b/>
          <w:color w:val="0072C6"/>
        </w:rPr>
        <w:t>Durchschnittliche Lesefehlerrate</w:t>
      </w:r>
      <w:r>
        <w:t>“ für einen Anwendbaren Zeitraum ist die Summe der Lesefehlerraten für jede Stunde im Anwendbaren Zeitraum geteilt durch die Gesamtzahl der Stunden im Anwendbaren Zeitraum.</w:t>
      </w:r>
    </w:p>
    <w:p w14:paraId="7AA01C14" w14:textId="0007E441" w:rsidR="004005AF" w:rsidRDefault="004005AF" w:rsidP="004005AF">
      <w:pPr>
        <w:pStyle w:val="ProductList-Body"/>
        <w:ind w:left="360"/>
      </w:pPr>
      <w:r w:rsidRPr="000269C5">
        <w:t>„</w:t>
      </w:r>
      <w:r>
        <w:rPr>
          <w:b/>
          <w:color w:val="0072C6"/>
        </w:rPr>
        <w:t>Prozentsatz der Verfügbarkeit – einzelne Region</w:t>
      </w:r>
      <w:r w:rsidRPr="000269C5">
        <w:t>“</w:t>
      </w:r>
      <w:r>
        <w:t xml:space="preserve"> für den Azure Cosmos DB-Dienst, bereitgestellt über Datenbankkonten mit Bezug auf eine einzelne Azure-Region und konfiguriert mit einer der fünf Konsistenzebenen, wird berechnet, indem von 100 % die Durchschnittliche Fehlerrate für ein bestimmtes Microsoft Azure-Abonnement in einem Anwendbaren Zeitraum abgezogen wird. </w:t>
      </w:r>
    </w:p>
    <w:p w14:paraId="6B623582" w14:textId="49CC4D1B" w:rsidR="004005AF" w:rsidRPr="00EF7CF9" w:rsidRDefault="004005AF" w:rsidP="004005AF">
      <w:pPr>
        <w:pStyle w:val="ProductList-Body"/>
        <w:ind w:left="360"/>
      </w:pPr>
      <w:r>
        <w:t>Der Prozentsatz der Verfügbarkeit errechnet sich nach folgender Formel:</w:t>
      </w:r>
    </w:p>
    <w:p w14:paraId="31AB9B03" w14:textId="77777777" w:rsidR="004005AF" w:rsidRPr="00EF7CF9" w:rsidRDefault="004005AF" w:rsidP="004005AF">
      <w:pPr>
        <w:pStyle w:val="ProductList-Body"/>
      </w:pPr>
    </w:p>
    <w:p w14:paraId="1F669364" w14:textId="0667DDF9" w:rsidR="004005AF" w:rsidRPr="00EF7CF9" w:rsidRDefault="008E31A8" w:rsidP="004005AF">
      <w:pPr>
        <w:pStyle w:val="ListParagraph"/>
        <w:rPr>
          <w:rFonts w:ascii="Cambria Math" w:hAnsi="Cambria Math" w:cs="Tahoma"/>
          <w:i/>
          <w:sz w:val="12"/>
          <w:szCs w:val="12"/>
        </w:rPr>
      </w:pPr>
      <m:oMathPara>
        <m:oMath>
          <m:r>
            <m:rPr>
              <m:nor/>
            </m:rPr>
            <w:rPr>
              <w:rFonts w:ascii="Cambria Math" w:hAnsi="Cambria Math" w:cs="Tahoma"/>
              <w:i/>
              <w:sz w:val="18"/>
              <w:szCs w:val="18"/>
            </w:rPr>
            <m:t>100 % abzüglich Durchschnittliche Fehlerrate</m:t>
          </m:r>
        </m:oMath>
      </m:oMathPara>
    </w:p>
    <w:p w14:paraId="3D3119E0" w14:textId="77777777" w:rsidR="004005AF" w:rsidRPr="00ED75EB" w:rsidRDefault="004005AF" w:rsidP="004005AF">
      <w:pPr>
        <w:pStyle w:val="ProductList-Body"/>
        <w:keepNext/>
        <w:ind w:left="360"/>
        <w:rPr>
          <w:b/>
          <w:color w:val="0072C6"/>
        </w:rPr>
      </w:pPr>
      <w:r>
        <w:rPr>
          <w:b/>
          <w:color w:val="0072C6"/>
        </w:rPr>
        <w:t>Servicegutschrift für Bereitgestellte Durchsatzressourcen</w:t>
      </w:r>
      <w:r w:rsidRPr="00ED75EB">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5CF675F0" w14:textId="77777777" w:rsidTr="000F31B4">
        <w:trPr>
          <w:tblHeader/>
        </w:trPr>
        <w:tc>
          <w:tcPr>
            <w:tcW w:w="5220" w:type="dxa"/>
            <w:shd w:val="clear" w:color="auto" w:fill="0072C6"/>
          </w:tcPr>
          <w:p w14:paraId="1FBA8935" w14:textId="3DB6E731" w:rsidR="004005AF" w:rsidRPr="00EF7CF9" w:rsidRDefault="004005AF" w:rsidP="000F31B4">
            <w:pPr>
              <w:pStyle w:val="ProductList-OfferingBody"/>
              <w:jc w:val="center"/>
              <w:rPr>
                <w:color w:val="FFFFFF" w:themeColor="background1"/>
              </w:rPr>
            </w:pPr>
            <w:r>
              <w:rPr>
                <w:color w:val="FFFFFF" w:themeColor="background1"/>
              </w:rPr>
              <w:t>Prozentsatz der Verfügbarkeit</w:t>
            </w:r>
          </w:p>
        </w:tc>
        <w:tc>
          <w:tcPr>
            <w:tcW w:w="5220" w:type="dxa"/>
            <w:shd w:val="clear" w:color="auto" w:fill="0072C6"/>
          </w:tcPr>
          <w:p w14:paraId="522E8022" w14:textId="77777777" w:rsidR="004005AF" w:rsidRPr="00EF7CF9" w:rsidRDefault="004005AF" w:rsidP="000F31B4">
            <w:pPr>
              <w:pStyle w:val="ProductList-OfferingBody"/>
              <w:jc w:val="center"/>
              <w:rPr>
                <w:color w:val="FFFFFF" w:themeColor="background1"/>
              </w:rPr>
            </w:pPr>
            <w:r>
              <w:rPr>
                <w:color w:val="FFFFFF" w:themeColor="background1"/>
              </w:rPr>
              <w:t>Servicegutschrift</w:t>
            </w:r>
          </w:p>
        </w:tc>
      </w:tr>
      <w:tr w:rsidR="004005AF" w:rsidRPr="00B44CF9" w14:paraId="3F7E68C5" w14:textId="77777777" w:rsidTr="000F31B4">
        <w:tc>
          <w:tcPr>
            <w:tcW w:w="5220" w:type="dxa"/>
          </w:tcPr>
          <w:p w14:paraId="76174D01" w14:textId="77777777" w:rsidR="004005AF" w:rsidRPr="00EF7CF9" w:rsidRDefault="004005AF" w:rsidP="000F31B4">
            <w:pPr>
              <w:pStyle w:val="ProductList-OfferingBody"/>
              <w:jc w:val="center"/>
            </w:pPr>
            <w:r>
              <w:t>&lt; 99,99 %</w:t>
            </w:r>
          </w:p>
        </w:tc>
        <w:tc>
          <w:tcPr>
            <w:tcW w:w="5220" w:type="dxa"/>
          </w:tcPr>
          <w:p w14:paraId="76F210E0" w14:textId="77777777" w:rsidR="004005AF" w:rsidRPr="00EF7CF9" w:rsidRDefault="004005AF" w:rsidP="000F31B4">
            <w:pPr>
              <w:pStyle w:val="ProductList-OfferingBody"/>
              <w:jc w:val="center"/>
            </w:pPr>
            <w:r>
              <w:t>10 %</w:t>
            </w:r>
          </w:p>
        </w:tc>
      </w:tr>
      <w:tr w:rsidR="004005AF" w:rsidRPr="00B44CF9" w14:paraId="57C140FF" w14:textId="77777777" w:rsidTr="000F31B4">
        <w:tc>
          <w:tcPr>
            <w:tcW w:w="5220" w:type="dxa"/>
          </w:tcPr>
          <w:p w14:paraId="6F863018" w14:textId="77777777" w:rsidR="004005AF" w:rsidRPr="00EF7CF9" w:rsidRDefault="004005AF" w:rsidP="000F31B4">
            <w:pPr>
              <w:pStyle w:val="ProductList-OfferingBody"/>
              <w:jc w:val="center"/>
            </w:pPr>
            <w:r>
              <w:t>&lt; 99 %</w:t>
            </w:r>
          </w:p>
        </w:tc>
        <w:tc>
          <w:tcPr>
            <w:tcW w:w="5220" w:type="dxa"/>
          </w:tcPr>
          <w:p w14:paraId="09F00374" w14:textId="77777777" w:rsidR="004005AF" w:rsidRPr="00EF7CF9" w:rsidRDefault="004005AF" w:rsidP="000F31B4">
            <w:pPr>
              <w:pStyle w:val="ProductList-OfferingBody"/>
              <w:jc w:val="center"/>
            </w:pPr>
            <w:r>
              <w:t>25 %</w:t>
            </w:r>
          </w:p>
        </w:tc>
      </w:tr>
    </w:tbl>
    <w:p w14:paraId="1C678F12" w14:textId="460A3B35" w:rsidR="004005AF" w:rsidRDefault="004005AF" w:rsidP="00670B21">
      <w:pPr>
        <w:pStyle w:val="ProductList-Body"/>
        <w:spacing w:before="120"/>
        <w:ind w:left="360"/>
        <w:rPr>
          <w:color w:val="000000" w:themeColor="text1"/>
        </w:rPr>
      </w:pPr>
      <w:r>
        <w:t xml:space="preserve">Der </w:t>
      </w:r>
      <w:r w:rsidRPr="000269C5">
        <w:t>„</w:t>
      </w:r>
      <w:r>
        <w:rPr>
          <w:b/>
          <w:bCs/>
          <w:color w:val="00188F"/>
        </w:rPr>
        <w:t>Prozentsatz der Verfügbarkeit – einzelne Region mit Verfügbarkeitszonen (ER-VZ)</w:t>
      </w:r>
      <w:r w:rsidRPr="000269C5">
        <w:t>“</w:t>
      </w:r>
      <w:r>
        <w:t xml:space="preserve"> </w:t>
      </w:r>
      <w:r>
        <w:rPr>
          <w:color w:val="000000" w:themeColor="text1"/>
        </w:rPr>
        <w:t xml:space="preserve">für den Azure Cosmos DB-Dienst, bereitgestellt über Datenbankkonten mit Bezug auf eine einzelne Azure-Region, konfiguriert mit Verfügbarkeitszonen und einer der fünf Konsistenzebenen, wird berechnet, indem von 100 % die Durchschnittliche Fehlerrate für ein bestimmtes Microsoft Azure-Abonnement in einem Anwendbaren Zeitraum abgezogen wird. </w:t>
      </w:r>
    </w:p>
    <w:p w14:paraId="4BE8750A" w14:textId="118E4410" w:rsidR="004005AF" w:rsidRPr="00ED4527" w:rsidRDefault="004005AF" w:rsidP="004005AF">
      <w:pPr>
        <w:pStyle w:val="ProductList-Body"/>
        <w:ind w:left="360"/>
        <w:rPr>
          <w:color w:val="000000" w:themeColor="text1"/>
        </w:rPr>
      </w:pPr>
      <w:r>
        <w:rPr>
          <w:color w:val="000000" w:themeColor="text1"/>
        </w:rPr>
        <w:t>Der Prozentsatz der Verfügbarkeit errechnet sich nach folgender Formel:</w:t>
      </w:r>
    </w:p>
    <w:p w14:paraId="2FDECFC2" w14:textId="77777777" w:rsidR="004005AF" w:rsidRPr="00EF7CF9" w:rsidRDefault="004005AF" w:rsidP="004005AF">
      <w:pPr>
        <w:pStyle w:val="ProductList-Body"/>
      </w:pPr>
    </w:p>
    <w:p w14:paraId="11D51820" w14:textId="5BF47C46" w:rsidR="004005AF" w:rsidRPr="00EF7CF9" w:rsidRDefault="008E31A8" w:rsidP="004005AF">
      <w:pPr>
        <w:pStyle w:val="ListParagraph"/>
        <w:rPr>
          <w:rFonts w:ascii="Cambria Math" w:hAnsi="Cambria Math" w:cs="Tahoma"/>
          <w:i/>
          <w:sz w:val="12"/>
          <w:szCs w:val="12"/>
        </w:rPr>
      </w:pPr>
      <m:oMathPara>
        <m:oMath>
          <m:r>
            <m:rPr>
              <m:nor/>
            </m:rPr>
            <w:rPr>
              <w:rFonts w:ascii="Cambria Math" w:hAnsi="Cambria Math" w:cs="Tahoma"/>
              <w:i/>
              <w:sz w:val="18"/>
              <w:szCs w:val="18"/>
            </w:rPr>
            <m:t>100 % abzüglich Durchschnittliche Fehlerrate</m:t>
          </m:r>
        </m:oMath>
      </m:oMathPara>
    </w:p>
    <w:p w14:paraId="370B4484" w14:textId="77777777" w:rsidR="004005AF" w:rsidRPr="00EF7CF9" w:rsidRDefault="004005AF" w:rsidP="004005AF">
      <w:pPr>
        <w:pStyle w:val="ProductList-Body"/>
        <w:keepNext/>
        <w:ind w:left="360"/>
        <w:rPr>
          <w:color w:val="0072C6"/>
        </w:rPr>
      </w:pPr>
      <w:r>
        <w:rPr>
          <w:b/>
          <w:color w:val="0072C6"/>
        </w:rPr>
        <w:t>Servicegutschrift für Bereitgestellte Durchsatzressourcen</w:t>
      </w:r>
      <w:r w:rsidRPr="00ED75EB">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1D3BB368" w14:textId="77777777" w:rsidTr="000F31B4">
        <w:trPr>
          <w:tblHeader/>
        </w:trPr>
        <w:tc>
          <w:tcPr>
            <w:tcW w:w="5220" w:type="dxa"/>
            <w:shd w:val="clear" w:color="auto" w:fill="0072C6"/>
          </w:tcPr>
          <w:p w14:paraId="46503AF8" w14:textId="19D5CB31" w:rsidR="004005AF" w:rsidRPr="00EF7CF9" w:rsidRDefault="004005AF" w:rsidP="000F31B4">
            <w:pPr>
              <w:pStyle w:val="ProductList-OfferingBody"/>
              <w:jc w:val="center"/>
              <w:rPr>
                <w:color w:val="FFFFFF" w:themeColor="background1"/>
              </w:rPr>
            </w:pPr>
            <w:r>
              <w:rPr>
                <w:color w:val="FFFFFF" w:themeColor="background1"/>
              </w:rPr>
              <w:t>Verfügbarkeitsprozentsatz (SR-AZ)</w:t>
            </w:r>
          </w:p>
        </w:tc>
        <w:tc>
          <w:tcPr>
            <w:tcW w:w="5220" w:type="dxa"/>
            <w:shd w:val="clear" w:color="auto" w:fill="0072C6"/>
          </w:tcPr>
          <w:p w14:paraId="0EF30CB8" w14:textId="77777777" w:rsidR="004005AF" w:rsidRPr="00EF7CF9" w:rsidRDefault="004005AF" w:rsidP="000F31B4">
            <w:pPr>
              <w:pStyle w:val="ProductList-OfferingBody"/>
              <w:jc w:val="center"/>
              <w:rPr>
                <w:color w:val="FFFFFF" w:themeColor="background1"/>
              </w:rPr>
            </w:pPr>
            <w:r>
              <w:rPr>
                <w:color w:val="FFFFFF" w:themeColor="background1"/>
              </w:rPr>
              <w:t>Servicegutschrift</w:t>
            </w:r>
          </w:p>
        </w:tc>
      </w:tr>
      <w:tr w:rsidR="004005AF" w:rsidRPr="00B44CF9" w14:paraId="10B4E570" w14:textId="77777777" w:rsidTr="000F31B4">
        <w:tc>
          <w:tcPr>
            <w:tcW w:w="5220" w:type="dxa"/>
          </w:tcPr>
          <w:p w14:paraId="165E57FA" w14:textId="77777777" w:rsidR="004005AF" w:rsidRPr="00EF7CF9" w:rsidRDefault="004005AF" w:rsidP="000F31B4">
            <w:pPr>
              <w:pStyle w:val="ProductList-OfferingBody"/>
              <w:jc w:val="center"/>
            </w:pPr>
            <w:r>
              <w:t>&lt; 99,995 %</w:t>
            </w:r>
          </w:p>
        </w:tc>
        <w:tc>
          <w:tcPr>
            <w:tcW w:w="5220" w:type="dxa"/>
          </w:tcPr>
          <w:p w14:paraId="3C61D854" w14:textId="77777777" w:rsidR="004005AF" w:rsidRPr="00EF7CF9" w:rsidRDefault="004005AF" w:rsidP="000F31B4">
            <w:pPr>
              <w:pStyle w:val="ProductList-OfferingBody"/>
              <w:jc w:val="center"/>
            </w:pPr>
            <w:r>
              <w:t>10 %</w:t>
            </w:r>
          </w:p>
        </w:tc>
      </w:tr>
      <w:tr w:rsidR="004005AF" w:rsidRPr="00B44CF9" w14:paraId="459DA578" w14:textId="77777777" w:rsidTr="000F31B4">
        <w:tc>
          <w:tcPr>
            <w:tcW w:w="5220" w:type="dxa"/>
          </w:tcPr>
          <w:p w14:paraId="06D2A1C7" w14:textId="77777777" w:rsidR="004005AF" w:rsidRPr="00EF7CF9" w:rsidRDefault="004005AF" w:rsidP="000F31B4">
            <w:pPr>
              <w:pStyle w:val="ProductList-OfferingBody"/>
              <w:jc w:val="center"/>
            </w:pPr>
            <w:r>
              <w:t>&lt; 99 %</w:t>
            </w:r>
          </w:p>
        </w:tc>
        <w:tc>
          <w:tcPr>
            <w:tcW w:w="5220" w:type="dxa"/>
          </w:tcPr>
          <w:p w14:paraId="59950996" w14:textId="77777777" w:rsidR="004005AF" w:rsidRPr="00EF7CF9" w:rsidRDefault="004005AF" w:rsidP="000F31B4">
            <w:pPr>
              <w:pStyle w:val="ProductList-OfferingBody"/>
              <w:jc w:val="center"/>
            </w:pPr>
            <w:r>
              <w:t>25 %</w:t>
            </w:r>
          </w:p>
        </w:tc>
      </w:tr>
    </w:tbl>
    <w:p w14:paraId="2163FA83" w14:textId="03C4C90A" w:rsidR="004005AF" w:rsidRDefault="004005AF" w:rsidP="00670B21">
      <w:pPr>
        <w:pStyle w:val="ProductList-Body"/>
        <w:spacing w:before="120"/>
        <w:ind w:left="360"/>
      </w:pPr>
      <w:r>
        <w:t xml:space="preserve">Der </w:t>
      </w:r>
      <w:r w:rsidRPr="000269C5">
        <w:t>„</w:t>
      </w:r>
      <w:r>
        <w:rPr>
          <w:b/>
          <w:color w:val="0072C6"/>
        </w:rPr>
        <w:t>Prozentsatz der Leseverfügbarkeit – mehrere Regionen</w:t>
      </w:r>
      <w:r>
        <w:t>“ für den Azure Cosmos DB-Dienst, der über ein Datenbankkonto bereitgestellt wird, das so konfiguriert ist, dass es sich über zwei oder mehr</w:t>
      </w:r>
      <w:r>
        <w:rPr>
          <w:rFonts w:ascii="Segoe UI" w:hAnsi="Segoe UI"/>
          <w:color w:val="505050"/>
          <w:szCs w:val="18"/>
        </w:rPr>
        <w:t xml:space="preserve"> </w:t>
      </w:r>
      <w:r>
        <w:t xml:space="preserve">Regionen erstreckt, wird berechnet, indem von 100 % die Durchschnittliche Lesefehlerrate für ein bestimmtes Microsoft Azure-Abonnement in einem Anwendbaren Zeitraum abgezogen wird. </w:t>
      </w:r>
    </w:p>
    <w:p w14:paraId="138E383A" w14:textId="2F61485F" w:rsidR="004005AF" w:rsidRPr="00EF7CF9" w:rsidRDefault="004005AF" w:rsidP="004005AF">
      <w:pPr>
        <w:pStyle w:val="ProductList-Body"/>
        <w:ind w:left="360"/>
      </w:pPr>
      <w:r>
        <w:t>Der Prozentsatz der Leseverfügbarkeit errechnet sich nach folgender Formel:</w:t>
      </w:r>
    </w:p>
    <w:p w14:paraId="520FCB3B" w14:textId="77777777" w:rsidR="004005AF" w:rsidRPr="00EF7CF9" w:rsidRDefault="004005AF" w:rsidP="004005AF">
      <w:pPr>
        <w:pStyle w:val="ProductList-Body"/>
        <w:ind w:left="360"/>
      </w:pPr>
    </w:p>
    <w:p w14:paraId="42F47F2F" w14:textId="77777777" w:rsidR="004005AF" w:rsidRPr="00B44CF9" w:rsidRDefault="004005AF" w:rsidP="004005AF">
      <w:pPr>
        <w:pStyle w:val="ListParagraph"/>
        <w:jc w:val="center"/>
        <w:rPr>
          <w:rFonts w:ascii="Cambria Math" w:hAnsi="Cambria Math" w:cs="Tahoma"/>
          <w:i/>
          <w:sz w:val="18"/>
          <w:szCs w:val="18"/>
        </w:rPr>
      </w:pPr>
      <w:r>
        <w:rPr>
          <w:rFonts w:ascii="Cambria Math" w:hAnsi="Cambria Math" w:cs="Tahoma"/>
          <w:i/>
          <w:sz w:val="18"/>
          <w:szCs w:val="18"/>
        </w:rPr>
        <w:t>100 % abzüglich Durchschnittliche Lesefehlerrate</w:t>
      </w:r>
    </w:p>
    <w:p w14:paraId="38C0055E" w14:textId="77777777" w:rsidR="004005AF" w:rsidRPr="00EF7CF9" w:rsidRDefault="004005AF" w:rsidP="004005AF">
      <w:pPr>
        <w:pStyle w:val="ProductList-Body"/>
        <w:ind w:left="360"/>
        <w:rPr>
          <w:color w:val="0072C6"/>
        </w:rPr>
      </w:pPr>
      <w:r>
        <w:rPr>
          <w:b/>
          <w:color w:val="0072C6"/>
        </w:rPr>
        <w:t>Servicegutschrift für Bereitgestellte Durchsatzressourcen</w:t>
      </w:r>
      <w:r w:rsidRPr="00ED75EB">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05D78C48" w14:textId="77777777" w:rsidTr="000F31B4">
        <w:trPr>
          <w:tblHeader/>
        </w:trPr>
        <w:tc>
          <w:tcPr>
            <w:tcW w:w="5220" w:type="dxa"/>
            <w:shd w:val="clear" w:color="auto" w:fill="0072C6"/>
          </w:tcPr>
          <w:p w14:paraId="399AB214" w14:textId="42221FC8" w:rsidR="004005AF" w:rsidRPr="00EF7CF9" w:rsidRDefault="004005AF" w:rsidP="000F31B4">
            <w:pPr>
              <w:pStyle w:val="ProductList-OfferingBody"/>
              <w:jc w:val="center"/>
              <w:rPr>
                <w:color w:val="FFFFFF" w:themeColor="background1"/>
              </w:rPr>
            </w:pPr>
            <w:r>
              <w:rPr>
                <w:color w:val="FFFFFF" w:themeColor="background1"/>
              </w:rPr>
              <w:t>Prozentsatz der Leseverfügbarkeit</w:t>
            </w:r>
          </w:p>
        </w:tc>
        <w:tc>
          <w:tcPr>
            <w:tcW w:w="5220" w:type="dxa"/>
            <w:shd w:val="clear" w:color="auto" w:fill="0072C6"/>
          </w:tcPr>
          <w:p w14:paraId="7EAE7550" w14:textId="77777777" w:rsidR="004005AF" w:rsidRPr="00EF7CF9" w:rsidRDefault="004005AF" w:rsidP="000F31B4">
            <w:pPr>
              <w:pStyle w:val="ProductList-OfferingBody"/>
              <w:jc w:val="center"/>
              <w:rPr>
                <w:color w:val="FFFFFF" w:themeColor="background1"/>
              </w:rPr>
            </w:pPr>
            <w:r>
              <w:rPr>
                <w:color w:val="FFFFFF" w:themeColor="background1"/>
              </w:rPr>
              <w:t>Servicegutschrift</w:t>
            </w:r>
          </w:p>
        </w:tc>
      </w:tr>
      <w:tr w:rsidR="004005AF" w:rsidRPr="00B44CF9" w14:paraId="555F3CA0" w14:textId="77777777" w:rsidTr="000F31B4">
        <w:tc>
          <w:tcPr>
            <w:tcW w:w="5220" w:type="dxa"/>
          </w:tcPr>
          <w:p w14:paraId="392D5057" w14:textId="77777777" w:rsidR="004005AF" w:rsidRPr="00EF7CF9" w:rsidRDefault="004005AF" w:rsidP="000F31B4">
            <w:pPr>
              <w:pStyle w:val="ProductList-OfferingBody"/>
              <w:jc w:val="center"/>
            </w:pPr>
            <w:r>
              <w:t>&lt; 99,999 %</w:t>
            </w:r>
          </w:p>
        </w:tc>
        <w:tc>
          <w:tcPr>
            <w:tcW w:w="5220" w:type="dxa"/>
          </w:tcPr>
          <w:p w14:paraId="1A6FFD90" w14:textId="77777777" w:rsidR="004005AF" w:rsidRPr="00EF7CF9" w:rsidRDefault="004005AF" w:rsidP="000F31B4">
            <w:pPr>
              <w:pStyle w:val="ProductList-OfferingBody"/>
              <w:jc w:val="center"/>
            </w:pPr>
            <w:r>
              <w:t>10 %</w:t>
            </w:r>
          </w:p>
        </w:tc>
      </w:tr>
      <w:tr w:rsidR="004005AF" w:rsidRPr="00B44CF9" w14:paraId="16BE7F96" w14:textId="77777777" w:rsidTr="000F31B4">
        <w:tc>
          <w:tcPr>
            <w:tcW w:w="5220" w:type="dxa"/>
          </w:tcPr>
          <w:p w14:paraId="41A5B29F" w14:textId="77777777" w:rsidR="004005AF" w:rsidRPr="00EF7CF9" w:rsidRDefault="004005AF" w:rsidP="000F31B4">
            <w:pPr>
              <w:pStyle w:val="ProductList-OfferingBody"/>
              <w:jc w:val="center"/>
            </w:pPr>
            <w:r>
              <w:t>&lt; 99 %</w:t>
            </w:r>
          </w:p>
        </w:tc>
        <w:tc>
          <w:tcPr>
            <w:tcW w:w="5220" w:type="dxa"/>
          </w:tcPr>
          <w:p w14:paraId="0CC25834" w14:textId="77777777" w:rsidR="004005AF" w:rsidRPr="00EF7CF9" w:rsidRDefault="004005AF" w:rsidP="000F31B4">
            <w:pPr>
              <w:pStyle w:val="ProductList-OfferingBody"/>
              <w:jc w:val="center"/>
            </w:pPr>
            <w:r>
              <w:t>25 %</w:t>
            </w:r>
          </w:p>
        </w:tc>
      </w:tr>
    </w:tbl>
    <w:p w14:paraId="16EE59B5" w14:textId="3C1CF0A1" w:rsidR="004005AF" w:rsidRDefault="004005AF" w:rsidP="00670B21">
      <w:pPr>
        <w:pStyle w:val="ProductList-Body"/>
        <w:spacing w:before="120"/>
        <w:ind w:left="360"/>
      </w:pPr>
      <w:r>
        <w:t xml:space="preserve">Der </w:t>
      </w:r>
      <w:r w:rsidRPr="000269C5">
        <w:t>„</w:t>
      </w:r>
      <w:r>
        <w:rPr>
          <w:b/>
          <w:color w:val="0072C6"/>
        </w:rPr>
        <w:t>Prozentsatz der Verfügbarkeit mehrerer Schreiborte</w:t>
      </w:r>
      <w:r>
        <w:t>“</w:t>
      </w:r>
      <w:r w:rsidRPr="00485116">
        <w:t xml:space="preserve"> </w:t>
      </w:r>
      <w:r>
        <w:t xml:space="preserve">für den Azure Cosmos DB-Dienst, der über Datenbankkonten bereitgestellt wird, die so konfiguriert sind, dass sie mehrere Azure-Regionen mit mehreren beschreibbaren Standorten umfassen, wird berechnet, indem von 100 % die Durchschnittliche Fehlerrate für ein bestimmtes Microsoft Azure-Abonnement in einem Anwendbaren Zeitraum abgezogen wird. </w:t>
      </w:r>
    </w:p>
    <w:p w14:paraId="50F42BFA" w14:textId="3D482DA0" w:rsidR="004005AF" w:rsidRDefault="004005AF" w:rsidP="004005AF">
      <w:pPr>
        <w:pStyle w:val="ProductList-Body"/>
        <w:ind w:left="360"/>
        <w:rPr>
          <w:color w:val="00188F"/>
        </w:rPr>
      </w:pPr>
      <w:r>
        <w:t>Der Prozentsatz der Verfügbarkeit errechnet sich nach folgender Formel:</w:t>
      </w:r>
    </w:p>
    <w:p w14:paraId="4247EAA4" w14:textId="77777777" w:rsidR="004005AF" w:rsidRPr="00C27DCF" w:rsidRDefault="004005AF" w:rsidP="004005AF">
      <w:pPr>
        <w:pStyle w:val="ProductList-Body"/>
        <w:ind w:left="360"/>
      </w:pPr>
    </w:p>
    <w:p w14:paraId="5C0160BB" w14:textId="150B2480" w:rsidR="004005AF" w:rsidRPr="00445EC8" w:rsidRDefault="004005AF" w:rsidP="004005AF">
      <w:pPr>
        <w:pStyle w:val="ListParagraph"/>
        <w:jc w:val="center"/>
        <w:rPr>
          <w:rFonts w:ascii="Cambria Math" w:hAnsi="Cambria Math" w:cs="Tahoma"/>
          <w:i/>
          <w:sz w:val="18"/>
          <w:szCs w:val="18"/>
        </w:rPr>
      </w:pPr>
      <w:r>
        <w:rPr>
          <w:rFonts w:ascii="Cambria Math" w:hAnsi="Cambria Math" w:cs="Tahoma"/>
          <w:i/>
          <w:sz w:val="18"/>
          <w:szCs w:val="18"/>
        </w:rPr>
        <w:t>Betriebszeit % = 100 % abzüglich durchschnittliche Fehlerrate</w:t>
      </w:r>
    </w:p>
    <w:p w14:paraId="3BE8C6E4" w14:textId="761804B1" w:rsidR="004005AF" w:rsidRPr="00EF7CF9" w:rsidRDefault="004005AF" w:rsidP="004005AF">
      <w:pPr>
        <w:pStyle w:val="ProductList-Body"/>
        <w:ind w:left="360"/>
        <w:rPr>
          <w:color w:val="0072C6"/>
        </w:rPr>
      </w:pPr>
      <w:r>
        <w:rPr>
          <w:b/>
          <w:color w:val="0072C6"/>
        </w:rPr>
        <w:t>Servicegutschrift für Bereitgestellte Durchsatzressourcen</w:t>
      </w:r>
      <w:r w:rsidRPr="00ED75EB">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690F6DBA" w14:textId="77777777" w:rsidTr="000F31B4">
        <w:trPr>
          <w:tblHeader/>
        </w:trPr>
        <w:tc>
          <w:tcPr>
            <w:tcW w:w="5220" w:type="dxa"/>
            <w:shd w:val="clear" w:color="auto" w:fill="0072C6"/>
          </w:tcPr>
          <w:p w14:paraId="6C22F450" w14:textId="67840004" w:rsidR="004005AF" w:rsidRPr="00EF7CF9" w:rsidRDefault="004005AF" w:rsidP="000F31B4">
            <w:pPr>
              <w:pStyle w:val="ProductList-OfferingBody"/>
              <w:jc w:val="center"/>
              <w:rPr>
                <w:color w:val="FFFFFF" w:themeColor="background1"/>
              </w:rPr>
            </w:pPr>
            <w:r>
              <w:rPr>
                <w:color w:val="FFFFFF" w:themeColor="background1"/>
              </w:rPr>
              <w:t>Prozentsatz der Verfügbarkeit mehrerer Schreiborte</w:t>
            </w:r>
          </w:p>
        </w:tc>
        <w:tc>
          <w:tcPr>
            <w:tcW w:w="5220" w:type="dxa"/>
            <w:shd w:val="clear" w:color="auto" w:fill="0072C6"/>
          </w:tcPr>
          <w:p w14:paraId="140398F3" w14:textId="77777777" w:rsidR="004005AF" w:rsidRPr="00EF7CF9" w:rsidRDefault="004005AF" w:rsidP="000F31B4">
            <w:pPr>
              <w:pStyle w:val="ProductList-OfferingBody"/>
              <w:jc w:val="center"/>
              <w:rPr>
                <w:color w:val="FFFFFF" w:themeColor="background1"/>
              </w:rPr>
            </w:pPr>
            <w:r>
              <w:rPr>
                <w:color w:val="FFFFFF" w:themeColor="background1"/>
              </w:rPr>
              <w:t>Servicegutschrift</w:t>
            </w:r>
          </w:p>
        </w:tc>
      </w:tr>
      <w:tr w:rsidR="004005AF" w:rsidRPr="00B44CF9" w14:paraId="37EFF141" w14:textId="77777777" w:rsidTr="000F31B4">
        <w:tc>
          <w:tcPr>
            <w:tcW w:w="5220" w:type="dxa"/>
          </w:tcPr>
          <w:p w14:paraId="0FF17567" w14:textId="77777777" w:rsidR="004005AF" w:rsidRPr="00EF7CF9" w:rsidRDefault="004005AF" w:rsidP="000F31B4">
            <w:pPr>
              <w:pStyle w:val="ProductList-OfferingBody"/>
              <w:jc w:val="center"/>
            </w:pPr>
            <w:r>
              <w:t>&lt; 99,999 %</w:t>
            </w:r>
          </w:p>
        </w:tc>
        <w:tc>
          <w:tcPr>
            <w:tcW w:w="5220" w:type="dxa"/>
          </w:tcPr>
          <w:p w14:paraId="3D31BB6C" w14:textId="77777777" w:rsidR="004005AF" w:rsidRPr="00EF7CF9" w:rsidRDefault="004005AF" w:rsidP="000F31B4">
            <w:pPr>
              <w:pStyle w:val="ProductList-OfferingBody"/>
              <w:jc w:val="center"/>
            </w:pPr>
            <w:r>
              <w:t>10 %</w:t>
            </w:r>
          </w:p>
        </w:tc>
      </w:tr>
      <w:tr w:rsidR="004005AF" w:rsidRPr="00B44CF9" w14:paraId="17346986" w14:textId="77777777" w:rsidTr="000F31B4">
        <w:tc>
          <w:tcPr>
            <w:tcW w:w="5220" w:type="dxa"/>
          </w:tcPr>
          <w:p w14:paraId="0B072E59" w14:textId="77777777" w:rsidR="004005AF" w:rsidRPr="00EF7CF9" w:rsidRDefault="004005AF" w:rsidP="000F31B4">
            <w:pPr>
              <w:pStyle w:val="ProductList-OfferingBody"/>
              <w:jc w:val="center"/>
            </w:pPr>
            <w:r>
              <w:t>&lt; 99 %</w:t>
            </w:r>
          </w:p>
        </w:tc>
        <w:tc>
          <w:tcPr>
            <w:tcW w:w="5220" w:type="dxa"/>
          </w:tcPr>
          <w:p w14:paraId="2D89B6BE" w14:textId="77777777" w:rsidR="004005AF" w:rsidRPr="00EF7CF9" w:rsidRDefault="004005AF" w:rsidP="000F31B4">
            <w:pPr>
              <w:pStyle w:val="ProductList-OfferingBody"/>
              <w:jc w:val="center"/>
            </w:pPr>
            <w:r>
              <w:t>25 %</w:t>
            </w:r>
          </w:p>
        </w:tc>
      </w:tr>
    </w:tbl>
    <w:p w14:paraId="368915AF" w14:textId="77777777" w:rsidR="004005AF" w:rsidRPr="00EF7CF9" w:rsidRDefault="004005AF" w:rsidP="00CE21F6">
      <w:pPr>
        <w:pStyle w:val="ProductList-Body"/>
        <w:tabs>
          <w:tab w:val="clear" w:pos="360"/>
        </w:tabs>
        <w:spacing w:before="120"/>
        <w:rPr>
          <w:b/>
          <w:color w:val="00188F"/>
        </w:rPr>
      </w:pPr>
      <w:r>
        <w:rPr>
          <w:b/>
          <w:color w:val="00188F"/>
        </w:rPr>
        <w:t>Durchsatz-SLA</w:t>
      </w:r>
    </w:p>
    <w:p w14:paraId="4411A7D3" w14:textId="67135697" w:rsidR="004005AF" w:rsidRPr="00EF7CF9" w:rsidRDefault="004005AF" w:rsidP="004005AF">
      <w:pPr>
        <w:pStyle w:val="ProductList-Body"/>
        <w:ind w:left="360"/>
      </w:pPr>
      <w:r>
        <w:t>„</w:t>
      </w:r>
      <w:r>
        <w:rPr>
          <w:b/>
          <w:color w:val="0072C6"/>
        </w:rPr>
        <w:t>Durchsatz fehlerhafter Anforderungen</w:t>
      </w:r>
      <w:r>
        <w:t>“ sind Ratenbegrenzte Anforderungen, was zu einem Fehlercode führt, bevor die verbrauchten AEs die</w:t>
      </w:r>
      <w:r w:rsidR="00FB0A1F">
        <w:t> </w:t>
      </w:r>
      <w:r>
        <w:t>bereitgestellten AEs für eine Partition im Container für eine bestimmte Sekunde überschritten haben.</w:t>
      </w:r>
    </w:p>
    <w:p w14:paraId="74602DE7" w14:textId="77777777" w:rsidR="004005AF" w:rsidRPr="00EF7CF9" w:rsidRDefault="004005AF" w:rsidP="004005AF">
      <w:pPr>
        <w:pStyle w:val="ProductList-Body"/>
        <w:ind w:left="360"/>
      </w:pPr>
      <w:r>
        <w:t>„</w:t>
      </w:r>
      <w:r>
        <w:rPr>
          <w:b/>
          <w:color w:val="0072C6"/>
        </w:rPr>
        <w:t>Fehlerrate</w:t>
      </w:r>
      <w:r>
        <w:t>“ ist die Gesamtzahl der Fehlerhaften Durchsatzanforderungen geteilt durch die Anforderungen über alle Ressourcen in einem bestimmten Azure-Abonnement im Verlauf eines bestimmten Ein-Stunden-Intervalls. Wenn die Gesamtzahl der Anforderungen in einem bestimmten Ein-Stunden-Intervall null ist, liegt die Fehlerrate für dieses Intervall bei 0 %.</w:t>
      </w:r>
    </w:p>
    <w:p w14:paraId="28CDF879" w14:textId="5F78713E" w:rsidR="004005AF" w:rsidRPr="00EF7CF9" w:rsidRDefault="004005AF" w:rsidP="004005AF">
      <w:pPr>
        <w:pStyle w:val="ProductList-Body"/>
        <w:ind w:left="360"/>
      </w:pPr>
      <w:r>
        <w:t>Die „</w:t>
      </w:r>
      <w:r>
        <w:rPr>
          <w:b/>
          <w:color w:val="0072C6"/>
        </w:rPr>
        <w:t>Durchschnittliche Fehlerrate</w:t>
      </w:r>
      <w:r>
        <w:t>“ für einen Anwendbaren Zeitraum ist die Summe der Fehlerraten für jede Stunde im Anwendbaren Zeitraum geteilt durch die Gesamtzahl der Stunden im Anwendbaren Zeitraum.</w:t>
      </w:r>
    </w:p>
    <w:p w14:paraId="00C1EFAF" w14:textId="6F4FC25B" w:rsidR="004005AF" w:rsidRDefault="004005AF" w:rsidP="004005AF">
      <w:pPr>
        <w:pStyle w:val="ProductList-Body"/>
        <w:ind w:left="360"/>
      </w:pPr>
      <w:r>
        <w:t>Der „</w:t>
      </w:r>
      <w:r>
        <w:rPr>
          <w:b/>
          <w:color w:val="0072C6"/>
        </w:rPr>
        <w:t>Prozentsatz des Durchsatzes</w:t>
      </w:r>
      <w:r>
        <w:t>“ für den Azure Cosmos</w:t>
      </w:r>
      <w:r>
        <w:rPr>
          <w:rStyle w:val="ProductList-BodyChar"/>
        </w:rPr>
        <w:t xml:space="preserve"> DB</w:t>
      </w:r>
      <w:r>
        <w:t xml:space="preserve">-Dienst wird berechnet, indem von 100 % die Durchschnittliche Fehlerrate für ein bestimmtes Microsoft Azure-Abonnement in einem Anwendbaren Zeitraum abgezogen wird. </w:t>
      </w:r>
    </w:p>
    <w:p w14:paraId="2B14C91E" w14:textId="61E0049C" w:rsidR="004005AF" w:rsidRPr="00EF7CF9" w:rsidRDefault="004005AF" w:rsidP="004005AF">
      <w:pPr>
        <w:pStyle w:val="ProductList-Body"/>
        <w:ind w:left="360"/>
      </w:pPr>
      <w:r>
        <w:t>Der Prozentsatz des Durchsatzes errechnet sich nach folgender Formel:</w:t>
      </w:r>
    </w:p>
    <w:p w14:paraId="577454BF" w14:textId="77777777" w:rsidR="004005AF" w:rsidRPr="00B32E8E" w:rsidRDefault="004005AF" w:rsidP="004005AF">
      <w:pPr>
        <w:pStyle w:val="ProductList-Body"/>
        <w:ind w:left="360"/>
      </w:pPr>
    </w:p>
    <w:p w14:paraId="24E4085B" w14:textId="37A44ED4" w:rsidR="004005AF" w:rsidRPr="00EF7CF9" w:rsidRDefault="008E31A8" w:rsidP="008E31A8">
      <w:pPr>
        <w:pStyle w:val="ProductList-Body"/>
        <w:spacing w:after="120"/>
        <w:rPr>
          <w:rFonts w:ascii="Cambria Math" w:hAnsi="Cambria Math" w:cs="Tahoma"/>
          <w:i/>
          <w:sz w:val="12"/>
          <w:szCs w:val="12"/>
        </w:rPr>
      </w:pPr>
      <m:oMathPara>
        <m:oMath>
          <m:r>
            <m:rPr>
              <m:nor/>
            </m:rPr>
            <w:rPr>
              <w:rFonts w:ascii="Cambria Math" w:hAnsi="Cambria Math" w:cs="Tahoma"/>
              <w:i/>
              <w:szCs w:val="18"/>
            </w:rPr>
            <m:t>100 % abzüglich Durchschnittliche Fehlerrate</m:t>
          </m:r>
        </m:oMath>
      </m:oMathPara>
    </w:p>
    <w:p w14:paraId="5B214880" w14:textId="77777777" w:rsidR="004005AF" w:rsidRPr="00EF7CF9" w:rsidRDefault="004005AF" w:rsidP="004005AF">
      <w:pPr>
        <w:pStyle w:val="ProductList-Body"/>
        <w:keepNext/>
        <w:ind w:left="360"/>
        <w:rPr>
          <w:color w:val="0072C6"/>
        </w:rPr>
      </w:pPr>
      <w:r>
        <w:rPr>
          <w:b/>
          <w:color w:val="0072C6"/>
        </w:rPr>
        <w:lastRenderedPageBreak/>
        <w:t>Servicegutschrift für Bereitgestellte Durchsatzressourcen</w:t>
      </w:r>
      <w:r w:rsidRPr="00ED75EB">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443F273E" w14:textId="77777777" w:rsidTr="000F31B4">
        <w:trPr>
          <w:tblHeader/>
        </w:trPr>
        <w:tc>
          <w:tcPr>
            <w:tcW w:w="5220" w:type="dxa"/>
            <w:shd w:val="clear" w:color="auto" w:fill="0072C6"/>
          </w:tcPr>
          <w:p w14:paraId="26E72E3E" w14:textId="6A1DAFB5" w:rsidR="004005AF" w:rsidRPr="00EF7CF9" w:rsidRDefault="004005AF" w:rsidP="000F31B4">
            <w:pPr>
              <w:pStyle w:val="ProductList-OfferingBody"/>
              <w:jc w:val="center"/>
              <w:rPr>
                <w:color w:val="FFFFFF" w:themeColor="background1"/>
              </w:rPr>
            </w:pPr>
            <w:r>
              <w:rPr>
                <w:color w:val="FFFFFF" w:themeColor="background1"/>
              </w:rPr>
              <w:t>Prozentsatz des Durchsatzes</w:t>
            </w:r>
          </w:p>
        </w:tc>
        <w:tc>
          <w:tcPr>
            <w:tcW w:w="5220" w:type="dxa"/>
            <w:shd w:val="clear" w:color="auto" w:fill="0072C6"/>
          </w:tcPr>
          <w:p w14:paraId="0DE5CEE7" w14:textId="77777777" w:rsidR="004005AF" w:rsidRPr="00EF7CF9" w:rsidRDefault="004005AF" w:rsidP="000F31B4">
            <w:pPr>
              <w:pStyle w:val="ProductList-OfferingBody"/>
              <w:jc w:val="center"/>
              <w:rPr>
                <w:color w:val="FFFFFF" w:themeColor="background1"/>
              </w:rPr>
            </w:pPr>
            <w:r>
              <w:rPr>
                <w:color w:val="FFFFFF" w:themeColor="background1"/>
              </w:rPr>
              <w:t>Servicegutschrift</w:t>
            </w:r>
          </w:p>
        </w:tc>
      </w:tr>
      <w:tr w:rsidR="004005AF" w:rsidRPr="00B44CF9" w14:paraId="2FD6482B" w14:textId="77777777" w:rsidTr="000F31B4">
        <w:tc>
          <w:tcPr>
            <w:tcW w:w="5220" w:type="dxa"/>
          </w:tcPr>
          <w:p w14:paraId="45D15F9F" w14:textId="77777777" w:rsidR="004005AF" w:rsidRPr="00EF7CF9" w:rsidRDefault="004005AF" w:rsidP="000F31B4">
            <w:pPr>
              <w:pStyle w:val="ProductList-OfferingBody"/>
              <w:jc w:val="center"/>
            </w:pPr>
            <w:r>
              <w:t>&lt; 99,99 %</w:t>
            </w:r>
          </w:p>
        </w:tc>
        <w:tc>
          <w:tcPr>
            <w:tcW w:w="5220" w:type="dxa"/>
          </w:tcPr>
          <w:p w14:paraId="0C4E3866" w14:textId="77777777" w:rsidR="004005AF" w:rsidRPr="00EF7CF9" w:rsidRDefault="004005AF" w:rsidP="000F31B4">
            <w:pPr>
              <w:pStyle w:val="ProductList-OfferingBody"/>
              <w:jc w:val="center"/>
            </w:pPr>
            <w:r>
              <w:t>10 %</w:t>
            </w:r>
          </w:p>
        </w:tc>
      </w:tr>
      <w:tr w:rsidR="004005AF" w:rsidRPr="00B44CF9" w14:paraId="234F70CD" w14:textId="77777777" w:rsidTr="000F31B4">
        <w:tc>
          <w:tcPr>
            <w:tcW w:w="5220" w:type="dxa"/>
          </w:tcPr>
          <w:p w14:paraId="4A9B6C6B" w14:textId="77777777" w:rsidR="004005AF" w:rsidRPr="00EF7CF9" w:rsidRDefault="004005AF" w:rsidP="000F31B4">
            <w:pPr>
              <w:pStyle w:val="ProductList-OfferingBody"/>
              <w:jc w:val="center"/>
            </w:pPr>
            <w:r>
              <w:t>&lt; 99 %</w:t>
            </w:r>
          </w:p>
        </w:tc>
        <w:tc>
          <w:tcPr>
            <w:tcW w:w="5220" w:type="dxa"/>
          </w:tcPr>
          <w:p w14:paraId="479B13B2" w14:textId="77777777" w:rsidR="004005AF" w:rsidRPr="00EF7CF9" w:rsidRDefault="004005AF" w:rsidP="000F31B4">
            <w:pPr>
              <w:pStyle w:val="ProductList-OfferingBody"/>
              <w:jc w:val="center"/>
            </w:pPr>
            <w:r>
              <w:t>25 %</w:t>
            </w:r>
          </w:p>
        </w:tc>
      </w:tr>
    </w:tbl>
    <w:p w14:paraId="5F62F759" w14:textId="77777777" w:rsidR="004005AF" w:rsidRPr="00EF7CF9" w:rsidRDefault="004005AF" w:rsidP="00CE21F6">
      <w:pPr>
        <w:pStyle w:val="ProductList-Body"/>
        <w:tabs>
          <w:tab w:val="clear" w:pos="360"/>
        </w:tabs>
        <w:spacing w:before="120"/>
        <w:rPr>
          <w:b/>
          <w:color w:val="00188F"/>
        </w:rPr>
      </w:pPr>
      <w:r>
        <w:rPr>
          <w:b/>
          <w:color w:val="00188F"/>
        </w:rPr>
        <w:t>Konsistenz-SLA</w:t>
      </w:r>
    </w:p>
    <w:p w14:paraId="72B7F00A" w14:textId="77777777" w:rsidR="004005AF" w:rsidRPr="00EF7CF9" w:rsidRDefault="004005AF" w:rsidP="004005AF">
      <w:pPr>
        <w:pStyle w:val="ProductList-Body"/>
        <w:ind w:left="360"/>
      </w:pPr>
      <w:r>
        <w:t>„</w:t>
      </w:r>
      <w:r>
        <w:rPr>
          <w:b/>
          <w:color w:val="0072C6"/>
        </w:rPr>
        <w:t>K</w:t>
      </w:r>
      <w:r>
        <w:t>“ ist die Anzahl von Versionen eines bestimmten Datenelements, bei denen die Lesezugriffe hinter den Schreibzugriffen zurückbleiben.</w:t>
      </w:r>
    </w:p>
    <w:p w14:paraId="1580A041" w14:textId="77777777" w:rsidR="004005AF" w:rsidRPr="00EF7CF9" w:rsidRDefault="004005AF" w:rsidP="004005AF">
      <w:pPr>
        <w:pStyle w:val="ProductList-Body"/>
        <w:ind w:left="360"/>
      </w:pPr>
      <w:r>
        <w:t>„</w:t>
      </w:r>
      <w:r>
        <w:rPr>
          <w:b/>
          <w:color w:val="0072C6"/>
        </w:rPr>
        <w:t>T</w:t>
      </w:r>
      <w:r>
        <w:t>“ ist ein bestimmtes Zeitintervall.</w:t>
      </w:r>
    </w:p>
    <w:p w14:paraId="02909165" w14:textId="77777777" w:rsidR="004005AF" w:rsidRPr="00EF7CF9" w:rsidRDefault="004005AF" w:rsidP="004005AF">
      <w:pPr>
        <w:pStyle w:val="ProductList-Body"/>
        <w:ind w:left="360"/>
      </w:pPr>
      <w:r>
        <w:t>„</w:t>
      </w:r>
      <w:r>
        <w:rPr>
          <w:b/>
          <w:color w:val="0072C6"/>
        </w:rPr>
        <w:t>Konsistenzebene</w:t>
      </w:r>
      <w:r>
        <w:t>“ ist die Einstellung für eine bestimmte Leseanforderung, durch die Konsistenz unterstützt und garantiert wird. In der folgenden Tabelle werden die mit den Konsistenzebenen zusammenhängenden Garantien erfasst. Hinweis: Sitzung, Begrenzte Veralterung, Präfixkonsistenz und eventuelle Konsistenzebenen werden alle als „gelockert“ eingestuft.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0B8060DE" w14:textId="77777777" w:rsidTr="000F31B4">
        <w:trPr>
          <w:tblHeader/>
        </w:trPr>
        <w:tc>
          <w:tcPr>
            <w:tcW w:w="5220" w:type="dxa"/>
            <w:shd w:val="clear" w:color="auto" w:fill="0072C6"/>
          </w:tcPr>
          <w:p w14:paraId="7F267082" w14:textId="77777777" w:rsidR="004005AF" w:rsidRPr="00EF7CF9" w:rsidRDefault="004005AF" w:rsidP="000F31B4">
            <w:pPr>
              <w:pStyle w:val="ProductList-OfferingBody"/>
              <w:rPr>
                <w:color w:val="FFFFFF" w:themeColor="background1"/>
              </w:rPr>
            </w:pPr>
            <w:r>
              <w:rPr>
                <w:color w:val="FFFFFF" w:themeColor="background1"/>
              </w:rPr>
              <w:t>Konsistenzebene</w:t>
            </w:r>
          </w:p>
        </w:tc>
        <w:tc>
          <w:tcPr>
            <w:tcW w:w="5220" w:type="dxa"/>
            <w:shd w:val="clear" w:color="auto" w:fill="0072C6"/>
          </w:tcPr>
          <w:p w14:paraId="00B71A80" w14:textId="77777777" w:rsidR="004005AF" w:rsidRPr="00EF7CF9" w:rsidRDefault="004005AF" w:rsidP="000F31B4">
            <w:pPr>
              <w:pStyle w:val="ProductList-OfferingBody"/>
              <w:rPr>
                <w:color w:val="FFFFFF" w:themeColor="background1"/>
              </w:rPr>
            </w:pPr>
            <w:r>
              <w:rPr>
                <w:color w:val="FFFFFF" w:themeColor="background1"/>
              </w:rPr>
              <w:t>Konsistenzgarantien</w:t>
            </w:r>
          </w:p>
        </w:tc>
      </w:tr>
      <w:tr w:rsidR="004005AF" w:rsidRPr="00B44CF9" w14:paraId="79574E8B" w14:textId="77777777" w:rsidTr="000F31B4">
        <w:tc>
          <w:tcPr>
            <w:tcW w:w="5220" w:type="dxa"/>
          </w:tcPr>
          <w:p w14:paraId="5710D940" w14:textId="77777777" w:rsidR="004005AF" w:rsidRPr="00EF7CF9" w:rsidRDefault="004005AF" w:rsidP="000215DD">
            <w:pPr>
              <w:pStyle w:val="ProductList-OfferingBody"/>
            </w:pPr>
            <w:r>
              <w:t>Stark</w:t>
            </w:r>
          </w:p>
        </w:tc>
        <w:tc>
          <w:tcPr>
            <w:tcW w:w="5220" w:type="dxa"/>
          </w:tcPr>
          <w:p w14:paraId="3C6B3EDC" w14:textId="77777777" w:rsidR="004005AF" w:rsidRPr="00EF7CF9" w:rsidRDefault="004005AF" w:rsidP="000215DD">
            <w:pPr>
              <w:pStyle w:val="ProductList-OfferingBody"/>
            </w:pPr>
            <w:r>
              <w:t>Linearisierbarkeit</w:t>
            </w:r>
          </w:p>
        </w:tc>
      </w:tr>
      <w:tr w:rsidR="004005AF" w:rsidRPr="00B44CF9" w14:paraId="3B5F933E" w14:textId="77777777" w:rsidTr="000F31B4">
        <w:tc>
          <w:tcPr>
            <w:tcW w:w="5220" w:type="dxa"/>
          </w:tcPr>
          <w:p w14:paraId="256D156C" w14:textId="77777777" w:rsidR="004005AF" w:rsidRPr="00EF7CF9" w:rsidRDefault="004005AF" w:rsidP="000215DD">
            <w:pPr>
              <w:pStyle w:val="ProductList-OfferingBody"/>
            </w:pPr>
            <w:r>
              <w:t>Sitzung</w:t>
            </w:r>
          </w:p>
        </w:tc>
        <w:tc>
          <w:tcPr>
            <w:tcW w:w="5220" w:type="dxa"/>
          </w:tcPr>
          <w:p w14:paraId="64DB8B80" w14:textId="77777777" w:rsidR="004005AF" w:rsidRPr="00EF7CF9" w:rsidRDefault="004005AF" w:rsidP="000215DD">
            <w:pPr>
              <w:pStyle w:val="ProductList-OfferingBody"/>
              <w:rPr>
                <w:rFonts w:ascii="Calibri" w:eastAsia="Times New Roman" w:hAnsi="Calibri"/>
              </w:rPr>
            </w:pPr>
            <w:r>
              <w:rPr>
                <w:rFonts w:ascii="Calibri" w:eastAsia="Times New Roman" w:hAnsi="Calibri"/>
              </w:rPr>
              <w:t>Lesen der eigenen Schreibvorgänge (in der Region des Schreibvorgangs)</w:t>
            </w:r>
          </w:p>
          <w:p w14:paraId="5583A157" w14:textId="77777777" w:rsidR="004005AF" w:rsidRPr="00EF7CF9" w:rsidRDefault="004005AF" w:rsidP="000215DD">
            <w:pPr>
              <w:pStyle w:val="ProductList-Body"/>
              <w:spacing w:before="20" w:after="20"/>
              <w:rPr>
                <w:sz w:val="16"/>
                <w:szCs w:val="16"/>
              </w:rPr>
            </w:pPr>
            <w:r>
              <w:rPr>
                <w:sz w:val="16"/>
                <w:szCs w:val="16"/>
              </w:rPr>
              <w:t>Monotoner Lesevorgang</w:t>
            </w:r>
          </w:p>
          <w:p w14:paraId="35D15967" w14:textId="77777777" w:rsidR="004005AF" w:rsidRPr="00EF7CF9" w:rsidRDefault="004005AF" w:rsidP="000215DD">
            <w:pPr>
              <w:pStyle w:val="ProductList-Body"/>
              <w:spacing w:before="20" w:after="20"/>
            </w:pPr>
            <w:r>
              <w:rPr>
                <w:sz w:val="16"/>
                <w:szCs w:val="16"/>
              </w:rPr>
              <w:t>Einheitliches Präfix</w:t>
            </w:r>
          </w:p>
        </w:tc>
      </w:tr>
      <w:tr w:rsidR="004005AF" w:rsidRPr="00B44CF9" w14:paraId="4C1EC5FC" w14:textId="77777777" w:rsidTr="000F31B4">
        <w:tc>
          <w:tcPr>
            <w:tcW w:w="5220" w:type="dxa"/>
          </w:tcPr>
          <w:p w14:paraId="5CA08EA8" w14:textId="77777777" w:rsidR="004005AF" w:rsidRPr="00EF7CF9" w:rsidRDefault="004005AF" w:rsidP="000215DD">
            <w:pPr>
              <w:pStyle w:val="ProductList-OfferingBody"/>
            </w:pPr>
            <w:r>
              <w:t>Begrenzte Veraltung</w:t>
            </w:r>
          </w:p>
        </w:tc>
        <w:tc>
          <w:tcPr>
            <w:tcW w:w="5220" w:type="dxa"/>
          </w:tcPr>
          <w:p w14:paraId="168DBAC5" w14:textId="77777777" w:rsidR="004005AF" w:rsidRPr="00EF7CF9" w:rsidRDefault="004005AF" w:rsidP="000215DD">
            <w:pPr>
              <w:pStyle w:val="ProductList-OfferingBody"/>
              <w:rPr>
                <w:rFonts w:ascii="Calibri" w:eastAsia="Times New Roman" w:hAnsi="Calibri"/>
              </w:rPr>
            </w:pPr>
            <w:r>
              <w:rPr>
                <w:rFonts w:ascii="Calibri" w:eastAsia="Times New Roman" w:hAnsi="Calibri"/>
              </w:rPr>
              <w:t>Lesen der eigenen Schreibvorgänge (in der Region des Schreibvorgangs)</w:t>
            </w:r>
          </w:p>
          <w:p w14:paraId="5642D515" w14:textId="77777777" w:rsidR="004005AF" w:rsidRPr="00EF7CF9" w:rsidRDefault="004005AF" w:rsidP="000215DD">
            <w:pPr>
              <w:pStyle w:val="ProductList-Body"/>
              <w:spacing w:before="20" w:after="20"/>
              <w:rPr>
                <w:sz w:val="16"/>
                <w:szCs w:val="16"/>
              </w:rPr>
            </w:pPr>
            <w:r>
              <w:rPr>
                <w:sz w:val="16"/>
                <w:szCs w:val="16"/>
              </w:rPr>
              <w:t>Monotoner Lesevorgang (in einer Region)</w:t>
            </w:r>
          </w:p>
          <w:p w14:paraId="5CF56556" w14:textId="77777777" w:rsidR="004005AF" w:rsidRPr="00EF7CF9" w:rsidRDefault="004005AF" w:rsidP="000215DD">
            <w:pPr>
              <w:pStyle w:val="ProductList-OfferingBody"/>
              <w:rPr>
                <w:szCs w:val="16"/>
              </w:rPr>
            </w:pPr>
            <w:r>
              <w:rPr>
                <w:szCs w:val="16"/>
              </w:rPr>
              <w:t>Einheitliches Präfix</w:t>
            </w:r>
          </w:p>
          <w:p w14:paraId="4D3D84DC" w14:textId="77777777" w:rsidR="004005AF" w:rsidRPr="00EF7CF9" w:rsidRDefault="004005AF" w:rsidP="000215DD">
            <w:pPr>
              <w:pStyle w:val="ProductList-Body"/>
              <w:spacing w:before="20" w:after="20"/>
              <w:rPr>
                <w:sz w:val="16"/>
                <w:szCs w:val="16"/>
              </w:rPr>
            </w:pPr>
            <w:r>
              <w:rPr>
                <w:sz w:val="16"/>
                <w:szCs w:val="16"/>
              </w:rPr>
              <w:t>Begrenzte Veraltung &lt; K,T</w:t>
            </w:r>
          </w:p>
        </w:tc>
      </w:tr>
      <w:tr w:rsidR="004005AF" w:rsidRPr="00B44CF9" w14:paraId="0AE56105" w14:textId="77777777" w:rsidTr="000F31B4">
        <w:tc>
          <w:tcPr>
            <w:tcW w:w="5220" w:type="dxa"/>
          </w:tcPr>
          <w:p w14:paraId="539E3B1F" w14:textId="77777777" w:rsidR="004005AF" w:rsidRPr="00EF7CF9" w:rsidRDefault="004005AF" w:rsidP="000215DD">
            <w:pPr>
              <w:pStyle w:val="ProductList-OfferingBody"/>
            </w:pPr>
            <w:r>
              <w:t>Einheitliches Präfix</w:t>
            </w:r>
          </w:p>
        </w:tc>
        <w:tc>
          <w:tcPr>
            <w:tcW w:w="5220" w:type="dxa"/>
          </w:tcPr>
          <w:p w14:paraId="784F07A6" w14:textId="77777777" w:rsidR="004005AF" w:rsidRPr="00EF7CF9" w:rsidRDefault="004005AF" w:rsidP="000215DD">
            <w:pPr>
              <w:pStyle w:val="ProductList-OfferingBody"/>
              <w:rPr>
                <w:rFonts w:ascii="Calibri" w:eastAsia="Times New Roman" w:hAnsi="Calibri"/>
              </w:rPr>
            </w:pPr>
            <w:r>
              <w:rPr>
                <w:rFonts w:ascii="Calibri" w:eastAsia="Times New Roman" w:hAnsi="Calibri"/>
              </w:rPr>
              <w:t>Einheitliches Präfix</w:t>
            </w:r>
          </w:p>
        </w:tc>
      </w:tr>
      <w:tr w:rsidR="004005AF" w:rsidRPr="00B44CF9" w14:paraId="1D5672A5" w14:textId="77777777" w:rsidTr="000F31B4">
        <w:tc>
          <w:tcPr>
            <w:tcW w:w="5220" w:type="dxa"/>
          </w:tcPr>
          <w:p w14:paraId="1CC7BE15" w14:textId="77777777" w:rsidR="004005AF" w:rsidRPr="00EF7CF9" w:rsidRDefault="004005AF" w:rsidP="000215DD">
            <w:pPr>
              <w:pStyle w:val="ProductList-OfferingBody"/>
            </w:pPr>
            <w:r>
              <w:t>Letztlich</w:t>
            </w:r>
          </w:p>
        </w:tc>
        <w:tc>
          <w:tcPr>
            <w:tcW w:w="5220" w:type="dxa"/>
          </w:tcPr>
          <w:p w14:paraId="35D3E71F" w14:textId="77777777" w:rsidR="004005AF" w:rsidRPr="00EF7CF9" w:rsidRDefault="004005AF" w:rsidP="000215DD">
            <w:pPr>
              <w:pStyle w:val="ProductList-OfferingBody"/>
            </w:pPr>
            <w:r>
              <w:t>Letztlich</w:t>
            </w:r>
          </w:p>
        </w:tc>
      </w:tr>
    </w:tbl>
    <w:p w14:paraId="71C434D2" w14:textId="77777777" w:rsidR="004005AF" w:rsidRPr="00EF7CF9" w:rsidRDefault="004005AF" w:rsidP="00CE21F6">
      <w:pPr>
        <w:pStyle w:val="ProductList-Body"/>
        <w:spacing w:before="120"/>
        <w:ind w:left="360"/>
      </w:pPr>
      <w:r>
        <w:t>„</w:t>
      </w:r>
      <w:r>
        <w:rPr>
          <w:b/>
          <w:color w:val="0072C6"/>
        </w:rPr>
        <w:t>Konsistenzverletzungsrate</w:t>
      </w:r>
      <w:r>
        <w:t>“ ist die Anzahl der Erfolgreichen Anforderungen, die bei Einhaltung der für die gewählte Konsistenzebene festgelegten Konsistenzgarantien nicht zugestellt werden konnten, geteilt durch die Gesamtzahl der Anforderungen über alle Ressourcen in einem bestimmten Azure-Abonnement im Verlauf eines bestimmten Ein-Stunden-Intervalls. Wenn die Gesamtzahl der Anforderungen in einem bestimmten einstündigen Intervall null ist, ist die Konsistenzverletzungsrate für dieses Intervall 0 %.</w:t>
      </w:r>
    </w:p>
    <w:p w14:paraId="0F2B553A" w14:textId="381CE6FB" w:rsidR="004005AF" w:rsidRPr="00EF7CF9" w:rsidRDefault="004005AF" w:rsidP="00CE21F6">
      <w:pPr>
        <w:pStyle w:val="ProductList-Body"/>
        <w:ind w:left="360"/>
      </w:pPr>
      <w:r>
        <w:t>Die „</w:t>
      </w:r>
      <w:r>
        <w:rPr>
          <w:b/>
          <w:color w:val="0072C6"/>
        </w:rPr>
        <w:t>Durchschnittliche Konsistenzverletzungsrate</w:t>
      </w:r>
      <w:r>
        <w:t>“ für einen Anwendbaren Zeitraum ist die Summe der Konsistenzverletzungsraten für jede Stunde im Anwendbaren Zeitraum geteilt durch die Gesamtzahl der Stunden im Abrechnungsmonat.</w:t>
      </w:r>
    </w:p>
    <w:p w14:paraId="0C714C25" w14:textId="77B3F28C" w:rsidR="004005AF" w:rsidRPr="00EF7CF9" w:rsidRDefault="004005AF" w:rsidP="00CE21F6">
      <w:pPr>
        <w:pStyle w:val="ProductList-Body"/>
        <w:ind w:left="360"/>
      </w:pPr>
      <w:r>
        <w:t>Der „</w:t>
      </w:r>
      <w:r>
        <w:rPr>
          <w:b/>
          <w:color w:val="0072C6"/>
        </w:rPr>
        <w:t>Prozentsatz der Konsistenzerreichung</w:t>
      </w:r>
      <w:r>
        <w:t>“ für den Azure Cosmos</w:t>
      </w:r>
      <w:r>
        <w:rPr>
          <w:rStyle w:val="ProductList-BodyChar"/>
        </w:rPr>
        <w:t xml:space="preserve"> DB</w:t>
      </w:r>
      <w:r>
        <w:t xml:space="preserve">-Dienst wird berechnet, indem von 100 % die Durchschnittliche Konsistenzverletzungsrate für ein bestimmtes Microsoft Azure-Abonnement in einem Anwendbaren Zeitraum abgezogen wird. </w:t>
      </w:r>
    </w:p>
    <w:p w14:paraId="7182D226" w14:textId="65DE85A8" w:rsidR="004005AF" w:rsidRDefault="004005AF" w:rsidP="00CE21F6">
      <w:pPr>
        <w:pStyle w:val="ProductList-Body"/>
        <w:ind w:left="360"/>
      </w:pPr>
      <w:r>
        <w:rPr>
          <w:b/>
          <w:color w:val="0072C6"/>
        </w:rPr>
        <w:t>Prozentsatz der Konsistenz</w:t>
      </w:r>
      <w:r w:rsidRPr="0008262F">
        <w:rPr>
          <w:b/>
          <w:color w:val="0072C6"/>
        </w:rPr>
        <w:t>:</w:t>
      </w:r>
      <w:r>
        <w:t xml:space="preserve"> Für den Azure Cosmos</w:t>
      </w:r>
      <w:r>
        <w:rPr>
          <w:rStyle w:val="ProductList-BodyChar"/>
        </w:rPr>
        <w:t xml:space="preserve"> DB</w:t>
      </w:r>
      <w:r>
        <w:t xml:space="preserve">-Dienst wird von 100 % die Durchschnittliche Konsistenzverletzungsrate für ein bestimmtes Microsoft Azure-Abonnement in einem Anwendbaren Zeitraum abgezogen. </w:t>
      </w:r>
    </w:p>
    <w:p w14:paraId="42C4EA2D" w14:textId="24BA79AA" w:rsidR="004005AF" w:rsidRPr="00EF7CF9" w:rsidRDefault="004005AF" w:rsidP="00CE21F6">
      <w:pPr>
        <w:pStyle w:val="ProductList-Body"/>
        <w:ind w:left="360"/>
      </w:pPr>
      <w:r>
        <w:t>Der Prozentsatz der Konsistenz errechnet sich nach folgender Formel:</w:t>
      </w:r>
    </w:p>
    <w:p w14:paraId="3A965256" w14:textId="2122F393" w:rsidR="004005AF" w:rsidRPr="00364EEB" w:rsidRDefault="008E31A8" w:rsidP="00260D4B">
      <w:pPr>
        <w:pStyle w:val="ListParagraph"/>
        <w:spacing w:before="120" w:after="120" w:line="240" w:lineRule="auto"/>
        <w:contextualSpacing w:val="0"/>
        <w:rPr>
          <w:rFonts w:ascii="Cambria Math" w:hAnsi="Cambria Math" w:cs="Tahoma"/>
          <w:i/>
          <w:sz w:val="12"/>
          <w:szCs w:val="12"/>
          <w:lang w:val="en-US"/>
        </w:rPr>
      </w:pPr>
      <m:oMathPara>
        <m:oMath>
          <m:r>
            <m:rPr>
              <m:nor/>
            </m:rPr>
            <w:rPr>
              <w:rFonts w:ascii="Cambria Math" w:hAnsi="Cambria Math" w:cs="Tahoma"/>
              <w:i/>
              <w:sz w:val="18"/>
              <w:szCs w:val="18"/>
              <w:lang w:val="en-US"/>
            </w:rPr>
            <m:t>100 % abzüglich Durchschnittliche Konsistenzverletzungsrate</m:t>
          </m:r>
        </m:oMath>
      </m:oMathPara>
    </w:p>
    <w:p w14:paraId="33E19146" w14:textId="77777777" w:rsidR="004005AF" w:rsidRPr="00364EEB" w:rsidRDefault="004005AF" w:rsidP="004005AF">
      <w:pPr>
        <w:pStyle w:val="ProductList-Body"/>
        <w:keepNext/>
        <w:ind w:left="360"/>
        <w:rPr>
          <w:color w:val="0072C6"/>
          <w:lang w:val="en-US"/>
        </w:rPr>
      </w:pPr>
      <w:r w:rsidRPr="00364EEB">
        <w:rPr>
          <w:b/>
          <w:color w:val="0072C6"/>
          <w:lang w:val="en-US"/>
        </w:rPr>
        <w:t>Servicegutschrift</w:t>
      </w:r>
      <w:r w:rsidRPr="0008262F">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1DF6E2AA" w14:textId="77777777" w:rsidTr="000F31B4">
        <w:trPr>
          <w:tblHeader/>
        </w:trPr>
        <w:tc>
          <w:tcPr>
            <w:tcW w:w="5220" w:type="dxa"/>
            <w:shd w:val="clear" w:color="auto" w:fill="0072C6"/>
          </w:tcPr>
          <w:p w14:paraId="6F8EF0B6" w14:textId="77777777" w:rsidR="004005AF" w:rsidRPr="00EF7CF9" w:rsidRDefault="004005AF" w:rsidP="000F31B4">
            <w:pPr>
              <w:pStyle w:val="ProductList-OfferingBody"/>
              <w:jc w:val="center"/>
              <w:rPr>
                <w:color w:val="FFFFFF" w:themeColor="background1"/>
              </w:rPr>
            </w:pPr>
            <w:r>
              <w:rPr>
                <w:color w:val="FFFFFF" w:themeColor="background1"/>
              </w:rPr>
              <w:t>Prozentsatz der monatlichen Konsistenzerreichung:</w:t>
            </w:r>
          </w:p>
        </w:tc>
        <w:tc>
          <w:tcPr>
            <w:tcW w:w="5220" w:type="dxa"/>
            <w:shd w:val="clear" w:color="auto" w:fill="0072C6"/>
          </w:tcPr>
          <w:p w14:paraId="59B55E7E" w14:textId="77777777" w:rsidR="004005AF" w:rsidRPr="00EF7CF9" w:rsidRDefault="004005AF" w:rsidP="000F31B4">
            <w:pPr>
              <w:pStyle w:val="ProductList-OfferingBody"/>
              <w:jc w:val="center"/>
              <w:rPr>
                <w:color w:val="FFFFFF" w:themeColor="background1"/>
              </w:rPr>
            </w:pPr>
            <w:r>
              <w:rPr>
                <w:color w:val="FFFFFF" w:themeColor="background1"/>
              </w:rPr>
              <w:t>Servicegutschrift</w:t>
            </w:r>
          </w:p>
        </w:tc>
      </w:tr>
      <w:tr w:rsidR="004005AF" w:rsidRPr="00B44CF9" w14:paraId="4AD5AE81" w14:textId="77777777" w:rsidTr="000F31B4">
        <w:tc>
          <w:tcPr>
            <w:tcW w:w="5220" w:type="dxa"/>
          </w:tcPr>
          <w:p w14:paraId="236253E6" w14:textId="77777777" w:rsidR="004005AF" w:rsidRPr="00EF7CF9" w:rsidRDefault="004005AF" w:rsidP="000F31B4">
            <w:pPr>
              <w:pStyle w:val="ProductList-OfferingBody"/>
              <w:jc w:val="center"/>
            </w:pPr>
            <w:r>
              <w:t>&lt; 99.99 %</w:t>
            </w:r>
          </w:p>
        </w:tc>
        <w:tc>
          <w:tcPr>
            <w:tcW w:w="5220" w:type="dxa"/>
          </w:tcPr>
          <w:p w14:paraId="0E39649E" w14:textId="77777777" w:rsidR="004005AF" w:rsidRPr="00EF7CF9" w:rsidRDefault="004005AF" w:rsidP="000F31B4">
            <w:pPr>
              <w:pStyle w:val="ProductList-OfferingBody"/>
              <w:jc w:val="center"/>
            </w:pPr>
            <w:r>
              <w:t>10 %</w:t>
            </w:r>
          </w:p>
        </w:tc>
      </w:tr>
      <w:tr w:rsidR="004005AF" w:rsidRPr="00B44CF9" w14:paraId="3DF222BE" w14:textId="77777777" w:rsidTr="000F31B4">
        <w:tc>
          <w:tcPr>
            <w:tcW w:w="5220" w:type="dxa"/>
          </w:tcPr>
          <w:p w14:paraId="0294720B" w14:textId="77777777" w:rsidR="004005AF" w:rsidRPr="00EF7CF9" w:rsidRDefault="004005AF" w:rsidP="000F31B4">
            <w:pPr>
              <w:pStyle w:val="ProductList-OfferingBody"/>
              <w:jc w:val="center"/>
            </w:pPr>
            <w:r>
              <w:t>&lt; 99 %</w:t>
            </w:r>
          </w:p>
        </w:tc>
        <w:tc>
          <w:tcPr>
            <w:tcW w:w="5220" w:type="dxa"/>
          </w:tcPr>
          <w:p w14:paraId="13E7C80C" w14:textId="77777777" w:rsidR="004005AF" w:rsidRPr="00EF7CF9" w:rsidRDefault="004005AF" w:rsidP="000F31B4">
            <w:pPr>
              <w:pStyle w:val="ProductList-OfferingBody"/>
              <w:jc w:val="center"/>
            </w:pPr>
            <w:r>
              <w:t>25 %</w:t>
            </w:r>
          </w:p>
        </w:tc>
      </w:tr>
    </w:tbl>
    <w:p w14:paraId="5FC729A1" w14:textId="77777777" w:rsidR="004005AF" w:rsidRPr="00EF7CF9" w:rsidRDefault="004005AF" w:rsidP="00CE21F6">
      <w:pPr>
        <w:pStyle w:val="ProductList-Body"/>
        <w:tabs>
          <w:tab w:val="clear" w:pos="360"/>
        </w:tabs>
        <w:spacing w:before="120"/>
        <w:rPr>
          <w:b/>
          <w:color w:val="00188F"/>
        </w:rPr>
      </w:pPr>
      <w:r>
        <w:rPr>
          <w:b/>
          <w:color w:val="00188F"/>
        </w:rPr>
        <w:t>Latenz-SLA</w:t>
      </w:r>
    </w:p>
    <w:p w14:paraId="7694E16C" w14:textId="6B8355DA" w:rsidR="004005AF" w:rsidRPr="00EF7CF9" w:rsidRDefault="004005AF" w:rsidP="004005AF">
      <w:pPr>
        <w:pStyle w:val="ProductList-Body"/>
        <w:ind w:left="360"/>
      </w:pPr>
      <w:r w:rsidRPr="00620CAD">
        <w:t>„</w:t>
      </w:r>
      <w:r>
        <w:rPr>
          <w:b/>
          <w:color w:val="0072C6"/>
        </w:rPr>
        <w:t>Anwendung</w:t>
      </w:r>
      <w:r w:rsidRPr="00620CAD">
        <w:t>“</w:t>
      </w:r>
      <w:r>
        <w:t xml:space="preserve"> ist eine Azure Cosmos</w:t>
      </w:r>
      <w:r>
        <w:rPr>
          <w:rStyle w:val="ProductList-BodyChar"/>
        </w:rPr>
        <w:t xml:space="preserve"> DB</w:t>
      </w:r>
      <w:r>
        <w:t>-Anwendung in einer lokalen Azure-Region mit beschleunigter Vernetzung unter Verwendung des Azure Cosmos</w:t>
      </w:r>
      <w:r>
        <w:rPr>
          <w:rStyle w:val="ProductList-BodyChar"/>
        </w:rPr>
        <w:t xml:space="preserve"> DB</w:t>
      </w:r>
      <w:r>
        <w:t xml:space="preserve"> Client SDK (Software Development Kit) mit direkter TCP-Konnektivität für ein bestimmtes Microsoft Azure-Abonnement in</w:t>
      </w:r>
      <w:r w:rsidR="002D706F">
        <w:t> </w:t>
      </w:r>
      <w:r>
        <w:t>einem Anwendbaren Zeitraum.</w:t>
      </w:r>
    </w:p>
    <w:p w14:paraId="4898E791" w14:textId="77777777" w:rsidR="004005AF" w:rsidRDefault="004005AF" w:rsidP="004005AF">
      <w:pPr>
        <w:pStyle w:val="ProductList-Body"/>
        <w:ind w:left="360"/>
      </w:pPr>
      <w:r w:rsidRPr="00620CAD">
        <w:t>„</w:t>
      </w:r>
      <w:r>
        <w:rPr>
          <w:b/>
          <w:color w:val="0072C6"/>
        </w:rPr>
        <w:t>N</w:t>
      </w:r>
      <w:r w:rsidRPr="00620CAD">
        <w:t>“</w:t>
      </w:r>
      <w:r>
        <w:t xml:space="preserve"> ist die Anzahl von Erfolgreichen Anforderungen für eine bestimmte Anwendung, die entweder Lese- oder Schreiboperationen von Datenelementen mit einer Nutzlastgröße von weniger als oder gleich 1 KB in einer bestimmten Stunde durchführt.</w:t>
      </w:r>
    </w:p>
    <w:p w14:paraId="2CF87EEB" w14:textId="77777777" w:rsidR="004005AF" w:rsidRPr="00EF7CF9" w:rsidRDefault="004005AF" w:rsidP="004005AF">
      <w:pPr>
        <w:pStyle w:val="ProductList-Body"/>
        <w:ind w:left="360"/>
      </w:pPr>
      <w:r w:rsidRPr="00620CAD">
        <w:t>„</w:t>
      </w:r>
      <w:r>
        <w:rPr>
          <w:b/>
          <w:color w:val="0072C6"/>
        </w:rPr>
        <w:t>S</w:t>
      </w:r>
      <w:r w:rsidRPr="00620CAD">
        <w:t>“</w:t>
      </w:r>
      <w:r>
        <w:t xml:space="preserve"> ist die wartezeitsortierte Zusammenstellung von Antwortzeiten für erfolgreiche Anfragen in aufsteigender Reihenfolge für eine bestimmte Anwendung, die Lese- oder Schreiboperationen von Datenelementen mit einer Nutzlastgröße von weniger als oder gleich 1 KB in einer bestimmten Stunde durchführt.</w:t>
      </w:r>
    </w:p>
    <w:p w14:paraId="5429BDA9" w14:textId="77777777" w:rsidR="004005AF" w:rsidRDefault="004005AF" w:rsidP="00A64DF1">
      <w:pPr>
        <w:pStyle w:val="ListParagraph"/>
        <w:keepNext/>
        <w:keepLines/>
        <w:spacing w:after="0" w:line="240" w:lineRule="auto"/>
        <w:ind w:left="360"/>
        <w:rPr>
          <w:sz w:val="18"/>
        </w:rPr>
      </w:pPr>
      <w:r w:rsidRPr="00620CAD">
        <w:rPr>
          <w:sz w:val="18"/>
        </w:rPr>
        <w:t>„</w:t>
      </w:r>
      <w:r>
        <w:rPr>
          <w:rStyle w:val="ProductList-BodyChar"/>
          <w:b/>
          <w:color w:val="0072C6"/>
        </w:rPr>
        <w:t>Ordnungsrang</w:t>
      </w:r>
      <w:r w:rsidRPr="00620CAD">
        <w:rPr>
          <w:sz w:val="18"/>
        </w:rPr>
        <w:t xml:space="preserve">“ </w:t>
      </w:r>
      <w:r>
        <w:rPr>
          <w:rStyle w:val="ProductList-BodyChar"/>
        </w:rPr>
        <w:t>ist das 99. Perzentil unter Verwendung der nächstgelegenen Rangmethode, dargestellt durch die folgende Formel</w:t>
      </w:r>
      <w:r>
        <w:rPr>
          <w:sz w:val="18"/>
          <w:szCs w:val="18"/>
        </w:rPr>
        <w:t>:</w:t>
      </w:r>
    </w:p>
    <w:p w14:paraId="605DD063" w14:textId="77777777" w:rsidR="004005AF" w:rsidRPr="00B32E8E" w:rsidRDefault="004005AF" w:rsidP="004005AF">
      <w:pPr>
        <w:pStyle w:val="ListParagraph"/>
        <w:spacing w:after="0" w:line="240" w:lineRule="auto"/>
        <w:ind w:left="360"/>
        <w:rPr>
          <w:rFonts w:eastAsiaTheme="minorEastAsia"/>
          <w:sz w:val="18"/>
        </w:rPr>
      </w:pPr>
    </w:p>
    <w:p w14:paraId="0A10578F" w14:textId="5AF2E2FC" w:rsidR="004005AF" w:rsidRPr="00EF7CF9" w:rsidRDefault="008E31A8" w:rsidP="004005AF">
      <w:pPr>
        <w:pStyle w:val="ListParagraph"/>
        <w:ind w:left="360"/>
        <w:rPr>
          <w:rFonts w:ascii="Cambria Math" w:hAnsi="Cambria Math" w:cs="Tahoma"/>
          <w:i/>
          <w:sz w:val="12"/>
          <w:szCs w:val="12"/>
        </w:rPr>
      </w:pPr>
      <m:oMathPara>
        <m:oMath>
          <m:r>
            <w:rPr>
              <w:rFonts w:ascii="Cambria Math" w:hAnsi="Cambria Math" w:cs="Tahoma"/>
              <w:sz w:val="18"/>
              <w:szCs w:val="18"/>
            </w:rPr>
            <m:t xml:space="preserve">Ordinaler Rang= </m:t>
          </m:r>
          <m:f>
            <m:fPr>
              <m:ctrlPr>
                <w:rPr>
                  <w:rFonts w:ascii="Cambria Math" w:hAnsi="Cambria Math" w:cs="Tahoma"/>
                  <w:i/>
                  <w:sz w:val="18"/>
                  <w:szCs w:val="18"/>
                </w:rPr>
              </m:ctrlPr>
            </m:fPr>
            <m:num>
              <m:r>
                <w:rPr>
                  <w:rFonts w:ascii="Cambria Math" w:hAnsi="Cambria Math" w:cs="Tahoma"/>
                  <w:sz w:val="18"/>
                  <w:szCs w:val="18"/>
                </w:rPr>
                <m:t>99</m:t>
              </m:r>
            </m:num>
            <m:den>
              <m:r>
                <m:rPr>
                  <m:nor/>
                </m:rPr>
                <w:rPr>
                  <w:rFonts w:ascii="Cambria Math" w:hAnsi="Cambria Math" w:cs="Tahoma"/>
                  <w:i/>
                  <w:sz w:val="18"/>
                  <w:szCs w:val="18"/>
                </w:rPr>
                <m:t>100</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N</m:t>
          </m:r>
        </m:oMath>
      </m:oMathPara>
    </w:p>
    <w:p w14:paraId="2FFBCA83" w14:textId="77777777" w:rsidR="004005AF" w:rsidRPr="00EF7CF9" w:rsidRDefault="004005AF" w:rsidP="004005AF">
      <w:pPr>
        <w:pStyle w:val="ProductList-Body"/>
        <w:ind w:left="360"/>
      </w:pPr>
      <w:r w:rsidRPr="00620CAD">
        <w:t>„</w:t>
      </w:r>
      <w:r>
        <w:rPr>
          <w:b/>
          <w:color w:val="0072C6"/>
        </w:rPr>
        <w:t>P99-Wartezeit</w:t>
      </w:r>
      <w:r w:rsidRPr="00620CAD">
        <w:t>“</w:t>
      </w:r>
      <w:r>
        <w:t xml:space="preserve"> ist der Wert im Ordnungsrang von S.</w:t>
      </w:r>
    </w:p>
    <w:p w14:paraId="6994DAF4" w14:textId="77777777" w:rsidR="004005AF" w:rsidRPr="00EF7CF9" w:rsidRDefault="004005AF" w:rsidP="004005AF">
      <w:pPr>
        <w:pStyle w:val="ProductList-Body"/>
        <w:ind w:left="360"/>
      </w:pPr>
      <w:r w:rsidRPr="00620CAD">
        <w:t>„</w:t>
      </w:r>
      <w:r>
        <w:rPr>
          <w:b/>
          <w:color w:val="0072C6"/>
        </w:rPr>
        <w:t>Übermäßige Verzögerungsstunden</w:t>
      </w:r>
      <w:r w:rsidRPr="00620CAD">
        <w:t>“</w:t>
      </w:r>
      <w:r>
        <w:t xml:space="preserve"> ist die Gesamtzahl der einstündigen Intervalle, in denen Erfolgreiche Anforderungen, die von einer Anwendung eingereicht wurden, zu einer P99-Wartezeit von mehr als oder gleich 10 ms für das Lesen von Datenelementen oder 10 ms für das </w:t>
      </w:r>
      <w:r>
        <w:lastRenderedPageBreak/>
        <w:t>Schreiben von Datenelementen führten. Wenn die Anzahl von Erfolgreichen Anforderungen in einem gegebenen Stundenintervall = null ist, ist die Anzahl von überschüssigen Latenzstunden für dieses Intervall = 0.</w:t>
      </w:r>
    </w:p>
    <w:p w14:paraId="0EA0BAE7" w14:textId="168C3040" w:rsidR="004005AF" w:rsidRPr="00EF7CF9" w:rsidRDefault="004005AF" w:rsidP="004005AF">
      <w:pPr>
        <w:pStyle w:val="ProductList-Body"/>
        <w:ind w:left="360"/>
      </w:pPr>
      <w:r>
        <w:t>Die „</w:t>
      </w:r>
      <w:r>
        <w:rPr>
          <w:b/>
          <w:color w:val="0072C6"/>
        </w:rPr>
        <w:t>Durchschnittliche Übermäßige Latenzrate</w:t>
      </w:r>
      <w:r>
        <w:t>“ für einen Anwendbaren Zeitraum der Rechnungsstellung ist die Summe der Überschüssigen Latenzstunden, geteilt durch die Gesamtzahl der Stunden in diesem Anwendbaren Zeitraum.</w:t>
      </w:r>
    </w:p>
    <w:p w14:paraId="472EF7D9" w14:textId="481ABC93" w:rsidR="004005AF" w:rsidRPr="00620CAD" w:rsidRDefault="004005AF" w:rsidP="004005AF">
      <w:pPr>
        <w:pStyle w:val="ProductList-Body"/>
        <w:ind w:left="360"/>
        <w:rPr>
          <w:spacing w:val="-2"/>
        </w:rPr>
      </w:pPr>
      <w:r w:rsidRPr="00620CAD">
        <w:rPr>
          <w:spacing w:val="-2"/>
        </w:rPr>
        <w:t>Für den „</w:t>
      </w:r>
      <w:r w:rsidRPr="00620CAD">
        <w:rPr>
          <w:b/>
          <w:color w:val="0072C6"/>
          <w:spacing w:val="-2"/>
        </w:rPr>
        <w:t>Prozentsatz der Erzielung von P99-Latenz</w:t>
      </w:r>
      <w:r w:rsidRPr="00620CAD">
        <w:rPr>
          <w:spacing w:val="-2"/>
        </w:rPr>
        <w:t xml:space="preserve">“ für eine Azure Cosmos </w:t>
      </w:r>
      <w:r w:rsidRPr="00620CAD">
        <w:rPr>
          <w:rStyle w:val="ProductList-BodyChar"/>
          <w:spacing w:val="-2"/>
        </w:rPr>
        <w:t>DB</w:t>
      </w:r>
      <w:r w:rsidRPr="00620CAD">
        <w:rPr>
          <w:spacing w:val="-2"/>
        </w:rPr>
        <w:t xml:space="preserve">-Anwendung, die über Datenbankkonten bereitgestellt wird, die einer einzigen Azure-Region zugeordnet sind, die mit einem der fünf Konsistenzebenen oder mehrere Regionen umfassenden Datenbankkonten sowie mit einem der vier ungenauen Konsistenzebenen konfiguriert ist, erfolgt die Berechnung, indem von 100 % die Überschüssigen Latenzstunden im Durchschnitt der jeweiligen Microsoft Azure-Abonnements in einem Anwendbaren Zeitraum abgezogen wird. </w:t>
      </w:r>
    </w:p>
    <w:p w14:paraId="6FE7280E" w14:textId="44C12839" w:rsidR="004005AF" w:rsidRDefault="004005AF" w:rsidP="004005AF">
      <w:pPr>
        <w:pStyle w:val="ProductList-Body"/>
        <w:ind w:left="360"/>
      </w:pPr>
      <w:r>
        <w:t>Der Prozentsatz der Erzielung von P99-Latenz wird durch folgende Formel ermittelt:</w:t>
      </w:r>
    </w:p>
    <w:p w14:paraId="11F89454" w14:textId="1246881C" w:rsidR="004005AF" w:rsidRPr="00EF7CF9" w:rsidRDefault="008E31A8" w:rsidP="00260D4B">
      <w:pPr>
        <w:pStyle w:val="ProductList-Body"/>
        <w:spacing w:before="120" w:after="120"/>
        <w:rPr>
          <w:rFonts w:ascii="Cambria Math" w:hAnsi="Cambria Math" w:cs="Tahoma"/>
          <w:i/>
          <w:sz w:val="12"/>
          <w:szCs w:val="12"/>
        </w:rPr>
      </w:pPr>
      <m:oMathPara>
        <m:oMath>
          <m:r>
            <m:rPr>
              <m:nor/>
            </m:rPr>
            <w:rPr>
              <w:rFonts w:ascii="Cambria Math" w:hAnsi="Cambria Math" w:cs="Tahoma"/>
              <w:i/>
              <w:szCs w:val="18"/>
            </w:rPr>
            <m:t>100 % abzüglich Durchschnittliche Übermäßige Latenzrate</m:t>
          </m:r>
        </m:oMath>
      </m:oMathPara>
    </w:p>
    <w:p w14:paraId="43C502A2" w14:textId="77777777" w:rsidR="004005AF" w:rsidRPr="00EF7CF9" w:rsidRDefault="004005AF" w:rsidP="004005AF">
      <w:pPr>
        <w:pStyle w:val="ProductList-Body"/>
        <w:keepNext/>
        <w:ind w:left="360"/>
        <w:rPr>
          <w:color w:val="0072C6"/>
        </w:rPr>
      </w:pPr>
      <w:r>
        <w:rPr>
          <w:b/>
          <w:color w:val="0072C6"/>
        </w:rPr>
        <w:t>Servicegutschrift für Bereitgestellte Durchsatzressourcen</w:t>
      </w:r>
      <w:r w:rsidRPr="0008262F">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216E1670" w14:textId="77777777" w:rsidTr="000F31B4">
        <w:trPr>
          <w:tblHeader/>
        </w:trPr>
        <w:tc>
          <w:tcPr>
            <w:tcW w:w="5220" w:type="dxa"/>
            <w:shd w:val="clear" w:color="auto" w:fill="0072C6"/>
          </w:tcPr>
          <w:p w14:paraId="7802D2BF" w14:textId="4130DDDC" w:rsidR="004005AF" w:rsidRPr="00EF7CF9" w:rsidRDefault="004005AF" w:rsidP="000F31B4">
            <w:pPr>
              <w:pStyle w:val="ProductList-OfferingBody"/>
              <w:jc w:val="center"/>
              <w:rPr>
                <w:color w:val="FFFFFF" w:themeColor="background1"/>
              </w:rPr>
            </w:pPr>
            <w:r>
              <w:rPr>
                <w:color w:val="FFFFFF" w:themeColor="background1"/>
              </w:rPr>
              <w:t>Prozentsatz der Erzielung von P99-Latenz</w:t>
            </w:r>
          </w:p>
        </w:tc>
        <w:tc>
          <w:tcPr>
            <w:tcW w:w="5220" w:type="dxa"/>
            <w:shd w:val="clear" w:color="auto" w:fill="0072C6"/>
          </w:tcPr>
          <w:p w14:paraId="1F5BD7AF" w14:textId="77777777" w:rsidR="004005AF" w:rsidRPr="00EF7CF9" w:rsidRDefault="004005AF" w:rsidP="000F31B4">
            <w:pPr>
              <w:pStyle w:val="ProductList-OfferingBody"/>
              <w:jc w:val="center"/>
              <w:rPr>
                <w:color w:val="FFFFFF" w:themeColor="background1"/>
              </w:rPr>
            </w:pPr>
            <w:r>
              <w:rPr>
                <w:color w:val="FFFFFF" w:themeColor="background1"/>
              </w:rPr>
              <w:t>Servicegutschrift</w:t>
            </w:r>
          </w:p>
        </w:tc>
      </w:tr>
      <w:tr w:rsidR="004005AF" w:rsidRPr="00B44CF9" w14:paraId="2B90B2C9" w14:textId="77777777" w:rsidTr="000F31B4">
        <w:tc>
          <w:tcPr>
            <w:tcW w:w="5220" w:type="dxa"/>
          </w:tcPr>
          <w:p w14:paraId="175F9391" w14:textId="77777777" w:rsidR="004005AF" w:rsidRPr="00EF7CF9" w:rsidRDefault="004005AF" w:rsidP="000F31B4">
            <w:pPr>
              <w:pStyle w:val="ProductList-OfferingBody"/>
              <w:jc w:val="center"/>
            </w:pPr>
            <w:r>
              <w:t>&lt; 99,99 %</w:t>
            </w:r>
          </w:p>
        </w:tc>
        <w:tc>
          <w:tcPr>
            <w:tcW w:w="5220" w:type="dxa"/>
          </w:tcPr>
          <w:p w14:paraId="48ACE317" w14:textId="77777777" w:rsidR="004005AF" w:rsidRPr="00EF7CF9" w:rsidRDefault="004005AF" w:rsidP="000F31B4">
            <w:pPr>
              <w:pStyle w:val="ProductList-OfferingBody"/>
              <w:jc w:val="center"/>
            </w:pPr>
            <w:r>
              <w:t>10 %</w:t>
            </w:r>
          </w:p>
        </w:tc>
      </w:tr>
      <w:tr w:rsidR="004005AF" w:rsidRPr="00B44CF9" w14:paraId="306D7F2C" w14:textId="77777777" w:rsidTr="000F31B4">
        <w:tc>
          <w:tcPr>
            <w:tcW w:w="5220" w:type="dxa"/>
          </w:tcPr>
          <w:p w14:paraId="6927A328" w14:textId="77777777" w:rsidR="004005AF" w:rsidRPr="00EF7CF9" w:rsidRDefault="004005AF" w:rsidP="000F31B4">
            <w:pPr>
              <w:pStyle w:val="ProductList-OfferingBody"/>
              <w:jc w:val="center"/>
            </w:pPr>
            <w:r>
              <w:t>&lt; 99 %</w:t>
            </w:r>
          </w:p>
        </w:tc>
        <w:tc>
          <w:tcPr>
            <w:tcW w:w="5220" w:type="dxa"/>
          </w:tcPr>
          <w:p w14:paraId="30AB2314" w14:textId="77777777" w:rsidR="004005AF" w:rsidRPr="00EF7CF9" w:rsidRDefault="004005AF" w:rsidP="000F31B4">
            <w:pPr>
              <w:pStyle w:val="ProductList-OfferingBody"/>
              <w:jc w:val="center"/>
            </w:pPr>
            <w:r>
              <w:t>25 %</w:t>
            </w:r>
          </w:p>
        </w:tc>
      </w:tr>
    </w:tbl>
    <w:bookmarkStart w:id="259" w:name="_Toc457821546"/>
    <w:bookmarkStart w:id="260" w:name="_Toc52348948"/>
    <w:bookmarkStart w:id="261" w:name="_Toc513395510"/>
    <w:bookmarkStart w:id="262" w:name="_Toc52348927"/>
    <w:bookmarkStart w:id="263" w:name="_Hlk513540106"/>
    <w:p w14:paraId="1FE0E9FE" w14:textId="52771F93"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5772543A" w14:textId="77777777" w:rsidR="00AA02E4" w:rsidRPr="00EF7CF9" w:rsidRDefault="00AA02E4" w:rsidP="00670B21">
      <w:pPr>
        <w:pStyle w:val="ProductList-Offering2Heading"/>
        <w:keepNext/>
        <w:tabs>
          <w:tab w:val="clear" w:pos="360"/>
          <w:tab w:val="clear" w:pos="720"/>
          <w:tab w:val="clear" w:pos="1080"/>
        </w:tabs>
        <w:outlineLvl w:val="2"/>
      </w:pPr>
      <w:bookmarkStart w:id="264" w:name="_Toc195543126"/>
      <w:bookmarkStart w:id="265" w:name="_Toc237448983"/>
      <w:r>
        <w:t>Datenkatalog</w:t>
      </w:r>
      <w:bookmarkEnd w:id="259"/>
      <w:bookmarkEnd w:id="260"/>
      <w:bookmarkEnd w:id="264"/>
      <w:bookmarkEnd w:id="265"/>
    </w:p>
    <w:p w14:paraId="581628D5" w14:textId="77777777" w:rsidR="00AA02E4" w:rsidRPr="00EF7CF9" w:rsidRDefault="00AA02E4" w:rsidP="00AA02E4">
      <w:pPr>
        <w:pStyle w:val="ProductList-Body"/>
        <w:rPr>
          <w:b/>
          <w:color w:val="00188F"/>
        </w:rPr>
      </w:pPr>
      <w:r>
        <w:rPr>
          <w:b/>
          <w:color w:val="00188F"/>
        </w:rPr>
        <w:t>Zusätzliche Definitionen</w:t>
      </w:r>
      <w:r w:rsidRPr="0008262F">
        <w:rPr>
          <w:b/>
          <w:color w:val="00188F"/>
        </w:rPr>
        <w:t>:</w:t>
      </w:r>
    </w:p>
    <w:p w14:paraId="65296591" w14:textId="0ABC21E2" w:rsidR="00AA02E4" w:rsidRPr="00EF7CF9" w:rsidRDefault="00AA02E4" w:rsidP="00AA02E4">
      <w:pPr>
        <w:pStyle w:val="ProductList-Body"/>
      </w:pPr>
      <w:r>
        <w:t>„</w:t>
      </w:r>
      <w:r>
        <w:rPr>
          <w:b/>
          <w:color w:val="00188F"/>
        </w:rPr>
        <w:t>Bereitstellungsminuten</w:t>
      </w:r>
      <w:r>
        <w:t>“ ist die Gesamtzahl der Minuten, für die ein Datenkatalog während eines Anwendbaren Zeitraums der Rechnungsstellung erworben wurde.</w:t>
      </w:r>
    </w:p>
    <w:p w14:paraId="002A64FD" w14:textId="4C3A3DEC" w:rsidR="00AA02E4" w:rsidRPr="00EF7CF9" w:rsidRDefault="00AA02E4" w:rsidP="00AA02E4">
      <w:pPr>
        <w:pStyle w:val="ProductList-Body"/>
      </w:pPr>
      <w:r>
        <w:t>„</w:t>
      </w:r>
      <w:r>
        <w:rPr>
          <w:b/>
          <w:color w:val="00188F"/>
        </w:rPr>
        <w:t>Einträge</w:t>
      </w:r>
      <w:r w:rsidR="00620CAD">
        <w:t>“</w:t>
      </w:r>
      <w:r>
        <w:t xml:space="preserve"> sind Einträge von Katalogobjekten im Datenkatalog (zum Beispiel Tabellen, Ansichten, Kennzahlen, Cluster oder Berichte).</w:t>
      </w:r>
    </w:p>
    <w:p w14:paraId="7570F44E" w14:textId="7ED8E17A" w:rsidR="00AA02E4" w:rsidRPr="00EF7CF9" w:rsidRDefault="00AA02E4" w:rsidP="00AA02E4">
      <w:pPr>
        <w:pStyle w:val="ProductList-Body"/>
        <w:rPr>
          <w:color w:val="000000" w:themeColor="text1"/>
        </w:rPr>
      </w:pPr>
      <w:r>
        <w:t>„</w:t>
      </w:r>
      <w:r>
        <w:rPr>
          <w:b/>
          <w:color w:val="00188F"/>
        </w:rPr>
        <w:t>Maximal Verfügbare Minuten</w:t>
      </w:r>
      <w:r w:rsidR="00620CAD">
        <w:t>“</w:t>
      </w:r>
      <w:r>
        <w:rPr>
          <w:color w:val="000000" w:themeColor="text1"/>
        </w:rPr>
        <w:t xml:space="preserve"> </w:t>
      </w:r>
      <w:r>
        <w:rPr>
          <w:rFonts w:cs="Segoe UI"/>
          <w:color w:val="000000" w:themeColor="text1"/>
        </w:rPr>
        <w:t>ist die Summe aller Bereitstellungsminuten für den Datenkatalog in einem bestimmten Microsoft Azure-Abonnement während eines Anwendbaren Zeitraums.</w:t>
      </w:r>
      <w:r>
        <w:rPr>
          <w:rFonts w:cs="Segoe UI"/>
          <w:b/>
          <w:bCs/>
          <w:color w:val="000000" w:themeColor="text1"/>
        </w:rPr>
        <w:t xml:space="preserve"> </w:t>
      </w:r>
    </w:p>
    <w:p w14:paraId="09594F99" w14:textId="3B93EF81" w:rsidR="00AA02E4" w:rsidRPr="00B44CF9" w:rsidRDefault="00AA02E4" w:rsidP="00AA02E4">
      <w:pPr>
        <w:pStyle w:val="NormalWeb"/>
        <w:shd w:val="clear" w:color="auto" w:fill="FFFFFF"/>
        <w:spacing w:before="0" w:beforeAutospacing="0" w:after="0" w:afterAutospacing="0"/>
        <w:rPr>
          <w:rFonts w:asciiTheme="minorHAnsi" w:hAnsiTheme="minorHAnsi" w:cstheme="minorHAnsi"/>
          <w:sz w:val="18"/>
          <w:szCs w:val="18"/>
        </w:rPr>
      </w:pPr>
      <w:r>
        <w:rPr>
          <w:rFonts w:asciiTheme="minorHAnsi" w:eastAsiaTheme="minorHAnsi" w:hAnsiTheme="minorHAnsi" w:cstheme="minorBidi"/>
          <w:b/>
          <w:color w:val="00188F"/>
          <w:sz w:val="18"/>
          <w:szCs w:val="22"/>
        </w:rPr>
        <w:t>Ausfallzeit</w:t>
      </w:r>
      <w:r w:rsidRPr="0008262F">
        <w:rPr>
          <w:rFonts w:asciiTheme="minorHAnsi" w:eastAsiaTheme="minorHAnsi" w:hAnsiTheme="minorHAnsi" w:cstheme="minorBidi"/>
          <w:b/>
          <w:color w:val="00188F"/>
          <w:sz w:val="18"/>
          <w:szCs w:val="22"/>
        </w:rPr>
        <w:t>:</w:t>
      </w:r>
      <w:r>
        <w:rPr>
          <w:rFonts w:asciiTheme="minorHAnsi" w:eastAsiaTheme="minorHAnsi" w:hAnsiTheme="minorHAnsi" w:cstheme="minorBidi"/>
          <w:sz w:val="18"/>
          <w:szCs w:val="22"/>
        </w:rPr>
        <w:t xml:space="preserve"> ist die Gesamtzahl der Bereitstellungsminuten, während derer der Datenkatalog nicht verfügbar ist. Eine Minute gilt für einen bestimmten Datenkatalog als nicht verfügbar, wenn alle Versuche von Administratoren, Nutzer zum Datenkatalog hinzuzufügen oder aus diesem zu</w:t>
      </w:r>
      <w:r w:rsidR="002E4490">
        <w:rPr>
          <w:rFonts w:asciiTheme="minorHAnsi" w:eastAsiaTheme="minorHAnsi" w:hAnsiTheme="minorHAnsi" w:cstheme="minorBidi"/>
          <w:sz w:val="18"/>
          <w:szCs w:val="22"/>
        </w:rPr>
        <w:t> </w:t>
      </w:r>
      <w:r>
        <w:rPr>
          <w:rFonts w:asciiTheme="minorHAnsi" w:eastAsiaTheme="minorHAnsi" w:hAnsiTheme="minorHAnsi" w:cstheme="minorBidi"/>
          <w:sz w:val="18"/>
          <w:szCs w:val="22"/>
        </w:rPr>
        <w:t>entfernen, oder alle Versuche von Nutzern, API-Aufrufe an den Datenkatalog zum Registrieren, Suchen oder Löschen von Einträgen auszuführen, entweder zu einem Fehlercode führen oder innerhalb von fünf Minuten keine Antwort liefern.</w:t>
      </w:r>
    </w:p>
    <w:p w14:paraId="424F5ACD" w14:textId="6CCCDCAB" w:rsidR="00AA02E4" w:rsidRPr="00EF7CF9" w:rsidRDefault="00AC48A7" w:rsidP="00AA02E4">
      <w:pPr>
        <w:pStyle w:val="ProductList-Body"/>
      </w:pPr>
      <w:r>
        <w:rPr>
          <w:b/>
          <w:color w:val="00188F"/>
        </w:rPr>
        <w:t>Betriebszeitprozentsatz</w:t>
      </w:r>
      <w:r w:rsidRPr="0008262F">
        <w:rPr>
          <w:b/>
          <w:color w:val="00188F"/>
        </w:rPr>
        <w:t>:</w:t>
      </w:r>
      <w:r>
        <w:t xml:space="preserve"> Der Betriebszeitprozentsatz errechnet sich nach folgender Formel:</w:t>
      </w:r>
    </w:p>
    <w:p w14:paraId="3E1ED9D0" w14:textId="36E062B4" w:rsidR="00AA02E4" w:rsidRPr="007C7313" w:rsidRDefault="00000000" w:rsidP="00B820B8">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4096CA38" w14:textId="77777777" w:rsidR="00AA02E4" w:rsidRPr="00EF7CF9" w:rsidRDefault="00AA02E4" w:rsidP="00AA02E4">
      <w:pPr>
        <w:pStyle w:val="ProductList-Body"/>
      </w:pPr>
      <w:r>
        <w:rPr>
          <w:b/>
          <w:color w:val="00188F"/>
        </w:rPr>
        <w:t>Servicegutschrift</w:t>
      </w:r>
      <w:r w:rsidRPr="0008262F">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02414BE5" w14:textId="77777777" w:rsidTr="00277097">
        <w:trPr>
          <w:tblHeader/>
        </w:trPr>
        <w:tc>
          <w:tcPr>
            <w:tcW w:w="5400" w:type="dxa"/>
            <w:shd w:val="clear" w:color="auto" w:fill="0072C6"/>
          </w:tcPr>
          <w:p w14:paraId="73D88F05" w14:textId="0A3A88F5" w:rsidR="00AA02E4"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55F3BA5C" w14:textId="77777777" w:rsidR="00AA02E4" w:rsidRPr="00EF7CF9" w:rsidRDefault="00AA02E4" w:rsidP="000F31B4">
            <w:pPr>
              <w:pStyle w:val="ProductList-OfferingBody"/>
              <w:jc w:val="center"/>
              <w:rPr>
                <w:color w:val="FFFFFF" w:themeColor="background1"/>
              </w:rPr>
            </w:pPr>
            <w:r>
              <w:rPr>
                <w:color w:val="FFFFFF" w:themeColor="background1"/>
              </w:rPr>
              <w:t>Servicegutschrift</w:t>
            </w:r>
          </w:p>
        </w:tc>
      </w:tr>
      <w:tr w:rsidR="00AA02E4" w:rsidRPr="00B44CF9" w14:paraId="414F5226" w14:textId="77777777" w:rsidTr="00277097">
        <w:tc>
          <w:tcPr>
            <w:tcW w:w="5400" w:type="dxa"/>
          </w:tcPr>
          <w:p w14:paraId="1E0935F5" w14:textId="77777777" w:rsidR="00AA02E4" w:rsidRPr="00EF7CF9" w:rsidRDefault="00AA02E4" w:rsidP="000F31B4">
            <w:pPr>
              <w:pStyle w:val="ProductList-OfferingBody"/>
              <w:jc w:val="center"/>
            </w:pPr>
            <w:r>
              <w:t>&lt; 99,9 %</w:t>
            </w:r>
          </w:p>
        </w:tc>
        <w:tc>
          <w:tcPr>
            <w:tcW w:w="5400" w:type="dxa"/>
          </w:tcPr>
          <w:p w14:paraId="6267C076" w14:textId="77777777" w:rsidR="00AA02E4" w:rsidRPr="00EF7CF9" w:rsidRDefault="00AA02E4" w:rsidP="000F31B4">
            <w:pPr>
              <w:pStyle w:val="ProductList-OfferingBody"/>
              <w:jc w:val="center"/>
            </w:pPr>
            <w:r>
              <w:t>10 %</w:t>
            </w:r>
          </w:p>
        </w:tc>
      </w:tr>
      <w:tr w:rsidR="00AA02E4" w:rsidRPr="00B44CF9" w14:paraId="164588B0" w14:textId="77777777" w:rsidTr="00277097">
        <w:tc>
          <w:tcPr>
            <w:tcW w:w="5400" w:type="dxa"/>
          </w:tcPr>
          <w:p w14:paraId="1B0F4922" w14:textId="77777777" w:rsidR="00AA02E4" w:rsidRPr="00EF7CF9" w:rsidRDefault="00AA02E4" w:rsidP="000F31B4">
            <w:pPr>
              <w:pStyle w:val="ProductList-OfferingBody"/>
              <w:jc w:val="center"/>
            </w:pPr>
            <w:r>
              <w:t>&lt; 99 %</w:t>
            </w:r>
          </w:p>
        </w:tc>
        <w:tc>
          <w:tcPr>
            <w:tcW w:w="5400" w:type="dxa"/>
          </w:tcPr>
          <w:p w14:paraId="34756236" w14:textId="77777777" w:rsidR="00AA02E4" w:rsidRPr="00EF7CF9" w:rsidRDefault="00AA02E4" w:rsidP="000F31B4">
            <w:pPr>
              <w:pStyle w:val="ProductList-OfferingBody"/>
              <w:jc w:val="center"/>
            </w:pPr>
            <w:r>
              <w:t>25 %</w:t>
            </w:r>
          </w:p>
        </w:tc>
      </w:tr>
    </w:tbl>
    <w:bookmarkStart w:id="266" w:name="_Toc457821547"/>
    <w:bookmarkStart w:id="267" w:name="_Toc52348949"/>
    <w:p w14:paraId="2BC228E8" w14:textId="265E0637"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5AC3E10A" w14:textId="31E3D0CA" w:rsidR="00F240D4" w:rsidRDefault="00F240D4" w:rsidP="00F240D4">
      <w:pPr>
        <w:pStyle w:val="ProductList-Offering2Heading"/>
        <w:keepNext/>
        <w:tabs>
          <w:tab w:val="clear" w:pos="360"/>
          <w:tab w:val="clear" w:pos="720"/>
          <w:tab w:val="clear" w:pos="1080"/>
        </w:tabs>
        <w:outlineLvl w:val="2"/>
      </w:pPr>
      <w:bookmarkStart w:id="268" w:name="_Toc195543127"/>
      <w:bookmarkStart w:id="269" w:name="_Toc237448984"/>
      <w:r>
        <w:t>Azure Data Explorer (Kusto)</w:t>
      </w:r>
      <w:bookmarkEnd w:id="268"/>
      <w:bookmarkEnd w:id="269"/>
    </w:p>
    <w:p w14:paraId="279D2037" w14:textId="77777777" w:rsidR="00F240D4" w:rsidRPr="009F4F1B" w:rsidRDefault="00F240D4" w:rsidP="009F4F1B">
      <w:pPr>
        <w:pStyle w:val="ProductList-Body"/>
        <w:keepNext/>
        <w:rPr>
          <w:b/>
          <w:bCs/>
          <w:color w:val="00188F"/>
        </w:rPr>
      </w:pPr>
      <w:r>
        <w:rPr>
          <w:b/>
          <w:bCs/>
          <w:color w:val="00188F"/>
        </w:rPr>
        <w:t>Zusätzliche Definitionen</w:t>
      </w:r>
    </w:p>
    <w:p w14:paraId="51E9A0D1" w14:textId="53AFA8BD" w:rsidR="00F240D4" w:rsidRDefault="00620CAD" w:rsidP="00F240D4">
      <w:pPr>
        <w:pStyle w:val="ProductList-Body"/>
      </w:pPr>
      <w:r>
        <w:t>„</w:t>
      </w:r>
      <w:r w:rsidR="00F240D4">
        <w:rPr>
          <w:b/>
          <w:color w:val="00188F"/>
        </w:rPr>
        <w:t>Cluster</w:t>
      </w:r>
      <w:r>
        <w:t>“</w:t>
      </w:r>
      <w:r w:rsidR="00F240D4">
        <w:t xml:space="preserve"> bezeichnet von Azure Data Explorer (ADX) betriebene Cluster.</w:t>
      </w:r>
    </w:p>
    <w:p w14:paraId="3448EE53" w14:textId="05F823B5" w:rsidR="00F240D4" w:rsidRPr="009F4F1B" w:rsidRDefault="00EE6E3C" w:rsidP="00670B21">
      <w:pPr>
        <w:pStyle w:val="ProductList-Body"/>
        <w:spacing w:before="120"/>
        <w:rPr>
          <w:b/>
          <w:bCs/>
          <w:color w:val="00188F"/>
        </w:rPr>
      </w:pPr>
      <w:r>
        <w:rPr>
          <w:b/>
          <w:bCs/>
          <w:color w:val="00188F"/>
        </w:rPr>
        <w:t>Berechnung der Betriebszeit und Service-Level für Azure Data Explorer</w:t>
      </w:r>
    </w:p>
    <w:p w14:paraId="6CEBB473" w14:textId="1B7E8BE2" w:rsidR="00F240D4" w:rsidRDefault="00F240D4" w:rsidP="00F240D4">
      <w:pPr>
        <w:pStyle w:val="ProductList-Body"/>
      </w:pPr>
      <w:r>
        <w:t>„</w:t>
      </w:r>
      <w:r>
        <w:rPr>
          <w:b/>
          <w:color w:val="00188F"/>
        </w:rPr>
        <w:t>Maximal Verfügbare Minuten</w:t>
      </w:r>
      <w:r>
        <w:t>“ ist die Gesamtzahl der Minuten für einen bestimmten Cluster, der von einem Kunden im Rahmen eines Microsoft Azure-Abonnements während eines Anwendbaren Zeitraums bereitgestellt wurde.</w:t>
      </w:r>
    </w:p>
    <w:p w14:paraId="297698DD" w14:textId="77777777" w:rsidR="00F240D4" w:rsidRDefault="00F240D4" w:rsidP="00F240D4">
      <w:pPr>
        <w:pStyle w:val="ProductList-Body"/>
      </w:pPr>
      <w:r>
        <w:t>„</w:t>
      </w:r>
      <w:r>
        <w:rPr>
          <w:b/>
          <w:color w:val="00188F"/>
        </w:rPr>
        <w:t>Ausfallzeit</w:t>
      </w:r>
      <w:r>
        <w:t>“ ist die Gesamtzahl der Minuten innerhalb der Maximal Verfügbaren Minuten, während denen ein Cluster nicht verfügbar ist. Eine Minute gilt als für einen bestimmten Cluster nicht verfügbar, wenn alle fortwährenden Versuche innerhalb einer Minute, eine Verbindung zum Internetgateway des Clusters herzustellen, einen Fehlercode senden.</w:t>
      </w:r>
    </w:p>
    <w:p w14:paraId="45D31E24" w14:textId="77777777" w:rsidR="00F240D4" w:rsidRDefault="00F240D4" w:rsidP="00F240D4">
      <w:pPr>
        <w:pStyle w:val="ProductList-Body"/>
      </w:pPr>
    </w:p>
    <w:p w14:paraId="4F382C56" w14:textId="6707EF55" w:rsidR="00F240D4" w:rsidRDefault="00F240D4" w:rsidP="00F240D4">
      <w:pPr>
        <w:pStyle w:val="ProductList-Body"/>
      </w:pPr>
      <w:r>
        <w:t>Der „</w:t>
      </w:r>
      <w:r>
        <w:rPr>
          <w:b/>
          <w:color w:val="00188F"/>
        </w:rPr>
        <w:t>Betriebszeitprozentsatz</w:t>
      </w:r>
      <w:r>
        <w:t>“ für Azure Explorer berechnet sich aus den Maximal Verfügbaren Minuten abzüglich der Ausfallzeit geteilt durch die</w:t>
      </w:r>
      <w:r w:rsidR="005D1FD1">
        <w:t> </w:t>
      </w:r>
      <w:r>
        <w:t>Maximal Verfügbaren Minuten.</w:t>
      </w:r>
    </w:p>
    <w:p w14:paraId="3909B03E" w14:textId="77777777" w:rsidR="00F240D4" w:rsidRDefault="00F240D4" w:rsidP="00F240D4">
      <w:pPr>
        <w:pStyle w:val="ProductList-Body"/>
      </w:pPr>
    </w:p>
    <w:p w14:paraId="43BAFB90" w14:textId="1EC0DA1E" w:rsidR="00F240D4" w:rsidRDefault="00AC48A7" w:rsidP="00F240D4">
      <w:pPr>
        <w:pStyle w:val="ProductList-Body"/>
      </w:pPr>
      <w:r>
        <w:t>Der Betriebszeitprozentsatz wird durch die folgende Formel ermittelt:</w:t>
      </w:r>
    </w:p>
    <w:p w14:paraId="0F184916" w14:textId="593766A2" w:rsidR="00F240D4" w:rsidRPr="006A1FA3" w:rsidRDefault="00000000" w:rsidP="00B820B8">
      <w:pPr>
        <w:pStyle w:val="ProductList-Body"/>
        <w:spacing w:before="120" w:after="120"/>
        <w:rPr>
          <w:rFonts w:eastAsiaTheme="minorEastAsia"/>
          <w:color w:val="000000" w:themeColor="text1"/>
          <w:szCs w:val="18"/>
        </w:rPr>
      </w:pPr>
      <m:oMathPara>
        <m:oMath>
          <m:f>
            <m:fPr>
              <m:ctrlPr>
                <w:rPr>
                  <w:rFonts w:ascii="Cambria Math" w:hAnsi="Cambria Math" w:cs="Calibri"/>
                  <w:i/>
                  <w:szCs w:val="18"/>
                </w:rPr>
              </m:ctrlPr>
            </m:fPr>
            <m:num>
              <m:r>
                <m:rPr>
                  <m:nor/>
                </m:rPr>
                <w:rPr>
                  <w:rFonts w:ascii="Cambria Math" w:hAnsi="Cambria Math" w:cs="Calibri"/>
                  <w:i/>
                  <w:szCs w:val="18"/>
                </w:rPr>
                <m:t>Maximal Verfügbare Minuten abzüglich Ausfallzeit</m:t>
              </m:r>
            </m:num>
            <m:den>
              <m:r>
                <m:rPr>
                  <m:nor/>
                </m:rPr>
                <w:rPr>
                  <w:rFonts w:ascii="Cambria Math" w:hAnsi="Cambria Math" w:cs="Calibri"/>
                  <w:i/>
                  <w:szCs w:val="18"/>
                </w:rPr>
                <m:t>Maximal Verfügbare Minuten</m:t>
              </m:r>
            </m:den>
          </m:f>
          <m:r>
            <w:rPr>
              <w:rFonts w:ascii="Cambria Math" w:hAnsi="Cambria Math" w:cs="Calibri"/>
              <w:szCs w:val="18"/>
            </w:rPr>
            <m:t xml:space="preserve"> x 100</m:t>
          </m:r>
        </m:oMath>
      </m:oMathPara>
    </w:p>
    <w:p w14:paraId="1170A23B" w14:textId="77777777" w:rsidR="00F240D4" w:rsidRPr="00EF7CF9" w:rsidRDefault="00F240D4" w:rsidP="00F240D4">
      <w:pPr>
        <w:pStyle w:val="ProductList-Body"/>
      </w:pPr>
      <w:r>
        <w:rPr>
          <w:b/>
          <w:color w:val="00188F"/>
        </w:rPr>
        <w:lastRenderedPageBreak/>
        <w:t>Die folgenden Servicelevel und Dienstgutschriften gelten für die Nutzung des Dienstes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240D4" w:rsidRPr="00B44CF9" w14:paraId="370EA53A" w14:textId="77777777" w:rsidTr="00364EEB">
        <w:trPr>
          <w:tblHeader/>
        </w:trPr>
        <w:tc>
          <w:tcPr>
            <w:tcW w:w="5400" w:type="dxa"/>
            <w:shd w:val="clear" w:color="auto" w:fill="0072C6"/>
          </w:tcPr>
          <w:p w14:paraId="290C6CDA" w14:textId="2CD84961" w:rsidR="00F240D4" w:rsidRPr="00EF7CF9" w:rsidRDefault="00AC48A7" w:rsidP="00364EEB">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5CB8C29B" w14:textId="77777777" w:rsidR="00F240D4" w:rsidRPr="00EF7CF9" w:rsidRDefault="00F240D4" w:rsidP="00364EEB">
            <w:pPr>
              <w:pStyle w:val="ProductList-OfferingBody"/>
              <w:jc w:val="center"/>
              <w:rPr>
                <w:color w:val="FFFFFF" w:themeColor="background1"/>
              </w:rPr>
            </w:pPr>
            <w:r>
              <w:rPr>
                <w:color w:val="FFFFFF" w:themeColor="background1"/>
              </w:rPr>
              <w:t>Servicegutschrift</w:t>
            </w:r>
          </w:p>
        </w:tc>
      </w:tr>
      <w:tr w:rsidR="00F240D4" w:rsidRPr="00B44CF9" w14:paraId="31A630CC" w14:textId="77777777" w:rsidTr="00364EEB">
        <w:tc>
          <w:tcPr>
            <w:tcW w:w="5400" w:type="dxa"/>
            <w:tcBorders>
              <w:bottom w:val="single" w:sz="4" w:space="0" w:color="000000" w:themeColor="text1"/>
            </w:tcBorders>
          </w:tcPr>
          <w:p w14:paraId="47E571A5" w14:textId="77777777" w:rsidR="00F240D4" w:rsidRPr="00EF7CF9" w:rsidRDefault="00F240D4" w:rsidP="00364EEB">
            <w:pPr>
              <w:pStyle w:val="ProductList-OfferingBody"/>
              <w:jc w:val="center"/>
            </w:pPr>
            <w:r>
              <w:t>&lt; 99,9 %</w:t>
            </w:r>
          </w:p>
        </w:tc>
        <w:tc>
          <w:tcPr>
            <w:tcW w:w="5400" w:type="dxa"/>
            <w:tcBorders>
              <w:bottom w:val="single" w:sz="4" w:space="0" w:color="000000" w:themeColor="text1"/>
            </w:tcBorders>
          </w:tcPr>
          <w:p w14:paraId="48459D09" w14:textId="77777777" w:rsidR="00F240D4" w:rsidRPr="00EF7CF9" w:rsidRDefault="00F240D4" w:rsidP="00364EEB">
            <w:pPr>
              <w:pStyle w:val="ProductList-OfferingBody"/>
              <w:jc w:val="center"/>
            </w:pPr>
            <w:r>
              <w:t>10 %</w:t>
            </w:r>
          </w:p>
        </w:tc>
      </w:tr>
      <w:tr w:rsidR="00F240D4" w:rsidRPr="00B44CF9" w14:paraId="1672F988" w14:textId="77777777" w:rsidTr="00364EEB">
        <w:tc>
          <w:tcPr>
            <w:tcW w:w="5400" w:type="dxa"/>
            <w:tcBorders>
              <w:bottom w:val="single" w:sz="4" w:space="0" w:color="auto"/>
            </w:tcBorders>
          </w:tcPr>
          <w:p w14:paraId="4FAAC35F" w14:textId="77777777" w:rsidR="00F240D4" w:rsidRPr="00EF7CF9" w:rsidRDefault="00F240D4" w:rsidP="00364EEB">
            <w:pPr>
              <w:pStyle w:val="ProductList-OfferingBody"/>
              <w:jc w:val="center"/>
            </w:pPr>
            <w:r>
              <w:t>&lt; 99 %</w:t>
            </w:r>
          </w:p>
        </w:tc>
        <w:tc>
          <w:tcPr>
            <w:tcW w:w="5400" w:type="dxa"/>
            <w:tcBorders>
              <w:bottom w:val="single" w:sz="4" w:space="0" w:color="auto"/>
            </w:tcBorders>
          </w:tcPr>
          <w:p w14:paraId="6515F55E" w14:textId="77777777" w:rsidR="00F240D4" w:rsidRPr="00EF7CF9" w:rsidRDefault="00F240D4" w:rsidP="00364EEB">
            <w:pPr>
              <w:pStyle w:val="ProductList-OfferingBody"/>
              <w:jc w:val="center"/>
            </w:pPr>
            <w:r>
              <w:t>25 %</w:t>
            </w:r>
          </w:p>
        </w:tc>
      </w:tr>
    </w:tbl>
    <w:p w14:paraId="17F65D10" w14:textId="0B60DCBD"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0F821EC9" w14:textId="77777777" w:rsidR="00AA02E4" w:rsidRPr="00EF7CF9" w:rsidRDefault="00AA02E4" w:rsidP="00AA02E4">
      <w:pPr>
        <w:pStyle w:val="ProductList-Offering2Heading"/>
        <w:tabs>
          <w:tab w:val="clear" w:pos="360"/>
          <w:tab w:val="clear" w:pos="720"/>
          <w:tab w:val="clear" w:pos="1080"/>
        </w:tabs>
        <w:outlineLvl w:val="2"/>
      </w:pPr>
      <w:bookmarkStart w:id="270" w:name="_Toc195543128"/>
      <w:bookmarkStart w:id="271" w:name="_Toc237448985"/>
      <w:r>
        <w:t>Azure Data Factory</w:t>
      </w:r>
      <w:bookmarkEnd w:id="270"/>
      <w:bookmarkEnd w:id="271"/>
      <w:r>
        <w:t xml:space="preserve"> </w:t>
      </w:r>
      <w:bookmarkEnd w:id="266"/>
      <w:bookmarkEnd w:id="267"/>
    </w:p>
    <w:p w14:paraId="0DE3C563" w14:textId="77777777" w:rsidR="00AA02E4" w:rsidRPr="00EF7CF9" w:rsidRDefault="00AA02E4" w:rsidP="00AA02E4">
      <w:pPr>
        <w:pStyle w:val="ProductList-Body"/>
        <w:rPr>
          <w:b/>
          <w:color w:val="00188F"/>
        </w:rPr>
      </w:pPr>
      <w:r>
        <w:rPr>
          <w:b/>
          <w:color w:val="00188F"/>
        </w:rPr>
        <w:t>Zusätzliche Definitionen</w:t>
      </w:r>
      <w:r w:rsidRPr="0008262F">
        <w:rPr>
          <w:b/>
          <w:color w:val="00188F"/>
        </w:rPr>
        <w:t>:</w:t>
      </w:r>
    </w:p>
    <w:p w14:paraId="76181B90" w14:textId="77777777" w:rsidR="00AA02E4" w:rsidRDefault="00AA02E4" w:rsidP="00AA02E4">
      <w:pPr>
        <w:pStyle w:val="ProductList-Body"/>
      </w:pPr>
      <w:r w:rsidRPr="00620CAD">
        <w:t>„</w:t>
      </w:r>
      <w:r>
        <w:rPr>
          <w:b/>
          <w:color w:val="00188F"/>
        </w:rPr>
        <w:t>Ressourcen</w:t>
      </w:r>
      <w:r w:rsidRPr="00620CAD">
        <w:t>“</w:t>
      </w:r>
      <w:r>
        <w:t xml:space="preserve"> bedeutet Integrationslaufzeiten (einschließlich Azure, SSIS und selbst gehostete Integrationslaufzeiten), Trigger, Pipelines, Datensätze und verbundene Dienste, die innerhalb einer Data Factory erstellt werden.</w:t>
      </w:r>
    </w:p>
    <w:p w14:paraId="15E650C9" w14:textId="515946A1" w:rsidR="00AA02E4" w:rsidRPr="00EF7CF9" w:rsidRDefault="00620CAD" w:rsidP="00AA02E4">
      <w:pPr>
        <w:pStyle w:val="ProductList-Body"/>
      </w:pPr>
      <w:r>
        <w:t>„</w:t>
      </w:r>
      <w:r w:rsidR="00AA02E4">
        <w:rPr>
          <w:b/>
          <w:color w:val="00188F"/>
        </w:rPr>
        <w:t>Aktivitätausführung</w:t>
      </w:r>
      <w:r w:rsidR="00AA02E4">
        <w:t>“</w:t>
      </w:r>
      <w:r w:rsidR="00AA02E4">
        <w:rPr>
          <w:b/>
          <w:color w:val="00188F"/>
        </w:rPr>
        <w:t xml:space="preserve"> </w:t>
      </w:r>
      <w:r w:rsidR="00AA02E4">
        <w:t>bedeutet die Ausführung oder versuchte Ausführung einer Aktivität</w:t>
      </w:r>
    </w:p>
    <w:p w14:paraId="41EC9AB8" w14:textId="0083EBE7" w:rsidR="00AA02E4" w:rsidRPr="00ED4527" w:rsidRDefault="00EE6E3C" w:rsidP="004E24CE">
      <w:pPr>
        <w:pStyle w:val="ProductList-Body"/>
        <w:spacing w:before="120"/>
        <w:rPr>
          <w:b/>
          <w:bCs/>
          <w:color w:val="00188F"/>
        </w:rPr>
      </w:pPr>
      <w:r>
        <w:rPr>
          <w:b/>
          <w:bCs/>
          <w:color w:val="00188F"/>
        </w:rPr>
        <w:t>Berechnung der Betriebszeit für Data Factory-API-Aufrufe</w:t>
      </w:r>
    </w:p>
    <w:p w14:paraId="2CF86461" w14:textId="77777777" w:rsidR="00AA02E4" w:rsidRDefault="00AA02E4" w:rsidP="00AA02E4">
      <w:pPr>
        <w:pStyle w:val="ProductList-Body"/>
        <w:rPr>
          <w:b/>
          <w:color w:val="00188F"/>
        </w:rPr>
      </w:pPr>
      <w:r>
        <w:rPr>
          <w:b/>
          <w:color w:val="00188F"/>
        </w:rPr>
        <w:t>Zusätzliche Definitionen</w:t>
      </w:r>
      <w:r w:rsidRPr="0008262F">
        <w:rPr>
          <w:b/>
          <w:color w:val="00188F"/>
        </w:rPr>
        <w:t>:</w:t>
      </w:r>
    </w:p>
    <w:p w14:paraId="502FA76B" w14:textId="5FFDB257" w:rsidR="00AA02E4" w:rsidRDefault="00AA02E4" w:rsidP="00AA02E4">
      <w:pPr>
        <w:pStyle w:val="ProductList-Body"/>
      </w:pPr>
      <w:r>
        <w:t>„</w:t>
      </w:r>
      <w:r>
        <w:rPr>
          <w:b/>
          <w:color w:val="00188F"/>
        </w:rPr>
        <w:t>Gesamtanforderungen</w:t>
      </w:r>
      <w:r>
        <w:t>“ ist die Gesamtheit aller Anforderungen, mit Ausnahme von ausgeschlossenen Anforderungen, um während eines Anwendbaren Zeitraums für ein bestimmtes Microsoft Azure-Abonnement Operationen gegen Ressourcen durchzuführen.</w:t>
      </w:r>
    </w:p>
    <w:p w14:paraId="4F3686F7" w14:textId="77777777" w:rsidR="00AA02E4" w:rsidRDefault="00AA02E4" w:rsidP="00AA02E4">
      <w:pPr>
        <w:pStyle w:val="ProductList-Body"/>
      </w:pPr>
      <w:r>
        <w:t>„</w:t>
      </w:r>
      <w:r>
        <w:rPr>
          <w:b/>
          <w:color w:val="00188F"/>
        </w:rPr>
        <w:t>Ausgeschlossene Anforderungen</w:t>
      </w:r>
      <w:r>
        <w:t xml:space="preserve">“ ist die Gesamtheit der Anforderungen, die zu einem anderen HTTP 4xx-Statuscode als einem HTTP 408-Statuscode führen. </w:t>
      </w:r>
    </w:p>
    <w:p w14:paraId="79E49C6D" w14:textId="77777777" w:rsidR="00AA02E4" w:rsidRDefault="00AA02E4" w:rsidP="00620CAD">
      <w:pPr>
        <w:pStyle w:val="ProductList-Body"/>
        <w:ind w:right="144"/>
      </w:pPr>
      <w:r>
        <w:t>„</w:t>
      </w:r>
      <w:r>
        <w:rPr>
          <w:b/>
          <w:color w:val="00188F"/>
        </w:rPr>
        <w:t>Fehlerhafte Anforderungen</w:t>
      </w:r>
      <w:r>
        <w:t xml:space="preserve">“ ist die Menge der Anforderungen innerhalb der Gesamtzahl der Anforderungen, die entweder einen Fehlercode oder einen HTTP 408-Statuscode zurückgeben oder anderweitig innerhalb von zwei Minuten keinen Erfolgscode zurückgeben. </w:t>
      </w:r>
    </w:p>
    <w:p w14:paraId="5251F49D" w14:textId="77777777" w:rsidR="00AA02E4" w:rsidRPr="00EF7CF9" w:rsidRDefault="00AA02E4" w:rsidP="00AA02E4">
      <w:pPr>
        <w:pStyle w:val="ProductList-Body"/>
      </w:pPr>
    </w:p>
    <w:p w14:paraId="2D21FDFB" w14:textId="46C069CC" w:rsidR="00AA02E4" w:rsidRDefault="00AA02E4" w:rsidP="00AA02E4">
      <w:pPr>
        <w:pStyle w:val="ProductList-Body"/>
      </w:pPr>
      <w:r>
        <w:t xml:space="preserve">Der </w:t>
      </w:r>
      <w:r w:rsidRPr="00620CAD">
        <w:t>„</w:t>
      </w:r>
      <w:r>
        <w:rPr>
          <w:b/>
          <w:color w:val="00188F"/>
        </w:rPr>
        <w:t>Betriebszeitprozentsatz</w:t>
      </w:r>
      <w:r>
        <w:t xml:space="preserve">“ für die an die Data Factory-Dienste gerichteten API-Aufrufe wird berechnet als Gesamtzahl der Anforderungen abzüglich der fehlgeschlagenen Anforderungen geteilt durch die Gesamtzahl der Anforderungen in einem Anwendbaren Zeitraum für ein bestimmtes Microsoft Azure-Abonnement. </w:t>
      </w:r>
    </w:p>
    <w:p w14:paraId="0C1962F3" w14:textId="5EA7870E" w:rsidR="00AA02E4" w:rsidRDefault="00AC48A7" w:rsidP="00AA02E4">
      <w:pPr>
        <w:pStyle w:val="ProductList-Body"/>
      </w:pPr>
      <w:r>
        <w:t>Der Betriebszeitprozentsatz wird durch die folgende Formel ermittelt:</w:t>
      </w:r>
    </w:p>
    <w:p w14:paraId="20D98153" w14:textId="010868DD" w:rsidR="00AA02E4" w:rsidRPr="008E31A8" w:rsidRDefault="008E31A8" w:rsidP="004E24CE">
      <w:pPr>
        <w:spacing w:before="120" w:line="240" w:lineRule="auto"/>
        <w:rPr>
          <w:rFonts w:ascii="Cambria Math" w:hAnsi="Cambria Math" w:cs="Tahoma"/>
          <w:i/>
          <w:color w:val="000000" w:themeColor="text1"/>
          <w:sz w:val="18"/>
          <w:szCs w:val="18"/>
        </w:rPr>
      </w:pPr>
      <m:oMathPara>
        <m:oMath>
          <m:r>
            <m:rPr>
              <m:nor/>
            </m:rPr>
            <w:rPr>
              <w:rFonts w:ascii="Cambria Math" w:hAnsi="Cambria Math" w:cs="Tahoma"/>
              <w:i/>
              <w:sz w:val="18"/>
              <w:szCs w:val="18"/>
            </w:rPr>
            <m:t xml:space="preserve">Monatliche Betriebszeit % = </m:t>
          </m:r>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(Gesamtzahl der Anforderungen abzüglich Fehlerhafte Anforderungen)</m:t>
              </m:r>
            </m:num>
            <m:den>
              <m:r>
                <m:rPr>
                  <m:nor/>
                </m:rPr>
                <w:rPr>
                  <w:rFonts w:ascii="Cambria Math" w:hAnsi="Cambria Math" w:cs="Tahoma"/>
                  <w:i/>
                  <w:color w:val="000000" w:themeColor="text1"/>
                  <w:sz w:val="18"/>
                  <w:szCs w:val="18"/>
                </w:rPr>
                <m:t>Gesamtzahl der Anforderungen</m:t>
              </m:r>
            </m:den>
          </m:f>
        </m:oMath>
      </m:oMathPara>
    </w:p>
    <w:p w14:paraId="534303A0" w14:textId="77777777" w:rsidR="00AA02E4" w:rsidRPr="00830B67" w:rsidRDefault="00AA02E4" w:rsidP="00AA02E4">
      <w:pPr>
        <w:pStyle w:val="ProductList-Body"/>
        <w:rPr>
          <w:b/>
          <w:color w:val="00008F"/>
        </w:rPr>
      </w:pPr>
      <w:r w:rsidRPr="00830B67">
        <w:rPr>
          <w:b/>
          <w:bCs/>
          <w:color w:val="00008F"/>
        </w:rPr>
        <w:t>Die folgenden Servicegutschriften gelten für die Nutzung von API-Aufrufen des Kunden im Data Factory-Dienst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63998EDA" w14:textId="77777777" w:rsidTr="00277097">
        <w:trPr>
          <w:tblHeader/>
        </w:trPr>
        <w:tc>
          <w:tcPr>
            <w:tcW w:w="5400" w:type="dxa"/>
            <w:shd w:val="clear" w:color="auto" w:fill="0072C6"/>
          </w:tcPr>
          <w:p w14:paraId="4CEEECFD" w14:textId="5BF51D05" w:rsidR="00AA02E4"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050673EA" w14:textId="77777777" w:rsidR="00AA02E4" w:rsidRPr="00EF7CF9" w:rsidRDefault="00AA02E4" w:rsidP="000F31B4">
            <w:pPr>
              <w:pStyle w:val="ProductList-OfferingBody"/>
              <w:jc w:val="center"/>
              <w:rPr>
                <w:color w:val="FFFFFF" w:themeColor="background1"/>
              </w:rPr>
            </w:pPr>
            <w:r>
              <w:rPr>
                <w:color w:val="FFFFFF" w:themeColor="background1"/>
              </w:rPr>
              <w:t>Servicegutschrift</w:t>
            </w:r>
          </w:p>
        </w:tc>
      </w:tr>
      <w:tr w:rsidR="00AA02E4" w:rsidRPr="00B44CF9" w14:paraId="18C3EE26" w14:textId="77777777" w:rsidTr="00277097">
        <w:tc>
          <w:tcPr>
            <w:tcW w:w="5400" w:type="dxa"/>
          </w:tcPr>
          <w:p w14:paraId="150A3FE7" w14:textId="77777777" w:rsidR="00AA02E4" w:rsidRPr="00EF7CF9" w:rsidRDefault="00AA02E4" w:rsidP="000F31B4">
            <w:pPr>
              <w:pStyle w:val="ProductList-OfferingBody"/>
              <w:jc w:val="center"/>
            </w:pPr>
            <w:r>
              <w:t>&lt; 99,9 %</w:t>
            </w:r>
          </w:p>
        </w:tc>
        <w:tc>
          <w:tcPr>
            <w:tcW w:w="5400" w:type="dxa"/>
          </w:tcPr>
          <w:p w14:paraId="45423A50" w14:textId="77777777" w:rsidR="00AA02E4" w:rsidRPr="00EF7CF9" w:rsidRDefault="00AA02E4" w:rsidP="000F31B4">
            <w:pPr>
              <w:pStyle w:val="ProductList-OfferingBody"/>
              <w:jc w:val="center"/>
            </w:pPr>
            <w:r>
              <w:t>10 %</w:t>
            </w:r>
          </w:p>
        </w:tc>
      </w:tr>
      <w:tr w:rsidR="00AA02E4" w:rsidRPr="00B44CF9" w14:paraId="11382E4F" w14:textId="77777777" w:rsidTr="00277097">
        <w:tc>
          <w:tcPr>
            <w:tcW w:w="5400" w:type="dxa"/>
          </w:tcPr>
          <w:p w14:paraId="2F93EE8A" w14:textId="77777777" w:rsidR="00AA02E4" w:rsidRPr="00EF7CF9" w:rsidRDefault="00AA02E4" w:rsidP="000F31B4">
            <w:pPr>
              <w:pStyle w:val="ProductList-OfferingBody"/>
              <w:jc w:val="center"/>
            </w:pPr>
            <w:r>
              <w:t>&lt; 99 %</w:t>
            </w:r>
          </w:p>
        </w:tc>
        <w:tc>
          <w:tcPr>
            <w:tcW w:w="5400" w:type="dxa"/>
          </w:tcPr>
          <w:p w14:paraId="5932E997" w14:textId="77777777" w:rsidR="00AA02E4" w:rsidRPr="00EF7CF9" w:rsidRDefault="00AA02E4" w:rsidP="000F31B4">
            <w:pPr>
              <w:pStyle w:val="ProductList-OfferingBody"/>
              <w:jc w:val="center"/>
            </w:pPr>
            <w:r>
              <w:t>25 %</w:t>
            </w:r>
          </w:p>
        </w:tc>
      </w:tr>
    </w:tbl>
    <w:p w14:paraId="7FE0019D" w14:textId="65672919" w:rsidR="00AA02E4" w:rsidRPr="00ED4527" w:rsidRDefault="00EE6E3C" w:rsidP="00670B21">
      <w:pPr>
        <w:pStyle w:val="ProductList-Body"/>
        <w:keepNext/>
        <w:spacing w:before="120"/>
        <w:rPr>
          <w:b/>
          <w:bCs/>
          <w:color w:val="00188F"/>
        </w:rPr>
      </w:pPr>
      <w:r>
        <w:rPr>
          <w:b/>
          <w:bCs/>
          <w:color w:val="00188F"/>
        </w:rPr>
        <w:t>Berechnung der Betriebszeit für Data Factory-Aktivitätsausführungen</w:t>
      </w:r>
    </w:p>
    <w:p w14:paraId="4FAAD9F9" w14:textId="77777777" w:rsidR="00AA02E4" w:rsidRPr="00AA02E4" w:rsidRDefault="00AA02E4" w:rsidP="00AA02E4">
      <w:pPr>
        <w:pStyle w:val="ProductList-Body"/>
        <w:keepNext/>
        <w:rPr>
          <w:b/>
          <w:bCs/>
          <w:color w:val="00188F"/>
        </w:rPr>
      </w:pPr>
      <w:r>
        <w:rPr>
          <w:b/>
          <w:bCs/>
          <w:color w:val="00188F"/>
        </w:rPr>
        <w:t>Zusätzliche Definitionen:</w:t>
      </w:r>
    </w:p>
    <w:p w14:paraId="6878FBB3" w14:textId="41A08D95" w:rsidR="00AA02E4" w:rsidRPr="00EF7CF9" w:rsidRDefault="00AA02E4" w:rsidP="00AA02E4">
      <w:pPr>
        <w:pStyle w:val="ProductList-Body"/>
      </w:pPr>
      <w:r>
        <w:t>„</w:t>
      </w:r>
      <w:r>
        <w:rPr>
          <w:b/>
          <w:color w:val="00188F"/>
        </w:rPr>
        <w:t>Gesamtzahl der Aktivitätsausführungen</w:t>
      </w:r>
      <w:r>
        <w:t>“</w:t>
      </w:r>
      <w:r>
        <w:rPr>
          <w:b/>
          <w:color w:val="00188F"/>
        </w:rPr>
        <w:t xml:space="preserve"> </w:t>
      </w:r>
      <w:r>
        <w:rPr>
          <w:rFonts w:cs="Tahoma"/>
        </w:rPr>
        <w:t xml:space="preserve">ist die Gesamtzahl der Aktivitätsausführungen, die in einem Anwendbaren Zeitraum für ein bestimmtes Microsoft Azure-Abonnement versucht werden. </w:t>
      </w:r>
    </w:p>
    <w:p w14:paraId="045CDE7E" w14:textId="42EE750E" w:rsidR="00AA02E4" w:rsidRPr="00EF7CF9" w:rsidRDefault="00AA02E4" w:rsidP="00AA02E4">
      <w:pPr>
        <w:pStyle w:val="ProductList-Body"/>
      </w:pPr>
      <w:r>
        <w:t>„</w:t>
      </w:r>
      <w:r>
        <w:rPr>
          <w:b/>
          <w:color w:val="00188F"/>
        </w:rPr>
        <w:t>Verzögerte Aktivitätsausführungen</w:t>
      </w:r>
      <w:r>
        <w:t>“ ist die Gesamtzahl der versuchten Aktivitätsausführungen, bei denen eine Aktivität nicht innerhalb von vier</w:t>
      </w:r>
      <w:r w:rsidR="007A343A">
        <w:t> </w:t>
      </w:r>
      <w:r>
        <w:t>(4) Minuten nach dem Zeitpunkt, zu dem sie für die Ausführung eingeplant ist, mit der Ausführung beginnt und alle Abhängigkeiten, die Voraussetzung für die Ausführung sind, erfüllt wurden.</w:t>
      </w:r>
    </w:p>
    <w:p w14:paraId="45528E5A" w14:textId="705F1A51" w:rsidR="00AA02E4" w:rsidRPr="00ED4527" w:rsidRDefault="00AA02E4" w:rsidP="00AA02E4">
      <w:pPr>
        <w:pStyle w:val="ProductList-Body"/>
        <w:rPr>
          <w:color w:val="000000" w:themeColor="text1"/>
        </w:rPr>
      </w:pPr>
      <w:r>
        <w:t xml:space="preserve">Der </w:t>
      </w:r>
      <w:r w:rsidRPr="00620CAD">
        <w:t>„</w:t>
      </w:r>
      <w:r>
        <w:rPr>
          <w:b/>
          <w:color w:val="00188F"/>
        </w:rPr>
        <w:t>Betriebszeitprozentsatz</w:t>
      </w:r>
      <w:r>
        <w:t xml:space="preserve">“ </w:t>
      </w:r>
      <w:r>
        <w:rPr>
          <w:color w:val="000000" w:themeColor="text1"/>
        </w:rPr>
        <w:t>für den Data Factory-Dienst wird berechnet als Gesamtzahl der Aktivitätsausführungen abzüglich der Verzögerten Aktivitätsausführungen geteilt durch die Gesamtzahl der Aktivitätsausführungen in einem Anwendbaren Zeitraum für ein bestimmtes Microsoft Azure-Abonnement.</w:t>
      </w:r>
    </w:p>
    <w:p w14:paraId="0B2BEE09" w14:textId="0B818B97" w:rsidR="00AA02E4" w:rsidRPr="00EF7CF9" w:rsidRDefault="00AA02E4" w:rsidP="00AA02E4">
      <w:pPr>
        <w:pStyle w:val="ProductList-Body"/>
      </w:pPr>
      <w:r>
        <w:t>Der Betriebszeitprozentsatz errechnet sich nach folgender Formel:</w:t>
      </w:r>
    </w:p>
    <w:p w14:paraId="4DA9AF41" w14:textId="7A1D0533" w:rsidR="00AA02E4" w:rsidRPr="00EF7CF9" w:rsidRDefault="00000000" w:rsidP="00B820B8">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Gesamtzahl der Aktivitätsausführungen abzüglich Verzögerte Aktivitätsausführungen</m:t>
              </m:r>
            </m:num>
            <m:den>
              <m:r>
                <m:rPr>
                  <m:nor/>
                </m:rPr>
                <w:rPr>
                  <w:rFonts w:ascii="Cambria Math" w:hAnsi="Cambria Math" w:cs="Tahoma"/>
                  <w:i/>
                  <w:color w:val="000000" w:themeColor="text1"/>
                  <w:sz w:val="18"/>
                  <w:szCs w:val="18"/>
                </w:rPr>
                <m:t>Gesamtzahl der Aktivitätsausführungen</m:t>
              </m:r>
            </m:den>
          </m:f>
          <m:r>
            <w:rPr>
              <w:rFonts w:ascii="Cambria Math" w:hAnsi="Cambria Math" w:cs="Tahoma"/>
              <w:color w:val="000000" w:themeColor="text1"/>
              <w:sz w:val="18"/>
              <w:szCs w:val="18"/>
            </w:rPr>
            <m:t xml:space="preserve"> x 100</m:t>
          </m:r>
        </m:oMath>
      </m:oMathPara>
    </w:p>
    <w:p w14:paraId="01B52656" w14:textId="77777777" w:rsidR="00AA02E4" w:rsidRPr="00EF7CF9" w:rsidRDefault="00AA02E4" w:rsidP="00AA02E4">
      <w:pPr>
        <w:pStyle w:val="ProductList-Body"/>
      </w:pPr>
      <w:r>
        <w:rPr>
          <w:b/>
          <w:color w:val="00188F"/>
        </w:rPr>
        <w:t>Die folgenden Service-Levels und Servicegutschriften gelten für die Aktivitätsausführungen innerhalb des Data Factory-Dienstes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20188BB8" w14:textId="77777777" w:rsidTr="00277097">
        <w:trPr>
          <w:tblHeader/>
        </w:trPr>
        <w:tc>
          <w:tcPr>
            <w:tcW w:w="5400" w:type="dxa"/>
            <w:shd w:val="clear" w:color="auto" w:fill="0072C6"/>
          </w:tcPr>
          <w:p w14:paraId="1D8C5CEE" w14:textId="195157CF" w:rsidR="00AA02E4"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2CD5C5F8" w14:textId="77777777" w:rsidR="00AA02E4" w:rsidRPr="00EF7CF9" w:rsidRDefault="00AA02E4" w:rsidP="000F31B4">
            <w:pPr>
              <w:pStyle w:val="ProductList-OfferingBody"/>
              <w:jc w:val="center"/>
              <w:rPr>
                <w:color w:val="FFFFFF" w:themeColor="background1"/>
              </w:rPr>
            </w:pPr>
            <w:r>
              <w:rPr>
                <w:color w:val="FFFFFF" w:themeColor="background1"/>
              </w:rPr>
              <w:t>Servicegutschrift</w:t>
            </w:r>
          </w:p>
        </w:tc>
      </w:tr>
      <w:tr w:rsidR="00AA02E4" w:rsidRPr="00B44CF9" w14:paraId="0A555355" w14:textId="77777777" w:rsidTr="00277097">
        <w:tc>
          <w:tcPr>
            <w:tcW w:w="5400" w:type="dxa"/>
            <w:tcBorders>
              <w:bottom w:val="single" w:sz="4" w:space="0" w:color="000000" w:themeColor="text1"/>
            </w:tcBorders>
          </w:tcPr>
          <w:p w14:paraId="68B4D667" w14:textId="77777777" w:rsidR="00AA02E4" w:rsidRPr="00EF7CF9" w:rsidRDefault="00AA02E4" w:rsidP="000F31B4">
            <w:pPr>
              <w:pStyle w:val="ProductList-OfferingBody"/>
              <w:jc w:val="center"/>
            </w:pPr>
            <w:r>
              <w:t>&lt; 99,9 %</w:t>
            </w:r>
          </w:p>
        </w:tc>
        <w:tc>
          <w:tcPr>
            <w:tcW w:w="5400" w:type="dxa"/>
            <w:tcBorders>
              <w:bottom w:val="single" w:sz="4" w:space="0" w:color="000000" w:themeColor="text1"/>
            </w:tcBorders>
          </w:tcPr>
          <w:p w14:paraId="7C920EF9" w14:textId="77777777" w:rsidR="00AA02E4" w:rsidRPr="00EF7CF9" w:rsidRDefault="00AA02E4" w:rsidP="000F31B4">
            <w:pPr>
              <w:pStyle w:val="ProductList-OfferingBody"/>
              <w:jc w:val="center"/>
            </w:pPr>
            <w:r>
              <w:t>10 %</w:t>
            </w:r>
          </w:p>
        </w:tc>
      </w:tr>
      <w:tr w:rsidR="00AA02E4" w:rsidRPr="00B44CF9" w14:paraId="66B4DA7A" w14:textId="77777777" w:rsidTr="00277097">
        <w:tc>
          <w:tcPr>
            <w:tcW w:w="5400" w:type="dxa"/>
            <w:tcBorders>
              <w:bottom w:val="single" w:sz="4" w:space="0" w:color="auto"/>
            </w:tcBorders>
          </w:tcPr>
          <w:p w14:paraId="066A9483" w14:textId="77777777" w:rsidR="00AA02E4" w:rsidRPr="00EF7CF9" w:rsidRDefault="00AA02E4" w:rsidP="000F31B4">
            <w:pPr>
              <w:pStyle w:val="ProductList-OfferingBody"/>
              <w:jc w:val="center"/>
            </w:pPr>
            <w:r>
              <w:t>&lt; 99 %</w:t>
            </w:r>
          </w:p>
        </w:tc>
        <w:tc>
          <w:tcPr>
            <w:tcW w:w="5400" w:type="dxa"/>
            <w:tcBorders>
              <w:bottom w:val="single" w:sz="4" w:space="0" w:color="auto"/>
            </w:tcBorders>
          </w:tcPr>
          <w:p w14:paraId="41D014A5" w14:textId="77777777" w:rsidR="00AA02E4" w:rsidRPr="00EF7CF9" w:rsidRDefault="00AA02E4" w:rsidP="000F31B4">
            <w:pPr>
              <w:pStyle w:val="ProductList-OfferingBody"/>
              <w:jc w:val="center"/>
            </w:pPr>
            <w:r>
              <w:t>25 %</w:t>
            </w:r>
          </w:p>
        </w:tc>
      </w:tr>
    </w:tbl>
    <w:bookmarkStart w:id="272" w:name="_Toc52348951"/>
    <w:bookmarkStart w:id="273" w:name="_Toc457821549"/>
    <w:p w14:paraId="5234C328" w14:textId="7501F10B"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653F84F8" w14:textId="2A9E744D" w:rsidR="00AA02E4" w:rsidRPr="00EF7CF9" w:rsidRDefault="00AA02E4" w:rsidP="00AA02E4">
      <w:pPr>
        <w:pStyle w:val="ProductList-Offering2Heading"/>
        <w:keepNext/>
        <w:tabs>
          <w:tab w:val="clear" w:pos="360"/>
          <w:tab w:val="clear" w:pos="720"/>
          <w:tab w:val="clear" w:pos="1080"/>
        </w:tabs>
        <w:outlineLvl w:val="2"/>
      </w:pPr>
      <w:bookmarkStart w:id="274" w:name="_Toc195543129"/>
      <w:bookmarkStart w:id="275" w:name="_Toc237448986"/>
      <w:r>
        <w:lastRenderedPageBreak/>
        <w:t>Data Lake Analytics</w:t>
      </w:r>
      <w:bookmarkEnd w:id="272"/>
      <w:bookmarkEnd w:id="274"/>
      <w:bookmarkEnd w:id="275"/>
    </w:p>
    <w:p w14:paraId="50DCF9CE" w14:textId="77777777" w:rsidR="00AA02E4" w:rsidRPr="00EF7CF9" w:rsidRDefault="00AA02E4" w:rsidP="00AA02E4">
      <w:pPr>
        <w:pStyle w:val="ProductList-Body"/>
        <w:keepNext/>
        <w:rPr>
          <w:b/>
          <w:color w:val="00188F"/>
        </w:rPr>
      </w:pPr>
      <w:r>
        <w:rPr>
          <w:b/>
          <w:color w:val="00188F"/>
        </w:rPr>
        <w:t>Zusätzliche Definitionen</w:t>
      </w:r>
      <w:r w:rsidRPr="0008262F">
        <w:rPr>
          <w:b/>
          <w:color w:val="00188F"/>
        </w:rPr>
        <w:t>:</w:t>
      </w:r>
    </w:p>
    <w:p w14:paraId="48683A43" w14:textId="60A25E77" w:rsidR="00AA02E4" w:rsidRPr="00EF7CF9" w:rsidRDefault="00AA02E4" w:rsidP="00AA02E4">
      <w:pPr>
        <w:pStyle w:val="ProductList-Body"/>
      </w:pPr>
      <w:r>
        <w:t>„</w:t>
      </w:r>
      <w:r>
        <w:rPr>
          <w:b/>
          <w:color w:val="00188F"/>
        </w:rPr>
        <w:t>Gesamtanzahl der Vorgänge</w:t>
      </w:r>
      <w:r>
        <w:t xml:space="preserve">“ bezeichnet die Gesamtanzahl aller authentifizierten Vorgänge, die innerhalb eines Zeitraums von einer Stunde über alle Data Lake Analytics-Konten hinweg innerhalb eines bestimmten Azure-Abonnements in einem Anwendbaren Zeitraum versucht wurden. </w:t>
      </w:r>
    </w:p>
    <w:p w14:paraId="619001CB" w14:textId="77777777" w:rsidR="00AA02E4" w:rsidRPr="00B32E8E" w:rsidRDefault="00AA02E4" w:rsidP="00AA02E4">
      <w:pPr>
        <w:spacing w:after="0" w:line="240" w:lineRule="auto"/>
        <w:rPr>
          <w:rFonts w:ascii="Calibri" w:eastAsia="Calibri" w:hAnsi="Calibri" w:cs="Calibri"/>
          <w:sz w:val="18"/>
          <w:szCs w:val="18"/>
        </w:rPr>
      </w:pPr>
      <w:r>
        <w:rPr>
          <w:sz w:val="18"/>
          <w:szCs w:val="18"/>
        </w:rPr>
        <w:t>„</w:t>
      </w:r>
      <w:r>
        <w:rPr>
          <w:b/>
          <w:color w:val="00188F"/>
          <w:sz w:val="18"/>
          <w:szCs w:val="18"/>
        </w:rPr>
        <w:t>Fehlerhafte Vorgänge</w:t>
      </w:r>
      <w:r>
        <w:rPr>
          <w:sz w:val="18"/>
          <w:szCs w:val="18"/>
        </w:rPr>
        <w:t>“ ist die Menge aller Vorgänge innerhalb der Gesamtzahl der Vorgänge, die entweder einen Fehlercode zurückgeben oder keinen Erfolgscode innerhalb von 5 Minuten für die Erstellung und Löschung von Konten und 25 Sekunden für alle anderen Vorgänge mit zusätzlichen 2 Sekunden pro MB für Vorgänge mit Nutzdaten</w:t>
      </w:r>
      <w:r>
        <w:rPr>
          <w:rFonts w:ascii="Calibri" w:eastAsia="Calibri" w:hAnsi="Calibri" w:cs="Calibri"/>
          <w:sz w:val="18"/>
          <w:szCs w:val="18"/>
        </w:rPr>
        <w:t xml:space="preserve"> zurückgeben.</w:t>
      </w:r>
    </w:p>
    <w:p w14:paraId="6CA1A056" w14:textId="77777777" w:rsidR="00AA02E4" w:rsidRPr="00EF7CF9" w:rsidRDefault="00AA02E4" w:rsidP="00AA02E4">
      <w:pPr>
        <w:pStyle w:val="NormalWeb"/>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Pr>
          <w:rFonts w:asciiTheme="minorHAnsi" w:eastAsiaTheme="minorHAnsi" w:hAnsiTheme="minorHAnsi" w:cstheme="minorBidi"/>
          <w:b/>
          <w:color w:val="00188F"/>
          <w:sz w:val="18"/>
          <w:szCs w:val="22"/>
        </w:rPr>
        <w:t>Fehlerrate</w:t>
      </w:r>
      <w:r>
        <w:rPr>
          <w:rFonts w:asciiTheme="minorHAnsi" w:eastAsiaTheme="minorHAnsi" w:hAnsiTheme="minorHAnsi" w:cstheme="minorBidi"/>
          <w:sz w:val="18"/>
          <w:szCs w:val="22"/>
        </w:rPr>
        <w:t>“</w:t>
      </w:r>
      <w:r>
        <w:rPr>
          <w:rFonts w:asciiTheme="minorHAnsi" w:hAnsiTheme="minorHAnsi" w:cstheme="minorHAnsi"/>
          <w:sz w:val="18"/>
          <w:szCs w:val="18"/>
        </w:rPr>
        <w:t xml:space="preserve"> </w:t>
      </w:r>
      <w:r>
        <w:rPr>
          <w:rFonts w:asciiTheme="minorHAnsi" w:eastAsiaTheme="minorHAnsi" w:hAnsiTheme="minorHAnsi" w:cstheme="minorBidi"/>
          <w:sz w:val="18"/>
          <w:szCs w:val="22"/>
        </w:rPr>
        <w:t>ist die Gesamtzahl der Fehlerhaften Vorgänge geteilt durch die Gesamtzahl der Vorgänge im Verlauf eines bestimmten Ein-Stunden-Intervalls. Ist die Gesamtzahl der Vorgänge in einem einstündigen Intervall = 0, so ist die Fehlerrate für dieses Intervall = 0 %.</w:t>
      </w:r>
    </w:p>
    <w:p w14:paraId="456F89ED" w14:textId="793C232D" w:rsidR="00AA02E4" w:rsidRPr="00EF7CF9" w:rsidRDefault="00AC48A7" w:rsidP="00AA02E4">
      <w:pPr>
        <w:pStyle w:val="ProductList-Body"/>
      </w:pPr>
      <w:r>
        <w:rPr>
          <w:b/>
          <w:color w:val="00188F"/>
        </w:rPr>
        <w:t>Betriebszeitprozentsatz</w:t>
      </w:r>
      <w:r w:rsidRPr="0008262F">
        <w:rPr>
          <w:b/>
          <w:color w:val="00188F"/>
        </w:rPr>
        <w:t>:</w:t>
      </w:r>
      <w:r>
        <w:t xml:space="preserve"> Der Betriebszeitprozentsatz errechnet sich nach folgender Formel:</w:t>
      </w:r>
    </w:p>
    <w:p w14:paraId="630B3272" w14:textId="77777777" w:rsidR="00AA02E4" w:rsidRPr="00EF7CF9" w:rsidRDefault="00AA02E4" w:rsidP="00AA02E4">
      <w:pPr>
        <w:pStyle w:val="ProductList-Body"/>
      </w:pPr>
    </w:p>
    <w:p w14:paraId="3F9B2817" w14:textId="43D2FA90" w:rsidR="00AA02E4" w:rsidRPr="00EF7CF9" w:rsidRDefault="008E31A8" w:rsidP="00547437">
      <w:pPr>
        <w:pStyle w:val="ListParagraph"/>
        <w:spacing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abzüglich Durchschnittliche Fehlerrate</m:t>
          </m:r>
        </m:oMath>
      </m:oMathPara>
    </w:p>
    <w:p w14:paraId="3E5DCAAE" w14:textId="77777777" w:rsidR="00AA02E4" w:rsidRPr="00EF7CF9" w:rsidRDefault="00AA02E4" w:rsidP="00AA02E4">
      <w:pPr>
        <w:pStyle w:val="ProductList-Body"/>
      </w:pPr>
      <w:r>
        <w:rPr>
          <w:b/>
          <w:color w:val="00188F"/>
        </w:rPr>
        <w:t>Servicegutschrift</w:t>
      </w:r>
      <w:r w:rsidRPr="0008262F">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7623A6D3" w14:textId="77777777" w:rsidTr="00277097">
        <w:trPr>
          <w:tblHeader/>
        </w:trPr>
        <w:tc>
          <w:tcPr>
            <w:tcW w:w="5400" w:type="dxa"/>
            <w:shd w:val="clear" w:color="auto" w:fill="0072C6"/>
          </w:tcPr>
          <w:p w14:paraId="2F354443" w14:textId="131E5F13" w:rsidR="00AA02E4"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29888A05" w14:textId="77777777" w:rsidR="00AA02E4" w:rsidRPr="00EF7CF9" w:rsidRDefault="00AA02E4" w:rsidP="000F31B4">
            <w:pPr>
              <w:pStyle w:val="ProductList-OfferingBody"/>
              <w:jc w:val="center"/>
              <w:rPr>
                <w:color w:val="FFFFFF" w:themeColor="background1"/>
              </w:rPr>
            </w:pPr>
            <w:r>
              <w:rPr>
                <w:color w:val="FFFFFF" w:themeColor="background1"/>
              </w:rPr>
              <w:t>Servicegutschrift</w:t>
            </w:r>
          </w:p>
        </w:tc>
      </w:tr>
      <w:tr w:rsidR="00AA02E4" w:rsidRPr="00B44CF9" w14:paraId="06140D84" w14:textId="77777777" w:rsidTr="00277097">
        <w:tc>
          <w:tcPr>
            <w:tcW w:w="5400" w:type="dxa"/>
          </w:tcPr>
          <w:p w14:paraId="50C3D1A8" w14:textId="77777777" w:rsidR="00AA02E4" w:rsidRPr="00EF7CF9" w:rsidRDefault="00AA02E4" w:rsidP="000F31B4">
            <w:pPr>
              <w:pStyle w:val="ProductList-OfferingBody"/>
              <w:jc w:val="center"/>
            </w:pPr>
            <w:r>
              <w:t>&lt; 99,9 %</w:t>
            </w:r>
          </w:p>
        </w:tc>
        <w:tc>
          <w:tcPr>
            <w:tcW w:w="5400" w:type="dxa"/>
          </w:tcPr>
          <w:p w14:paraId="034EEE2E" w14:textId="77777777" w:rsidR="00AA02E4" w:rsidRPr="00EF7CF9" w:rsidRDefault="00AA02E4" w:rsidP="000F31B4">
            <w:pPr>
              <w:pStyle w:val="ProductList-OfferingBody"/>
              <w:jc w:val="center"/>
            </w:pPr>
            <w:r>
              <w:t>10 %</w:t>
            </w:r>
          </w:p>
        </w:tc>
      </w:tr>
      <w:tr w:rsidR="00AA02E4" w:rsidRPr="00B44CF9" w14:paraId="76FA4CFF" w14:textId="77777777" w:rsidTr="00277097">
        <w:tc>
          <w:tcPr>
            <w:tcW w:w="5400" w:type="dxa"/>
          </w:tcPr>
          <w:p w14:paraId="4A573A46" w14:textId="77777777" w:rsidR="00AA02E4" w:rsidRPr="00EF7CF9" w:rsidRDefault="00AA02E4" w:rsidP="000F31B4">
            <w:pPr>
              <w:pStyle w:val="ProductList-OfferingBody"/>
              <w:jc w:val="center"/>
            </w:pPr>
            <w:r>
              <w:t>&lt; 99 %</w:t>
            </w:r>
          </w:p>
        </w:tc>
        <w:tc>
          <w:tcPr>
            <w:tcW w:w="5400" w:type="dxa"/>
          </w:tcPr>
          <w:p w14:paraId="0F637E8B" w14:textId="77777777" w:rsidR="00AA02E4" w:rsidRPr="00EF7CF9" w:rsidRDefault="00AA02E4" w:rsidP="000F31B4">
            <w:pPr>
              <w:pStyle w:val="ProductList-OfferingBody"/>
              <w:jc w:val="center"/>
            </w:pPr>
            <w:r>
              <w:t>25 %</w:t>
            </w:r>
          </w:p>
        </w:tc>
      </w:tr>
    </w:tbl>
    <w:bookmarkStart w:id="276" w:name="_Toc52348952"/>
    <w:p w14:paraId="65B1BD99" w14:textId="35249ED3"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7C2039DF" w14:textId="77777777" w:rsidR="00AA02E4" w:rsidRPr="00EF7CF9" w:rsidRDefault="00AA02E4" w:rsidP="001817B0">
      <w:pPr>
        <w:pStyle w:val="ProductList-Offering2Heading"/>
        <w:keepNext/>
        <w:tabs>
          <w:tab w:val="clear" w:pos="360"/>
          <w:tab w:val="clear" w:pos="720"/>
          <w:tab w:val="clear" w:pos="1080"/>
        </w:tabs>
        <w:outlineLvl w:val="2"/>
      </w:pPr>
      <w:bookmarkStart w:id="277" w:name="_Toc195543130"/>
      <w:bookmarkStart w:id="278" w:name="_Toc237448987"/>
      <w:r>
        <w:t>Data Lake Storage Gen1</w:t>
      </w:r>
      <w:bookmarkEnd w:id="276"/>
      <w:bookmarkEnd w:id="277"/>
      <w:bookmarkEnd w:id="278"/>
    </w:p>
    <w:p w14:paraId="7B5916C5" w14:textId="77777777" w:rsidR="00AA02E4" w:rsidRPr="00EF7CF9" w:rsidRDefault="00AA02E4" w:rsidP="00AA02E4">
      <w:pPr>
        <w:pStyle w:val="ProductList-Body"/>
        <w:rPr>
          <w:b/>
          <w:color w:val="00188F"/>
        </w:rPr>
      </w:pPr>
      <w:r>
        <w:rPr>
          <w:b/>
          <w:color w:val="00188F"/>
        </w:rPr>
        <w:t>Zusätzliche Definitionen</w:t>
      </w:r>
      <w:r w:rsidRPr="0008262F">
        <w:rPr>
          <w:b/>
          <w:color w:val="00188F"/>
        </w:rPr>
        <w:t>:</w:t>
      </w:r>
    </w:p>
    <w:p w14:paraId="23CB8006" w14:textId="0F321AC5" w:rsidR="00AA02E4" w:rsidRPr="00EF7CF9" w:rsidRDefault="00AA02E4" w:rsidP="00C5689E">
      <w:pPr>
        <w:pStyle w:val="ProductList-Body"/>
        <w:ind w:right="270"/>
      </w:pPr>
      <w:r>
        <w:t>„</w:t>
      </w:r>
      <w:r>
        <w:rPr>
          <w:b/>
          <w:color w:val="00188F"/>
        </w:rPr>
        <w:t>Gesamtanzahl der Vorgänge</w:t>
      </w:r>
      <w:r>
        <w:t>“ bezeichnet die Gesamtanzahl aller authentifizierten Vorgänge, die innerhalb einer Stunde über alle Data Lake Store-Konten hinweg innerhalb eines bestimmten Azure-Abonnements in einem Anwendbaren Zeitraum versucht wurden.</w:t>
      </w:r>
    </w:p>
    <w:p w14:paraId="50FB34C7" w14:textId="58F96450" w:rsidR="00AA02E4" w:rsidRPr="00B32E8E" w:rsidRDefault="00AA02E4" w:rsidP="00AA02E4">
      <w:pPr>
        <w:spacing w:after="0" w:line="240" w:lineRule="auto"/>
        <w:rPr>
          <w:rFonts w:ascii="Calibri" w:eastAsia="Calibri" w:hAnsi="Calibri" w:cs="Calibri"/>
          <w:sz w:val="18"/>
          <w:szCs w:val="18"/>
        </w:rPr>
      </w:pPr>
      <w:r>
        <w:rPr>
          <w:sz w:val="18"/>
          <w:szCs w:val="18"/>
        </w:rPr>
        <w:t>„</w:t>
      </w:r>
      <w:r>
        <w:rPr>
          <w:b/>
          <w:color w:val="00188F"/>
          <w:sz w:val="18"/>
          <w:szCs w:val="18"/>
        </w:rPr>
        <w:t>Fehlerhafte Vorgänge</w:t>
      </w:r>
      <w:r>
        <w:rPr>
          <w:sz w:val="18"/>
          <w:szCs w:val="18"/>
        </w:rPr>
        <w:t>“ ist die Menge aller Vorgänge innerhalb der Gesamtheit der Vorgänge, die entweder einen Fehlercode oder keinen Erfolgscode innerhalb von 5 Minuten für die Erstellung und Löschung von Konten, 2 Sekunden pro Datei für Vorgänge an mehreren Dateien, 2</w:t>
      </w:r>
      <w:r w:rsidR="00C5689E">
        <w:rPr>
          <w:sz w:val="18"/>
          <w:szCs w:val="18"/>
        </w:rPr>
        <w:t> </w:t>
      </w:r>
      <w:r>
        <w:rPr>
          <w:sz w:val="18"/>
          <w:szCs w:val="18"/>
        </w:rPr>
        <w:t>Sekunden pro MB für Datenübertragungsvorgänge und 2 Sekunden für alle anderen Vorgänge zurückgeben.</w:t>
      </w:r>
    </w:p>
    <w:p w14:paraId="5024A4E3" w14:textId="77777777" w:rsidR="00AA02E4" w:rsidRDefault="00AA02E4" w:rsidP="00AA02E4">
      <w:pPr>
        <w:pStyle w:val="NormalWeb"/>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Pr>
          <w:rFonts w:asciiTheme="minorHAnsi" w:eastAsiaTheme="minorHAnsi" w:hAnsiTheme="minorHAnsi" w:cstheme="minorBidi"/>
          <w:b/>
          <w:color w:val="00188F"/>
          <w:sz w:val="18"/>
          <w:szCs w:val="22"/>
        </w:rPr>
        <w:t>Fehlerrate</w:t>
      </w:r>
      <w:r>
        <w:rPr>
          <w:rFonts w:asciiTheme="minorHAnsi" w:eastAsiaTheme="minorHAnsi" w:hAnsiTheme="minorHAnsi" w:cstheme="minorBidi"/>
          <w:sz w:val="18"/>
          <w:szCs w:val="22"/>
        </w:rPr>
        <w:t>“</w:t>
      </w:r>
      <w:r>
        <w:rPr>
          <w:rFonts w:asciiTheme="minorHAnsi" w:hAnsiTheme="minorHAnsi" w:cstheme="minorHAnsi"/>
          <w:sz w:val="18"/>
          <w:szCs w:val="18"/>
        </w:rPr>
        <w:t xml:space="preserve"> </w:t>
      </w:r>
      <w:r>
        <w:rPr>
          <w:rFonts w:asciiTheme="minorHAnsi" w:eastAsiaTheme="minorHAnsi" w:hAnsiTheme="minorHAnsi" w:cstheme="minorBidi"/>
          <w:sz w:val="18"/>
          <w:szCs w:val="22"/>
        </w:rPr>
        <w:t>ist die Gesamtzahl der Fehlerhaften Vorgänge geteilt durch die Gesamtzahl der Vorgänge im Verlauf eines bestimmten Ein-Stunden-Intervalls. Ist die Gesamtzahl der Vorgänge in einem einstündigen Intervall = 0, so ist die Fehlerrate für dieses Intervall = 0 %.</w:t>
      </w:r>
    </w:p>
    <w:p w14:paraId="28D67634" w14:textId="12476D75" w:rsidR="00AA02E4" w:rsidRPr="00ED4527" w:rsidRDefault="00AA02E4" w:rsidP="00AA02E4">
      <w:pPr>
        <w:pStyle w:val="NormalWeb"/>
        <w:shd w:val="clear" w:color="auto" w:fill="FFFFFF"/>
        <w:spacing w:before="0" w:beforeAutospacing="0" w:after="0" w:afterAutospacing="0"/>
        <w:rPr>
          <w:rFonts w:asciiTheme="minorHAnsi" w:eastAsiaTheme="minorHAnsi" w:hAnsiTheme="minorHAnsi" w:cstheme="minorBidi"/>
          <w:color w:val="000000" w:themeColor="text1"/>
          <w:sz w:val="18"/>
          <w:szCs w:val="22"/>
        </w:rPr>
      </w:pPr>
      <w:r>
        <w:rPr>
          <w:rFonts w:asciiTheme="minorHAnsi" w:eastAsiaTheme="minorHAnsi" w:hAnsiTheme="minorHAnsi" w:cstheme="minorBidi"/>
          <w:color w:val="000000" w:themeColor="text1"/>
          <w:sz w:val="18"/>
          <w:szCs w:val="22"/>
        </w:rPr>
        <w:t>Die „</w:t>
      </w:r>
      <w:r>
        <w:rPr>
          <w:rFonts w:asciiTheme="minorHAnsi" w:eastAsiaTheme="minorHAnsi" w:hAnsiTheme="minorHAnsi" w:cstheme="minorBidi"/>
          <w:b/>
          <w:bCs/>
          <w:color w:val="00188F"/>
          <w:sz w:val="18"/>
          <w:szCs w:val="22"/>
        </w:rPr>
        <w:t>Durchschnittliche Fehlerrate</w:t>
      </w:r>
      <w:r w:rsidR="00C5689E">
        <w:rPr>
          <w:rFonts w:asciiTheme="minorHAnsi" w:eastAsiaTheme="minorHAnsi" w:hAnsiTheme="minorHAnsi" w:cstheme="minorBidi"/>
          <w:sz w:val="18"/>
          <w:szCs w:val="22"/>
        </w:rPr>
        <w:t>“</w:t>
      </w:r>
      <w:r>
        <w:rPr>
          <w:rFonts w:asciiTheme="minorHAnsi" w:eastAsiaTheme="minorHAnsi" w:hAnsiTheme="minorHAnsi" w:cstheme="minorBidi"/>
          <w:color w:val="000000" w:themeColor="text1"/>
          <w:sz w:val="18"/>
          <w:szCs w:val="22"/>
        </w:rPr>
        <w:t xml:space="preserve"> für einen Anwendbaren Zeitraum ist die Summe der Fehlerraten für jede Stunde im Anwendbaren Zeitraum geteilt durch die Gesamtzahl der Stunden im Anwendbaren Zeitraum.</w:t>
      </w:r>
    </w:p>
    <w:p w14:paraId="6D17646E" w14:textId="31EF5011" w:rsidR="00AA02E4" w:rsidRDefault="00AA02E4" w:rsidP="00AA02E4">
      <w:pPr>
        <w:pStyle w:val="ProductList-Body"/>
      </w:pPr>
      <w:r>
        <w:t xml:space="preserve">Der </w:t>
      </w:r>
      <w:r w:rsidRPr="00620CAD">
        <w:t>„</w:t>
      </w:r>
      <w:r>
        <w:rPr>
          <w:b/>
          <w:color w:val="00188F"/>
        </w:rPr>
        <w:t>Betriebszeitprozentsatz</w:t>
      </w:r>
      <w:r>
        <w:t xml:space="preserve">“ wird berechnet, indem von 100 % die Durchschnittliche Fehlerrate für ein bestimmtes Microsoft Azure-Abonnement in einem Anwendbaren Zeitraum abgezogen wird. </w:t>
      </w:r>
    </w:p>
    <w:p w14:paraId="3574B1AB" w14:textId="44DF7591" w:rsidR="00AA02E4" w:rsidRPr="00EF7CF9" w:rsidRDefault="00AA02E4" w:rsidP="00AA02E4">
      <w:pPr>
        <w:pStyle w:val="ProductList-Body"/>
      </w:pPr>
      <w:r>
        <w:t>Der Betriebszeitprozentsatz errechnet sich nach folgender Formel:</w:t>
      </w:r>
    </w:p>
    <w:p w14:paraId="58D0C190" w14:textId="77777777" w:rsidR="00AA02E4" w:rsidRPr="00EF7CF9" w:rsidRDefault="00AA02E4" w:rsidP="00AA02E4">
      <w:pPr>
        <w:pStyle w:val="ProductList-Body"/>
      </w:pPr>
    </w:p>
    <w:p w14:paraId="5B9EA659" w14:textId="792DF810" w:rsidR="00AA02E4" w:rsidRPr="00EF7CF9" w:rsidRDefault="008E31A8" w:rsidP="00547437">
      <w:pPr>
        <w:pStyle w:val="ListParagraph"/>
        <w:spacing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abzüglich Durchschnittliche Fehlerrate</m:t>
          </m:r>
        </m:oMath>
      </m:oMathPara>
    </w:p>
    <w:p w14:paraId="706099E4" w14:textId="77777777" w:rsidR="00AA02E4" w:rsidRPr="00EF7CF9" w:rsidRDefault="00AA02E4" w:rsidP="00AA02E4">
      <w:pPr>
        <w:pStyle w:val="ProductList-Body"/>
        <w:keepNext/>
      </w:pPr>
      <w:r>
        <w:rPr>
          <w:b/>
          <w:color w:val="00188F"/>
        </w:rPr>
        <w:t>Servicegutschrift</w:t>
      </w:r>
      <w:r w:rsidRPr="0008262F">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3D31FD7C" w14:textId="77777777" w:rsidTr="00277097">
        <w:trPr>
          <w:tblHeader/>
        </w:trPr>
        <w:tc>
          <w:tcPr>
            <w:tcW w:w="5400" w:type="dxa"/>
            <w:shd w:val="clear" w:color="auto" w:fill="0072C6"/>
          </w:tcPr>
          <w:p w14:paraId="44FCBFCE" w14:textId="4BAE09E7" w:rsidR="00AA02E4"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2F5724F8" w14:textId="77777777" w:rsidR="00AA02E4" w:rsidRPr="00EF7CF9" w:rsidRDefault="00AA02E4" w:rsidP="000F31B4">
            <w:pPr>
              <w:pStyle w:val="ProductList-OfferingBody"/>
              <w:jc w:val="center"/>
              <w:rPr>
                <w:color w:val="FFFFFF" w:themeColor="background1"/>
              </w:rPr>
            </w:pPr>
            <w:r>
              <w:rPr>
                <w:color w:val="FFFFFF" w:themeColor="background1"/>
              </w:rPr>
              <w:t>Servicegutschrift</w:t>
            </w:r>
          </w:p>
        </w:tc>
      </w:tr>
      <w:tr w:rsidR="00AA02E4" w:rsidRPr="00B44CF9" w14:paraId="0C9CD3B2" w14:textId="77777777" w:rsidTr="00277097">
        <w:tc>
          <w:tcPr>
            <w:tcW w:w="5400" w:type="dxa"/>
          </w:tcPr>
          <w:p w14:paraId="41D64B26" w14:textId="77777777" w:rsidR="00AA02E4" w:rsidRPr="00EF7CF9" w:rsidRDefault="00AA02E4" w:rsidP="000F31B4">
            <w:pPr>
              <w:pStyle w:val="ProductList-OfferingBody"/>
              <w:jc w:val="center"/>
            </w:pPr>
            <w:r>
              <w:t>&lt; 99,9 %</w:t>
            </w:r>
          </w:p>
        </w:tc>
        <w:tc>
          <w:tcPr>
            <w:tcW w:w="5400" w:type="dxa"/>
          </w:tcPr>
          <w:p w14:paraId="550DC71F" w14:textId="77777777" w:rsidR="00AA02E4" w:rsidRPr="00EF7CF9" w:rsidRDefault="00AA02E4" w:rsidP="000F31B4">
            <w:pPr>
              <w:pStyle w:val="ProductList-OfferingBody"/>
              <w:jc w:val="center"/>
            </w:pPr>
            <w:r>
              <w:t>10 %</w:t>
            </w:r>
          </w:p>
        </w:tc>
      </w:tr>
      <w:tr w:rsidR="00AA02E4" w:rsidRPr="00B44CF9" w14:paraId="04B79824" w14:textId="77777777" w:rsidTr="00277097">
        <w:tc>
          <w:tcPr>
            <w:tcW w:w="5400" w:type="dxa"/>
          </w:tcPr>
          <w:p w14:paraId="7772088F" w14:textId="77777777" w:rsidR="00AA02E4" w:rsidRPr="00EF7CF9" w:rsidRDefault="00AA02E4" w:rsidP="000F31B4">
            <w:pPr>
              <w:pStyle w:val="ProductList-OfferingBody"/>
              <w:jc w:val="center"/>
            </w:pPr>
            <w:r>
              <w:t>&lt; 99 %</w:t>
            </w:r>
          </w:p>
        </w:tc>
        <w:tc>
          <w:tcPr>
            <w:tcW w:w="5400" w:type="dxa"/>
          </w:tcPr>
          <w:p w14:paraId="6CBF5F4A" w14:textId="77777777" w:rsidR="00AA02E4" w:rsidRPr="00EF7CF9" w:rsidRDefault="00AA02E4" w:rsidP="000F31B4">
            <w:pPr>
              <w:pStyle w:val="ProductList-OfferingBody"/>
              <w:jc w:val="center"/>
            </w:pPr>
            <w:r>
              <w:t>25 %</w:t>
            </w:r>
          </w:p>
        </w:tc>
      </w:tr>
    </w:tbl>
    <w:bookmarkEnd w:id="273"/>
    <w:p w14:paraId="428E25DD" w14:textId="7254B6BA"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5AAEE03E" w14:textId="08090ABD" w:rsidR="00C71243" w:rsidRPr="00C71243" w:rsidRDefault="00C71243" w:rsidP="00C71243">
      <w:pPr>
        <w:pStyle w:val="ProductList-Offering2Heading"/>
        <w:keepNext/>
        <w:tabs>
          <w:tab w:val="clear" w:pos="360"/>
          <w:tab w:val="clear" w:pos="720"/>
          <w:tab w:val="clear" w:pos="1080"/>
        </w:tabs>
        <w:outlineLvl w:val="2"/>
      </w:pPr>
      <w:bookmarkStart w:id="279" w:name="_Toc195543131"/>
      <w:bookmarkStart w:id="280" w:name="_Toc237448988"/>
      <w:r>
        <w:t>Azure-Datenbank für MariaDB</w:t>
      </w:r>
      <w:bookmarkEnd w:id="279"/>
      <w:bookmarkEnd w:id="280"/>
    </w:p>
    <w:p w14:paraId="01DD9227" w14:textId="77777777" w:rsidR="00C71243" w:rsidRPr="00C71243" w:rsidRDefault="00C71243" w:rsidP="00C71243">
      <w:pPr>
        <w:pStyle w:val="ProductList-Body"/>
        <w:rPr>
          <w:b/>
          <w:bCs/>
          <w:color w:val="00188F"/>
        </w:rPr>
      </w:pPr>
      <w:r>
        <w:rPr>
          <w:b/>
          <w:bCs/>
          <w:color w:val="00188F"/>
        </w:rPr>
        <w:t>Zusätzliche Definitionen</w:t>
      </w:r>
    </w:p>
    <w:p w14:paraId="2C3C9DAA" w14:textId="77777777" w:rsidR="00C71243" w:rsidRDefault="00C71243" w:rsidP="00C71243">
      <w:pPr>
        <w:pStyle w:val="ProductList-Body"/>
      </w:pPr>
      <w:r>
        <w:t>„</w:t>
      </w:r>
      <w:r>
        <w:rPr>
          <w:b/>
          <w:bCs/>
          <w:color w:val="00188F"/>
        </w:rPr>
        <w:t>Server</w:t>
      </w:r>
      <w:r>
        <w:t>“ bezieht sich auf eine beliebige Azure Datenbank für den MariaDB-Server.</w:t>
      </w:r>
    </w:p>
    <w:p w14:paraId="426A35BB" w14:textId="243FC877" w:rsidR="00C71243" w:rsidRPr="00C71243" w:rsidRDefault="00EE6E3C" w:rsidP="00C71243">
      <w:pPr>
        <w:pStyle w:val="ProductList-Body"/>
        <w:spacing w:before="120"/>
        <w:rPr>
          <w:b/>
          <w:bCs/>
          <w:color w:val="00188F"/>
        </w:rPr>
      </w:pPr>
      <w:r>
        <w:rPr>
          <w:b/>
          <w:bCs/>
          <w:color w:val="00188F"/>
        </w:rPr>
        <w:t>Berechnung der Betriebszeit und Service-Levels für eine Microsoft Azure Datenbank für MariaDB</w:t>
      </w:r>
    </w:p>
    <w:p w14:paraId="7F9C0DD0" w14:textId="3DFA37E6" w:rsidR="00C71243" w:rsidRDefault="00C71243" w:rsidP="00C71243">
      <w:pPr>
        <w:pStyle w:val="ProductList-Body"/>
      </w:pPr>
      <w:r>
        <w:t>„</w:t>
      </w:r>
      <w:r>
        <w:rPr>
          <w:b/>
          <w:bCs/>
          <w:color w:val="00188F"/>
        </w:rPr>
        <w:t>Maximal Verfügbare Minuten</w:t>
      </w:r>
      <w:r>
        <w:t>“ ist die Gesamtzahl der Minuten für einen bestimmten Server, der von einem Kunden im Rahmen eines Microsoft Azure-Abonnements während eines Anwendbaren Zeitraums bereitgestellt wird.</w:t>
      </w:r>
    </w:p>
    <w:p w14:paraId="21BFD013" w14:textId="77777777" w:rsidR="00C71243" w:rsidRPr="008E31A8" w:rsidRDefault="00C71243" w:rsidP="00C71243">
      <w:pPr>
        <w:pStyle w:val="ProductList-Body"/>
        <w:rPr>
          <w:spacing w:val="-2"/>
        </w:rPr>
      </w:pPr>
      <w:r w:rsidRPr="008E31A8">
        <w:rPr>
          <w:spacing w:val="-2"/>
        </w:rPr>
        <w:t>„</w:t>
      </w:r>
      <w:r w:rsidRPr="008E31A8">
        <w:rPr>
          <w:b/>
          <w:bCs/>
          <w:color w:val="00188F"/>
          <w:spacing w:val="-2"/>
        </w:rPr>
        <w:t>Ausfallzeit</w:t>
      </w:r>
      <w:r w:rsidRPr="008E31A8">
        <w:rPr>
          <w:spacing w:val="-2"/>
        </w:rPr>
        <w:t>“ ist die Gesamtzahl der Minuten innerhalb der Maximal Verfügbaren Minuten, während denen ein Server nicht verfügbar ist. Eine Minute gilt als nicht verfügbar, wenn alle fortlaufenden Versuche des Kunden, eine Verbindung zum Server herzustellen, einen Fehlercode ergeben.</w:t>
      </w:r>
    </w:p>
    <w:p w14:paraId="0D0C4BE2" w14:textId="433F5503" w:rsidR="00C71243" w:rsidRDefault="00C71243" w:rsidP="00C71243">
      <w:pPr>
        <w:pStyle w:val="ProductList-Body"/>
      </w:pPr>
      <w:r>
        <w:t>Der „</w:t>
      </w:r>
      <w:r>
        <w:rPr>
          <w:b/>
          <w:bCs/>
          <w:color w:val="00188F"/>
        </w:rPr>
        <w:t>Betriebszeitprozentsatz</w:t>
      </w:r>
      <w:r>
        <w:t>“ für die Azure Datenbank für MariaDB wird als die Maximal Verfügbaren Minuten abzüglich Ausfallzeit geteilt durch die Maximal Verfügbaren Minuten berechnet.</w:t>
      </w:r>
    </w:p>
    <w:p w14:paraId="2EB00BE0" w14:textId="6FAD217D" w:rsidR="00C71243" w:rsidRDefault="00AC48A7" w:rsidP="00C71243">
      <w:pPr>
        <w:pStyle w:val="ProductList-Body"/>
      </w:pPr>
      <w:r>
        <w:t>Der Betriebszeitprozentsatz wird durch die folgende Formel ermittelt:</w:t>
      </w:r>
    </w:p>
    <w:p w14:paraId="505452FD" w14:textId="739277A5" w:rsidR="00C71243" w:rsidRPr="007C7313" w:rsidRDefault="00000000" w:rsidP="00B820B8">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40F69D4B" w14:textId="77777777" w:rsidR="00C71243" w:rsidRPr="00C71243" w:rsidRDefault="00C71243" w:rsidP="00C71243">
      <w:pPr>
        <w:pStyle w:val="ProductList-Body"/>
        <w:keepNext/>
        <w:rPr>
          <w:b/>
          <w:bCs/>
          <w:color w:val="00188F"/>
        </w:rPr>
      </w:pPr>
      <w:r>
        <w:rPr>
          <w:b/>
          <w:bCs/>
          <w:color w:val="00188F"/>
        </w:rPr>
        <w:lastRenderedPageBreak/>
        <w:t>Die folgenden Service-Levels und Servicegutschriften gelten für die Nutzung der Microsoft Azure Datenbank für MariaDB:</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71243" w:rsidRPr="00B44CF9" w14:paraId="75B2C8E6" w14:textId="77777777" w:rsidTr="00277097">
        <w:trPr>
          <w:tblHeader/>
        </w:trPr>
        <w:tc>
          <w:tcPr>
            <w:tcW w:w="5400" w:type="dxa"/>
            <w:shd w:val="clear" w:color="auto" w:fill="0072C6"/>
          </w:tcPr>
          <w:p w14:paraId="311665D1" w14:textId="489FA8E4" w:rsidR="00C71243"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434CD5CC" w14:textId="77777777" w:rsidR="00C71243" w:rsidRPr="00EF7CF9" w:rsidRDefault="00C71243" w:rsidP="000F31B4">
            <w:pPr>
              <w:pStyle w:val="ProductList-OfferingBody"/>
              <w:jc w:val="center"/>
              <w:rPr>
                <w:color w:val="FFFFFF" w:themeColor="background1"/>
              </w:rPr>
            </w:pPr>
            <w:r>
              <w:rPr>
                <w:color w:val="FFFFFF" w:themeColor="background1"/>
              </w:rPr>
              <w:t>Servicegutschrift</w:t>
            </w:r>
          </w:p>
        </w:tc>
      </w:tr>
      <w:tr w:rsidR="00C71243" w:rsidRPr="00B44CF9" w14:paraId="70F92965" w14:textId="77777777" w:rsidTr="00277097">
        <w:tc>
          <w:tcPr>
            <w:tcW w:w="5400" w:type="dxa"/>
          </w:tcPr>
          <w:p w14:paraId="66D21EEE" w14:textId="00C67912" w:rsidR="00C71243" w:rsidRPr="00EF7CF9" w:rsidRDefault="00C71243" w:rsidP="000F31B4">
            <w:pPr>
              <w:pStyle w:val="ProductList-OfferingBody"/>
              <w:jc w:val="center"/>
            </w:pPr>
            <w:r>
              <w:t>&lt; 99,99 %</w:t>
            </w:r>
          </w:p>
        </w:tc>
        <w:tc>
          <w:tcPr>
            <w:tcW w:w="5400" w:type="dxa"/>
          </w:tcPr>
          <w:p w14:paraId="25F98893" w14:textId="77777777" w:rsidR="00C71243" w:rsidRPr="00EF7CF9" w:rsidRDefault="00C71243" w:rsidP="000F31B4">
            <w:pPr>
              <w:pStyle w:val="ProductList-OfferingBody"/>
              <w:jc w:val="center"/>
            </w:pPr>
            <w:r>
              <w:t>10 %</w:t>
            </w:r>
          </w:p>
        </w:tc>
      </w:tr>
      <w:tr w:rsidR="00C71243" w:rsidRPr="00B44CF9" w14:paraId="18AFD382" w14:textId="77777777" w:rsidTr="00277097">
        <w:tc>
          <w:tcPr>
            <w:tcW w:w="5400" w:type="dxa"/>
          </w:tcPr>
          <w:p w14:paraId="21B5F829" w14:textId="77777777" w:rsidR="00C71243" w:rsidRPr="00EF7CF9" w:rsidRDefault="00C71243" w:rsidP="000F31B4">
            <w:pPr>
              <w:pStyle w:val="ProductList-OfferingBody"/>
              <w:jc w:val="center"/>
            </w:pPr>
            <w:r>
              <w:t>&lt; 99 %</w:t>
            </w:r>
          </w:p>
        </w:tc>
        <w:tc>
          <w:tcPr>
            <w:tcW w:w="5400" w:type="dxa"/>
          </w:tcPr>
          <w:p w14:paraId="5CFE0918" w14:textId="77777777" w:rsidR="00C71243" w:rsidRPr="00EF7CF9" w:rsidRDefault="00C71243" w:rsidP="000F31B4">
            <w:pPr>
              <w:pStyle w:val="ProductList-OfferingBody"/>
              <w:jc w:val="center"/>
            </w:pPr>
            <w:r>
              <w:t>25 %</w:t>
            </w:r>
          </w:p>
        </w:tc>
      </w:tr>
      <w:tr w:rsidR="00C71243" w:rsidRPr="00B44CF9" w14:paraId="16CB6AA2" w14:textId="77777777" w:rsidTr="00277097">
        <w:tc>
          <w:tcPr>
            <w:tcW w:w="5400" w:type="dxa"/>
          </w:tcPr>
          <w:p w14:paraId="64D2162F" w14:textId="5B84F213" w:rsidR="00C71243" w:rsidRPr="00EF7CF9" w:rsidRDefault="00C71243" w:rsidP="000F31B4">
            <w:pPr>
              <w:pStyle w:val="ProductList-OfferingBody"/>
              <w:jc w:val="center"/>
            </w:pPr>
            <w:r>
              <w:t>&lt; 95 %</w:t>
            </w:r>
          </w:p>
        </w:tc>
        <w:tc>
          <w:tcPr>
            <w:tcW w:w="5400" w:type="dxa"/>
          </w:tcPr>
          <w:p w14:paraId="6AA9FFE9" w14:textId="14A3DFC2" w:rsidR="00C71243" w:rsidRPr="00EF7CF9" w:rsidRDefault="00C71243" w:rsidP="000F31B4">
            <w:pPr>
              <w:pStyle w:val="ProductList-OfferingBody"/>
              <w:jc w:val="center"/>
            </w:pPr>
            <w:r>
              <w:t>100 %</w:t>
            </w:r>
          </w:p>
        </w:tc>
      </w:tr>
    </w:tbl>
    <w:p w14:paraId="7AB283B1" w14:textId="198E23CD"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703A25C8" w14:textId="0EEE7C79" w:rsidR="004005AF" w:rsidRDefault="004005AF" w:rsidP="00A463A1">
      <w:pPr>
        <w:pStyle w:val="ProductList-Offering2Heading"/>
        <w:keepNext/>
        <w:tabs>
          <w:tab w:val="clear" w:pos="360"/>
          <w:tab w:val="clear" w:pos="720"/>
          <w:tab w:val="clear" w:pos="1080"/>
        </w:tabs>
        <w:outlineLvl w:val="2"/>
      </w:pPr>
      <w:bookmarkStart w:id="281" w:name="_Toc195543132"/>
      <w:bookmarkStart w:id="282" w:name="_Toc237448989"/>
      <w:r>
        <w:t>Azure-Datenbank für MySQL</w:t>
      </w:r>
      <w:bookmarkEnd w:id="261"/>
      <w:bookmarkEnd w:id="262"/>
      <w:bookmarkEnd w:id="281"/>
      <w:bookmarkEnd w:id="282"/>
    </w:p>
    <w:p w14:paraId="01C85662" w14:textId="77777777" w:rsidR="004005AF" w:rsidRPr="00C950BA" w:rsidRDefault="004005AF" w:rsidP="004005AF">
      <w:pPr>
        <w:pStyle w:val="ProductList-Body"/>
        <w:rPr>
          <w:b/>
          <w:color w:val="00188F"/>
        </w:rPr>
      </w:pPr>
      <w:r>
        <w:rPr>
          <w:b/>
          <w:color w:val="00188F"/>
        </w:rPr>
        <w:t>Microsoft Azure Datenbank für MySQL – Einzelserver</w:t>
      </w:r>
    </w:p>
    <w:p w14:paraId="7DA6904A" w14:textId="77777777" w:rsidR="004005AF" w:rsidRPr="00DA6241" w:rsidRDefault="004005AF" w:rsidP="004005AF">
      <w:pPr>
        <w:pStyle w:val="ProductList-Body"/>
      </w:pPr>
      <w:r>
        <w:rPr>
          <w:b/>
          <w:color w:val="00188F"/>
        </w:rPr>
        <w:t>Zusätzliche Definitionen</w:t>
      </w:r>
      <w:r w:rsidRPr="0008262F">
        <w:rPr>
          <w:b/>
          <w:color w:val="00188F"/>
        </w:rPr>
        <w:t>:</w:t>
      </w:r>
    </w:p>
    <w:p w14:paraId="79FA6AE8" w14:textId="77777777" w:rsidR="004005AF" w:rsidRPr="009D08F6" w:rsidRDefault="004005AF" w:rsidP="004005AF">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Pr>
          <w:rFonts w:asciiTheme="minorHAnsi" w:eastAsiaTheme="minorHAnsi" w:hAnsiTheme="minorHAnsi" w:cstheme="minorBidi"/>
          <w:b/>
          <w:color w:val="00188F"/>
          <w:sz w:val="18"/>
          <w:szCs w:val="22"/>
        </w:rPr>
        <w:t>Server</w:t>
      </w:r>
      <w:r>
        <w:rPr>
          <w:rFonts w:asciiTheme="minorHAnsi" w:eastAsiaTheme="minorHAnsi" w:hAnsiTheme="minorHAnsi" w:cstheme="minorBidi"/>
          <w:sz w:val="18"/>
          <w:szCs w:val="22"/>
        </w:rPr>
        <w:t>“</w:t>
      </w:r>
      <w:r>
        <w:rPr>
          <w:rFonts w:asciiTheme="minorHAnsi" w:hAnsiTheme="minorHAnsi" w:cstheme="minorHAnsi"/>
          <w:color w:val="505050"/>
          <w:sz w:val="18"/>
          <w:szCs w:val="18"/>
        </w:rPr>
        <w:t xml:space="preserve"> </w:t>
      </w:r>
      <w:r>
        <w:rPr>
          <w:rFonts w:asciiTheme="minorHAnsi" w:eastAsiaTheme="minorHAnsi" w:hAnsiTheme="minorHAnsi" w:cstheme="minorBidi"/>
          <w:sz w:val="18"/>
          <w:szCs w:val="22"/>
        </w:rPr>
        <w:t>bezieht sich auf eine beliebige Azure-Datenbank für den MySQL-Server – Einzelserver.</w:t>
      </w:r>
    </w:p>
    <w:p w14:paraId="16E43926" w14:textId="301F0F97" w:rsidR="004005AF" w:rsidRPr="00ED4527" w:rsidRDefault="00EE6E3C" w:rsidP="00A463A1">
      <w:pPr>
        <w:spacing w:before="120" w:after="0" w:line="240" w:lineRule="auto"/>
        <w:rPr>
          <w:b/>
          <w:bCs/>
          <w:color w:val="00188F"/>
          <w:sz w:val="18"/>
        </w:rPr>
      </w:pPr>
      <w:r>
        <w:rPr>
          <w:b/>
          <w:bCs/>
          <w:color w:val="00188F"/>
          <w:sz w:val="18"/>
        </w:rPr>
        <w:t>Berechnung der Betriebszeit und Service-Levels für eine Microsoft Azure Datenbank für MySQL – Einzelserver</w:t>
      </w:r>
    </w:p>
    <w:p w14:paraId="4C712BD0" w14:textId="32A5E8C0" w:rsidR="004005AF" w:rsidRPr="009D08F6" w:rsidRDefault="004005AF" w:rsidP="004005AF">
      <w:pPr>
        <w:spacing w:after="0"/>
        <w:rPr>
          <w:sz w:val="18"/>
        </w:rPr>
      </w:pPr>
      <w:r>
        <w:rPr>
          <w:sz w:val="18"/>
        </w:rPr>
        <w:t>„</w:t>
      </w:r>
      <w:r>
        <w:rPr>
          <w:b/>
          <w:color w:val="00188F"/>
          <w:sz w:val="18"/>
        </w:rPr>
        <w:t>Maximal Verfügbare Minuten</w:t>
      </w:r>
      <w:r>
        <w:rPr>
          <w:sz w:val="18"/>
        </w:rPr>
        <w:t>“</w:t>
      </w:r>
      <w:r>
        <w:rPr>
          <w:rFonts w:eastAsiaTheme="minorEastAsia" w:cstheme="minorHAnsi"/>
          <w:sz w:val="18"/>
          <w:szCs w:val="18"/>
        </w:rPr>
        <w:t xml:space="preserve"> </w:t>
      </w:r>
      <w:r>
        <w:rPr>
          <w:sz w:val="18"/>
        </w:rPr>
        <w:t>ist die Gesamtzahl der Minuten für einen bestimmten Server, der von einem Kunden im Rahmen eines Microsoft Azure-Abonnements während eines Anwendbaren Zeitraums bereitgestellt wird.</w:t>
      </w:r>
    </w:p>
    <w:p w14:paraId="2CAAAF91" w14:textId="77777777" w:rsidR="004005AF" w:rsidRPr="00B44CF9" w:rsidRDefault="004005AF" w:rsidP="004005AF">
      <w:pPr>
        <w:spacing w:after="0"/>
        <w:rPr>
          <w:rFonts w:eastAsiaTheme="minorEastAsia" w:cstheme="minorHAnsi"/>
          <w:sz w:val="18"/>
          <w:szCs w:val="18"/>
          <w:lang w:eastAsia="zh-TW"/>
        </w:rPr>
      </w:pPr>
      <w:r>
        <w:rPr>
          <w:sz w:val="18"/>
        </w:rPr>
        <w:t>„</w:t>
      </w:r>
      <w:r>
        <w:rPr>
          <w:b/>
          <w:color w:val="00188F"/>
          <w:sz w:val="18"/>
        </w:rPr>
        <w:t>Ausfallzeit</w:t>
      </w:r>
      <w:r>
        <w:rPr>
          <w:sz w:val="18"/>
        </w:rPr>
        <w:t>“</w:t>
      </w:r>
      <w:r>
        <w:rPr>
          <w:rFonts w:eastAsiaTheme="minorEastAsia" w:cstheme="minorHAnsi"/>
          <w:sz w:val="18"/>
          <w:szCs w:val="18"/>
        </w:rPr>
        <w:t xml:space="preserve"> </w:t>
      </w:r>
      <w:r>
        <w:rPr>
          <w:sz w:val="18"/>
        </w:rPr>
        <w:t>ist die Gesamtzahl der Minuten innerhalb der Maximal verfügbaren Minuten, in denen ein Server nicht verfügbar ist. Eine Minute gilt als nicht verfügbar, wenn alle fortlaufenden Versuche des Kunden, eine Verbindung mit dem Server herzustellen, einen Fehlercode ergeben.</w:t>
      </w:r>
    </w:p>
    <w:p w14:paraId="2B1E21D2" w14:textId="21DEDFE0" w:rsidR="004005AF" w:rsidRDefault="004005AF" w:rsidP="004005AF">
      <w:pPr>
        <w:pStyle w:val="ProductList-Body"/>
      </w:pPr>
      <w:r>
        <w:t xml:space="preserve">Der </w:t>
      </w:r>
      <w:r w:rsidRPr="00620CAD">
        <w:t>„</w:t>
      </w:r>
      <w:r>
        <w:rPr>
          <w:b/>
          <w:color w:val="00188F"/>
        </w:rPr>
        <w:t>Betriebszeitprozentsatz</w:t>
      </w:r>
      <w:r>
        <w:t xml:space="preserve">“ für die Azure-Datenbank für MySQL wird berechnet als Maximal Verfügbare Minuten abzüglich Ausfallzeit geteilt durch Maximal Verfügbare Minuten. </w:t>
      </w:r>
    </w:p>
    <w:p w14:paraId="3E044E74" w14:textId="5EBBCBAB" w:rsidR="004005AF" w:rsidRDefault="004005AF" w:rsidP="004005AF">
      <w:pPr>
        <w:pStyle w:val="ProductList-Body"/>
      </w:pPr>
      <w:r>
        <w:t>Der Betriebszeitprozentsatz errechnet sich nach folgender Formel:</w:t>
      </w:r>
    </w:p>
    <w:p w14:paraId="464297D3" w14:textId="77777777" w:rsidR="004005AF" w:rsidRDefault="004005AF" w:rsidP="004005AF">
      <w:pPr>
        <w:pStyle w:val="ProductList-Body"/>
      </w:pPr>
    </w:p>
    <w:p w14:paraId="03C751C6" w14:textId="5504DC44" w:rsidR="004005AF" w:rsidRPr="007C7313" w:rsidRDefault="00000000" w:rsidP="004005AF">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1098BD6C" w14:textId="77777777" w:rsidR="004005AF" w:rsidRDefault="004005AF" w:rsidP="004005AF">
      <w:pPr>
        <w:pStyle w:val="ProductList-Body"/>
        <w:rPr>
          <w:b/>
          <w:color w:val="00188F"/>
        </w:rPr>
      </w:pPr>
      <w:r>
        <w:rPr>
          <w:b/>
          <w:color w:val="00188F"/>
        </w:rPr>
        <w:t>Die folgenden Servicelevels und Servicegutschriften gelten für die Nutzung der Azure-Datenbank für MySQL – Einzelserver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EF3D114" w14:textId="77777777" w:rsidTr="00277097">
        <w:trPr>
          <w:tblHeader/>
        </w:trPr>
        <w:tc>
          <w:tcPr>
            <w:tcW w:w="5400" w:type="dxa"/>
            <w:shd w:val="clear" w:color="auto" w:fill="0072C6"/>
          </w:tcPr>
          <w:p w14:paraId="4EA79D51" w14:textId="5D2742B1" w:rsidR="004005AF" w:rsidRPr="001A0074"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0F4B1867" w14:textId="77777777" w:rsidR="004005AF" w:rsidRPr="001A0074" w:rsidRDefault="004005AF" w:rsidP="000F31B4">
            <w:pPr>
              <w:pStyle w:val="ProductList-OfferingBody"/>
              <w:jc w:val="center"/>
              <w:rPr>
                <w:color w:val="FFFFFF" w:themeColor="background1"/>
              </w:rPr>
            </w:pPr>
            <w:r>
              <w:rPr>
                <w:color w:val="FFFFFF" w:themeColor="background1"/>
              </w:rPr>
              <w:t>Servicegutschrift</w:t>
            </w:r>
          </w:p>
        </w:tc>
      </w:tr>
      <w:tr w:rsidR="004005AF" w:rsidRPr="00B44CF9" w14:paraId="5AA55FA9" w14:textId="77777777" w:rsidTr="00277097">
        <w:tc>
          <w:tcPr>
            <w:tcW w:w="5400" w:type="dxa"/>
          </w:tcPr>
          <w:p w14:paraId="7AA8C5CD" w14:textId="77777777" w:rsidR="004005AF" w:rsidRPr="0076238C" w:rsidRDefault="004005AF" w:rsidP="000F31B4">
            <w:pPr>
              <w:pStyle w:val="ProductList-OfferingBody"/>
              <w:jc w:val="center"/>
            </w:pPr>
            <w:r>
              <w:t>&lt; 99,99 %</w:t>
            </w:r>
          </w:p>
        </w:tc>
        <w:tc>
          <w:tcPr>
            <w:tcW w:w="5400" w:type="dxa"/>
          </w:tcPr>
          <w:p w14:paraId="37B94C00" w14:textId="77777777" w:rsidR="004005AF" w:rsidRPr="0076238C" w:rsidRDefault="004005AF" w:rsidP="000F31B4">
            <w:pPr>
              <w:pStyle w:val="ProductList-OfferingBody"/>
              <w:jc w:val="center"/>
            </w:pPr>
            <w:r>
              <w:t>10 %</w:t>
            </w:r>
          </w:p>
        </w:tc>
      </w:tr>
      <w:tr w:rsidR="004005AF" w:rsidRPr="00B44CF9" w14:paraId="4370C4C8" w14:textId="77777777" w:rsidTr="00277097">
        <w:tc>
          <w:tcPr>
            <w:tcW w:w="5400" w:type="dxa"/>
          </w:tcPr>
          <w:p w14:paraId="1553B110" w14:textId="77777777" w:rsidR="004005AF" w:rsidRPr="0076238C" w:rsidRDefault="004005AF" w:rsidP="000F31B4">
            <w:pPr>
              <w:pStyle w:val="ProductList-OfferingBody"/>
              <w:jc w:val="center"/>
            </w:pPr>
            <w:r>
              <w:t>&lt; 99 %</w:t>
            </w:r>
          </w:p>
        </w:tc>
        <w:tc>
          <w:tcPr>
            <w:tcW w:w="5400" w:type="dxa"/>
          </w:tcPr>
          <w:p w14:paraId="46BC5E0C" w14:textId="77777777" w:rsidR="004005AF" w:rsidRPr="0076238C" w:rsidRDefault="004005AF" w:rsidP="000F31B4">
            <w:pPr>
              <w:pStyle w:val="ProductList-OfferingBody"/>
              <w:jc w:val="center"/>
            </w:pPr>
            <w:r>
              <w:t>25 %</w:t>
            </w:r>
          </w:p>
        </w:tc>
      </w:tr>
      <w:tr w:rsidR="004005AF" w:rsidRPr="00B44CF9" w14:paraId="326F0C86" w14:textId="77777777" w:rsidTr="00277097">
        <w:tc>
          <w:tcPr>
            <w:tcW w:w="5400" w:type="dxa"/>
          </w:tcPr>
          <w:p w14:paraId="5839FF00" w14:textId="77777777" w:rsidR="004005AF" w:rsidRPr="0076238C" w:rsidRDefault="004005AF" w:rsidP="000F31B4">
            <w:pPr>
              <w:pStyle w:val="ProductList-OfferingBody"/>
              <w:jc w:val="center"/>
            </w:pPr>
            <w:r>
              <w:t>&lt; 95 %</w:t>
            </w:r>
          </w:p>
        </w:tc>
        <w:tc>
          <w:tcPr>
            <w:tcW w:w="5400" w:type="dxa"/>
          </w:tcPr>
          <w:p w14:paraId="43F894BE" w14:textId="77777777" w:rsidR="004005AF" w:rsidRDefault="004005AF" w:rsidP="000F31B4">
            <w:pPr>
              <w:pStyle w:val="ProductList-OfferingBody"/>
              <w:jc w:val="center"/>
            </w:pPr>
            <w:r>
              <w:t>100 %</w:t>
            </w:r>
          </w:p>
        </w:tc>
      </w:tr>
    </w:tbl>
    <w:p w14:paraId="60DC947B" w14:textId="77777777" w:rsidR="004005AF" w:rsidRPr="00ED4527" w:rsidRDefault="004005AF" w:rsidP="00AE37C5">
      <w:pPr>
        <w:pStyle w:val="ProductList-Body"/>
        <w:tabs>
          <w:tab w:val="clear" w:pos="360"/>
          <w:tab w:val="clear" w:pos="720"/>
          <w:tab w:val="clear" w:pos="1080"/>
        </w:tabs>
        <w:spacing w:before="120"/>
        <w:rPr>
          <w:b/>
          <w:bCs/>
        </w:rPr>
      </w:pPr>
      <w:bookmarkStart w:id="283" w:name="_Toc513395511"/>
      <w:r>
        <w:rPr>
          <w:b/>
          <w:bCs/>
          <w:color w:val="00188F"/>
        </w:rPr>
        <w:t>Microsoft Azure Datenbank für MySQL – Flexibler Server</w:t>
      </w:r>
    </w:p>
    <w:p w14:paraId="093919F0" w14:textId="77777777" w:rsidR="004005AF" w:rsidRPr="00DA6241" w:rsidRDefault="004005AF" w:rsidP="004005AF">
      <w:pPr>
        <w:pStyle w:val="ProductList-Body"/>
      </w:pPr>
      <w:r>
        <w:rPr>
          <w:b/>
          <w:color w:val="00188F"/>
        </w:rPr>
        <w:t>Zusätzliche Definitionen</w:t>
      </w:r>
      <w:r w:rsidRPr="0008262F">
        <w:rPr>
          <w:b/>
          <w:color w:val="00188F"/>
        </w:rPr>
        <w:t>:</w:t>
      </w:r>
    </w:p>
    <w:p w14:paraId="6EA4CB33" w14:textId="77777777" w:rsidR="004005AF" w:rsidRPr="009D08F6" w:rsidRDefault="004005AF" w:rsidP="004005AF">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Pr>
          <w:rFonts w:asciiTheme="minorHAnsi" w:eastAsiaTheme="minorHAnsi" w:hAnsiTheme="minorHAnsi" w:cstheme="minorBidi"/>
          <w:b/>
          <w:color w:val="00188F"/>
          <w:sz w:val="18"/>
          <w:szCs w:val="22"/>
        </w:rPr>
        <w:t>Server</w:t>
      </w:r>
      <w:r>
        <w:rPr>
          <w:rFonts w:asciiTheme="minorHAnsi" w:eastAsiaTheme="minorHAnsi" w:hAnsiTheme="minorHAnsi" w:cstheme="minorBidi"/>
          <w:sz w:val="18"/>
          <w:szCs w:val="22"/>
        </w:rPr>
        <w:t>“</w:t>
      </w:r>
      <w:r>
        <w:rPr>
          <w:rFonts w:asciiTheme="minorHAnsi" w:hAnsiTheme="minorHAnsi" w:cstheme="minorHAnsi"/>
          <w:color w:val="505050"/>
          <w:sz w:val="18"/>
          <w:szCs w:val="18"/>
        </w:rPr>
        <w:t xml:space="preserve"> </w:t>
      </w:r>
      <w:r>
        <w:rPr>
          <w:rFonts w:asciiTheme="minorHAnsi" w:eastAsiaTheme="minorHAnsi" w:hAnsiTheme="minorHAnsi" w:cstheme="minorBidi"/>
          <w:sz w:val="18"/>
          <w:szCs w:val="22"/>
        </w:rPr>
        <w:t>bezieht sich auf eine beliebige Azure-Datenbank für den MySQL-Server – Flexibler Server.</w:t>
      </w:r>
    </w:p>
    <w:p w14:paraId="43145A83" w14:textId="0C04577D" w:rsidR="004005AF" w:rsidRDefault="004005AF" w:rsidP="004005AF">
      <w:pPr>
        <w:pStyle w:val="ProductList-Body"/>
        <w:tabs>
          <w:tab w:val="clear" w:pos="360"/>
          <w:tab w:val="clear" w:pos="720"/>
          <w:tab w:val="clear" w:pos="1080"/>
        </w:tabs>
      </w:pPr>
      <w:r w:rsidRPr="00620CAD">
        <w:t>„</w:t>
      </w:r>
      <w:r>
        <w:rPr>
          <w:b/>
          <w:bCs/>
          <w:color w:val="00188F"/>
        </w:rPr>
        <w:t>Hochverfügbarkeit</w:t>
      </w:r>
      <w:r w:rsidRPr="00620CAD">
        <w:t>“</w:t>
      </w:r>
      <w:r>
        <w:t xml:space="preserve"> im Zusammenhang mit einem Flexiblen Server bedeutet eine Reihe von Hochverfügbarkeitsservern (Primär und Standby), die</w:t>
      </w:r>
      <w:r w:rsidR="00B86C15">
        <w:t> </w:t>
      </w:r>
      <w:r>
        <w:t>in Zonenredundanz oder Redundanz in derselben Zone eingesetzt werden.</w:t>
      </w:r>
    </w:p>
    <w:p w14:paraId="7EE13E82" w14:textId="463674D0" w:rsidR="004005AF" w:rsidRPr="00ED4527" w:rsidRDefault="00EE6E3C" w:rsidP="004005AF">
      <w:pPr>
        <w:pStyle w:val="ProductList-Body"/>
        <w:rPr>
          <w:b/>
          <w:bCs/>
          <w:color w:val="00188F"/>
        </w:rPr>
      </w:pPr>
      <w:r>
        <w:rPr>
          <w:b/>
          <w:bCs/>
          <w:color w:val="00188F"/>
        </w:rPr>
        <w:t>Berechnung der Betriebszeit und Service-Levels für eine Microsoft Azure Datenbank für MySQL – Flexibler Server</w:t>
      </w:r>
    </w:p>
    <w:p w14:paraId="22280926" w14:textId="322C3AB6" w:rsidR="004005AF" w:rsidRDefault="004005AF" w:rsidP="004005AF">
      <w:pPr>
        <w:pStyle w:val="ProductList-Body"/>
      </w:pPr>
      <w:r>
        <w:t>„</w:t>
      </w:r>
      <w:r>
        <w:rPr>
          <w:b/>
          <w:bCs/>
          <w:color w:val="00188F"/>
        </w:rPr>
        <w:t>Maximal Verfügbare Minuten</w:t>
      </w:r>
      <w:r>
        <w:t>“ ist die Gesamtzahl der Minuten für einen bestimmten Server, der von einem Kunden im Rahmen eines Microsoft Azure-Abonnements während eines Anwendbaren Zeitraums bereitgestellt wird.</w:t>
      </w:r>
    </w:p>
    <w:p w14:paraId="74F3BD76" w14:textId="6AE318A0" w:rsidR="004005AF" w:rsidRDefault="004005AF" w:rsidP="004005AF">
      <w:pPr>
        <w:pStyle w:val="ProductList-Body"/>
      </w:pPr>
      <w:r w:rsidRPr="00620CAD">
        <w:t>„</w:t>
      </w:r>
      <w:r>
        <w:rPr>
          <w:b/>
          <w:bCs/>
          <w:color w:val="00188F"/>
        </w:rPr>
        <w:t>Ausfallzeit</w:t>
      </w:r>
      <w:r w:rsidRPr="00620CAD">
        <w:t>“</w:t>
      </w:r>
      <w:r>
        <w:t xml:space="preserve"> ist die Gesamtzahl der Minuten innerhalb der Maximal verfügbaren Minuten, in denen ein Server nicht verfügbar ist. Eine Minute gilt</w:t>
      </w:r>
      <w:r w:rsidR="00E478B3">
        <w:t> </w:t>
      </w:r>
      <w:r>
        <w:t>als nicht verfügbar, wenn alle fortlaufenden Versuche des Kunden, eine Verbindung zum Server herzustellen, fehlgeschlagen sind.</w:t>
      </w:r>
    </w:p>
    <w:p w14:paraId="45B83CB8" w14:textId="3D74A67D" w:rsidR="004005AF" w:rsidRDefault="004005AF" w:rsidP="004005AF">
      <w:pPr>
        <w:pStyle w:val="ProductList-Body"/>
      </w:pPr>
      <w:r>
        <w:t>„</w:t>
      </w:r>
      <w:r>
        <w:rPr>
          <w:b/>
          <w:bCs/>
          <w:color w:val="00188F"/>
        </w:rPr>
        <w:t>Betriebszeitprozentsatz</w:t>
      </w:r>
      <w:r>
        <w:t>“ für die Azure-Datenbank für MySQL – Flexibler Server wird als die Maximal Verfügbaren Minuten abzüglich Ausfallzeit geteilt durch die Maximal Verfügbaren Minuten berechnet.</w:t>
      </w:r>
    </w:p>
    <w:p w14:paraId="47FE4B91" w14:textId="3F23E174" w:rsidR="004005AF" w:rsidRDefault="00AC48A7" w:rsidP="004005AF">
      <w:pPr>
        <w:pStyle w:val="ProductList-Body"/>
        <w:tabs>
          <w:tab w:val="clear" w:pos="360"/>
          <w:tab w:val="clear" w:pos="720"/>
          <w:tab w:val="clear" w:pos="1080"/>
        </w:tabs>
      </w:pPr>
      <w:r>
        <w:t>Der Betriebszeitprozentsatz wird durch die folgende Formel ermittelt:</w:t>
      </w:r>
    </w:p>
    <w:p w14:paraId="01A5C2A9" w14:textId="77777777" w:rsidR="004005AF" w:rsidRDefault="004005AF" w:rsidP="004005AF">
      <w:pPr>
        <w:pStyle w:val="ProductList-Body"/>
      </w:pPr>
    </w:p>
    <w:p w14:paraId="4F297DB9" w14:textId="36830920" w:rsidR="004005AF" w:rsidRPr="007C7313" w:rsidRDefault="00000000" w:rsidP="004005AF">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05C9021F" w14:textId="77777777" w:rsidR="004005AF" w:rsidRDefault="004005AF" w:rsidP="004005AF">
      <w:pPr>
        <w:pStyle w:val="ProductList-Body"/>
        <w:keepNext/>
      </w:pPr>
      <w:r>
        <w:rPr>
          <w:b/>
          <w:color w:val="00188F"/>
        </w:rPr>
        <w:t>Die folgenden Servicelevels und Servicegutschriften gelten für die Nutzung durch den Kunden der Azure-Datenbank für MySQL – Flexibler Server, konfiguriert in einem zonenredundanten Hochverfügbarkeitsmodus: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9223188" w14:textId="77777777" w:rsidTr="00277097">
        <w:trPr>
          <w:tblHeader/>
        </w:trPr>
        <w:tc>
          <w:tcPr>
            <w:tcW w:w="5400" w:type="dxa"/>
            <w:shd w:val="clear" w:color="auto" w:fill="0072C6"/>
          </w:tcPr>
          <w:p w14:paraId="0B630B06" w14:textId="5E8CE306" w:rsidR="004005AF" w:rsidRPr="001A0074"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71AA9BA6" w14:textId="77777777" w:rsidR="004005AF" w:rsidRPr="001A0074" w:rsidRDefault="004005AF" w:rsidP="000F31B4">
            <w:pPr>
              <w:pStyle w:val="ProductList-OfferingBody"/>
              <w:jc w:val="center"/>
              <w:rPr>
                <w:color w:val="FFFFFF" w:themeColor="background1"/>
              </w:rPr>
            </w:pPr>
            <w:r>
              <w:rPr>
                <w:color w:val="FFFFFF" w:themeColor="background1"/>
              </w:rPr>
              <w:t>Servicegutschrift</w:t>
            </w:r>
          </w:p>
        </w:tc>
      </w:tr>
      <w:tr w:rsidR="004005AF" w:rsidRPr="00B44CF9" w14:paraId="1EB5028C" w14:textId="77777777" w:rsidTr="00277097">
        <w:tc>
          <w:tcPr>
            <w:tcW w:w="5400" w:type="dxa"/>
          </w:tcPr>
          <w:p w14:paraId="6FD2FC8E" w14:textId="77777777" w:rsidR="004005AF" w:rsidRPr="0076238C" w:rsidRDefault="004005AF" w:rsidP="000F31B4">
            <w:pPr>
              <w:pStyle w:val="ProductList-OfferingBody"/>
              <w:jc w:val="center"/>
            </w:pPr>
            <w:r>
              <w:t>Weniger als 99,99 % und mindestens 99,00 %</w:t>
            </w:r>
          </w:p>
        </w:tc>
        <w:tc>
          <w:tcPr>
            <w:tcW w:w="5400" w:type="dxa"/>
          </w:tcPr>
          <w:p w14:paraId="0C2FBEBD" w14:textId="77777777" w:rsidR="004005AF" w:rsidRPr="0076238C" w:rsidRDefault="004005AF" w:rsidP="000F31B4">
            <w:pPr>
              <w:pStyle w:val="ProductList-OfferingBody"/>
              <w:jc w:val="center"/>
            </w:pPr>
            <w:r>
              <w:t>10 %</w:t>
            </w:r>
          </w:p>
        </w:tc>
      </w:tr>
      <w:tr w:rsidR="004005AF" w:rsidRPr="00B44CF9" w14:paraId="5FE2B654" w14:textId="77777777" w:rsidTr="00277097">
        <w:tc>
          <w:tcPr>
            <w:tcW w:w="5400" w:type="dxa"/>
          </w:tcPr>
          <w:p w14:paraId="212F7CF1" w14:textId="77777777" w:rsidR="004005AF" w:rsidRPr="0076238C" w:rsidRDefault="004005AF" w:rsidP="000F31B4">
            <w:pPr>
              <w:pStyle w:val="ProductList-OfferingBody"/>
              <w:jc w:val="center"/>
            </w:pPr>
            <w:r>
              <w:t>Weniger als 99,00 % und mindestens 95,00 %</w:t>
            </w:r>
          </w:p>
        </w:tc>
        <w:tc>
          <w:tcPr>
            <w:tcW w:w="5400" w:type="dxa"/>
          </w:tcPr>
          <w:p w14:paraId="35D8F95A" w14:textId="77777777" w:rsidR="004005AF" w:rsidRPr="0076238C" w:rsidRDefault="004005AF" w:rsidP="000F31B4">
            <w:pPr>
              <w:pStyle w:val="ProductList-OfferingBody"/>
              <w:jc w:val="center"/>
            </w:pPr>
            <w:r>
              <w:t>25 %</w:t>
            </w:r>
          </w:p>
        </w:tc>
      </w:tr>
      <w:tr w:rsidR="004005AF" w:rsidRPr="00B44CF9" w14:paraId="6D2C93E4" w14:textId="77777777" w:rsidTr="00277097">
        <w:tc>
          <w:tcPr>
            <w:tcW w:w="5400" w:type="dxa"/>
          </w:tcPr>
          <w:p w14:paraId="17799D0B" w14:textId="77777777" w:rsidR="004005AF" w:rsidRPr="0076238C" w:rsidRDefault="004005AF" w:rsidP="000F31B4">
            <w:pPr>
              <w:pStyle w:val="ProductList-OfferingBody"/>
              <w:jc w:val="center"/>
            </w:pPr>
            <w:r>
              <w:t>&lt; 95 %</w:t>
            </w:r>
          </w:p>
        </w:tc>
        <w:tc>
          <w:tcPr>
            <w:tcW w:w="5400" w:type="dxa"/>
          </w:tcPr>
          <w:p w14:paraId="2F8A7162" w14:textId="77777777" w:rsidR="004005AF" w:rsidRDefault="004005AF" w:rsidP="000F31B4">
            <w:pPr>
              <w:pStyle w:val="ProductList-OfferingBody"/>
              <w:jc w:val="center"/>
            </w:pPr>
            <w:r>
              <w:t>100 %</w:t>
            </w:r>
          </w:p>
        </w:tc>
      </w:tr>
    </w:tbl>
    <w:p w14:paraId="46DD0850" w14:textId="77777777" w:rsidR="004005AF" w:rsidRDefault="004005AF" w:rsidP="000D262E">
      <w:pPr>
        <w:pStyle w:val="ProductList-Body"/>
        <w:keepNext/>
        <w:spacing w:before="120"/>
      </w:pPr>
      <w:r>
        <w:rPr>
          <w:b/>
          <w:color w:val="00188F"/>
        </w:rPr>
        <w:lastRenderedPageBreak/>
        <w:t>Die folgenden Servicelevels und Servicegutschriften gelten für die Nutzung durch den Kunden der Azure-Datenbank für MySQL – Flexibler Server, konfiguriert in einem Hochverfügbarkeitsmodus der gleichen Zone: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25754CE" w14:textId="77777777" w:rsidTr="00277097">
        <w:trPr>
          <w:tblHeader/>
        </w:trPr>
        <w:tc>
          <w:tcPr>
            <w:tcW w:w="5400" w:type="dxa"/>
            <w:shd w:val="clear" w:color="auto" w:fill="0072C6"/>
          </w:tcPr>
          <w:p w14:paraId="2894CCEA" w14:textId="5DEE4CBF" w:rsidR="004005AF" w:rsidRPr="001A0074"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6F85FD67" w14:textId="77777777" w:rsidR="004005AF" w:rsidRPr="001A0074" w:rsidRDefault="004005AF" w:rsidP="000F31B4">
            <w:pPr>
              <w:pStyle w:val="ProductList-OfferingBody"/>
              <w:jc w:val="center"/>
              <w:rPr>
                <w:color w:val="FFFFFF" w:themeColor="background1"/>
              </w:rPr>
            </w:pPr>
            <w:r>
              <w:rPr>
                <w:color w:val="FFFFFF" w:themeColor="background1"/>
              </w:rPr>
              <w:t>Servicegutschrift</w:t>
            </w:r>
          </w:p>
        </w:tc>
      </w:tr>
      <w:tr w:rsidR="004005AF" w:rsidRPr="00B44CF9" w14:paraId="75F74B71" w14:textId="77777777" w:rsidTr="00277097">
        <w:tc>
          <w:tcPr>
            <w:tcW w:w="5400" w:type="dxa"/>
          </w:tcPr>
          <w:p w14:paraId="6B5D0407" w14:textId="77777777" w:rsidR="004005AF" w:rsidRPr="0076238C" w:rsidRDefault="004005AF" w:rsidP="000F31B4">
            <w:pPr>
              <w:pStyle w:val="ProductList-OfferingBody"/>
              <w:jc w:val="center"/>
            </w:pPr>
            <w:r>
              <w:t>Weniger als 99,95 % und mindestens 99,00 %</w:t>
            </w:r>
          </w:p>
        </w:tc>
        <w:tc>
          <w:tcPr>
            <w:tcW w:w="5400" w:type="dxa"/>
          </w:tcPr>
          <w:p w14:paraId="6A706C4A" w14:textId="77777777" w:rsidR="004005AF" w:rsidRPr="0076238C" w:rsidRDefault="004005AF" w:rsidP="000F31B4">
            <w:pPr>
              <w:pStyle w:val="ProductList-OfferingBody"/>
              <w:jc w:val="center"/>
            </w:pPr>
            <w:r>
              <w:t>10 %</w:t>
            </w:r>
          </w:p>
        </w:tc>
      </w:tr>
      <w:tr w:rsidR="004005AF" w:rsidRPr="00B44CF9" w14:paraId="0FA5165A" w14:textId="77777777" w:rsidTr="00277097">
        <w:tc>
          <w:tcPr>
            <w:tcW w:w="5400" w:type="dxa"/>
          </w:tcPr>
          <w:p w14:paraId="2B1611DB" w14:textId="77777777" w:rsidR="004005AF" w:rsidRPr="0076238C" w:rsidRDefault="004005AF" w:rsidP="000F31B4">
            <w:pPr>
              <w:pStyle w:val="ProductList-OfferingBody"/>
              <w:jc w:val="center"/>
            </w:pPr>
            <w:r>
              <w:t>&lt; 99 %</w:t>
            </w:r>
          </w:p>
        </w:tc>
        <w:tc>
          <w:tcPr>
            <w:tcW w:w="5400" w:type="dxa"/>
          </w:tcPr>
          <w:p w14:paraId="08B7D64E" w14:textId="77777777" w:rsidR="004005AF" w:rsidRPr="0076238C" w:rsidRDefault="004005AF" w:rsidP="000F31B4">
            <w:pPr>
              <w:pStyle w:val="ProductList-OfferingBody"/>
              <w:jc w:val="center"/>
            </w:pPr>
            <w:r>
              <w:t>25 %</w:t>
            </w:r>
          </w:p>
        </w:tc>
      </w:tr>
    </w:tbl>
    <w:p w14:paraId="6A8D5FEA" w14:textId="77777777" w:rsidR="004005AF" w:rsidRDefault="004005AF" w:rsidP="000D262E">
      <w:pPr>
        <w:pStyle w:val="ProductList-Body"/>
        <w:keepNext/>
        <w:spacing w:before="120"/>
      </w:pPr>
      <w:r>
        <w:rPr>
          <w:b/>
          <w:color w:val="00188F"/>
        </w:rPr>
        <w:t>Die folgenden Servicelevels und Servicegutschriften gelten für die Nutzung durch den Kunden der Azure-Datenbank für MySQL – Flexibler Server, nicht konfiguriert in einem Hochverfügbarkeitsmodus: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45305E2" w14:textId="77777777" w:rsidTr="00277097">
        <w:trPr>
          <w:tblHeader/>
        </w:trPr>
        <w:tc>
          <w:tcPr>
            <w:tcW w:w="5400" w:type="dxa"/>
            <w:shd w:val="clear" w:color="auto" w:fill="0072C6"/>
          </w:tcPr>
          <w:p w14:paraId="4CA575A4" w14:textId="1A0326FD" w:rsidR="004005AF" w:rsidRPr="001A0074"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029EE20F" w14:textId="77777777" w:rsidR="004005AF" w:rsidRPr="001A0074" w:rsidRDefault="004005AF" w:rsidP="000F31B4">
            <w:pPr>
              <w:pStyle w:val="ProductList-OfferingBody"/>
              <w:jc w:val="center"/>
              <w:rPr>
                <w:color w:val="FFFFFF" w:themeColor="background1"/>
              </w:rPr>
            </w:pPr>
            <w:r>
              <w:rPr>
                <w:color w:val="FFFFFF" w:themeColor="background1"/>
              </w:rPr>
              <w:t>Servicegutschrift</w:t>
            </w:r>
          </w:p>
        </w:tc>
      </w:tr>
      <w:tr w:rsidR="004005AF" w:rsidRPr="00B44CF9" w14:paraId="7EA9A976" w14:textId="77777777" w:rsidTr="00277097">
        <w:tc>
          <w:tcPr>
            <w:tcW w:w="5400" w:type="dxa"/>
          </w:tcPr>
          <w:p w14:paraId="20157DEE" w14:textId="77777777" w:rsidR="004005AF" w:rsidRPr="0076238C" w:rsidRDefault="004005AF" w:rsidP="000F31B4">
            <w:pPr>
              <w:pStyle w:val="ProductList-OfferingBody"/>
              <w:jc w:val="center"/>
            </w:pPr>
            <w:r>
              <w:t>Weniger als 99,9 % und mindestens 99,00 %</w:t>
            </w:r>
          </w:p>
        </w:tc>
        <w:tc>
          <w:tcPr>
            <w:tcW w:w="5400" w:type="dxa"/>
          </w:tcPr>
          <w:p w14:paraId="738CE13C" w14:textId="77777777" w:rsidR="004005AF" w:rsidRPr="0076238C" w:rsidRDefault="004005AF" w:rsidP="000F31B4">
            <w:pPr>
              <w:pStyle w:val="ProductList-OfferingBody"/>
              <w:jc w:val="center"/>
            </w:pPr>
            <w:r>
              <w:t>10 %</w:t>
            </w:r>
          </w:p>
        </w:tc>
      </w:tr>
      <w:tr w:rsidR="004005AF" w:rsidRPr="00B44CF9" w14:paraId="751DDCE9" w14:textId="77777777" w:rsidTr="00277097">
        <w:tc>
          <w:tcPr>
            <w:tcW w:w="5400" w:type="dxa"/>
          </w:tcPr>
          <w:p w14:paraId="4DD71F02" w14:textId="77777777" w:rsidR="004005AF" w:rsidRPr="0076238C" w:rsidRDefault="004005AF" w:rsidP="000F31B4">
            <w:pPr>
              <w:pStyle w:val="ProductList-OfferingBody"/>
              <w:jc w:val="center"/>
            </w:pPr>
            <w:r>
              <w:t>&lt; 99 %</w:t>
            </w:r>
          </w:p>
        </w:tc>
        <w:tc>
          <w:tcPr>
            <w:tcW w:w="5400" w:type="dxa"/>
          </w:tcPr>
          <w:p w14:paraId="50CD7567" w14:textId="77777777" w:rsidR="004005AF" w:rsidRPr="0076238C" w:rsidRDefault="004005AF" w:rsidP="000F31B4">
            <w:pPr>
              <w:pStyle w:val="ProductList-OfferingBody"/>
              <w:jc w:val="center"/>
            </w:pPr>
            <w:r>
              <w:t>25 %</w:t>
            </w:r>
          </w:p>
        </w:tc>
      </w:tr>
    </w:tbl>
    <w:bookmarkStart w:id="284" w:name="_Toc52348928"/>
    <w:p w14:paraId="2D731078" w14:textId="67821913"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6768A13F" w14:textId="77777777" w:rsidR="004005AF" w:rsidRDefault="004005AF" w:rsidP="004005AF">
      <w:pPr>
        <w:pStyle w:val="ProductList-Offering2Heading"/>
        <w:tabs>
          <w:tab w:val="clear" w:pos="360"/>
          <w:tab w:val="clear" w:pos="720"/>
          <w:tab w:val="clear" w:pos="1080"/>
        </w:tabs>
        <w:outlineLvl w:val="2"/>
      </w:pPr>
      <w:bookmarkStart w:id="285" w:name="_Toc195543133"/>
      <w:bookmarkStart w:id="286" w:name="_Toc237448990"/>
      <w:r>
        <w:t>Azure-Datenbank für PostgreSQL</w:t>
      </w:r>
      <w:bookmarkEnd w:id="283"/>
      <w:bookmarkEnd w:id="284"/>
      <w:bookmarkEnd w:id="285"/>
      <w:bookmarkEnd w:id="286"/>
    </w:p>
    <w:p w14:paraId="33FEE15A" w14:textId="77777777" w:rsidR="004005AF" w:rsidRPr="00E7723E" w:rsidRDefault="004005AF" w:rsidP="004005AF">
      <w:pPr>
        <w:pStyle w:val="ProductList-Body"/>
        <w:rPr>
          <w:b/>
          <w:color w:val="00188F"/>
        </w:rPr>
      </w:pPr>
      <w:r>
        <w:rPr>
          <w:b/>
          <w:color w:val="00188F"/>
        </w:rPr>
        <w:t>Azure-Datenbank für PostgreSQL – Einzelserver</w:t>
      </w:r>
    </w:p>
    <w:p w14:paraId="54181003" w14:textId="77777777" w:rsidR="004005AF" w:rsidRPr="00DA6241" w:rsidRDefault="004005AF" w:rsidP="004005AF">
      <w:pPr>
        <w:pStyle w:val="ProductList-Body"/>
      </w:pPr>
      <w:r>
        <w:rPr>
          <w:b/>
          <w:color w:val="00188F"/>
        </w:rPr>
        <w:t>Zusätzliche Definitionen</w:t>
      </w:r>
      <w:r w:rsidRPr="0008262F">
        <w:rPr>
          <w:b/>
          <w:color w:val="00188F"/>
        </w:rPr>
        <w:t>:</w:t>
      </w:r>
    </w:p>
    <w:p w14:paraId="3A2B2685" w14:textId="77777777" w:rsidR="004005AF" w:rsidRPr="00ED4527" w:rsidRDefault="004005AF"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620CAD">
        <w:rPr>
          <w:rFonts w:asciiTheme="minorHAnsi" w:eastAsiaTheme="minorHAnsi" w:hAnsiTheme="minorHAnsi" w:cstheme="minorBidi"/>
          <w:sz w:val="18"/>
          <w:szCs w:val="22"/>
        </w:rPr>
        <w:t>„</w:t>
      </w:r>
      <w:r>
        <w:rPr>
          <w:rFonts w:asciiTheme="minorHAnsi" w:eastAsiaTheme="minorHAnsi" w:hAnsiTheme="minorHAnsi" w:cstheme="minorBidi"/>
          <w:b/>
          <w:bCs/>
          <w:color w:val="00188F"/>
          <w:sz w:val="18"/>
          <w:szCs w:val="22"/>
        </w:rPr>
        <w:t>Server</w:t>
      </w:r>
      <w:r w:rsidRPr="00620CAD">
        <w:rPr>
          <w:rFonts w:asciiTheme="minorHAnsi" w:eastAsiaTheme="minorHAnsi" w:hAnsiTheme="minorHAnsi" w:cstheme="minorBidi"/>
          <w:sz w:val="18"/>
          <w:szCs w:val="22"/>
        </w:rPr>
        <w:t>“</w:t>
      </w:r>
      <w:r>
        <w:rPr>
          <w:rFonts w:asciiTheme="minorHAnsi" w:eastAsiaTheme="minorHAnsi" w:hAnsiTheme="minorHAnsi" w:cstheme="minorBidi"/>
          <w:color w:val="000000" w:themeColor="text1"/>
          <w:sz w:val="18"/>
          <w:szCs w:val="22"/>
        </w:rPr>
        <w:t xml:space="preserve"> bezieht sich auf eine beliebige Azure-Datenbank für den PostgreSQL-Server – Einzelserver.</w:t>
      </w:r>
    </w:p>
    <w:p w14:paraId="24719795" w14:textId="77777777" w:rsidR="004005AF" w:rsidRPr="00ED4527" w:rsidRDefault="004005AF"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620CAD">
        <w:rPr>
          <w:rFonts w:asciiTheme="minorHAnsi" w:eastAsiaTheme="minorHAnsi" w:hAnsiTheme="minorHAnsi" w:cstheme="minorBidi"/>
          <w:sz w:val="18"/>
          <w:szCs w:val="22"/>
        </w:rPr>
        <w:t>„</w:t>
      </w:r>
      <w:r>
        <w:rPr>
          <w:rFonts w:asciiTheme="minorHAnsi" w:eastAsiaTheme="minorHAnsi" w:hAnsiTheme="minorHAnsi" w:cstheme="minorBidi"/>
          <w:b/>
          <w:bCs/>
          <w:color w:val="00188F"/>
          <w:sz w:val="18"/>
          <w:szCs w:val="22"/>
        </w:rPr>
        <w:t>Hochverfügbarkeitscluster</w:t>
      </w:r>
      <w:r w:rsidRPr="00620CAD">
        <w:rPr>
          <w:rFonts w:asciiTheme="minorHAnsi" w:eastAsiaTheme="minorHAnsi" w:hAnsiTheme="minorHAnsi" w:cstheme="minorBidi"/>
          <w:sz w:val="18"/>
          <w:szCs w:val="22"/>
        </w:rPr>
        <w:t xml:space="preserve">“ </w:t>
      </w:r>
      <w:r>
        <w:rPr>
          <w:rFonts w:asciiTheme="minorHAnsi" w:eastAsiaTheme="minorHAnsi" w:hAnsiTheme="minorHAnsi" w:cstheme="minorBidi"/>
          <w:color w:val="000000" w:themeColor="text1"/>
          <w:sz w:val="18"/>
          <w:szCs w:val="22"/>
        </w:rPr>
        <w:t>bezeichnet eine Reihe von Hochverfügbarkeitsknoten.</w:t>
      </w:r>
    </w:p>
    <w:p w14:paraId="34D0EBBF" w14:textId="77777777" w:rsidR="004005AF" w:rsidRPr="00ED4527" w:rsidRDefault="004005AF"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620CAD">
        <w:rPr>
          <w:rFonts w:asciiTheme="minorHAnsi" w:eastAsiaTheme="minorHAnsi" w:hAnsiTheme="minorHAnsi" w:cstheme="minorBidi"/>
          <w:sz w:val="18"/>
          <w:szCs w:val="22"/>
        </w:rPr>
        <w:t>„</w:t>
      </w:r>
      <w:r>
        <w:rPr>
          <w:rFonts w:asciiTheme="minorHAnsi" w:eastAsiaTheme="minorHAnsi" w:hAnsiTheme="minorHAnsi" w:cstheme="minorBidi"/>
          <w:b/>
          <w:bCs/>
          <w:color w:val="00188F"/>
          <w:sz w:val="18"/>
          <w:szCs w:val="22"/>
        </w:rPr>
        <w:t>Hochverfügbarkeitsknoten</w:t>
      </w:r>
      <w:r w:rsidRPr="00620CAD">
        <w:rPr>
          <w:rFonts w:asciiTheme="minorHAnsi" w:eastAsiaTheme="minorHAnsi" w:hAnsiTheme="minorHAnsi" w:cstheme="minorBidi"/>
          <w:sz w:val="18"/>
          <w:szCs w:val="22"/>
        </w:rPr>
        <w:t>“</w:t>
      </w:r>
      <w:r>
        <w:rPr>
          <w:rFonts w:asciiTheme="minorHAnsi" w:eastAsiaTheme="minorHAnsi" w:hAnsiTheme="minorHAnsi" w:cstheme="minorBidi"/>
          <w:color w:val="000000" w:themeColor="text1"/>
          <w:sz w:val="18"/>
          <w:szCs w:val="22"/>
        </w:rPr>
        <w:t xml:space="preserve"> bezeichnet einen Knoten innerhalb einer Servergruppe, bei der Hochverfügbarkeit aktiviert ist.</w:t>
      </w:r>
    </w:p>
    <w:p w14:paraId="4DF0D634" w14:textId="77777777" w:rsidR="004005AF" w:rsidRPr="00ED4527" w:rsidRDefault="004005AF"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620CAD">
        <w:rPr>
          <w:rFonts w:asciiTheme="minorHAnsi" w:eastAsiaTheme="minorHAnsi" w:hAnsiTheme="minorHAnsi" w:cstheme="minorBidi"/>
          <w:sz w:val="18"/>
          <w:szCs w:val="22"/>
        </w:rPr>
        <w:t>„</w:t>
      </w:r>
      <w:r>
        <w:rPr>
          <w:rFonts w:asciiTheme="minorHAnsi" w:eastAsiaTheme="minorHAnsi" w:hAnsiTheme="minorHAnsi" w:cstheme="minorBidi"/>
          <w:b/>
          <w:bCs/>
          <w:color w:val="00188F"/>
          <w:sz w:val="18"/>
          <w:szCs w:val="22"/>
        </w:rPr>
        <w:t>Koordinatorknoten</w:t>
      </w:r>
      <w:r w:rsidRPr="00620CAD">
        <w:rPr>
          <w:rFonts w:asciiTheme="minorHAnsi" w:eastAsiaTheme="minorHAnsi" w:hAnsiTheme="minorHAnsi" w:cstheme="minorBidi"/>
          <w:sz w:val="18"/>
          <w:szCs w:val="22"/>
        </w:rPr>
        <w:t xml:space="preserve">“ </w:t>
      </w:r>
      <w:r>
        <w:rPr>
          <w:rFonts w:asciiTheme="minorHAnsi" w:eastAsiaTheme="minorHAnsi" w:hAnsiTheme="minorHAnsi" w:cstheme="minorBidi"/>
          <w:color w:val="000000" w:themeColor="text1"/>
          <w:sz w:val="18"/>
          <w:szCs w:val="22"/>
        </w:rPr>
        <w:t>ist ein Knoten, dem die Rolle des Clusterkoordinators zugewiesen ist.</w:t>
      </w:r>
    </w:p>
    <w:p w14:paraId="2B565E3C" w14:textId="77777777" w:rsidR="004005AF" w:rsidRPr="00ED4527" w:rsidRDefault="004005AF"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620CAD">
        <w:rPr>
          <w:rFonts w:asciiTheme="minorHAnsi" w:eastAsiaTheme="minorHAnsi" w:hAnsiTheme="minorHAnsi" w:cstheme="minorBidi"/>
          <w:sz w:val="18"/>
          <w:szCs w:val="22"/>
        </w:rPr>
        <w:t>„</w:t>
      </w:r>
      <w:r>
        <w:rPr>
          <w:rFonts w:asciiTheme="minorHAnsi" w:eastAsiaTheme="minorHAnsi" w:hAnsiTheme="minorHAnsi" w:cstheme="minorBidi"/>
          <w:b/>
          <w:bCs/>
          <w:color w:val="00188F"/>
          <w:sz w:val="18"/>
          <w:szCs w:val="22"/>
        </w:rPr>
        <w:t>Workerknoten</w:t>
      </w:r>
      <w:r w:rsidRPr="00620CAD">
        <w:rPr>
          <w:rFonts w:asciiTheme="minorHAnsi" w:eastAsiaTheme="minorHAnsi" w:hAnsiTheme="minorHAnsi" w:cstheme="minorBidi"/>
          <w:sz w:val="18"/>
          <w:szCs w:val="22"/>
        </w:rPr>
        <w:t xml:space="preserve">“ </w:t>
      </w:r>
      <w:r>
        <w:rPr>
          <w:rFonts w:asciiTheme="minorHAnsi" w:eastAsiaTheme="minorHAnsi" w:hAnsiTheme="minorHAnsi" w:cstheme="minorBidi"/>
          <w:color w:val="000000" w:themeColor="text1"/>
          <w:sz w:val="18"/>
          <w:szCs w:val="22"/>
        </w:rPr>
        <w:t>ist ein Knoten, dem die Rolle des Workers zugewiesen ist.</w:t>
      </w:r>
    </w:p>
    <w:p w14:paraId="2B69F95E" w14:textId="05FB6519" w:rsidR="004005AF" w:rsidRPr="00ED4527" w:rsidRDefault="00EE6E3C" w:rsidP="004005AF">
      <w:pPr>
        <w:pStyle w:val="NormalWeb"/>
        <w:spacing w:before="0" w:beforeAutospacing="0" w:after="0" w:afterAutospacing="0"/>
        <w:rPr>
          <w:rFonts w:asciiTheme="minorHAnsi" w:eastAsiaTheme="minorHAnsi" w:hAnsiTheme="minorHAnsi" w:cstheme="minorBidi"/>
          <w:b/>
          <w:bCs/>
          <w:color w:val="00188F"/>
          <w:sz w:val="18"/>
          <w:szCs w:val="22"/>
        </w:rPr>
      </w:pPr>
      <w:r>
        <w:rPr>
          <w:rFonts w:asciiTheme="minorHAnsi" w:eastAsiaTheme="minorHAnsi" w:hAnsiTheme="minorHAnsi" w:cstheme="minorBidi"/>
          <w:b/>
          <w:bCs/>
          <w:color w:val="00188F"/>
          <w:sz w:val="18"/>
          <w:szCs w:val="22"/>
        </w:rPr>
        <w:t>Berechnung der Betriebszeit und Service-Levels für eine Microsoft Azure-Datenbank für PostgreSQL – Einzelserver</w:t>
      </w:r>
    </w:p>
    <w:p w14:paraId="1B904F43" w14:textId="18621181" w:rsidR="004005AF" w:rsidRPr="009D08F6" w:rsidRDefault="004005AF" w:rsidP="004005AF">
      <w:pPr>
        <w:spacing w:after="0"/>
        <w:rPr>
          <w:sz w:val="18"/>
        </w:rPr>
      </w:pPr>
      <w:r>
        <w:rPr>
          <w:sz w:val="18"/>
        </w:rPr>
        <w:t>„</w:t>
      </w:r>
      <w:r>
        <w:rPr>
          <w:b/>
          <w:color w:val="00188F"/>
          <w:sz w:val="18"/>
        </w:rPr>
        <w:t>Maximal Verfügbare Minuten</w:t>
      </w:r>
      <w:r>
        <w:rPr>
          <w:sz w:val="18"/>
        </w:rPr>
        <w:t>“</w:t>
      </w:r>
      <w:r>
        <w:rPr>
          <w:rFonts w:eastAsiaTheme="minorEastAsia" w:cstheme="minorHAnsi"/>
          <w:sz w:val="18"/>
          <w:szCs w:val="18"/>
        </w:rPr>
        <w:t xml:space="preserve"> </w:t>
      </w:r>
      <w:r>
        <w:rPr>
          <w:sz w:val="18"/>
        </w:rPr>
        <w:t>ist die Gesamtzahl der Minuten für einen bestimmten Server, der von einem Kunden im Rahmen eines Microsoft Azure-Abonnements während eines Anwendbaren Zeitraums bereitgestellt wird.</w:t>
      </w:r>
    </w:p>
    <w:p w14:paraId="0A3D7517" w14:textId="77777777" w:rsidR="004005AF" w:rsidRPr="00B44CF9" w:rsidRDefault="004005AF" w:rsidP="004005AF">
      <w:pPr>
        <w:spacing w:after="0"/>
        <w:rPr>
          <w:rFonts w:eastAsiaTheme="minorEastAsia" w:cstheme="minorHAnsi"/>
          <w:sz w:val="18"/>
          <w:szCs w:val="18"/>
          <w:lang w:eastAsia="zh-TW"/>
        </w:rPr>
      </w:pPr>
      <w:r>
        <w:rPr>
          <w:sz w:val="18"/>
        </w:rPr>
        <w:t>„</w:t>
      </w:r>
      <w:r>
        <w:rPr>
          <w:b/>
          <w:color w:val="00188F"/>
          <w:sz w:val="18"/>
        </w:rPr>
        <w:t>Ausfallzeit</w:t>
      </w:r>
      <w:r>
        <w:rPr>
          <w:sz w:val="18"/>
        </w:rPr>
        <w:t>“</w:t>
      </w:r>
      <w:r>
        <w:rPr>
          <w:rFonts w:eastAsiaTheme="minorEastAsia" w:cstheme="minorHAnsi"/>
          <w:sz w:val="18"/>
          <w:szCs w:val="18"/>
        </w:rPr>
        <w:t xml:space="preserve"> </w:t>
      </w:r>
      <w:r>
        <w:rPr>
          <w:sz w:val="18"/>
        </w:rPr>
        <w:t>ist die Gesamtzahl der Minuten innerhalb der Maximal verfügbaren Minuten, in denen ein Server nicht verfügbar ist. Eine Minute gilt als nicht verfügbar, wenn alle fortlaufenden Versuche des Kunden, eine Verbindung zum Server herzustellen, einen Fehlercode zurückgegeben oder innerhalb einer Minute nicht antworten.</w:t>
      </w:r>
    </w:p>
    <w:p w14:paraId="72C1AC39" w14:textId="054635CB" w:rsidR="004005AF" w:rsidRPr="00ED4527" w:rsidRDefault="004005AF" w:rsidP="004005AF">
      <w:pPr>
        <w:pStyle w:val="ProductList-Body"/>
        <w:rPr>
          <w:bCs/>
          <w:color w:val="000000" w:themeColor="text1"/>
        </w:rPr>
      </w:pPr>
      <w:r>
        <w:t>Der „</w:t>
      </w:r>
      <w:r>
        <w:rPr>
          <w:b/>
          <w:color w:val="00188F"/>
        </w:rPr>
        <w:t>Betriebszeitprozentsatz</w:t>
      </w:r>
      <w:r>
        <w:rPr>
          <w:bCs/>
          <w:color w:val="000000" w:themeColor="text1"/>
        </w:rPr>
        <w:t>“ für die Azure-Datenbank für PostgreSQL wird als die Maximal Verfügbaren Minuten minus Ausfallzeit geteilt durch die Maximal Verfügbaren Minuten berechnet.</w:t>
      </w:r>
    </w:p>
    <w:p w14:paraId="0AF901BE" w14:textId="718A5B80" w:rsidR="004005AF" w:rsidRDefault="004005AF" w:rsidP="004005AF">
      <w:pPr>
        <w:pStyle w:val="ProductList-Body"/>
      </w:pPr>
      <w:r>
        <w:t xml:space="preserve">Der Betriebszeitprozentsatz errechnet sich nach folgender Formel: </w:t>
      </w:r>
    </w:p>
    <w:p w14:paraId="0DC49365" w14:textId="77777777" w:rsidR="004005AF" w:rsidRDefault="004005AF" w:rsidP="004005AF">
      <w:pPr>
        <w:pStyle w:val="ProductList-Body"/>
      </w:pPr>
    </w:p>
    <w:p w14:paraId="4957341A" w14:textId="5C01E418" w:rsidR="004005AF" w:rsidRPr="007C7313" w:rsidRDefault="00000000" w:rsidP="004005AF">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31769BF1" w14:textId="77777777" w:rsidR="004005AF" w:rsidRDefault="004005AF" w:rsidP="008E31A8">
      <w:pPr>
        <w:pStyle w:val="ProductList-Body"/>
        <w:keepNext/>
        <w:jc w:val="both"/>
      </w:pPr>
      <w:r>
        <w:rPr>
          <w:b/>
          <w:color w:val="00188F"/>
        </w:rPr>
        <w:t>Die folgenden Servicelevels und Servicegutschriften gelten für die Nutzung durch den Kunden der Azure-Datenbank für PostgreSQL – Einzelserver: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B03C028" w14:textId="77777777" w:rsidTr="00277097">
        <w:trPr>
          <w:tblHeader/>
        </w:trPr>
        <w:tc>
          <w:tcPr>
            <w:tcW w:w="5400" w:type="dxa"/>
            <w:shd w:val="clear" w:color="auto" w:fill="0072C6"/>
          </w:tcPr>
          <w:p w14:paraId="2E4945DE" w14:textId="63E52486" w:rsidR="004005AF" w:rsidRPr="001A0074"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4C0A1CE8" w14:textId="77777777" w:rsidR="004005AF" w:rsidRPr="001A0074" w:rsidRDefault="004005AF" w:rsidP="000F31B4">
            <w:pPr>
              <w:pStyle w:val="ProductList-OfferingBody"/>
              <w:jc w:val="center"/>
              <w:rPr>
                <w:color w:val="FFFFFF" w:themeColor="background1"/>
              </w:rPr>
            </w:pPr>
            <w:r>
              <w:rPr>
                <w:color w:val="FFFFFF" w:themeColor="background1"/>
              </w:rPr>
              <w:t>Servicegutschrift</w:t>
            </w:r>
          </w:p>
        </w:tc>
      </w:tr>
      <w:tr w:rsidR="004005AF" w:rsidRPr="00B44CF9" w14:paraId="480FBB3D" w14:textId="77777777" w:rsidTr="00277097">
        <w:tc>
          <w:tcPr>
            <w:tcW w:w="5400" w:type="dxa"/>
          </w:tcPr>
          <w:p w14:paraId="19EF8A23" w14:textId="77777777" w:rsidR="004005AF" w:rsidRPr="0076238C" w:rsidRDefault="004005AF" w:rsidP="000F31B4">
            <w:pPr>
              <w:pStyle w:val="ProductList-OfferingBody"/>
              <w:jc w:val="center"/>
            </w:pPr>
            <w:r>
              <w:t>&lt; 99,99 %</w:t>
            </w:r>
          </w:p>
        </w:tc>
        <w:tc>
          <w:tcPr>
            <w:tcW w:w="5400" w:type="dxa"/>
          </w:tcPr>
          <w:p w14:paraId="15931EC2" w14:textId="77777777" w:rsidR="004005AF" w:rsidRPr="0076238C" w:rsidRDefault="004005AF" w:rsidP="000F31B4">
            <w:pPr>
              <w:pStyle w:val="ProductList-OfferingBody"/>
              <w:jc w:val="center"/>
            </w:pPr>
            <w:r>
              <w:t>10 %</w:t>
            </w:r>
          </w:p>
        </w:tc>
      </w:tr>
      <w:tr w:rsidR="004005AF" w:rsidRPr="00B44CF9" w14:paraId="47BE20BB" w14:textId="77777777" w:rsidTr="00277097">
        <w:tc>
          <w:tcPr>
            <w:tcW w:w="5400" w:type="dxa"/>
          </w:tcPr>
          <w:p w14:paraId="1E8EE6EF" w14:textId="77777777" w:rsidR="004005AF" w:rsidRPr="0076238C" w:rsidRDefault="004005AF" w:rsidP="000F31B4">
            <w:pPr>
              <w:pStyle w:val="ProductList-OfferingBody"/>
              <w:jc w:val="center"/>
            </w:pPr>
            <w:r>
              <w:t>&lt; 99 %</w:t>
            </w:r>
          </w:p>
        </w:tc>
        <w:tc>
          <w:tcPr>
            <w:tcW w:w="5400" w:type="dxa"/>
          </w:tcPr>
          <w:p w14:paraId="6B3E1525" w14:textId="77777777" w:rsidR="004005AF" w:rsidRPr="0076238C" w:rsidRDefault="004005AF" w:rsidP="000F31B4">
            <w:pPr>
              <w:pStyle w:val="ProductList-OfferingBody"/>
              <w:jc w:val="center"/>
            </w:pPr>
            <w:r>
              <w:t>25 %</w:t>
            </w:r>
          </w:p>
        </w:tc>
      </w:tr>
      <w:tr w:rsidR="004005AF" w:rsidRPr="00B44CF9" w14:paraId="4B5E3295" w14:textId="77777777" w:rsidTr="00277097">
        <w:tc>
          <w:tcPr>
            <w:tcW w:w="5400" w:type="dxa"/>
          </w:tcPr>
          <w:p w14:paraId="63FA7C2D" w14:textId="77777777" w:rsidR="004005AF" w:rsidRPr="0076238C" w:rsidRDefault="004005AF" w:rsidP="000F31B4">
            <w:pPr>
              <w:pStyle w:val="ProductList-OfferingBody"/>
              <w:jc w:val="center"/>
            </w:pPr>
            <w:r>
              <w:t>&lt; 95 %</w:t>
            </w:r>
          </w:p>
        </w:tc>
        <w:tc>
          <w:tcPr>
            <w:tcW w:w="5400" w:type="dxa"/>
          </w:tcPr>
          <w:p w14:paraId="1B7AA6D0" w14:textId="77777777" w:rsidR="004005AF" w:rsidRDefault="004005AF" w:rsidP="000F31B4">
            <w:pPr>
              <w:pStyle w:val="ProductList-OfferingBody"/>
              <w:jc w:val="center"/>
            </w:pPr>
            <w:r>
              <w:t>100 %</w:t>
            </w:r>
          </w:p>
        </w:tc>
      </w:tr>
    </w:tbl>
    <w:p w14:paraId="36D6E7A3" w14:textId="77777777" w:rsidR="004005AF" w:rsidRPr="00ED4527" w:rsidRDefault="004005AF" w:rsidP="00AE37C5">
      <w:pPr>
        <w:pStyle w:val="ProductList-Body"/>
        <w:spacing w:before="120"/>
        <w:rPr>
          <w:b/>
          <w:bCs/>
          <w:color w:val="00188F"/>
        </w:rPr>
      </w:pPr>
      <w:bookmarkStart w:id="287" w:name="_Toc513395512"/>
      <w:r>
        <w:rPr>
          <w:b/>
          <w:bCs/>
          <w:color w:val="00188F"/>
        </w:rPr>
        <w:t>Microsoft Azure-Datenbank für PostgreSQL – Flexibler Server</w:t>
      </w:r>
    </w:p>
    <w:p w14:paraId="6D811BDF" w14:textId="77777777" w:rsidR="004005AF" w:rsidRPr="00ED4527" w:rsidRDefault="004005AF" w:rsidP="004005AF">
      <w:pPr>
        <w:pStyle w:val="ProductList-Body"/>
        <w:rPr>
          <w:b/>
          <w:bCs/>
          <w:color w:val="00188F"/>
        </w:rPr>
      </w:pPr>
      <w:r>
        <w:rPr>
          <w:b/>
          <w:bCs/>
          <w:color w:val="00188F"/>
        </w:rPr>
        <w:t>Zusätzliche Definitionen:</w:t>
      </w:r>
    </w:p>
    <w:p w14:paraId="0D173B0B" w14:textId="77777777" w:rsidR="004005AF" w:rsidRPr="00ED4527" w:rsidRDefault="004005AF" w:rsidP="004005AF">
      <w:pPr>
        <w:pStyle w:val="ProductList-Body"/>
        <w:rPr>
          <w:color w:val="000000" w:themeColor="text1"/>
        </w:rPr>
      </w:pPr>
      <w:r w:rsidRPr="00620CAD">
        <w:t>„</w:t>
      </w:r>
      <w:r>
        <w:rPr>
          <w:b/>
          <w:bCs/>
          <w:color w:val="00188F"/>
        </w:rPr>
        <w:t>Server</w:t>
      </w:r>
      <w:r w:rsidRPr="00620CAD">
        <w:t xml:space="preserve">“ </w:t>
      </w:r>
      <w:r>
        <w:rPr>
          <w:color w:val="000000" w:themeColor="text1"/>
        </w:rPr>
        <w:t>ist ein beliebiger Azure Database für PostgreSQL-Server – Flexibler Server.</w:t>
      </w:r>
    </w:p>
    <w:p w14:paraId="4F40C061" w14:textId="77777777" w:rsidR="004005AF" w:rsidRPr="00ED4527" w:rsidRDefault="004005AF" w:rsidP="004005AF">
      <w:pPr>
        <w:pStyle w:val="ProductList-Body"/>
        <w:rPr>
          <w:color w:val="000000" w:themeColor="text1"/>
        </w:rPr>
      </w:pPr>
      <w:r w:rsidRPr="00620CAD">
        <w:t>„</w:t>
      </w:r>
      <w:r>
        <w:rPr>
          <w:b/>
          <w:bCs/>
          <w:color w:val="00188F"/>
        </w:rPr>
        <w:t>Hochverfügbarkeit</w:t>
      </w:r>
      <w:r w:rsidRPr="00620CAD">
        <w:t xml:space="preserve">“ </w:t>
      </w:r>
      <w:r>
        <w:rPr>
          <w:color w:val="000000" w:themeColor="text1"/>
        </w:rPr>
        <w:t>bedeutet im Rahmen des Flexiblen Servers eine Reihe von Hochverfügbarkeitsservern (Primär und Standby), die in einer zonenredundanten Konfiguration oder mit Redundanz in der gleichen Zone bereitgestellt werden.</w:t>
      </w:r>
    </w:p>
    <w:p w14:paraId="0221299A" w14:textId="68B71F97" w:rsidR="004005AF" w:rsidRPr="00ED4527" w:rsidRDefault="00EE6E3C" w:rsidP="004005AF">
      <w:pPr>
        <w:pStyle w:val="ProductList-Body"/>
        <w:rPr>
          <w:b/>
          <w:bCs/>
          <w:color w:val="00188F"/>
        </w:rPr>
      </w:pPr>
      <w:r>
        <w:rPr>
          <w:b/>
          <w:bCs/>
          <w:color w:val="00188F"/>
        </w:rPr>
        <w:t>Berechnung der Betriebszeit und Service-Levels für eine Microsoft Azure-Datenbank für PostgreSQL – Flexibler Server</w:t>
      </w:r>
    </w:p>
    <w:p w14:paraId="4D459CB0" w14:textId="5443C7CF" w:rsidR="004005AF" w:rsidRPr="00ED4527" w:rsidRDefault="004005AF" w:rsidP="004005AF">
      <w:pPr>
        <w:pStyle w:val="ProductList-Body"/>
        <w:rPr>
          <w:color w:val="000000" w:themeColor="text1"/>
        </w:rPr>
      </w:pPr>
      <w:r>
        <w:t>„</w:t>
      </w:r>
      <w:r>
        <w:rPr>
          <w:b/>
          <w:bCs/>
          <w:color w:val="00188F"/>
        </w:rPr>
        <w:t>Maximal Verfügbare Minuten</w:t>
      </w:r>
      <w:r>
        <w:t>“</w:t>
      </w:r>
      <w:r>
        <w:rPr>
          <w:color w:val="000000" w:themeColor="text1"/>
        </w:rPr>
        <w:t xml:space="preserve"> ist die Gesamtzahl der Minuten für einen bestimmten Server, der von einem Kunden im Rahmen eines Microsoft Azure-Abonnements während eines Anwendbaren Zeitraums bereitgestellt wird.</w:t>
      </w:r>
    </w:p>
    <w:p w14:paraId="0298D812" w14:textId="48719FE0" w:rsidR="004005AF" w:rsidRPr="00ED4527" w:rsidRDefault="004005AF" w:rsidP="004005AF">
      <w:pPr>
        <w:pStyle w:val="ProductList-Body"/>
        <w:rPr>
          <w:color w:val="000000" w:themeColor="text1"/>
        </w:rPr>
      </w:pPr>
      <w:r w:rsidRPr="00620CAD">
        <w:t>„</w:t>
      </w:r>
      <w:r>
        <w:rPr>
          <w:b/>
          <w:bCs/>
          <w:color w:val="00188F"/>
        </w:rPr>
        <w:t>Ausfallzeit</w:t>
      </w:r>
      <w:r w:rsidRPr="00620CAD">
        <w:t xml:space="preserve">“ </w:t>
      </w:r>
      <w:r>
        <w:rPr>
          <w:color w:val="000000" w:themeColor="text1"/>
        </w:rPr>
        <w:t>ist die Gesamtzahl der Minuten innerhalb der Maximal verfügbaren Minuten, in denen ein Server nicht verfügbar ist. Eine Minute gilt</w:t>
      </w:r>
      <w:r w:rsidR="00884ACF">
        <w:rPr>
          <w:color w:val="000000" w:themeColor="text1"/>
        </w:rPr>
        <w:t> </w:t>
      </w:r>
      <w:r>
        <w:rPr>
          <w:color w:val="000000" w:themeColor="text1"/>
        </w:rPr>
        <w:t>als nicht verfügbar, wenn alle fortlaufenden Versuche des Kunden, eine Verbindung mit dem Server herzustellen, fehlgeschlagen sind.</w:t>
      </w:r>
    </w:p>
    <w:p w14:paraId="3CA5E3A3" w14:textId="0BABF8C6" w:rsidR="004005AF" w:rsidRPr="00ED4527" w:rsidRDefault="004005AF" w:rsidP="004005AF">
      <w:pPr>
        <w:pStyle w:val="ProductList-Body"/>
        <w:rPr>
          <w:color w:val="000000" w:themeColor="text1"/>
        </w:rPr>
      </w:pPr>
      <w:r>
        <w:t>Der „</w:t>
      </w:r>
      <w:r>
        <w:rPr>
          <w:b/>
          <w:bCs/>
          <w:color w:val="00188F"/>
        </w:rPr>
        <w:t>Betriebszeitprozentsatz</w:t>
      </w:r>
      <w:r w:rsidR="00620CAD" w:rsidRPr="00620CAD">
        <w:t>“</w:t>
      </w:r>
      <w:r>
        <w:rPr>
          <w:color w:val="000000" w:themeColor="text1"/>
        </w:rPr>
        <w:t xml:space="preserve"> für die Azure-Datenbank für PostgreSQL – Flexibler Server wird als die Maximal Verfügbaren Minuten minus Ausfallzeit geteilt durch die Maximal Verfügbaren Minuten berechnet.</w:t>
      </w:r>
    </w:p>
    <w:p w14:paraId="431AA76E" w14:textId="56A74B73" w:rsidR="004005AF" w:rsidRPr="00ED4527" w:rsidRDefault="00AC48A7" w:rsidP="004005AF">
      <w:pPr>
        <w:pStyle w:val="ProductList-Body"/>
        <w:tabs>
          <w:tab w:val="clear" w:pos="360"/>
          <w:tab w:val="clear" w:pos="720"/>
          <w:tab w:val="clear" w:pos="1080"/>
        </w:tabs>
        <w:rPr>
          <w:color w:val="000000" w:themeColor="text1"/>
        </w:rPr>
      </w:pPr>
      <w:r>
        <w:rPr>
          <w:color w:val="000000" w:themeColor="text1"/>
        </w:rPr>
        <w:t>Der Betriebszeitprozentsatz wird durch die folgende Formel ermittelt:</w:t>
      </w:r>
    </w:p>
    <w:p w14:paraId="42F7A92F" w14:textId="4F9853E5" w:rsidR="004005AF" w:rsidRPr="007C7313" w:rsidRDefault="00000000" w:rsidP="00120827">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32224139" w14:textId="77777777" w:rsidR="004005AF" w:rsidRDefault="004005AF" w:rsidP="004005AF">
      <w:pPr>
        <w:pStyle w:val="ProductList-Body"/>
        <w:keepNext/>
      </w:pPr>
      <w:r>
        <w:rPr>
          <w:b/>
          <w:color w:val="00188F"/>
        </w:rPr>
        <w:lastRenderedPageBreak/>
        <w:t>Die folgenden Servicelevels und Servicegutschriften gelten für die Nutzung durch den Kunden der Azure-Datenbank für PostgreSQL – Flexibler Server, konfiguriert in einem zonenredundanten Hochverfügbarkeitsmodus: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FE125A5" w14:textId="77777777" w:rsidTr="00277097">
        <w:trPr>
          <w:tblHeader/>
        </w:trPr>
        <w:tc>
          <w:tcPr>
            <w:tcW w:w="5400" w:type="dxa"/>
            <w:shd w:val="clear" w:color="auto" w:fill="0072C6"/>
          </w:tcPr>
          <w:p w14:paraId="672CF6AE" w14:textId="6B065DD5" w:rsidR="004005AF" w:rsidRPr="001A0074"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43005C49" w14:textId="77777777" w:rsidR="004005AF" w:rsidRPr="001A0074" w:rsidRDefault="004005AF" w:rsidP="000F31B4">
            <w:pPr>
              <w:pStyle w:val="ProductList-OfferingBody"/>
              <w:jc w:val="center"/>
              <w:rPr>
                <w:color w:val="FFFFFF" w:themeColor="background1"/>
              </w:rPr>
            </w:pPr>
            <w:r>
              <w:rPr>
                <w:color w:val="FFFFFF" w:themeColor="background1"/>
              </w:rPr>
              <w:t>Servicegutschrift</w:t>
            </w:r>
          </w:p>
        </w:tc>
      </w:tr>
      <w:tr w:rsidR="004005AF" w:rsidRPr="00B44CF9" w14:paraId="06682E21" w14:textId="77777777" w:rsidTr="00277097">
        <w:tc>
          <w:tcPr>
            <w:tcW w:w="5400" w:type="dxa"/>
          </w:tcPr>
          <w:p w14:paraId="7B6E35EE" w14:textId="77777777" w:rsidR="004005AF" w:rsidRPr="0076238C" w:rsidRDefault="004005AF" w:rsidP="000F31B4">
            <w:pPr>
              <w:pStyle w:val="ProductList-OfferingBody"/>
              <w:jc w:val="center"/>
            </w:pPr>
            <w:r>
              <w:t>Weniger als 99,99 % und mindestens 99,00 %</w:t>
            </w:r>
          </w:p>
        </w:tc>
        <w:tc>
          <w:tcPr>
            <w:tcW w:w="5400" w:type="dxa"/>
          </w:tcPr>
          <w:p w14:paraId="4E17E991" w14:textId="77777777" w:rsidR="004005AF" w:rsidRPr="0076238C" w:rsidRDefault="004005AF" w:rsidP="000F31B4">
            <w:pPr>
              <w:pStyle w:val="ProductList-OfferingBody"/>
              <w:jc w:val="center"/>
            </w:pPr>
            <w:r>
              <w:t>10 %</w:t>
            </w:r>
          </w:p>
        </w:tc>
      </w:tr>
      <w:tr w:rsidR="004005AF" w:rsidRPr="00B44CF9" w14:paraId="05A1DC5D" w14:textId="77777777" w:rsidTr="00277097">
        <w:tc>
          <w:tcPr>
            <w:tcW w:w="5400" w:type="dxa"/>
          </w:tcPr>
          <w:p w14:paraId="65BE6248" w14:textId="77777777" w:rsidR="004005AF" w:rsidRPr="0076238C" w:rsidRDefault="004005AF" w:rsidP="000F31B4">
            <w:pPr>
              <w:pStyle w:val="ProductList-OfferingBody"/>
              <w:jc w:val="center"/>
            </w:pPr>
            <w:r>
              <w:t>Weniger als 99,00 % und mindestens 95,00 %</w:t>
            </w:r>
          </w:p>
        </w:tc>
        <w:tc>
          <w:tcPr>
            <w:tcW w:w="5400" w:type="dxa"/>
          </w:tcPr>
          <w:p w14:paraId="53CD4A22" w14:textId="77777777" w:rsidR="004005AF" w:rsidRPr="0076238C" w:rsidRDefault="004005AF" w:rsidP="000F31B4">
            <w:pPr>
              <w:pStyle w:val="ProductList-OfferingBody"/>
              <w:jc w:val="center"/>
            </w:pPr>
            <w:r>
              <w:t>25 %</w:t>
            </w:r>
          </w:p>
        </w:tc>
      </w:tr>
      <w:tr w:rsidR="004005AF" w:rsidRPr="00B44CF9" w14:paraId="77FDCEA8" w14:textId="77777777" w:rsidTr="00277097">
        <w:tc>
          <w:tcPr>
            <w:tcW w:w="5400" w:type="dxa"/>
          </w:tcPr>
          <w:p w14:paraId="2D8F7F61" w14:textId="77777777" w:rsidR="004005AF" w:rsidRPr="0076238C" w:rsidRDefault="004005AF" w:rsidP="000F31B4">
            <w:pPr>
              <w:pStyle w:val="ProductList-OfferingBody"/>
              <w:jc w:val="center"/>
            </w:pPr>
            <w:r>
              <w:t>&lt; 95,00 %</w:t>
            </w:r>
          </w:p>
        </w:tc>
        <w:tc>
          <w:tcPr>
            <w:tcW w:w="5400" w:type="dxa"/>
          </w:tcPr>
          <w:p w14:paraId="75166A6D" w14:textId="77777777" w:rsidR="004005AF" w:rsidRDefault="004005AF" w:rsidP="000F31B4">
            <w:pPr>
              <w:pStyle w:val="ProductList-OfferingBody"/>
              <w:jc w:val="center"/>
            </w:pPr>
            <w:r>
              <w:t>100 %</w:t>
            </w:r>
          </w:p>
        </w:tc>
      </w:tr>
    </w:tbl>
    <w:p w14:paraId="69DCBF1D" w14:textId="77777777" w:rsidR="004005AF" w:rsidRDefault="004005AF" w:rsidP="000D262E">
      <w:pPr>
        <w:pStyle w:val="ProductList-Body"/>
        <w:keepNext/>
        <w:spacing w:before="120"/>
        <w:rPr>
          <w:b/>
          <w:color w:val="00188F"/>
        </w:rPr>
      </w:pPr>
      <w:r>
        <w:rPr>
          <w:b/>
          <w:color w:val="00188F"/>
        </w:rPr>
        <w:t>Die folgenden Servicelevels und Servicegutschriften gelten für die Nutzung durch den Kunden der Azure-Datenbank für PostgreSQL – Flexibler Server, konfiguriert in einem Hochverfügbarkeitsmodus der gleichen Zone: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15E8EC7" w14:textId="77777777" w:rsidTr="00277097">
        <w:trPr>
          <w:tblHeader/>
        </w:trPr>
        <w:tc>
          <w:tcPr>
            <w:tcW w:w="5400" w:type="dxa"/>
            <w:shd w:val="clear" w:color="auto" w:fill="0072C6"/>
          </w:tcPr>
          <w:p w14:paraId="549CABA0" w14:textId="6E4A9329" w:rsidR="004005AF" w:rsidRPr="001A0074"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19710F24" w14:textId="77777777" w:rsidR="004005AF" w:rsidRPr="001A0074" w:rsidRDefault="004005AF" w:rsidP="000F31B4">
            <w:pPr>
              <w:pStyle w:val="ProductList-OfferingBody"/>
              <w:jc w:val="center"/>
              <w:rPr>
                <w:color w:val="FFFFFF" w:themeColor="background1"/>
              </w:rPr>
            </w:pPr>
            <w:r>
              <w:rPr>
                <w:color w:val="FFFFFF" w:themeColor="background1"/>
              </w:rPr>
              <w:t>Servicegutschrift</w:t>
            </w:r>
          </w:p>
        </w:tc>
      </w:tr>
      <w:tr w:rsidR="004005AF" w:rsidRPr="00B44CF9" w14:paraId="15E85E18" w14:textId="77777777" w:rsidTr="00277097">
        <w:tc>
          <w:tcPr>
            <w:tcW w:w="5400" w:type="dxa"/>
          </w:tcPr>
          <w:p w14:paraId="439832B2" w14:textId="77777777" w:rsidR="004005AF" w:rsidRPr="0076238C" w:rsidRDefault="004005AF" w:rsidP="000F31B4">
            <w:pPr>
              <w:pStyle w:val="ProductList-OfferingBody"/>
              <w:jc w:val="center"/>
            </w:pPr>
            <w:r>
              <w:t>Weniger als 99,95 % und mindestens 99,00 %</w:t>
            </w:r>
          </w:p>
        </w:tc>
        <w:tc>
          <w:tcPr>
            <w:tcW w:w="5400" w:type="dxa"/>
          </w:tcPr>
          <w:p w14:paraId="40DDBEAA" w14:textId="77777777" w:rsidR="004005AF" w:rsidRPr="0076238C" w:rsidRDefault="004005AF" w:rsidP="000F31B4">
            <w:pPr>
              <w:pStyle w:val="ProductList-OfferingBody"/>
              <w:jc w:val="center"/>
            </w:pPr>
            <w:r>
              <w:t>10 %</w:t>
            </w:r>
          </w:p>
        </w:tc>
      </w:tr>
      <w:tr w:rsidR="004005AF" w:rsidRPr="00B44CF9" w14:paraId="14B44FC2" w14:textId="77777777" w:rsidTr="00277097">
        <w:tc>
          <w:tcPr>
            <w:tcW w:w="5400" w:type="dxa"/>
          </w:tcPr>
          <w:p w14:paraId="0E6E8C7F" w14:textId="77777777" w:rsidR="004005AF" w:rsidRPr="0076238C" w:rsidRDefault="004005AF" w:rsidP="000F31B4">
            <w:pPr>
              <w:pStyle w:val="ProductList-OfferingBody"/>
              <w:jc w:val="center"/>
            </w:pPr>
            <w:r>
              <w:t>&lt; 99,00 %</w:t>
            </w:r>
          </w:p>
        </w:tc>
        <w:tc>
          <w:tcPr>
            <w:tcW w:w="5400" w:type="dxa"/>
          </w:tcPr>
          <w:p w14:paraId="4210AC71" w14:textId="77777777" w:rsidR="004005AF" w:rsidRPr="0076238C" w:rsidRDefault="004005AF" w:rsidP="000F31B4">
            <w:pPr>
              <w:pStyle w:val="ProductList-OfferingBody"/>
              <w:jc w:val="center"/>
            </w:pPr>
            <w:r>
              <w:t>25 %</w:t>
            </w:r>
          </w:p>
        </w:tc>
      </w:tr>
    </w:tbl>
    <w:p w14:paraId="7E38F208" w14:textId="77777777" w:rsidR="004005AF" w:rsidRDefault="004005AF" w:rsidP="000D262E">
      <w:pPr>
        <w:pStyle w:val="ProductList-Body"/>
        <w:keepNext/>
        <w:spacing w:before="120"/>
      </w:pPr>
      <w:r>
        <w:rPr>
          <w:b/>
          <w:color w:val="00188F"/>
        </w:rPr>
        <w:t>Die folgenden Servicelevels und Servicegutschriften gelten für die Nutzung durch den Kunden der Azure-Datenbank für PostgreSQL – Flexibler Server, nicht konfiguriert in einem Hochverfügbarkeitsmodus: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3BDF164" w14:textId="77777777" w:rsidTr="00277097">
        <w:trPr>
          <w:tblHeader/>
        </w:trPr>
        <w:tc>
          <w:tcPr>
            <w:tcW w:w="5400" w:type="dxa"/>
            <w:shd w:val="clear" w:color="auto" w:fill="0072C6"/>
          </w:tcPr>
          <w:p w14:paraId="69AA2174" w14:textId="3DFC838E" w:rsidR="004005AF" w:rsidRPr="001A0074"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3ED2456B" w14:textId="77777777" w:rsidR="004005AF" w:rsidRPr="001A0074" w:rsidRDefault="004005AF" w:rsidP="000F31B4">
            <w:pPr>
              <w:pStyle w:val="ProductList-OfferingBody"/>
              <w:jc w:val="center"/>
              <w:rPr>
                <w:color w:val="FFFFFF" w:themeColor="background1"/>
              </w:rPr>
            </w:pPr>
            <w:r>
              <w:rPr>
                <w:color w:val="FFFFFF" w:themeColor="background1"/>
              </w:rPr>
              <w:t>Servicegutschrift</w:t>
            </w:r>
          </w:p>
        </w:tc>
      </w:tr>
      <w:tr w:rsidR="004005AF" w:rsidRPr="00B44CF9" w14:paraId="700D77DE" w14:textId="77777777" w:rsidTr="00277097">
        <w:tc>
          <w:tcPr>
            <w:tcW w:w="5400" w:type="dxa"/>
          </w:tcPr>
          <w:p w14:paraId="48E242CC" w14:textId="77777777" w:rsidR="004005AF" w:rsidRPr="0076238C" w:rsidRDefault="004005AF" w:rsidP="000F31B4">
            <w:pPr>
              <w:pStyle w:val="ProductList-OfferingBody"/>
              <w:jc w:val="center"/>
            </w:pPr>
            <w:r>
              <w:t>Weniger als 99,9 % und mindestens 99,00 %</w:t>
            </w:r>
          </w:p>
        </w:tc>
        <w:tc>
          <w:tcPr>
            <w:tcW w:w="5400" w:type="dxa"/>
          </w:tcPr>
          <w:p w14:paraId="2B29722A" w14:textId="77777777" w:rsidR="004005AF" w:rsidRPr="0076238C" w:rsidRDefault="004005AF" w:rsidP="000F31B4">
            <w:pPr>
              <w:pStyle w:val="ProductList-OfferingBody"/>
              <w:jc w:val="center"/>
            </w:pPr>
            <w:r>
              <w:t>10 %</w:t>
            </w:r>
          </w:p>
        </w:tc>
      </w:tr>
      <w:tr w:rsidR="004005AF" w:rsidRPr="00B44CF9" w14:paraId="3D6E703B" w14:textId="77777777" w:rsidTr="00277097">
        <w:tc>
          <w:tcPr>
            <w:tcW w:w="5400" w:type="dxa"/>
          </w:tcPr>
          <w:p w14:paraId="4FBC6BD8" w14:textId="77777777" w:rsidR="004005AF" w:rsidRPr="0076238C" w:rsidRDefault="004005AF" w:rsidP="000F31B4">
            <w:pPr>
              <w:pStyle w:val="ProductList-OfferingBody"/>
              <w:jc w:val="center"/>
            </w:pPr>
            <w:r>
              <w:t>&lt; 99,00 %</w:t>
            </w:r>
          </w:p>
        </w:tc>
        <w:tc>
          <w:tcPr>
            <w:tcW w:w="5400" w:type="dxa"/>
          </w:tcPr>
          <w:p w14:paraId="0A822267" w14:textId="77777777" w:rsidR="004005AF" w:rsidRPr="0076238C" w:rsidRDefault="004005AF" w:rsidP="000F31B4">
            <w:pPr>
              <w:pStyle w:val="ProductList-OfferingBody"/>
              <w:jc w:val="center"/>
            </w:pPr>
            <w:r>
              <w:t>25 %</w:t>
            </w:r>
          </w:p>
        </w:tc>
      </w:tr>
    </w:tbl>
    <w:bookmarkStart w:id="288" w:name="_Toc52348929"/>
    <w:p w14:paraId="324B861D" w14:textId="06D25A30"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2F41EBE9" w14:textId="437FF772" w:rsidR="00CD240F" w:rsidRPr="00CD240F" w:rsidRDefault="00CD240F" w:rsidP="00CD240F">
      <w:pPr>
        <w:pStyle w:val="ProductList-Offering2Heading"/>
        <w:keepNext/>
        <w:tabs>
          <w:tab w:val="clear" w:pos="360"/>
          <w:tab w:val="clear" w:pos="720"/>
          <w:tab w:val="clear" w:pos="1080"/>
        </w:tabs>
        <w:outlineLvl w:val="2"/>
      </w:pPr>
      <w:bookmarkStart w:id="289" w:name="_Toc195543134"/>
      <w:bookmarkStart w:id="290" w:name="_Toc237448991"/>
      <w:r>
        <w:t>Azure Databricks</w:t>
      </w:r>
      <w:bookmarkEnd w:id="289"/>
      <w:bookmarkEnd w:id="290"/>
    </w:p>
    <w:p w14:paraId="0F040D15" w14:textId="77777777" w:rsidR="00CD240F" w:rsidRPr="00CD240F" w:rsidRDefault="00CD240F" w:rsidP="00CD240F">
      <w:pPr>
        <w:pStyle w:val="ProductList-Body"/>
        <w:rPr>
          <w:b/>
          <w:bCs/>
          <w:color w:val="00188F"/>
        </w:rPr>
      </w:pPr>
      <w:r>
        <w:rPr>
          <w:b/>
          <w:bCs/>
          <w:color w:val="00188F"/>
        </w:rPr>
        <w:t>Zusätzliche Definitionen</w:t>
      </w:r>
    </w:p>
    <w:p w14:paraId="2976A464" w14:textId="77777777" w:rsidR="00CD240F" w:rsidRDefault="00CD240F" w:rsidP="00CD240F">
      <w:pPr>
        <w:pStyle w:val="ProductList-Body"/>
      </w:pPr>
      <w:r>
        <w:t>„</w:t>
      </w:r>
      <w:r>
        <w:rPr>
          <w:b/>
          <w:bCs/>
          <w:color w:val="00188F"/>
        </w:rPr>
        <w:t>Azure Databricks Gateway</w:t>
      </w:r>
      <w:r>
        <w:t>“ ist ein Satz von Rechenressourcen, die UI- und API-Anfragen zwischen Kunden und Azure Databricks verarbeiten.</w:t>
      </w:r>
    </w:p>
    <w:p w14:paraId="120D2066" w14:textId="1B4FBB93" w:rsidR="00CD240F" w:rsidRPr="00CD240F" w:rsidRDefault="00EE6E3C" w:rsidP="00E17FEE">
      <w:pPr>
        <w:pStyle w:val="ProductList-Body"/>
        <w:rPr>
          <w:b/>
          <w:bCs/>
          <w:color w:val="00188F"/>
        </w:rPr>
      </w:pPr>
      <w:r>
        <w:rPr>
          <w:b/>
          <w:bCs/>
          <w:color w:val="00188F"/>
        </w:rPr>
        <w:t>Berechnung der Betriebszeit und Service-Levels für Azure Databricks</w:t>
      </w:r>
    </w:p>
    <w:p w14:paraId="1CA09F9B" w14:textId="5CDBB9D6" w:rsidR="00CD240F" w:rsidRDefault="00CD240F" w:rsidP="00CD240F">
      <w:pPr>
        <w:pStyle w:val="ProductList-Body"/>
      </w:pPr>
      <w:r>
        <w:t>„</w:t>
      </w:r>
      <w:r>
        <w:rPr>
          <w:b/>
          <w:bCs/>
          <w:color w:val="00188F"/>
        </w:rPr>
        <w:t>Maximal Verfügbare Minuten</w:t>
      </w:r>
      <w:r>
        <w:t>“ steht für die Gesamtzahl der Minuten aller Azure Databricks-Arbeitsbereiche, die vom Kunden eines Microsoft Azure-Abonnements während eines Anwendbaren Zeitraums bereitgestellt werden.</w:t>
      </w:r>
    </w:p>
    <w:p w14:paraId="7E3ED12B" w14:textId="77777777" w:rsidR="00CD240F" w:rsidRDefault="00CD240F" w:rsidP="00CD240F">
      <w:pPr>
        <w:pStyle w:val="ProductList-Body"/>
      </w:pPr>
      <w:r>
        <w:t>„</w:t>
      </w:r>
      <w:r>
        <w:rPr>
          <w:b/>
          <w:bCs/>
          <w:color w:val="00188F"/>
        </w:rPr>
        <w:t>Ausfallzeit</w:t>
      </w:r>
      <w:r>
        <w:t>“ steht für die Gesamtzahl der Minuten, während denen sämtliche Azure Databricks-Arbeitsbereiche, welche für ein bestimmtes Microsoft Azure-Abonnement bereitgestellt werden, nicht verfügbar sind. Eine Minute gilt für einen bestimmten Azure Databricks-Arbeitsbereich als nicht verfügbar, wenn alle fortlaufenden Versuche, innerhalb einer Minute eine Verbindung mit dem Azure Databricks Gateway für den anwendbaren Arbeitsbereich herzustellen, erfolglos bleiben.</w:t>
      </w:r>
    </w:p>
    <w:p w14:paraId="43314FEF" w14:textId="4F2D263F" w:rsidR="00CD240F" w:rsidRDefault="00CD240F" w:rsidP="00CD240F">
      <w:pPr>
        <w:pStyle w:val="ProductList-Body"/>
      </w:pPr>
      <w:r>
        <w:t>Der „</w:t>
      </w:r>
      <w:r>
        <w:rPr>
          <w:b/>
          <w:bCs/>
          <w:color w:val="00188F"/>
        </w:rPr>
        <w:t>Betriebszeitprozentsatz</w:t>
      </w:r>
      <w:r>
        <w:t>“ für den Azure Databricks-Dienst wird wie folgt errechnet: Maximal Verfügbare Minuten minus Ausfallzeit geteilt durch Maximal Verfügbare Minuten multipliziert mit 100. Der Betriebszeitprozentsatz wird durch folgende Formel dargestellt:</w:t>
      </w:r>
    </w:p>
    <w:p w14:paraId="61CDB55C" w14:textId="21D7569A" w:rsidR="00CD240F" w:rsidRPr="007C7313" w:rsidRDefault="00000000" w:rsidP="00120827">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43E99B09" w14:textId="77777777" w:rsidR="00CD240F" w:rsidRPr="00CD240F" w:rsidRDefault="00CD240F" w:rsidP="00CD240F">
      <w:pPr>
        <w:pStyle w:val="ProductList-Body"/>
        <w:rPr>
          <w:b/>
          <w:bCs/>
          <w:color w:val="00188F"/>
        </w:rPr>
      </w:pPr>
      <w:r>
        <w:rPr>
          <w:b/>
          <w:bCs/>
          <w:color w:val="00188F"/>
        </w:rPr>
        <w:t>Folgende Service-Levels und Servicegutschriften gelten für die Nutzung von Azure Databricks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D240F" w:rsidRPr="00B44CF9" w14:paraId="463DCBAF" w14:textId="77777777" w:rsidTr="00277097">
        <w:trPr>
          <w:tblHeader/>
        </w:trPr>
        <w:tc>
          <w:tcPr>
            <w:tcW w:w="5400" w:type="dxa"/>
            <w:shd w:val="clear" w:color="auto" w:fill="0072C6"/>
          </w:tcPr>
          <w:p w14:paraId="7FC73D9B" w14:textId="12211056" w:rsidR="00CD240F" w:rsidRPr="001A0074"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199362B0" w14:textId="77777777" w:rsidR="00CD240F" w:rsidRPr="001A0074" w:rsidRDefault="00CD240F" w:rsidP="000F31B4">
            <w:pPr>
              <w:pStyle w:val="ProductList-OfferingBody"/>
              <w:jc w:val="center"/>
              <w:rPr>
                <w:color w:val="FFFFFF" w:themeColor="background1"/>
              </w:rPr>
            </w:pPr>
            <w:r>
              <w:rPr>
                <w:color w:val="FFFFFF" w:themeColor="background1"/>
              </w:rPr>
              <w:t>Servicegutschrift</w:t>
            </w:r>
          </w:p>
        </w:tc>
      </w:tr>
      <w:tr w:rsidR="00CD240F" w:rsidRPr="00B44CF9" w14:paraId="7FA90096" w14:textId="77777777" w:rsidTr="00277097">
        <w:tc>
          <w:tcPr>
            <w:tcW w:w="5400" w:type="dxa"/>
          </w:tcPr>
          <w:p w14:paraId="4BBBD8EE" w14:textId="36CF79EA" w:rsidR="00CD240F" w:rsidRPr="0076238C" w:rsidRDefault="00CD240F" w:rsidP="000F31B4">
            <w:pPr>
              <w:pStyle w:val="ProductList-OfferingBody"/>
              <w:jc w:val="center"/>
            </w:pPr>
            <w:r>
              <w:t>&lt; 99,95 %</w:t>
            </w:r>
          </w:p>
        </w:tc>
        <w:tc>
          <w:tcPr>
            <w:tcW w:w="5400" w:type="dxa"/>
          </w:tcPr>
          <w:p w14:paraId="007E12EF" w14:textId="77777777" w:rsidR="00CD240F" w:rsidRPr="0076238C" w:rsidRDefault="00CD240F" w:rsidP="000F31B4">
            <w:pPr>
              <w:pStyle w:val="ProductList-OfferingBody"/>
              <w:jc w:val="center"/>
            </w:pPr>
            <w:r>
              <w:t>10 %</w:t>
            </w:r>
          </w:p>
        </w:tc>
      </w:tr>
      <w:tr w:rsidR="00CD240F" w:rsidRPr="00B44CF9" w14:paraId="734DE1F3" w14:textId="77777777" w:rsidTr="00277097">
        <w:tc>
          <w:tcPr>
            <w:tcW w:w="5400" w:type="dxa"/>
          </w:tcPr>
          <w:p w14:paraId="11886951" w14:textId="45A71DFE" w:rsidR="00CD240F" w:rsidRPr="0076238C" w:rsidRDefault="00CD240F" w:rsidP="000F31B4">
            <w:pPr>
              <w:pStyle w:val="ProductList-OfferingBody"/>
              <w:jc w:val="center"/>
            </w:pPr>
            <w:r>
              <w:t>&lt; 99 %</w:t>
            </w:r>
          </w:p>
        </w:tc>
        <w:tc>
          <w:tcPr>
            <w:tcW w:w="5400" w:type="dxa"/>
          </w:tcPr>
          <w:p w14:paraId="393CF9F4" w14:textId="77777777" w:rsidR="00CD240F" w:rsidRPr="0076238C" w:rsidRDefault="00CD240F" w:rsidP="000F31B4">
            <w:pPr>
              <w:pStyle w:val="ProductList-OfferingBody"/>
              <w:jc w:val="center"/>
            </w:pPr>
            <w:r>
              <w:t>25 %</w:t>
            </w:r>
          </w:p>
        </w:tc>
      </w:tr>
    </w:tbl>
    <w:p w14:paraId="1664DB0F" w14:textId="6BC1FBCD"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3AD966BC" w14:textId="77777777" w:rsidR="007B7A97" w:rsidRPr="00364EEB" w:rsidRDefault="007B7A97" w:rsidP="005E7AC5">
      <w:pPr>
        <w:pStyle w:val="ProductList-Offering2Heading"/>
        <w:tabs>
          <w:tab w:val="clear" w:pos="360"/>
          <w:tab w:val="clear" w:pos="720"/>
          <w:tab w:val="clear" w:pos="1080"/>
        </w:tabs>
        <w:outlineLvl w:val="2"/>
        <w:rPr>
          <w:lang w:val="en-US"/>
        </w:rPr>
      </w:pPr>
      <w:bookmarkStart w:id="291" w:name="_Toc195543135"/>
      <w:bookmarkStart w:id="292" w:name="_Toc237448992"/>
      <w:r w:rsidRPr="00364EEB">
        <w:rPr>
          <w:lang w:val="en-US"/>
        </w:rPr>
        <w:t>Microsoft Azure Data Manager for Energy</w:t>
      </w:r>
      <w:bookmarkEnd w:id="291"/>
      <w:bookmarkEnd w:id="292"/>
    </w:p>
    <w:p w14:paraId="41471812" w14:textId="77777777" w:rsidR="007B7A97" w:rsidRPr="005E7AC5" w:rsidRDefault="007B7A97" w:rsidP="005E7AC5">
      <w:pPr>
        <w:pStyle w:val="ProductList-Body"/>
        <w:rPr>
          <w:b/>
          <w:color w:val="00188F"/>
        </w:rPr>
      </w:pPr>
      <w:r>
        <w:rPr>
          <w:b/>
          <w:color w:val="00188F"/>
        </w:rPr>
        <w:t>Zusätzliche Definitionen:</w:t>
      </w:r>
    </w:p>
    <w:p w14:paraId="5F733D8F" w14:textId="20715FFD" w:rsidR="007B7A97" w:rsidRDefault="007B7A97" w:rsidP="007B7A97">
      <w:pPr>
        <w:spacing w:after="0"/>
      </w:pPr>
      <w:r w:rsidRPr="00620CAD">
        <w:rPr>
          <w:sz w:val="18"/>
        </w:rPr>
        <w:t>„</w:t>
      </w:r>
      <w:r>
        <w:rPr>
          <w:b/>
          <w:color w:val="00188F"/>
          <w:sz w:val="18"/>
        </w:rPr>
        <w:t>Client</w:t>
      </w:r>
      <w:r w:rsidR="00620CAD" w:rsidRPr="00620CAD">
        <w:rPr>
          <w:sz w:val="18"/>
        </w:rPr>
        <w:t>“</w:t>
      </w:r>
      <w:r>
        <w:rPr>
          <w:sz w:val="18"/>
        </w:rPr>
        <w:t xml:space="preserve"> ist der für den Endnutzer zugängliche Teil der Azure Data Manager for Energy-Ressource.</w:t>
      </w:r>
      <w:r>
        <w:t xml:space="preserve"> </w:t>
      </w:r>
    </w:p>
    <w:p w14:paraId="172835FD" w14:textId="0F51CC5A" w:rsidR="007B7A97" w:rsidRDefault="007B7A97" w:rsidP="00620CAD">
      <w:pPr>
        <w:pStyle w:val="ProductList-Body"/>
        <w:ind w:right="144"/>
      </w:pPr>
      <w:r>
        <w:t>„</w:t>
      </w:r>
      <w:r>
        <w:rPr>
          <w:b/>
          <w:color w:val="00188F"/>
        </w:rPr>
        <w:t>Gesamtzahl der API-Anfragen</w:t>
      </w:r>
      <w:r w:rsidR="00620CAD" w:rsidRPr="00620CAD">
        <w:t>“</w:t>
      </w:r>
      <w:r>
        <w:t xml:space="preserve"> bezieht sich auf die Gesamtzahl der authentifizierten API-Anfragen, die der Kunde während eines Anwendbaren Zeitraums für ein bestimmtes Microsoft Azure-Abonnement an einen der API-Endpunkte seiner Azure Data Manager for Energy-Ressource gestellt hat. </w:t>
      </w:r>
    </w:p>
    <w:p w14:paraId="7CABD70A" w14:textId="77777777" w:rsidR="007B7A97" w:rsidRDefault="007B7A97" w:rsidP="005E7AC5">
      <w:pPr>
        <w:pStyle w:val="ProductList-Body"/>
      </w:pPr>
      <w:r>
        <w:t>„</w:t>
      </w:r>
      <w:r>
        <w:rPr>
          <w:b/>
          <w:color w:val="00188F"/>
        </w:rPr>
        <w:t>Fehlerhafte API-Anforderungen</w:t>
      </w:r>
      <w:r>
        <w:t xml:space="preserve">“ ist die Zahl aller API-Anforderungen innerhalb der Gesamtzahl der API-Anforderungen, die zu einem Fehlercode führen. </w:t>
      </w:r>
    </w:p>
    <w:p w14:paraId="3FDDB652" w14:textId="340EF086" w:rsidR="007B7A97" w:rsidRDefault="00AC48A7" w:rsidP="005E7AC5">
      <w:pPr>
        <w:pStyle w:val="ProductList-Body"/>
      </w:pPr>
      <w:r>
        <w:t>Betriebszeitprozentsatz: Der Betriebszeitprozentsatz errechnet sich nach folgender Formel:</w:t>
      </w:r>
    </w:p>
    <w:p w14:paraId="4B6C405C" w14:textId="186C61FF" w:rsidR="007B7A97" w:rsidRPr="005E7AC5" w:rsidRDefault="00000000" w:rsidP="00762FDE">
      <w:pPr>
        <w:pStyle w:val="ListParagraph"/>
        <w:spacing w:before="120" w:after="12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Gesamtzahl der API-Anforderungen abzüglich Fehlerhafte API-Anforderungen</m:t>
              </m:r>
            </m:num>
            <m:den>
              <m:r>
                <m:rPr>
                  <m:nor/>
                </m:rPr>
                <w:rPr>
                  <w:rFonts w:ascii="Cambria Math" w:hAnsi="Cambria Math" w:cs="Tahoma"/>
                  <w:i/>
                  <w:sz w:val="18"/>
                  <w:szCs w:val="18"/>
                </w:rPr>
                <m:t>Gesamtzahl der API-Anforderungen</m:t>
              </m:r>
            </m:den>
          </m:f>
          <m:r>
            <w:rPr>
              <w:rFonts w:ascii="Cambria Math" w:hAnsi="Cambria Math" w:cs="Tahoma"/>
              <w:sz w:val="18"/>
              <w:szCs w:val="18"/>
            </w:rPr>
            <m:t xml:space="preserve"> X 100</m:t>
          </m:r>
        </m:oMath>
      </m:oMathPara>
    </w:p>
    <w:p w14:paraId="12EDEDD4" w14:textId="77777777" w:rsidR="007B7A97" w:rsidRPr="004C6163" w:rsidRDefault="007B7A97" w:rsidP="007B7A97">
      <w:pPr>
        <w:spacing w:after="0"/>
        <w:rPr>
          <w:b/>
          <w:color w:val="00188F"/>
          <w:sz w:val="18"/>
        </w:rPr>
      </w:pPr>
      <w:r w:rsidRPr="004C6163">
        <w:rPr>
          <w:b/>
          <w:color w:val="00188F"/>
          <w:sz w:val="18"/>
        </w:rPr>
        <w:t xml:space="preserve">Dienstgutschrift </w:t>
      </w:r>
    </w:p>
    <w:tbl>
      <w:tblPr>
        <w:tblStyle w:val="TableGrid"/>
        <w:tblW w:w="5000" w:type="pct"/>
        <w:tblLook w:val="04A0" w:firstRow="1" w:lastRow="0" w:firstColumn="1" w:lastColumn="0" w:noHBand="0" w:noVBand="1"/>
      </w:tblPr>
      <w:tblGrid>
        <w:gridCol w:w="5237"/>
        <w:gridCol w:w="5553"/>
      </w:tblGrid>
      <w:tr w:rsidR="005E7AC5" w:rsidRPr="005E7AC5" w14:paraId="2D248A1A" w14:textId="77777777" w:rsidTr="005E7AC5">
        <w:tc>
          <w:tcPr>
            <w:tcW w:w="2427" w:type="pct"/>
            <w:tcBorders>
              <w:top w:val="single" w:sz="4" w:space="0" w:color="auto"/>
              <w:left w:val="single" w:sz="4" w:space="0" w:color="auto"/>
              <w:bottom w:val="single" w:sz="4" w:space="0" w:color="auto"/>
              <w:right w:val="single" w:sz="4" w:space="0" w:color="auto"/>
            </w:tcBorders>
            <w:shd w:val="clear" w:color="auto" w:fill="0070C0"/>
            <w:hideMark/>
          </w:tcPr>
          <w:p w14:paraId="4CC9A0C7" w14:textId="3C2E1B39" w:rsidR="007B7A97" w:rsidRDefault="00AC48A7" w:rsidP="005E7AC5">
            <w:pPr>
              <w:pStyle w:val="ProductList-OfferingBody"/>
              <w:jc w:val="center"/>
              <w:rPr>
                <w:color w:val="FFFFFF" w:themeColor="background1"/>
              </w:rPr>
            </w:pPr>
            <w:r>
              <w:rPr>
                <w:color w:val="FFFFFF" w:themeColor="background1"/>
              </w:rPr>
              <w:lastRenderedPageBreak/>
              <w:t>Betriebszeitprozentsatz</w:t>
            </w:r>
          </w:p>
        </w:tc>
        <w:tc>
          <w:tcPr>
            <w:tcW w:w="2573" w:type="pct"/>
            <w:tcBorders>
              <w:top w:val="single" w:sz="4" w:space="0" w:color="auto"/>
              <w:left w:val="single" w:sz="4" w:space="0" w:color="auto"/>
              <w:bottom w:val="single" w:sz="4" w:space="0" w:color="auto"/>
              <w:right w:val="single" w:sz="4" w:space="0" w:color="auto"/>
            </w:tcBorders>
            <w:shd w:val="clear" w:color="auto" w:fill="0070C0"/>
            <w:hideMark/>
          </w:tcPr>
          <w:p w14:paraId="6E29C60F" w14:textId="77777777" w:rsidR="007B7A97" w:rsidRDefault="007B7A97" w:rsidP="005E7AC5">
            <w:pPr>
              <w:pStyle w:val="ProductList-OfferingBody"/>
              <w:jc w:val="center"/>
              <w:rPr>
                <w:color w:val="FFFFFF" w:themeColor="background1"/>
              </w:rPr>
            </w:pPr>
            <w:r>
              <w:rPr>
                <w:color w:val="FFFFFF" w:themeColor="background1"/>
              </w:rPr>
              <w:t>Servicegutschrift</w:t>
            </w:r>
          </w:p>
        </w:tc>
      </w:tr>
      <w:tr w:rsidR="007B7A97" w:rsidRPr="00564C66" w14:paraId="7C37E974" w14:textId="77777777" w:rsidTr="005E7AC5">
        <w:trPr>
          <w:trHeight w:val="39"/>
        </w:trPr>
        <w:tc>
          <w:tcPr>
            <w:tcW w:w="2427" w:type="pct"/>
            <w:tcBorders>
              <w:top w:val="single" w:sz="4" w:space="0" w:color="auto"/>
              <w:left w:val="single" w:sz="4" w:space="0" w:color="auto"/>
              <w:bottom w:val="single" w:sz="4" w:space="0" w:color="auto"/>
              <w:right w:val="single" w:sz="4" w:space="0" w:color="auto"/>
            </w:tcBorders>
            <w:hideMark/>
          </w:tcPr>
          <w:p w14:paraId="43716C80" w14:textId="77777777" w:rsidR="007B7A97" w:rsidRDefault="007B7A97" w:rsidP="005E7AC5">
            <w:pPr>
              <w:pStyle w:val="ProductList-OfferingBody"/>
              <w:jc w:val="center"/>
            </w:pPr>
            <w:r>
              <w:t>&lt; 99,9 %</w:t>
            </w:r>
          </w:p>
        </w:tc>
        <w:tc>
          <w:tcPr>
            <w:tcW w:w="2573" w:type="pct"/>
            <w:tcBorders>
              <w:top w:val="single" w:sz="4" w:space="0" w:color="auto"/>
              <w:left w:val="single" w:sz="4" w:space="0" w:color="auto"/>
              <w:bottom w:val="single" w:sz="4" w:space="0" w:color="auto"/>
              <w:right w:val="single" w:sz="4" w:space="0" w:color="auto"/>
            </w:tcBorders>
            <w:hideMark/>
          </w:tcPr>
          <w:p w14:paraId="715C47B5" w14:textId="77777777" w:rsidR="007B7A97" w:rsidRDefault="007B7A97" w:rsidP="005E7AC5">
            <w:pPr>
              <w:pStyle w:val="ProductList-OfferingBody"/>
              <w:jc w:val="center"/>
            </w:pPr>
            <w:r>
              <w:t>10 %</w:t>
            </w:r>
          </w:p>
        </w:tc>
      </w:tr>
      <w:tr w:rsidR="007B7A97" w:rsidRPr="00564C66" w14:paraId="43164017" w14:textId="77777777" w:rsidTr="005E7AC5">
        <w:tc>
          <w:tcPr>
            <w:tcW w:w="2427" w:type="pct"/>
            <w:tcBorders>
              <w:top w:val="single" w:sz="4" w:space="0" w:color="auto"/>
              <w:left w:val="single" w:sz="4" w:space="0" w:color="auto"/>
              <w:bottom w:val="single" w:sz="4" w:space="0" w:color="auto"/>
              <w:right w:val="single" w:sz="4" w:space="0" w:color="auto"/>
            </w:tcBorders>
            <w:hideMark/>
          </w:tcPr>
          <w:p w14:paraId="08040D57" w14:textId="77777777" w:rsidR="007B7A97" w:rsidRPr="005E7AC5" w:rsidRDefault="007B7A97" w:rsidP="005E7AC5">
            <w:pPr>
              <w:pStyle w:val="ProductList-OfferingBody"/>
              <w:jc w:val="center"/>
            </w:pPr>
            <w:r>
              <w:t>&lt; 99 %</w:t>
            </w:r>
          </w:p>
        </w:tc>
        <w:tc>
          <w:tcPr>
            <w:tcW w:w="2573" w:type="pct"/>
            <w:tcBorders>
              <w:top w:val="single" w:sz="4" w:space="0" w:color="auto"/>
              <w:left w:val="single" w:sz="4" w:space="0" w:color="auto"/>
              <w:bottom w:val="single" w:sz="4" w:space="0" w:color="auto"/>
              <w:right w:val="single" w:sz="4" w:space="0" w:color="auto"/>
            </w:tcBorders>
            <w:hideMark/>
          </w:tcPr>
          <w:p w14:paraId="1E80825F" w14:textId="77777777" w:rsidR="007B7A97" w:rsidRPr="005E7AC5" w:rsidRDefault="007B7A97" w:rsidP="005E7AC5">
            <w:pPr>
              <w:pStyle w:val="ProductList-OfferingBody"/>
              <w:jc w:val="center"/>
            </w:pPr>
            <w:r>
              <w:t>25 %</w:t>
            </w:r>
          </w:p>
        </w:tc>
      </w:tr>
    </w:tbl>
    <w:p w14:paraId="37225344" w14:textId="77777777" w:rsidR="007B7A97" w:rsidRPr="005E7AC5" w:rsidRDefault="007B7A97" w:rsidP="000D262E">
      <w:pPr>
        <w:pStyle w:val="ProductList-Body"/>
        <w:spacing w:before="120"/>
      </w:pPr>
      <w:r>
        <w:rPr>
          <w:b/>
          <w:color w:val="00188F"/>
        </w:rPr>
        <w:t>Servicelevel-Ausnahmen</w:t>
      </w:r>
      <w:r w:rsidRPr="0008262F">
        <w:rPr>
          <w:b/>
          <w:color w:val="00188F"/>
        </w:rPr>
        <w:t>:</w:t>
      </w:r>
      <w:r>
        <w:t xml:space="preserve"> Die Servicelevel und Servicegutschriften gelten für Ihre Nutzung der Standard-Stufe von Azure Data Manager for Energy. Die Entwickler-Stufe von Microsoft Azure Data Manager for Energy unterliegt nicht diesem SLA.</w:t>
      </w:r>
    </w:p>
    <w:p w14:paraId="7A699F85" w14:textId="4FDBC537"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7F28C626" w14:textId="0EB85250" w:rsidR="004005AF" w:rsidRDefault="004005AF" w:rsidP="004005AF">
      <w:pPr>
        <w:pStyle w:val="ProductList-Offering2Heading"/>
        <w:tabs>
          <w:tab w:val="clear" w:pos="360"/>
          <w:tab w:val="clear" w:pos="720"/>
          <w:tab w:val="clear" w:pos="1080"/>
        </w:tabs>
        <w:outlineLvl w:val="2"/>
      </w:pPr>
      <w:bookmarkStart w:id="293" w:name="_Toc195543136"/>
      <w:bookmarkStart w:id="294" w:name="_Toc237448993"/>
      <w:r>
        <w:t>Azure DDoS-Schutz</w:t>
      </w:r>
      <w:bookmarkEnd w:id="287"/>
      <w:bookmarkEnd w:id="288"/>
      <w:bookmarkEnd w:id="293"/>
      <w:bookmarkEnd w:id="294"/>
    </w:p>
    <w:p w14:paraId="5A46A1CE" w14:textId="77777777" w:rsidR="004005AF" w:rsidRPr="00DA6241" w:rsidRDefault="004005AF" w:rsidP="005509B2">
      <w:pPr>
        <w:pStyle w:val="ProductList-Body"/>
      </w:pPr>
      <w:r>
        <w:rPr>
          <w:b/>
          <w:color w:val="00188F"/>
        </w:rPr>
        <w:t>Zusätzliche Definitionen</w:t>
      </w:r>
      <w:r w:rsidRPr="0008262F">
        <w:rPr>
          <w:b/>
          <w:color w:val="00188F"/>
        </w:rPr>
        <w:t>:</w:t>
      </w:r>
    </w:p>
    <w:p w14:paraId="62BA3B5E" w14:textId="4FD72BAE" w:rsidR="004005AF" w:rsidRPr="006C1AC0" w:rsidRDefault="004005AF" w:rsidP="005509B2">
      <w:pPr>
        <w:spacing w:after="0" w:line="240" w:lineRule="auto"/>
        <w:rPr>
          <w:sz w:val="18"/>
        </w:rPr>
      </w:pPr>
      <w:r>
        <w:rPr>
          <w:sz w:val="18"/>
        </w:rPr>
        <w:t>„</w:t>
      </w:r>
      <w:r>
        <w:rPr>
          <w:b/>
          <w:color w:val="00188F"/>
          <w:sz w:val="18"/>
        </w:rPr>
        <w:t>Maximal Verfügbare Minuten</w:t>
      </w:r>
      <w:r>
        <w:rPr>
          <w:sz w:val="18"/>
          <w:szCs w:val="18"/>
        </w:rPr>
        <w:t>“</w:t>
      </w:r>
      <w:r>
        <w:t xml:space="preserve"> </w:t>
      </w:r>
      <w:r>
        <w:rPr>
          <w:sz w:val="18"/>
        </w:rPr>
        <w:t xml:space="preserve">ist die Gesamtzahl der Minuten, in denen der DDoS-Schutzdienst für ein bestimmtes Microsoft Azure-Abonnement im Verlauf eines Anwendbaren Zeitraums aktiviert ist. </w:t>
      </w:r>
    </w:p>
    <w:p w14:paraId="1D8475B1" w14:textId="77777777" w:rsidR="004005AF" w:rsidRPr="00ED4527" w:rsidRDefault="004005AF" w:rsidP="005509B2">
      <w:pPr>
        <w:spacing w:after="0" w:line="240" w:lineRule="auto"/>
        <w:rPr>
          <w:color w:val="000000" w:themeColor="text1"/>
          <w:sz w:val="18"/>
        </w:rPr>
      </w:pPr>
      <w:r>
        <w:rPr>
          <w:sz w:val="18"/>
        </w:rPr>
        <w:t>„</w:t>
      </w:r>
      <w:r>
        <w:rPr>
          <w:b/>
          <w:color w:val="00188F"/>
          <w:sz w:val="18"/>
        </w:rPr>
        <w:t>Ausfallzeit</w:t>
      </w:r>
      <w:r>
        <w:rPr>
          <w:sz w:val="18"/>
        </w:rPr>
        <w:t>“</w:t>
      </w:r>
      <w:r>
        <w:rPr>
          <w:sz w:val="18"/>
          <w:szCs w:val="18"/>
        </w:rPr>
        <w:t xml:space="preserve"> </w:t>
      </w:r>
      <w:r>
        <w:rPr>
          <w:sz w:val="18"/>
        </w:rPr>
        <w:t xml:space="preserve">ist die Gesamtzahl der Minuten innerhalb der Maximal verfügbaren Minuten, in denen geschützte Azure-Ressourcen nicht verfügbar waren. Eine Minute gilt als nicht verfügbar, wenn der DDoS-Schutz einen Angriff nicht entschärft hat, der direkt dazu geführt hat, dass die zugrunde liegenden Azure-Ressourcen die </w:t>
      </w:r>
      <w:r>
        <w:rPr>
          <w:color w:val="000000" w:themeColor="text1"/>
          <w:sz w:val="18"/>
        </w:rPr>
        <w:t>jeweiligen SLAs</w:t>
      </w:r>
      <w:r>
        <w:rPr>
          <w:color w:val="000000" w:themeColor="text1"/>
          <w:sz w:val="18"/>
          <w:szCs w:val="18"/>
        </w:rPr>
        <w:t xml:space="preserve"> nicht erfüllen.</w:t>
      </w:r>
    </w:p>
    <w:p w14:paraId="7DA3DA65" w14:textId="0CB3811D" w:rsidR="004005AF" w:rsidRPr="00ED4527" w:rsidRDefault="004005AF" w:rsidP="005509B2">
      <w:pPr>
        <w:pStyle w:val="ProductList-Body"/>
        <w:rPr>
          <w:bCs/>
          <w:color w:val="000000" w:themeColor="text1"/>
        </w:rPr>
      </w:pPr>
      <w:r w:rsidRPr="00620CAD">
        <w:t>„</w:t>
      </w:r>
      <w:r>
        <w:rPr>
          <w:b/>
          <w:color w:val="00188F"/>
        </w:rPr>
        <w:t>Betriebszeitprozentsatz</w:t>
      </w:r>
      <w:r w:rsidRPr="00620CAD">
        <w:t xml:space="preserve">“ </w:t>
      </w:r>
      <w:r>
        <w:rPr>
          <w:bCs/>
          <w:color w:val="000000" w:themeColor="text1"/>
        </w:rPr>
        <w:t>wird berechnet als Maximal Verfügbare Minuten abzüglich Ausfallzeit geteilt durch Maximal Verfügbare Minuten multipliziert mit 100.</w:t>
      </w:r>
    </w:p>
    <w:p w14:paraId="11FE3F64" w14:textId="5D6CF346" w:rsidR="004005AF" w:rsidRDefault="004005AF" w:rsidP="005509B2">
      <w:pPr>
        <w:pStyle w:val="ProductList-Body"/>
      </w:pPr>
      <w:r>
        <w:t>Der Betriebszeitprozentsatz errechnet sich nach folgender Formel:</w:t>
      </w:r>
    </w:p>
    <w:p w14:paraId="6A1C8F0D" w14:textId="10F83234" w:rsidR="004005AF" w:rsidRPr="007C7313" w:rsidRDefault="00000000" w:rsidP="000D262E">
      <w:pPr>
        <w:pStyle w:val="ListParagraph"/>
        <w:spacing w:before="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64A8E1E0" w14:textId="77777777" w:rsidR="004005AF" w:rsidRDefault="004005AF" w:rsidP="004005AF">
      <w:pPr>
        <w:pStyle w:val="ProductList-Body"/>
        <w:keepNext/>
      </w:pPr>
      <w:r>
        <w:rPr>
          <w:b/>
          <w:color w:val="00188F"/>
        </w:rPr>
        <w:t>Servicelevels und Servicegutschriften gelten für die Nutzung von Azure-DDoS-Schutz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D58F648" w14:textId="77777777" w:rsidTr="00277097">
        <w:trPr>
          <w:tblHeader/>
        </w:trPr>
        <w:tc>
          <w:tcPr>
            <w:tcW w:w="5400" w:type="dxa"/>
            <w:shd w:val="clear" w:color="auto" w:fill="0072C6"/>
          </w:tcPr>
          <w:p w14:paraId="3DEE4DC1" w14:textId="37BDB80B" w:rsidR="004005AF" w:rsidRPr="001A0074"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7A29B6DB" w14:textId="77777777" w:rsidR="004005AF" w:rsidRPr="001A0074" w:rsidRDefault="004005AF" w:rsidP="000F31B4">
            <w:pPr>
              <w:pStyle w:val="ProductList-OfferingBody"/>
              <w:jc w:val="center"/>
              <w:rPr>
                <w:color w:val="FFFFFF" w:themeColor="background1"/>
              </w:rPr>
            </w:pPr>
            <w:r>
              <w:rPr>
                <w:color w:val="FFFFFF" w:themeColor="background1"/>
              </w:rPr>
              <w:t>Servicegutschrift</w:t>
            </w:r>
          </w:p>
        </w:tc>
      </w:tr>
      <w:tr w:rsidR="004005AF" w:rsidRPr="00B44CF9" w14:paraId="716F57D4" w14:textId="77777777" w:rsidTr="00277097">
        <w:tc>
          <w:tcPr>
            <w:tcW w:w="5400" w:type="dxa"/>
          </w:tcPr>
          <w:p w14:paraId="48ECF269" w14:textId="77777777" w:rsidR="004005AF" w:rsidRPr="0076238C" w:rsidRDefault="004005AF" w:rsidP="000F31B4">
            <w:pPr>
              <w:pStyle w:val="ProductList-OfferingBody"/>
              <w:jc w:val="center"/>
            </w:pPr>
            <w:r>
              <w:t>&lt; 99,99 %</w:t>
            </w:r>
          </w:p>
        </w:tc>
        <w:tc>
          <w:tcPr>
            <w:tcW w:w="5400" w:type="dxa"/>
          </w:tcPr>
          <w:p w14:paraId="451C8035" w14:textId="77777777" w:rsidR="004005AF" w:rsidRPr="0076238C" w:rsidRDefault="004005AF" w:rsidP="000F31B4">
            <w:pPr>
              <w:pStyle w:val="ProductList-OfferingBody"/>
              <w:jc w:val="center"/>
            </w:pPr>
            <w:r>
              <w:t>10 %</w:t>
            </w:r>
          </w:p>
        </w:tc>
      </w:tr>
      <w:tr w:rsidR="004005AF" w:rsidRPr="00B44CF9" w14:paraId="3579B58A" w14:textId="77777777" w:rsidTr="00277097">
        <w:tc>
          <w:tcPr>
            <w:tcW w:w="5400" w:type="dxa"/>
          </w:tcPr>
          <w:p w14:paraId="57895367" w14:textId="77777777" w:rsidR="004005AF" w:rsidRPr="0076238C" w:rsidRDefault="004005AF" w:rsidP="000F31B4">
            <w:pPr>
              <w:pStyle w:val="ProductList-OfferingBody"/>
              <w:jc w:val="center"/>
            </w:pPr>
            <w:r>
              <w:t>&lt; 99,95 %</w:t>
            </w:r>
          </w:p>
        </w:tc>
        <w:tc>
          <w:tcPr>
            <w:tcW w:w="5400" w:type="dxa"/>
          </w:tcPr>
          <w:p w14:paraId="4A518C21" w14:textId="77777777" w:rsidR="004005AF" w:rsidRPr="0076238C" w:rsidRDefault="004005AF" w:rsidP="000F31B4">
            <w:pPr>
              <w:pStyle w:val="ProductList-OfferingBody"/>
              <w:jc w:val="center"/>
            </w:pPr>
            <w:r>
              <w:t>25 %</w:t>
            </w:r>
          </w:p>
        </w:tc>
      </w:tr>
    </w:tbl>
    <w:bookmarkStart w:id="295" w:name="_Toc52348939"/>
    <w:bookmarkStart w:id="296" w:name="_Toc526859657"/>
    <w:bookmarkStart w:id="297" w:name="_Toc52348930"/>
    <w:bookmarkEnd w:id="263"/>
    <w:p w14:paraId="4119A6A8" w14:textId="77D67C14"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55CDE261" w14:textId="77777777" w:rsidR="00DE24F0" w:rsidRPr="00EF7CF9" w:rsidRDefault="00DE24F0" w:rsidP="00DE24F0">
      <w:pPr>
        <w:pStyle w:val="ProductList-Offering2Heading"/>
        <w:keepNext/>
        <w:tabs>
          <w:tab w:val="clear" w:pos="360"/>
          <w:tab w:val="clear" w:pos="720"/>
          <w:tab w:val="clear" w:pos="1080"/>
        </w:tabs>
        <w:outlineLvl w:val="2"/>
      </w:pPr>
      <w:bookmarkStart w:id="298" w:name="_Toc195543137"/>
      <w:bookmarkStart w:id="299" w:name="_Toc237448994"/>
      <w:r>
        <w:t xml:space="preserve">Azure </w:t>
      </w:r>
      <w:bookmarkEnd w:id="295"/>
      <w:r>
        <w:t>Defender</w:t>
      </w:r>
      <w:bookmarkEnd w:id="298"/>
      <w:bookmarkEnd w:id="299"/>
    </w:p>
    <w:p w14:paraId="56727881" w14:textId="77777777" w:rsidR="00DE24F0" w:rsidRPr="00EF7CF9" w:rsidRDefault="00DE24F0" w:rsidP="005509B2">
      <w:pPr>
        <w:pStyle w:val="ProductList-Body"/>
      </w:pPr>
      <w:r>
        <w:rPr>
          <w:b/>
          <w:color w:val="00188F"/>
        </w:rPr>
        <w:t>Zusätzliche Definitionen</w:t>
      </w:r>
      <w:r w:rsidRPr="0008262F">
        <w:rPr>
          <w:b/>
          <w:color w:val="00188F"/>
        </w:rPr>
        <w:t>:</w:t>
      </w:r>
    </w:p>
    <w:p w14:paraId="0085E1D5" w14:textId="77777777" w:rsidR="00DE24F0" w:rsidRPr="00EF7CF9" w:rsidRDefault="00DE24F0" w:rsidP="005509B2">
      <w:pPr>
        <w:pStyle w:val="ProductList-Body"/>
      </w:pPr>
      <w:r>
        <w:t>„</w:t>
      </w:r>
      <w:r>
        <w:rPr>
          <w:b/>
          <w:color w:val="00188F"/>
        </w:rPr>
        <w:t>Geschützter Knoten</w:t>
      </w:r>
      <w:r>
        <w:t>“ ist eine Microsoft Azure-Ressource, die zu Abrechnungszwecken als Knoten gezählt wird und für den Azure Defender konfiguriert ist.</w:t>
      </w:r>
    </w:p>
    <w:p w14:paraId="2B354A40" w14:textId="77777777" w:rsidR="00DE24F0" w:rsidRPr="00EF7CF9" w:rsidRDefault="00DE24F0" w:rsidP="005509B2">
      <w:pPr>
        <w:pStyle w:val="ProductList-Body"/>
      </w:pPr>
      <w:r>
        <w:t>„</w:t>
      </w:r>
      <w:r>
        <w:rPr>
          <w:b/>
          <w:color w:val="00188F"/>
        </w:rPr>
        <w:t>Sicherheitsüberwachung</w:t>
      </w:r>
      <w:r>
        <w:t>“ ist die Bewertung eines geschützten Knotens, die zu potenziellen Erkenntnissen wie dem Sicherheitsstatus, Empfehlungen und Sicherheitswarnungen führt, die in Azure Defender angezeigt werden.</w:t>
      </w:r>
    </w:p>
    <w:p w14:paraId="366E30A0" w14:textId="77665050" w:rsidR="00DE24F0" w:rsidRPr="00EF7CF9" w:rsidRDefault="00DE24F0" w:rsidP="005509B2">
      <w:pPr>
        <w:pStyle w:val="ProductList-Body"/>
      </w:pPr>
      <w:r>
        <w:t>„</w:t>
      </w:r>
      <w:r>
        <w:rPr>
          <w:b/>
          <w:color w:val="00188F"/>
        </w:rPr>
        <w:t>Maximal Verfügbare Minuten</w:t>
      </w:r>
      <w:r w:rsidR="00620CAD" w:rsidRPr="00620CAD">
        <w:t>“</w:t>
      </w:r>
      <w:r>
        <w:t xml:space="preserve"> ist die Gesamtzahl der Minuten, in denen ein bestimmter Geschützter Knoten im Verlauf eines Anwendbaren Zeitraums für die Sicherheitsüberwachung bereitgestellt und konfiguriert wurde.</w:t>
      </w:r>
    </w:p>
    <w:p w14:paraId="3C4C3205" w14:textId="34A80C70" w:rsidR="00DE24F0" w:rsidRPr="00B44CF9" w:rsidRDefault="00DE24F0" w:rsidP="005509B2">
      <w:pPr>
        <w:spacing w:after="0"/>
        <w:rPr>
          <w:sz w:val="18"/>
          <w:szCs w:val="18"/>
        </w:rPr>
      </w:pPr>
      <w:r>
        <w:rPr>
          <w:sz w:val="18"/>
          <w:szCs w:val="18"/>
        </w:rPr>
        <w:t>„</w:t>
      </w:r>
      <w:r>
        <w:rPr>
          <w:b/>
          <w:color w:val="00188F"/>
          <w:sz w:val="18"/>
        </w:rPr>
        <w:t>Ausfallzeit</w:t>
      </w:r>
      <w:r>
        <w:rPr>
          <w:sz w:val="18"/>
          <w:szCs w:val="18"/>
        </w:rPr>
        <w:t xml:space="preserve">“ </w:t>
      </w:r>
      <w:r>
        <w:rPr>
          <w:sz w:val="18"/>
        </w:rPr>
        <w:t>ist die Gesamtzahl der kumulierten Minuten im Verlauf eines Anwendbaren Zeitraums, für die die Sicherheitsüberwachungsinformationen eines bestimmten Geschützten Knotens nicht verfügbar sind. Eine Minute gilt für einen bestimmten geschützten Knoten als nicht verfügbar, wenn alle kontinuierlichen Versuche, während der Minute Sicherheitsüberwachungsinformationen abzurufen, entweder zu einem Fehlercode führen oder innerhalb von zwei Minuten keinen Erfolgscode liefern</w:t>
      </w:r>
      <w:r>
        <w:rPr>
          <w:sz w:val="18"/>
          <w:szCs w:val="18"/>
        </w:rPr>
        <w:t>.</w:t>
      </w:r>
    </w:p>
    <w:p w14:paraId="5227BB56" w14:textId="3811AEF7" w:rsidR="00DE24F0" w:rsidRPr="00ED4527" w:rsidRDefault="00DE24F0" w:rsidP="005509B2">
      <w:pPr>
        <w:pStyle w:val="ProductList-Body"/>
        <w:rPr>
          <w:color w:val="000000" w:themeColor="text1"/>
        </w:rPr>
      </w:pPr>
      <w:r>
        <w:t>„</w:t>
      </w:r>
      <w:r>
        <w:rPr>
          <w:b/>
          <w:color w:val="00188F"/>
        </w:rPr>
        <w:t>Betriebszeitprozentsatz</w:t>
      </w:r>
      <w:r>
        <w:t xml:space="preserve">“ </w:t>
      </w:r>
      <w:r>
        <w:rPr>
          <w:color w:val="000000" w:themeColor="text1"/>
        </w:rPr>
        <w:t>für Azure Defender eines bestimmten Geschützten Knotens in einem bestimmten Anwendbaren Zeitraum wird berechnet als Maximal Verfügbare Minuten abzüglich Ausfallzeit geteilt durch die Maximal Verfügbaren Minuten.</w:t>
      </w:r>
    </w:p>
    <w:p w14:paraId="594AC40F" w14:textId="19720EB4" w:rsidR="00DE24F0" w:rsidRDefault="00DE24F0" w:rsidP="00DE24F0">
      <w:pPr>
        <w:pStyle w:val="ProductList-Body"/>
      </w:pPr>
      <w:r>
        <w:t>Der Betriebszeitprozentsatz errechnet sich nach folgender Formel:</w:t>
      </w:r>
    </w:p>
    <w:p w14:paraId="37308760" w14:textId="1CAAC212" w:rsidR="00DE24F0" w:rsidRPr="007C7313" w:rsidRDefault="00000000" w:rsidP="00B820B8">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5BC640E5" w14:textId="77777777" w:rsidR="00DE24F0" w:rsidRPr="003C461E" w:rsidRDefault="00DE24F0" w:rsidP="00DE24F0">
      <w:pPr>
        <w:pStyle w:val="ProductList-Body"/>
        <w:rPr>
          <w:b/>
          <w:color w:val="00188F"/>
        </w:rPr>
      </w:pPr>
      <w:r>
        <w:rPr>
          <w:b/>
          <w:color w:val="00188F"/>
        </w:rPr>
        <w:t>Die folgenden Service-Levels und Servicegutschriften gelten für die Nutzung jedes Geschützten Knotens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E24F0" w:rsidRPr="00B44CF9" w14:paraId="0CC817BA" w14:textId="77777777" w:rsidTr="00277097">
        <w:trPr>
          <w:tblHeader/>
        </w:trPr>
        <w:tc>
          <w:tcPr>
            <w:tcW w:w="5400" w:type="dxa"/>
            <w:shd w:val="clear" w:color="auto" w:fill="0072C6"/>
          </w:tcPr>
          <w:p w14:paraId="5FB474EB" w14:textId="47AAC21E" w:rsidR="00DE24F0" w:rsidRPr="00EF7CF9" w:rsidRDefault="00AC48A7" w:rsidP="00781010">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28F65282" w14:textId="77777777" w:rsidR="00DE24F0" w:rsidRPr="00EF7CF9" w:rsidRDefault="00DE24F0" w:rsidP="00781010">
            <w:pPr>
              <w:pStyle w:val="ProductList-OfferingBody"/>
              <w:jc w:val="center"/>
              <w:rPr>
                <w:color w:val="FFFFFF" w:themeColor="background1"/>
              </w:rPr>
            </w:pPr>
            <w:r>
              <w:rPr>
                <w:color w:val="FFFFFF" w:themeColor="background1"/>
              </w:rPr>
              <w:t>Servicegutschrift</w:t>
            </w:r>
          </w:p>
        </w:tc>
      </w:tr>
      <w:tr w:rsidR="00DE24F0" w:rsidRPr="00B44CF9" w14:paraId="12276B24" w14:textId="77777777" w:rsidTr="00277097">
        <w:tc>
          <w:tcPr>
            <w:tcW w:w="5400" w:type="dxa"/>
          </w:tcPr>
          <w:p w14:paraId="7342ED85" w14:textId="77777777" w:rsidR="00DE24F0" w:rsidRPr="00EF7CF9" w:rsidRDefault="00DE24F0" w:rsidP="000F31B4">
            <w:pPr>
              <w:pStyle w:val="ProductList-OfferingBody"/>
              <w:jc w:val="center"/>
            </w:pPr>
            <w:r>
              <w:t>&lt; 99,9 %</w:t>
            </w:r>
          </w:p>
        </w:tc>
        <w:tc>
          <w:tcPr>
            <w:tcW w:w="5400" w:type="dxa"/>
          </w:tcPr>
          <w:p w14:paraId="699EF4EF" w14:textId="77777777" w:rsidR="00DE24F0" w:rsidRPr="00EF7CF9" w:rsidRDefault="00DE24F0" w:rsidP="000F31B4">
            <w:pPr>
              <w:pStyle w:val="ProductList-OfferingBody"/>
              <w:jc w:val="center"/>
            </w:pPr>
            <w:r>
              <w:t>10 %</w:t>
            </w:r>
          </w:p>
        </w:tc>
      </w:tr>
      <w:tr w:rsidR="00DE24F0" w:rsidRPr="00B44CF9" w14:paraId="19CBA1F9" w14:textId="77777777" w:rsidTr="00277097">
        <w:tc>
          <w:tcPr>
            <w:tcW w:w="5400" w:type="dxa"/>
          </w:tcPr>
          <w:p w14:paraId="0D45F04A" w14:textId="77777777" w:rsidR="00DE24F0" w:rsidRPr="00EF7CF9" w:rsidRDefault="00DE24F0" w:rsidP="000F31B4">
            <w:pPr>
              <w:pStyle w:val="ProductList-OfferingBody"/>
              <w:jc w:val="center"/>
            </w:pPr>
            <w:r>
              <w:t>&lt; 99 %</w:t>
            </w:r>
          </w:p>
        </w:tc>
        <w:tc>
          <w:tcPr>
            <w:tcW w:w="5400" w:type="dxa"/>
          </w:tcPr>
          <w:p w14:paraId="4F2000CD" w14:textId="77777777" w:rsidR="00DE24F0" w:rsidRPr="00EF7CF9" w:rsidRDefault="00DE24F0" w:rsidP="000F31B4">
            <w:pPr>
              <w:pStyle w:val="ProductList-OfferingBody"/>
              <w:jc w:val="center"/>
            </w:pPr>
            <w:r>
              <w:t>25 %</w:t>
            </w:r>
          </w:p>
        </w:tc>
      </w:tr>
    </w:tbl>
    <w:p w14:paraId="793ECDE6" w14:textId="6C10A3BC"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5178E668" w14:textId="77777777" w:rsidR="00762FDE" w:rsidRDefault="00762FDE">
      <w:pPr>
        <w:rPr>
          <w:rFonts w:asciiTheme="majorHAnsi" w:hAnsiTheme="majorHAnsi"/>
          <w:b/>
          <w:color w:val="0072C6"/>
          <w:sz w:val="28"/>
        </w:rPr>
      </w:pPr>
      <w:bookmarkStart w:id="300" w:name="_Toc195543138"/>
      <w:r>
        <w:br w:type="page"/>
      </w:r>
    </w:p>
    <w:p w14:paraId="341EE902" w14:textId="310615A3" w:rsidR="00781010" w:rsidRPr="00781010" w:rsidRDefault="00781010" w:rsidP="00781010">
      <w:pPr>
        <w:pStyle w:val="ProductList-Offering2Heading"/>
        <w:keepNext/>
        <w:tabs>
          <w:tab w:val="clear" w:pos="360"/>
          <w:tab w:val="clear" w:pos="720"/>
          <w:tab w:val="clear" w:pos="1080"/>
        </w:tabs>
        <w:outlineLvl w:val="2"/>
      </w:pPr>
      <w:bookmarkStart w:id="301" w:name="_Toc237448995"/>
      <w:r>
        <w:lastRenderedPageBreak/>
        <w:t>Defender – Externe Angriffsflächenverwaltung (EAFV)</w:t>
      </w:r>
      <w:bookmarkEnd w:id="300"/>
      <w:bookmarkEnd w:id="301"/>
    </w:p>
    <w:p w14:paraId="20DDC606" w14:textId="77777777" w:rsidR="00781010" w:rsidRPr="00781010" w:rsidRDefault="00781010" w:rsidP="00781010">
      <w:pPr>
        <w:pStyle w:val="ProductList-Body"/>
        <w:rPr>
          <w:b/>
          <w:bCs/>
          <w:color w:val="00188F"/>
        </w:rPr>
      </w:pPr>
      <w:r>
        <w:rPr>
          <w:b/>
          <w:bCs/>
          <w:color w:val="00188F"/>
        </w:rPr>
        <w:t>Zusätzliche Definitionen</w:t>
      </w:r>
    </w:p>
    <w:p w14:paraId="770294EA" w14:textId="7CE5D19C" w:rsidR="00781010" w:rsidRDefault="00781010" w:rsidP="00762FDE">
      <w:pPr>
        <w:pStyle w:val="ProductList-Body"/>
      </w:pPr>
      <w:r>
        <w:t>„</w:t>
      </w:r>
      <w:r>
        <w:rPr>
          <w:b/>
          <w:bCs/>
          <w:color w:val="00188F"/>
        </w:rPr>
        <w:t>Maximal Verfügbare Minuten</w:t>
      </w:r>
      <w:r>
        <w:t>“ ist die Gesamtzahl der Minuten, in denen eine bestimmte Defender-EAFV-Ressource vom Kunden in einem Microsoft Azure-Abonnement im Verlauf eines Anwendbaren Zeitraums bereitgestellt wurde.</w:t>
      </w:r>
    </w:p>
    <w:p w14:paraId="61FF4E80" w14:textId="77777777" w:rsidR="00781010" w:rsidRDefault="00781010" w:rsidP="00762FDE">
      <w:pPr>
        <w:pStyle w:val="ProductList-Body"/>
      </w:pPr>
      <w:r>
        <w:t>„</w:t>
      </w:r>
      <w:r>
        <w:rPr>
          <w:b/>
          <w:bCs/>
          <w:color w:val="00188F"/>
        </w:rPr>
        <w:t>Ausfallzeit</w:t>
      </w:r>
      <w:r>
        <w:t>“ ist die Gesamtzahl der Minuten innerhalb der Maximal verfügbaren Minuten, in denen die Daten in einer Defender-EAFV-Ressource nicht verfügbar sind. Eine Minute gilt für eine bestimmte Defender-EAFV-Ressource als nicht verfügbar, in der keine HTTP-Operationen zu einem Erfolgscode führten.</w:t>
      </w:r>
    </w:p>
    <w:p w14:paraId="5A74F90E" w14:textId="17A75046" w:rsidR="00781010" w:rsidRDefault="00781010" w:rsidP="00762FDE">
      <w:pPr>
        <w:pStyle w:val="ProductList-Body"/>
      </w:pPr>
      <w:r>
        <w:t>„</w:t>
      </w:r>
      <w:r>
        <w:rPr>
          <w:b/>
          <w:bCs/>
          <w:color w:val="00188F"/>
        </w:rPr>
        <w:t>Prozentsatz der Abfrageverfügbarkeit</w:t>
      </w:r>
      <w:r>
        <w:t>“ für eine bestimmte Defender-EAFV-Ressource, berechnet als Maximal Verfügbare Minuten abzüglich Ausfallzeit geteilt durch Maximal Verfügbare Minuten multipliziert mit 100.</w:t>
      </w:r>
    </w:p>
    <w:p w14:paraId="538C7A5C" w14:textId="08BF57FD" w:rsidR="00781010" w:rsidRDefault="00781010" w:rsidP="00781010">
      <w:pPr>
        <w:pStyle w:val="ProductList-Body"/>
      </w:pPr>
      <w:r>
        <w:t>Der Prozentsatz der Abfrageverfügbarkeit wird mithilfe der folgenden Formel berechnet:</w:t>
      </w:r>
    </w:p>
    <w:p w14:paraId="30A59169" w14:textId="5DE3E376" w:rsidR="00781010" w:rsidRPr="007C7313" w:rsidRDefault="00000000" w:rsidP="004C616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6A0ED6A0" w14:textId="77777777" w:rsidR="00781010" w:rsidRPr="000215DD" w:rsidRDefault="00781010" w:rsidP="00781010">
      <w:pPr>
        <w:pStyle w:val="ProductList-Body"/>
        <w:rPr>
          <w:b/>
          <w:color w:val="00188F"/>
        </w:rPr>
      </w:pPr>
      <w:r w:rsidRPr="000215DD">
        <w:rPr>
          <w:b/>
          <w:color w:val="00188F"/>
        </w:rPr>
        <w:t>Die folgenden Servicelevels und Servicegutschriften gelten für die Nutzung der Defender-Externe Angriffsflächenverwaltung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81010" w:rsidRPr="00B44CF9" w14:paraId="3139CA86" w14:textId="77777777" w:rsidTr="00277097">
        <w:trPr>
          <w:tblHeader/>
        </w:trPr>
        <w:tc>
          <w:tcPr>
            <w:tcW w:w="5400" w:type="dxa"/>
            <w:shd w:val="clear" w:color="auto" w:fill="0072C6"/>
          </w:tcPr>
          <w:p w14:paraId="06FC5161" w14:textId="2F9F2E1F" w:rsidR="00781010" w:rsidRPr="00EF7CF9" w:rsidRDefault="00781010" w:rsidP="000F31B4">
            <w:pPr>
              <w:pStyle w:val="ProductList-OfferingBody"/>
              <w:jc w:val="center"/>
              <w:rPr>
                <w:color w:val="FFFFFF" w:themeColor="background1"/>
              </w:rPr>
            </w:pPr>
            <w:r>
              <w:rPr>
                <w:color w:val="FFFFFF" w:themeColor="background1"/>
              </w:rPr>
              <w:t>Prozentsatz der Abfrageverfügbarkeit</w:t>
            </w:r>
          </w:p>
        </w:tc>
        <w:tc>
          <w:tcPr>
            <w:tcW w:w="5400" w:type="dxa"/>
            <w:shd w:val="clear" w:color="auto" w:fill="0072C6"/>
          </w:tcPr>
          <w:p w14:paraId="18CAA572" w14:textId="77777777" w:rsidR="00781010" w:rsidRPr="00EF7CF9" w:rsidRDefault="00781010" w:rsidP="000F31B4">
            <w:pPr>
              <w:pStyle w:val="ProductList-OfferingBody"/>
              <w:jc w:val="center"/>
              <w:rPr>
                <w:color w:val="FFFFFF" w:themeColor="background1"/>
              </w:rPr>
            </w:pPr>
            <w:r>
              <w:rPr>
                <w:color w:val="FFFFFF" w:themeColor="background1"/>
              </w:rPr>
              <w:t>Servicegutschrift</w:t>
            </w:r>
          </w:p>
        </w:tc>
      </w:tr>
      <w:tr w:rsidR="00781010" w:rsidRPr="00B44CF9" w14:paraId="28A18A12" w14:textId="77777777" w:rsidTr="00277097">
        <w:tc>
          <w:tcPr>
            <w:tcW w:w="5400" w:type="dxa"/>
          </w:tcPr>
          <w:p w14:paraId="111B54CB" w14:textId="77777777" w:rsidR="00781010" w:rsidRPr="00EF7CF9" w:rsidRDefault="00781010" w:rsidP="000F31B4">
            <w:pPr>
              <w:pStyle w:val="ProductList-OfferingBody"/>
              <w:jc w:val="center"/>
            </w:pPr>
            <w:r>
              <w:t>&lt; 99,9 %</w:t>
            </w:r>
          </w:p>
        </w:tc>
        <w:tc>
          <w:tcPr>
            <w:tcW w:w="5400" w:type="dxa"/>
          </w:tcPr>
          <w:p w14:paraId="6090A89D" w14:textId="77777777" w:rsidR="00781010" w:rsidRPr="00EF7CF9" w:rsidRDefault="00781010" w:rsidP="000F31B4">
            <w:pPr>
              <w:pStyle w:val="ProductList-OfferingBody"/>
              <w:jc w:val="center"/>
            </w:pPr>
            <w:r>
              <w:t>10 %</w:t>
            </w:r>
          </w:p>
        </w:tc>
      </w:tr>
      <w:tr w:rsidR="00781010" w:rsidRPr="00B44CF9" w14:paraId="60F211CD" w14:textId="77777777" w:rsidTr="00277097">
        <w:tc>
          <w:tcPr>
            <w:tcW w:w="5400" w:type="dxa"/>
          </w:tcPr>
          <w:p w14:paraId="583A91C1" w14:textId="77777777" w:rsidR="00781010" w:rsidRPr="00EF7CF9" w:rsidRDefault="00781010" w:rsidP="000F31B4">
            <w:pPr>
              <w:pStyle w:val="ProductList-OfferingBody"/>
              <w:jc w:val="center"/>
            </w:pPr>
            <w:r>
              <w:t>&lt; 99 %</w:t>
            </w:r>
          </w:p>
        </w:tc>
        <w:tc>
          <w:tcPr>
            <w:tcW w:w="5400" w:type="dxa"/>
          </w:tcPr>
          <w:p w14:paraId="59F68250" w14:textId="77777777" w:rsidR="00781010" w:rsidRPr="00EF7CF9" w:rsidRDefault="00781010" w:rsidP="000F31B4">
            <w:pPr>
              <w:pStyle w:val="ProductList-OfferingBody"/>
              <w:jc w:val="center"/>
            </w:pPr>
            <w:r>
              <w:t>25 %</w:t>
            </w:r>
          </w:p>
        </w:tc>
      </w:tr>
    </w:tbl>
    <w:bookmarkStart w:id="302" w:name="_Toc524384537"/>
    <w:bookmarkStart w:id="303" w:name="_Toc52348999"/>
    <w:p w14:paraId="37F93F3A" w14:textId="60B15F00"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43EC33DC" w14:textId="77777777" w:rsidR="00C66B25" w:rsidRPr="00EA5FB1" w:rsidRDefault="00C66B25" w:rsidP="00C66B25">
      <w:pPr>
        <w:pStyle w:val="ProductList-Offering2Heading"/>
        <w:keepNext/>
        <w:tabs>
          <w:tab w:val="clear" w:pos="360"/>
          <w:tab w:val="clear" w:pos="720"/>
          <w:tab w:val="clear" w:pos="1080"/>
        </w:tabs>
        <w:outlineLvl w:val="2"/>
        <w:rPr>
          <w:lang w:val="fr-FR"/>
        </w:rPr>
      </w:pPr>
      <w:bookmarkStart w:id="304" w:name="_Toc195543139"/>
      <w:bookmarkStart w:id="305" w:name="_Toc237448996"/>
      <w:r>
        <w:t>Azure Dev Ops</w:t>
      </w:r>
      <w:bookmarkEnd w:id="302"/>
      <w:bookmarkEnd w:id="303"/>
      <w:bookmarkEnd w:id="304"/>
      <w:bookmarkEnd w:id="305"/>
    </w:p>
    <w:p w14:paraId="578E5FA7" w14:textId="77777777" w:rsidR="00C66B25" w:rsidRPr="00EF7CF9" w:rsidRDefault="00C66B25" w:rsidP="00C66B25">
      <w:pPr>
        <w:pStyle w:val="ProductList-Body"/>
        <w:rPr>
          <w:b/>
          <w:color w:val="00188F"/>
        </w:rPr>
      </w:pPr>
      <w:r>
        <w:rPr>
          <w:b/>
          <w:color w:val="00188F"/>
        </w:rPr>
        <w:t>Zusätzliche Definitionen</w:t>
      </w:r>
      <w:r w:rsidRPr="0008262F">
        <w:rPr>
          <w:b/>
          <w:color w:val="00188F"/>
        </w:rPr>
        <w:t>:</w:t>
      </w:r>
    </w:p>
    <w:p w14:paraId="0BF8769E" w14:textId="77777777" w:rsidR="00C66B25" w:rsidRPr="00EF7CF9" w:rsidRDefault="00C66B25" w:rsidP="00762FDE">
      <w:pPr>
        <w:pStyle w:val="ProductList-Body"/>
      </w:pPr>
      <w:r w:rsidRPr="00620CAD">
        <w:t>„</w:t>
      </w:r>
      <w:r>
        <w:rPr>
          <w:b/>
          <w:color w:val="00188F"/>
        </w:rPr>
        <w:t>Azure Pipelines</w:t>
      </w:r>
      <w:r w:rsidRPr="00620CAD">
        <w:t>“</w:t>
      </w:r>
      <w:r>
        <w:t xml:space="preserve"> ist eine Funktion, die es Kunden ermöglicht, ihre Anwendungen in Azure DevOps Services zu erstellen und einzusetzen.</w:t>
      </w:r>
    </w:p>
    <w:p w14:paraId="55EB42EB" w14:textId="0988DE1C" w:rsidR="00C66B25" w:rsidRDefault="00C66B25" w:rsidP="00762FDE">
      <w:pPr>
        <w:pStyle w:val="ProductList-Body"/>
      </w:pPr>
      <w:r>
        <w:t>„</w:t>
      </w:r>
      <w:r>
        <w:rPr>
          <w:b/>
          <w:color w:val="00188F"/>
        </w:rPr>
        <w:t>Nutzerbasierte Erweiterungen</w:t>
      </w:r>
      <w:r>
        <w:t>“ sind die von Microsoft veröffentlichten Erweiterungen der Azure DevOps-Dienste, die auf Nutzerbasis über den</w:t>
      </w:r>
      <w:r w:rsidR="004A4B98">
        <w:t> </w:t>
      </w:r>
      <w:r>
        <w:t>Azure DevOps Marketplace verkauft werden.</w:t>
      </w:r>
    </w:p>
    <w:p w14:paraId="022B37AA" w14:textId="77777777" w:rsidR="003008BD" w:rsidRPr="00923340" w:rsidRDefault="003008BD" w:rsidP="003008BD">
      <w:pPr>
        <w:pStyle w:val="ProductList-Body"/>
        <w:rPr>
          <w:rFonts w:ascii="Calibri" w:hAnsi="Calibri" w:cs="Calibri"/>
        </w:rPr>
      </w:pPr>
      <w:r w:rsidRPr="00A80248">
        <w:rPr>
          <w:rFonts w:ascii="Calibri" w:hAnsi="Calibri" w:cs="Calibri"/>
          <w:b/>
          <w:color w:val="00188F"/>
          <w:szCs w:val="18"/>
        </w:rPr>
        <w:t>„</w:t>
      </w:r>
      <w:r>
        <w:rPr>
          <w:rFonts w:ascii="Calibri" w:hAnsi="Calibri" w:cs="Calibri"/>
          <w:b/>
          <w:color w:val="00188F"/>
        </w:rPr>
        <w:t>Azure DevOps Service-Nutzer</w:t>
      </w:r>
      <w:r w:rsidRPr="00A80248">
        <w:rPr>
          <w:rFonts w:ascii="Calibri" w:hAnsi="Calibri" w:cs="Calibri"/>
          <w:b/>
          <w:color w:val="00188F"/>
          <w:szCs w:val="18"/>
        </w:rPr>
        <w:t>“</w:t>
      </w:r>
      <w:r>
        <w:rPr>
          <w:rFonts w:ascii="Calibri" w:hAnsi="Calibri" w:cs="Calibri"/>
        </w:rPr>
        <w:t xml:space="preserve"> bezieht sich auf den für einen Nutzer verfügbaren Satz von Funktionen und Fähigkeiten in einem Azure DevOps-Servicekontos innerhalb eines Kundenabonnements. Die verfügbaren Features und Fähigkeiten werden auf der </w:t>
      </w:r>
      <w:r>
        <w:rPr>
          <w:rStyle w:val="Hyperlink"/>
          <w:rFonts w:ascii="Calibri" w:hAnsi="Calibri" w:cs="Calibri"/>
        </w:rPr>
        <w:t>Azure DevOps</w:t>
      </w:r>
      <w:r>
        <w:rPr>
          <w:rFonts w:ascii="Calibri" w:hAnsi="Calibri" w:cs="Calibri"/>
        </w:rPr>
        <w:t>-Website beschrieben.</w:t>
      </w:r>
    </w:p>
    <w:p w14:paraId="04EEA0D9" w14:textId="08B9315C" w:rsidR="00C66B25" w:rsidRPr="00ED4527" w:rsidRDefault="00EE6E3C" w:rsidP="00762FDE">
      <w:pPr>
        <w:pStyle w:val="ProductList-Body"/>
        <w:rPr>
          <w:b/>
          <w:bCs/>
          <w:color w:val="00188F"/>
        </w:rPr>
      </w:pPr>
      <w:r>
        <w:rPr>
          <w:b/>
          <w:bCs/>
          <w:color w:val="00188F"/>
        </w:rPr>
        <w:t>Berechnung der Betriebszeit und Service-Levels für Azure DevOps Services-Nutzer und Nutzerbasierte Erweiterungen</w:t>
      </w:r>
    </w:p>
    <w:p w14:paraId="519D60EC" w14:textId="0218C1C2" w:rsidR="00C66B25" w:rsidRDefault="00C66B25" w:rsidP="00762FDE">
      <w:pPr>
        <w:pStyle w:val="ProductList-Body"/>
      </w:pPr>
      <w:r>
        <w:t>„</w:t>
      </w:r>
      <w:r>
        <w:rPr>
          <w:b/>
          <w:color w:val="00188F"/>
        </w:rPr>
        <w:t>Bereitstellungsminuten</w:t>
      </w:r>
      <w:r>
        <w:t>“ ist die Gesamtzahl der Minuten, für die ein Nutzer oder eine Nutzerbasierte Erweiterung im Verlauf eines Anwendbaren Zeitraums erworben wurde.</w:t>
      </w:r>
    </w:p>
    <w:p w14:paraId="1D9C3180" w14:textId="0ACDEAF9" w:rsidR="00C66B25" w:rsidRPr="00EF7CF9" w:rsidRDefault="00C66B25" w:rsidP="00762FDE">
      <w:pPr>
        <w:pStyle w:val="ProductList-Body"/>
      </w:pPr>
      <w:r>
        <w:t>„</w:t>
      </w:r>
      <w:r>
        <w:rPr>
          <w:b/>
          <w:color w:val="00188F"/>
        </w:rPr>
        <w:t>Maximal Verfügbare Minuten</w:t>
      </w:r>
      <w:r>
        <w:t>“ ist die Summe aller Bereitstellungsminuten für alle Nutzer und Nutzerbasierten Erweiterungen für ein bestimmtes Microsoft Azure-Abonnement im Verlauf eines Anwendbaren Zeitraums.</w:t>
      </w:r>
    </w:p>
    <w:p w14:paraId="0C23C755" w14:textId="77777777" w:rsidR="00C66B25" w:rsidRPr="00EF7CF9" w:rsidRDefault="00C66B25" w:rsidP="00C66B25">
      <w:pPr>
        <w:pStyle w:val="ProductList-Body"/>
      </w:pPr>
      <w:r>
        <w:t>„</w:t>
      </w:r>
      <w:r>
        <w:rPr>
          <w:b/>
          <w:color w:val="00188F"/>
        </w:rPr>
        <w:t>Ausfallzeit</w:t>
      </w:r>
      <w:r>
        <w:t>“ ist die Gesamtzahl der Bereitstellungsminuten für alle Nutzer und nutzerbasierten Erweiterungen für ein bestimmtes Microsoft Azure-Abonnement, in denen der Dienst nicht verfügbar ist. Eine Minute gilt für einen bestimmten Nutzer oder eine nutzerbasierte Erweiterung als nicht verfügbar, wenn alle kontinuierlichen HTTP-Anforderungen zur Durchführung von Vorgängen, die nicht den Azure Pipelines-Dienst betreffen, während der Minute entweder zu einem Fehlercode führen oder keine Antwort zurückgeben.</w:t>
      </w:r>
    </w:p>
    <w:p w14:paraId="53A2B476" w14:textId="2F82F72A" w:rsidR="00C66B25" w:rsidRDefault="00AC48A7" w:rsidP="00C66B25">
      <w:pPr>
        <w:pStyle w:val="ProductList-Body"/>
      </w:pPr>
      <w:r>
        <w:rPr>
          <w:b/>
          <w:color w:val="00188F"/>
        </w:rPr>
        <w:t>Betriebszeitprozentsatz</w:t>
      </w:r>
      <w:r w:rsidRPr="0008262F">
        <w:rPr>
          <w:b/>
          <w:color w:val="00188F"/>
        </w:rPr>
        <w:t>:</w:t>
      </w:r>
      <w:r>
        <w:t xml:space="preserve"> Für Azure DevOps Services-Nutzer und Nutzerbasierte Erweiterungen wird dieser berechnet als Maximal Verfügbare Minuten abzüglich Ausfallzeit geteilt durch die Maximal Verfügbaren Minuten in einem Anwendbaren Zeitraum für ein bestimmtes Microsoft Azure-Abonnement.</w:t>
      </w:r>
    </w:p>
    <w:p w14:paraId="23F1EFA1" w14:textId="48F4EC62" w:rsidR="00C66B25" w:rsidRPr="00EF7CF9" w:rsidRDefault="00AC48A7" w:rsidP="00C66B25">
      <w:pPr>
        <w:pStyle w:val="ProductList-Body"/>
      </w:pPr>
      <w:r>
        <w:t>Der Betriebszeitprozentsatz wird durch die folgende Formel ermittelt:</w:t>
      </w:r>
    </w:p>
    <w:p w14:paraId="1B4E29BA" w14:textId="0A9A052E" w:rsidR="00C66B25" w:rsidRPr="007C7313" w:rsidRDefault="00000000" w:rsidP="004C616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20A37B0C" w14:textId="77777777" w:rsidR="00C66B25" w:rsidRDefault="00C66B25" w:rsidP="00C66B25">
      <w:pPr>
        <w:pStyle w:val="ProductList-Body"/>
        <w:rPr>
          <w:rFonts w:eastAsiaTheme="minorEastAsia"/>
          <w:szCs w:val="18"/>
          <w:lang w:eastAsia="zh-TW"/>
        </w:rPr>
      </w:pPr>
      <w:r>
        <w:rPr>
          <w:rFonts w:eastAsiaTheme="minorEastAsia"/>
          <w:szCs w:val="18"/>
        </w:rPr>
        <w:t xml:space="preserve">Falls Azure DevOps-Dienste nicht verfügbar sind, gelten die Servicegutschriften für Azure DevOps-Dienstenutzer und nutzerbasierte Erweiterungen. Folgende Service-Levels und Servicegutschriften gelten für die Nutzung des Azure Pipelines-Dienstes durch den Kunden. </w:t>
      </w:r>
    </w:p>
    <w:p w14:paraId="2DC335EC" w14:textId="77777777" w:rsidR="00C66B25" w:rsidRPr="00EF7CF9" w:rsidRDefault="00C66B25" w:rsidP="00C66B25">
      <w:pPr>
        <w:pStyle w:val="ProductList-Body"/>
      </w:pPr>
      <w:r>
        <w:rPr>
          <w:b/>
          <w:color w:val="00188F"/>
        </w:rPr>
        <w:t>Servicegutschrift</w:t>
      </w:r>
      <w:r w:rsidRPr="0008262F">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66B25" w:rsidRPr="00B44CF9" w14:paraId="14FD5C60" w14:textId="77777777" w:rsidTr="00277097">
        <w:trPr>
          <w:tblHeader/>
        </w:trPr>
        <w:tc>
          <w:tcPr>
            <w:tcW w:w="5400" w:type="dxa"/>
            <w:tcBorders>
              <w:bottom w:val="single" w:sz="4" w:space="0" w:color="auto"/>
            </w:tcBorders>
            <w:shd w:val="clear" w:color="auto" w:fill="0072C6"/>
          </w:tcPr>
          <w:p w14:paraId="34F87BF2" w14:textId="771D5390" w:rsidR="00C66B25"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tcBorders>
              <w:bottom w:val="single" w:sz="4" w:space="0" w:color="auto"/>
            </w:tcBorders>
            <w:shd w:val="clear" w:color="auto" w:fill="0072C6"/>
          </w:tcPr>
          <w:p w14:paraId="3BB7CB41" w14:textId="77777777" w:rsidR="00C66B25" w:rsidRPr="00EF7CF9" w:rsidRDefault="00C66B25" w:rsidP="000F31B4">
            <w:pPr>
              <w:pStyle w:val="ProductList-OfferingBody"/>
              <w:jc w:val="center"/>
              <w:rPr>
                <w:color w:val="FFFFFF" w:themeColor="background1"/>
              </w:rPr>
            </w:pPr>
            <w:r>
              <w:rPr>
                <w:color w:val="FFFFFF" w:themeColor="background1"/>
              </w:rPr>
              <w:t>Servicegutschrift</w:t>
            </w:r>
          </w:p>
        </w:tc>
      </w:tr>
      <w:tr w:rsidR="00C66B25" w:rsidRPr="00B44CF9" w14:paraId="60D34BE2" w14:textId="77777777" w:rsidTr="00277097">
        <w:tc>
          <w:tcPr>
            <w:tcW w:w="5400" w:type="dxa"/>
            <w:tcBorders>
              <w:top w:val="single" w:sz="4" w:space="0" w:color="auto"/>
              <w:left w:val="single" w:sz="4" w:space="0" w:color="auto"/>
              <w:bottom w:val="single" w:sz="4" w:space="0" w:color="auto"/>
              <w:right w:val="single" w:sz="4" w:space="0" w:color="auto"/>
            </w:tcBorders>
          </w:tcPr>
          <w:p w14:paraId="56CD8798" w14:textId="77777777" w:rsidR="00C66B25" w:rsidRPr="00EF7CF9" w:rsidRDefault="00C66B25" w:rsidP="000F31B4">
            <w:pPr>
              <w:pStyle w:val="ProductList-OfferingBody"/>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25D7BF51" w14:textId="77777777" w:rsidR="00C66B25" w:rsidRPr="00EF7CF9" w:rsidRDefault="00C66B25" w:rsidP="000F31B4">
            <w:pPr>
              <w:pStyle w:val="ProductList-OfferingBody"/>
              <w:jc w:val="center"/>
            </w:pPr>
            <w:r>
              <w:t>10 %</w:t>
            </w:r>
          </w:p>
        </w:tc>
      </w:tr>
      <w:tr w:rsidR="00C66B25" w:rsidRPr="00B44CF9" w14:paraId="647A05C6" w14:textId="77777777" w:rsidTr="00277097">
        <w:tc>
          <w:tcPr>
            <w:tcW w:w="5400" w:type="dxa"/>
            <w:tcBorders>
              <w:top w:val="single" w:sz="4" w:space="0" w:color="auto"/>
              <w:left w:val="single" w:sz="4" w:space="0" w:color="auto"/>
              <w:bottom w:val="single" w:sz="4" w:space="0" w:color="auto"/>
              <w:right w:val="single" w:sz="4" w:space="0" w:color="auto"/>
            </w:tcBorders>
          </w:tcPr>
          <w:p w14:paraId="2513058E" w14:textId="77777777" w:rsidR="00C66B25" w:rsidRPr="00EF7CF9" w:rsidRDefault="00C66B25" w:rsidP="000F31B4">
            <w:pPr>
              <w:pStyle w:val="ProductList-OfferingBody"/>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65C8D401" w14:textId="77777777" w:rsidR="00C66B25" w:rsidRPr="00EF7CF9" w:rsidRDefault="00C66B25" w:rsidP="000F31B4">
            <w:pPr>
              <w:pStyle w:val="ProductList-OfferingBody"/>
              <w:keepNext/>
              <w:jc w:val="center"/>
            </w:pPr>
            <w:r>
              <w:t>25 %</w:t>
            </w:r>
          </w:p>
        </w:tc>
      </w:tr>
    </w:tbl>
    <w:p w14:paraId="383C6DD9" w14:textId="3B1BB4D9" w:rsidR="00C66B25" w:rsidRPr="00ED4527" w:rsidRDefault="00EE6E3C" w:rsidP="0078757B">
      <w:pPr>
        <w:pStyle w:val="ProductList-Body"/>
        <w:tabs>
          <w:tab w:val="clear" w:pos="360"/>
          <w:tab w:val="clear" w:pos="720"/>
          <w:tab w:val="clear" w:pos="1080"/>
        </w:tabs>
        <w:spacing w:before="120"/>
        <w:rPr>
          <w:b/>
          <w:bCs/>
          <w:color w:val="00188F"/>
        </w:rPr>
      </w:pPr>
      <w:bookmarkStart w:id="306" w:name="_Toc457821589"/>
      <w:bookmarkStart w:id="307" w:name="_Toc526859726"/>
      <w:bookmarkStart w:id="308" w:name="_Toc524384538"/>
      <w:bookmarkStart w:id="309" w:name="VisualStudioTeamServices_LoadTestService"/>
      <w:r>
        <w:rPr>
          <w:b/>
          <w:bCs/>
          <w:color w:val="00188F"/>
        </w:rPr>
        <w:t>Berechnung der Betriebszeit und Service-Levels für die Azure Pipelines</w:t>
      </w:r>
    </w:p>
    <w:p w14:paraId="014EED69" w14:textId="30F5B449" w:rsidR="00C66B25" w:rsidRPr="00ED4527" w:rsidRDefault="00C66B25" w:rsidP="00C66B25">
      <w:pPr>
        <w:pStyle w:val="ProductList-Body"/>
        <w:rPr>
          <w:color w:val="000000" w:themeColor="text1"/>
        </w:rPr>
      </w:pPr>
      <w:r>
        <w:rPr>
          <w:color w:val="000000" w:themeColor="text1"/>
        </w:rPr>
        <w:t>„</w:t>
      </w:r>
      <w:r>
        <w:rPr>
          <w:b/>
          <w:bCs/>
          <w:color w:val="00188F"/>
        </w:rPr>
        <w:t>Maximal Verfügbare Minuten</w:t>
      </w:r>
      <w:r>
        <w:rPr>
          <w:color w:val="000000" w:themeColor="text1"/>
        </w:rPr>
        <w:t>“ ist die Gesamtzahl der Minuten, für die der kostenpflichtige Azure Pipelines-Dienst für ein bestimmtes Microsoft Azure-Abonnement im Verlauf eines Anwendbaren Zeitraums aktiviert wurde.</w:t>
      </w:r>
    </w:p>
    <w:p w14:paraId="4BF684E0" w14:textId="77777777" w:rsidR="00C66B25" w:rsidRPr="00ED4527" w:rsidRDefault="00C66B25" w:rsidP="00C66B25">
      <w:pPr>
        <w:pStyle w:val="ProductList-Body"/>
        <w:rPr>
          <w:color w:val="000000" w:themeColor="text1"/>
        </w:rPr>
      </w:pPr>
      <w:r>
        <w:rPr>
          <w:color w:val="000000" w:themeColor="text1"/>
        </w:rPr>
        <w:lastRenderedPageBreak/>
        <w:t>„</w:t>
      </w:r>
      <w:r>
        <w:rPr>
          <w:b/>
          <w:bCs/>
          <w:color w:val="00188F"/>
        </w:rPr>
        <w:t>Ausfallzeit</w:t>
      </w:r>
      <w:r>
        <w:rPr>
          <w:color w:val="000000" w:themeColor="text1"/>
        </w:rPr>
        <w:t>“ ist die Gesamtzahl der kumulierten Minuten für ein bestimmtes Microsoft Azure-Abonnement, in denen der Azure Pipelines-Dienst nicht verfügbar ist. Eine Minute gilt als nicht verfügbar, wenn alle fortlaufenden HTTP-Anforderungen an den Build-Dienst zum Durchführen von Vorgängen, die vom Kunden während der Minute initiiert werden, entweder einen Fehlercode ergeben oder keine Antwort zurückgeben.</w:t>
      </w:r>
    </w:p>
    <w:p w14:paraId="4B5453E7" w14:textId="1D07F6EA" w:rsidR="00C66B25" w:rsidRDefault="00C66B25" w:rsidP="00C66B25">
      <w:pPr>
        <w:pStyle w:val="ProductList-Body"/>
        <w:tabs>
          <w:tab w:val="clear" w:pos="360"/>
          <w:tab w:val="clear" w:pos="720"/>
          <w:tab w:val="clear" w:pos="1080"/>
        </w:tabs>
        <w:rPr>
          <w:color w:val="000000" w:themeColor="text1"/>
        </w:rPr>
      </w:pPr>
      <w:r>
        <w:t xml:space="preserve">Der </w:t>
      </w:r>
      <w:r>
        <w:rPr>
          <w:color w:val="000000" w:themeColor="text1"/>
        </w:rPr>
        <w:t>„</w:t>
      </w:r>
      <w:r>
        <w:rPr>
          <w:b/>
          <w:bCs/>
          <w:color w:val="00188F"/>
        </w:rPr>
        <w:t>Betriebszeitprozentsatz</w:t>
      </w:r>
      <w:r>
        <w:rPr>
          <w:color w:val="000000" w:themeColor="text1"/>
        </w:rPr>
        <w:t xml:space="preserve">“ für den Azure Pipelines-Dienst wird berechnet als Maximal Verfügbare Minuten abzüglich der Ausfallzeit geteilt durch die Maximal Verfügbaren Minuten in einem Anwendbaren Zeitraum für ein bestimmtes Microsoft Azure-Abonnement. </w:t>
      </w:r>
    </w:p>
    <w:p w14:paraId="7D2391A4" w14:textId="55984207" w:rsidR="00C66B25" w:rsidRDefault="00AC48A7" w:rsidP="00C66B25">
      <w:pPr>
        <w:pStyle w:val="ProductList-Body"/>
        <w:tabs>
          <w:tab w:val="clear" w:pos="360"/>
          <w:tab w:val="clear" w:pos="720"/>
          <w:tab w:val="clear" w:pos="1080"/>
        </w:tabs>
        <w:rPr>
          <w:color w:val="000000" w:themeColor="text1"/>
        </w:rPr>
      </w:pPr>
      <w:r>
        <w:rPr>
          <w:color w:val="000000" w:themeColor="text1"/>
        </w:rPr>
        <w:t>Der Betriebszeitprozentsatz wird durch die folgende Formel ermittelt:</w:t>
      </w:r>
    </w:p>
    <w:p w14:paraId="3D9D0A67" w14:textId="51C56AFC" w:rsidR="00C66B25" w:rsidRPr="007C7313" w:rsidRDefault="00000000" w:rsidP="004C616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4CA4F1C6" w14:textId="77777777" w:rsidR="00C66B25" w:rsidRPr="00EF7CF9" w:rsidRDefault="00C66B25" w:rsidP="00C66B25">
      <w:pPr>
        <w:pStyle w:val="ProductList-Body"/>
      </w:pPr>
      <w:r>
        <w:rPr>
          <w:b/>
          <w:color w:val="00188F"/>
        </w:rPr>
        <w:t>Folgende Servicelevels und Servicegutschriften gelten für die Nutzung des Azure Pipelines-Dienstes durch den Kunden</w:t>
      </w:r>
      <w:r w:rsidRPr="0008262F">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66B25" w:rsidRPr="00B44CF9" w14:paraId="4B86A588" w14:textId="77777777" w:rsidTr="00277097">
        <w:trPr>
          <w:tblHeader/>
        </w:trPr>
        <w:tc>
          <w:tcPr>
            <w:tcW w:w="5400" w:type="dxa"/>
            <w:shd w:val="clear" w:color="auto" w:fill="0072C6"/>
          </w:tcPr>
          <w:p w14:paraId="6EDC2965" w14:textId="4D29EA46" w:rsidR="00C66B25"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0F2CFA2F" w14:textId="77777777" w:rsidR="00C66B25" w:rsidRPr="00EF7CF9" w:rsidRDefault="00C66B25" w:rsidP="000F31B4">
            <w:pPr>
              <w:pStyle w:val="ProductList-OfferingBody"/>
              <w:jc w:val="center"/>
              <w:rPr>
                <w:color w:val="FFFFFF" w:themeColor="background1"/>
              </w:rPr>
            </w:pPr>
            <w:r>
              <w:rPr>
                <w:color w:val="FFFFFF" w:themeColor="background1"/>
              </w:rPr>
              <w:t>Servicegutschrift</w:t>
            </w:r>
          </w:p>
        </w:tc>
      </w:tr>
      <w:tr w:rsidR="00C66B25" w:rsidRPr="00B44CF9" w14:paraId="4C6AEF21" w14:textId="77777777" w:rsidTr="00277097">
        <w:tc>
          <w:tcPr>
            <w:tcW w:w="5400" w:type="dxa"/>
          </w:tcPr>
          <w:p w14:paraId="07891EB0" w14:textId="77777777" w:rsidR="00C66B25" w:rsidRPr="00EF7CF9" w:rsidRDefault="00C66B25" w:rsidP="000F31B4">
            <w:pPr>
              <w:pStyle w:val="ProductList-OfferingBody"/>
              <w:jc w:val="center"/>
            </w:pPr>
            <w:r>
              <w:t>&lt; 99,9 %</w:t>
            </w:r>
          </w:p>
        </w:tc>
        <w:tc>
          <w:tcPr>
            <w:tcW w:w="5400" w:type="dxa"/>
          </w:tcPr>
          <w:p w14:paraId="326AF5F8" w14:textId="77777777" w:rsidR="00C66B25" w:rsidRPr="00EF7CF9" w:rsidRDefault="00C66B25" w:rsidP="000F31B4">
            <w:pPr>
              <w:pStyle w:val="ProductList-OfferingBody"/>
              <w:jc w:val="center"/>
            </w:pPr>
            <w:r>
              <w:t>10 %</w:t>
            </w:r>
          </w:p>
        </w:tc>
      </w:tr>
      <w:tr w:rsidR="00C66B25" w:rsidRPr="00B44CF9" w14:paraId="755CE143" w14:textId="77777777" w:rsidTr="00277097">
        <w:tc>
          <w:tcPr>
            <w:tcW w:w="5400" w:type="dxa"/>
          </w:tcPr>
          <w:p w14:paraId="3D649C21" w14:textId="77777777" w:rsidR="00C66B25" w:rsidRPr="00EF7CF9" w:rsidRDefault="00C66B25" w:rsidP="000F31B4">
            <w:pPr>
              <w:pStyle w:val="ProductList-OfferingBody"/>
              <w:jc w:val="center"/>
            </w:pPr>
            <w:r>
              <w:t>&lt; 99 %</w:t>
            </w:r>
          </w:p>
        </w:tc>
        <w:tc>
          <w:tcPr>
            <w:tcW w:w="5400" w:type="dxa"/>
          </w:tcPr>
          <w:p w14:paraId="57C68158" w14:textId="77777777" w:rsidR="00C66B25" w:rsidRPr="00EF7CF9" w:rsidRDefault="00C66B25" w:rsidP="000F31B4">
            <w:pPr>
              <w:pStyle w:val="ProductList-OfferingBody"/>
              <w:jc w:val="center"/>
            </w:pPr>
            <w:r>
              <w:t>25 %</w:t>
            </w:r>
          </w:p>
        </w:tc>
      </w:tr>
    </w:tbl>
    <w:bookmarkEnd w:id="306"/>
    <w:bookmarkEnd w:id="307"/>
    <w:bookmarkEnd w:id="308"/>
    <w:bookmarkEnd w:id="309"/>
    <w:p w14:paraId="4A4B946D" w14:textId="257E5C65"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68C1E041" w14:textId="7074E6AA" w:rsidR="00DD29AD" w:rsidRPr="00EA5FB1" w:rsidRDefault="000E3C0B" w:rsidP="00DD29AD">
      <w:pPr>
        <w:pStyle w:val="ProductList-Offering2Heading"/>
        <w:keepNext/>
        <w:tabs>
          <w:tab w:val="clear" w:pos="360"/>
          <w:tab w:val="clear" w:pos="720"/>
          <w:tab w:val="clear" w:pos="1080"/>
        </w:tabs>
        <w:outlineLvl w:val="2"/>
        <w:rPr>
          <w:lang w:val="fr-FR"/>
        </w:rPr>
      </w:pPr>
      <w:bookmarkStart w:id="310" w:name="_Toc195543140"/>
      <w:bookmarkStart w:id="311" w:name="_Toc237448997"/>
      <w:r>
        <w:t>Microsoft Dev Box</w:t>
      </w:r>
      <w:bookmarkEnd w:id="310"/>
      <w:bookmarkEnd w:id="311"/>
    </w:p>
    <w:p w14:paraId="70C5163F" w14:textId="77777777" w:rsidR="00DD29AD" w:rsidRDefault="00DD29AD" w:rsidP="00DD29AD">
      <w:pPr>
        <w:pStyle w:val="ProductList-Body"/>
      </w:pPr>
      <w:r>
        <w:rPr>
          <w:b/>
          <w:color w:val="00188F"/>
        </w:rPr>
        <w:t>Zusätzliche Definitionen</w:t>
      </w:r>
      <w:r w:rsidRPr="0008262F">
        <w:rPr>
          <w:b/>
          <w:color w:val="00188F"/>
        </w:rPr>
        <w:t>:</w:t>
      </w:r>
    </w:p>
    <w:p w14:paraId="26431222" w14:textId="77777777" w:rsidR="009D7DA3" w:rsidRDefault="009D7DA3" w:rsidP="009D7DA3">
      <w:pPr>
        <w:pStyle w:val="ProductList-Body"/>
      </w:pPr>
      <w:r>
        <w:t>„</w:t>
      </w:r>
      <w:r>
        <w:rPr>
          <w:b/>
          <w:bCs/>
          <w:color w:val="00188F"/>
        </w:rPr>
        <w:t>Dev Box</w:t>
      </w:r>
      <w:r w:rsidRPr="00620CAD">
        <w:t>“</w:t>
      </w:r>
      <w:r>
        <w:rPr>
          <w:color w:val="00188F"/>
        </w:rPr>
        <w:t xml:space="preserve"> </w:t>
      </w:r>
      <w:r w:rsidRPr="0008262F">
        <w:t xml:space="preserve">steht für </w:t>
      </w:r>
      <w:r>
        <w:t>die spezifische Instanz von Microsoft Dev Box.</w:t>
      </w:r>
    </w:p>
    <w:p w14:paraId="5E7314A0" w14:textId="4B6A8847" w:rsidR="00AB71EC" w:rsidRDefault="00AB71EC" w:rsidP="00AB71EC">
      <w:pPr>
        <w:pStyle w:val="ProductList-Body"/>
      </w:pPr>
      <w:r>
        <w:t>„</w:t>
      </w:r>
      <w:r>
        <w:rPr>
          <w:b/>
          <w:bCs/>
          <w:color w:val="00188F"/>
        </w:rPr>
        <w:t>Minuten im Anwendbaren Zeitraum</w:t>
      </w:r>
      <w:r w:rsidRPr="00620CAD">
        <w:t xml:space="preserve">“ </w:t>
      </w:r>
      <w:r w:rsidRPr="0008262F">
        <w:t xml:space="preserve">ist </w:t>
      </w:r>
      <w:r>
        <w:t>die Gesamtzahl der Minuten in einem bestimmten Anwendbaren Zeitraum.</w:t>
      </w:r>
    </w:p>
    <w:p w14:paraId="7DB28583" w14:textId="22A1CA11" w:rsidR="005923D3" w:rsidRDefault="005923D3" w:rsidP="005923D3">
      <w:pPr>
        <w:pStyle w:val="ProductList-Body"/>
      </w:pPr>
      <w:r>
        <w:t>„</w:t>
      </w:r>
      <w:r>
        <w:rPr>
          <w:b/>
          <w:bCs/>
          <w:color w:val="00188F"/>
        </w:rPr>
        <w:t>Ausfallzeit</w:t>
      </w:r>
      <w:r w:rsidR="00620CAD" w:rsidRPr="00620CAD">
        <w:t>“</w:t>
      </w:r>
      <w:r>
        <w:t xml:space="preserve"> ist der Zeitraum, gemessen in Minuten, in dem alle Verbindungsversuche eines bestimmten Nutzers mit einem bestimmten Cloud-PC erfolglos waren, mit Ausnahme der folgenden Fehlerarten:</w:t>
      </w:r>
    </w:p>
    <w:p w14:paraId="44B8E501" w14:textId="77777777" w:rsidR="005923D3" w:rsidRDefault="005923D3">
      <w:pPr>
        <w:pStyle w:val="ProductList-Body"/>
        <w:numPr>
          <w:ilvl w:val="0"/>
          <w:numId w:val="22"/>
        </w:numPr>
      </w:pPr>
      <w:r>
        <w:t>Fehler, die darauf zurückzuführen sind, dass sich die Dev Box in einem nicht funktionsfähigen Zustand befindet, der nichts mit der zugrunde liegenden Azure-Infrastruktur zu tun hat (z. B. Betriebssystem bzw. Betriebssystemkonfiguration beschädigt oder nicht lesbar, Fehlkonfiguration),</w:t>
      </w:r>
    </w:p>
    <w:p w14:paraId="04363F4B" w14:textId="77777777" w:rsidR="005923D3" w:rsidRDefault="005923D3">
      <w:pPr>
        <w:pStyle w:val="ProductList-Body"/>
        <w:numPr>
          <w:ilvl w:val="0"/>
          <w:numId w:val="22"/>
        </w:numPr>
      </w:pPr>
      <w:r>
        <w:t>Fehler aufgrund einer Anwendung oder anderer Software, die auf der Dev Box installiert ist.</w:t>
      </w:r>
    </w:p>
    <w:p w14:paraId="30377E18" w14:textId="473F2762" w:rsidR="005273EB" w:rsidRDefault="005273EB" w:rsidP="00762FDE">
      <w:pPr>
        <w:pStyle w:val="ProductList-Body"/>
        <w:spacing w:before="40"/>
      </w:pPr>
      <w:r>
        <w:t>„</w:t>
      </w:r>
      <w:r>
        <w:rPr>
          <w:b/>
          <w:bCs/>
          <w:color w:val="00188F"/>
        </w:rPr>
        <w:t>Verfügbarkeitsprozentsatz pro Dev Box</w:t>
      </w:r>
      <w:r>
        <w:t>“ wird berechnet, indem von 100 % der Prozentsatz der Minuten im Anwendbaren Zeitraum abgezogen wird, in denen die Dev Box Ausfallzeiten hatte.</w:t>
      </w:r>
    </w:p>
    <w:p w14:paraId="57443AFA" w14:textId="5CD6A634" w:rsidR="005149F7" w:rsidRDefault="005149F7" w:rsidP="005149F7">
      <w:pPr>
        <w:pStyle w:val="ProductList-Body"/>
      </w:pPr>
      <w:r>
        <w:t>Der Verfügbarkeitsprozentsatz pro Dev Box wird mithilfe der folgenden Formel berechnet:</w:t>
      </w:r>
    </w:p>
    <w:p w14:paraId="7B069CB1" w14:textId="3336AD54" w:rsidR="00C91F92" w:rsidRPr="00EA5BFD" w:rsidRDefault="008E31A8" w:rsidP="004C6163">
      <w:pPr>
        <w:spacing w:before="120" w:after="120" w:line="240" w:lineRule="auto"/>
        <w:jc w:val="both"/>
        <w:rPr>
          <w:sz w:val="18"/>
          <w:szCs w:val="18"/>
        </w:rPr>
      </w:pPr>
      <m:oMathPara>
        <m:oMath>
          <m:r>
            <m:rPr>
              <m:nor/>
            </m:rPr>
            <w:rPr>
              <w:rFonts w:ascii="Cambria Math" w:hAnsi="Cambria Math"/>
              <w:i/>
              <w:sz w:val="18"/>
              <w:szCs w:val="18"/>
            </w:rPr>
            <m:t>Betriebszeitprozentsatz pro Dev Box =</m:t>
          </m:r>
          <m:f>
            <m:fPr>
              <m:ctrlPr>
                <w:rPr>
                  <w:rFonts w:ascii="Cambria Math" w:hAnsi="Cambria Math"/>
                  <w:i/>
                  <w:sz w:val="18"/>
                  <w:szCs w:val="18"/>
                </w:rPr>
              </m:ctrlPr>
            </m:fPr>
            <m:num>
              <m:d>
                <m:dPr>
                  <m:ctrlPr>
                    <w:rPr>
                      <w:rFonts w:ascii="Cambria Math" w:hAnsi="Cambria Math"/>
                      <w:i/>
                      <w:sz w:val="18"/>
                      <w:szCs w:val="18"/>
                    </w:rPr>
                  </m:ctrlPr>
                </m:dPr>
                <m:e>
                  <m:r>
                    <m:rPr>
                      <m:nor/>
                    </m:rPr>
                    <w:rPr>
                      <w:rFonts w:ascii="Cambria Math" w:hAnsi="Cambria Math"/>
                      <w:i/>
                      <w:sz w:val="18"/>
                      <w:szCs w:val="18"/>
                    </w:rPr>
                    <m:t>Minuten im Anwendbaren Zeitraum abzüglich Ausfallzeit</m:t>
                  </m:r>
                </m:e>
              </m:d>
            </m:num>
            <m:den>
              <m:r>
                <m:rPr>
                  <m:nor/>
                </m:rPr>
                <w:rPr>
                  <w:rFonts w:ascii="Cambria Math" w:hAnsi="Cambria Math"/>
                  <w:i/>
                  <w:sz w:val="18"/>
                  <w:szCs w:val="18"/>
                </w:rPr>
                <m:t>Minuten im Anwendbaren Zeitraum</m:t>
              </m:r>
            </m:den>
          </m:f>
          <m:r>
            <w:rPr>
              <w:rFonts w:ascii="Cambria Math" w:hAnsi="Cambria Math"/>
              <w:sz w:val="18"/>
              <w:szCs w:val="18"/>
            </w:rPr>
            <m:t> x 100</m:t>
          </m:r>
        </m:oMath>
      </m:oMathPara>
    </w:p>
    <w:p w14:paraId="1EC2860B" w14:textId="2EA0F00B" w:rsidR="00EE4264" w:rsidRDefault="00EE4264" w:rsidP="00EE4264">
      <w:pPr>
        <w:pStyle w:val="ProductList-Body"/>
        <w:tabs>
          <w:tab w:val="clear" w:pos="360"/>
        </w:tabs>
      </w:pPr>
      <w:r>
        <w:rPr>
          <w:b/>
          <w:bCs/>
          <w:color w:val="00188F"/>
        </w:rPr>
        <w:t>Servicegutschrift pro Dev Box</w:t>
      </w:r>
      <w:r w:rsidRPr="0008262F">
        <w:rPr>
          <w:b/>
          <w:bCs/>
          <w:color w:val="00188F"/>
        </w:rPr>
        <w:t xml:space="preserve">: </w:t>
      </w:r>
      <w:r>
        <w:t>Die folgenden Service-Levels und Servicegutschriften gelten für die Nutzung von Microsoft Dev Box durch den</w:t>
      </w:r>
      <w:r w:rsidR="0008262F">
        <w:t> </w:t>
      </w:r>
      <w:r>
        <w:t>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F7A47" w14:paraId="7A1D67AE" w14:textId="77777777" w:rsidTr="00541A9D">
        <w:trPr>
          <w:trHeight w:val="188"/>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956CCDA" w14:textId="26319CE5" w:rsidR="00CF7A47" w:rsidRDefault="00CF7A47" w:rsidP="00541A9D">
            <w:pPr>
              <w:pStyle w:val="ProductList-OfferingBody"/>
              <w:jc w:val="center"/>
              <w:rPr>
                <w:color w:val="FFFFFF" w:themeColor="background1"/>
              </w:rPr>
            </w:pPr>
            <w:r>
              <w:rPr>
                <w:color w:val="FFFFFF" w:themeColor="background1"/>
              </w:rPr>
              <w:t>Betriebszeitprozentsatz pro Dev Box</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1FDA130" w14:textId="77777777" w:rsidR="00CF7A47" w:rsidRDefault="00CF7A47" w:rsidP="00541A9D">
            <w:pPr>
              <w:pStyle w:val="ProductList-OfferingBody"/>
              <w:jc w:val="center"/>
              <w:rPr>
                <w:color w:val="FFFFFF" w:themeColor="background1"/>
              </w:rPr>
            </w:pPr>
            <w:r>
              <w:rPr>
                <w:color w:val="FFFFFF" w:themeColor="background1"/>
              </w:rPr>
              <w:t>Servicegutschrift pro Dev Box</w:t>
            </w:r>
          </w:p>
        </w:tc>
      </w:tr>
      <w:tr w:rsidR="00CF7A47" w14:paraId="5A838D14" w14:textId="77777777" w:rsidTr="00541A9D">
        <w:trPr>
          <w:trHeight w:val="215"/>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1F75B9" w14:textId="77777777" w:rsidR="00CF7A47" w:rsidRDefault="00CF7A47" w:rsidP="00541A9D">
            <w:pPr>
              <w:pStyle w:val="ProductList-OfferingBody"/>
              <w:jc w:val="center"/>
            </w:pPr>
            <w: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F42030" w14:textId="77777777" w:rsidR="00CF7A47" w:rsidRDefault="00CF7A47" w:rsidP="00541A9D">
            <w:pPr>
              <w:pStyle w:val="ProductList-OfferingBody"/>
              <w:jc w:val="center"/>
            </w:pPr>
            <w:r>
              <w:t>10 %</w:t>
            </w:r>
          </w:p>
        </w:tc>
      </w:tr>
      <w:tr w:rsidR="00CF7A47" w14:paraId="46F1CA46" w14:textId="77777777" w:rsidTr="00541A9D">
        <w:trPr>
          <w:trHeight w:val="143"/>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C82896" w14:textId="77777777" w:rsidR="00CF7A47" w:rsidRDefault="00CF7A47" w:rsidP="00541A9D">
            <w:pPr>
              <w:pStyle w:val="ProductList-OfferingBody"/>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C9C0AF" w14:textId="77777777" w:rsidR="00CF7A47" w:rsidRDefault="00CF7A47" w:rsidP="00541A9D">
            <w:pPr>
              <w:pStyle w:val="ProductList-OfferingBody"/>
              <w:keepNext/>
              <w:jc w:val="center"/>
            </w:pPr>
            <w:r>
              <w:t>25 %</w:t>
            </w:r>
          </w:p>
        </w:tc>
      </w:tr>
      <w:tr w:rsidR="00CF7A47" w14:paraId="4C10F3EF" w14:textId="77777777" w:rsidTr="00541A9D">
        <w:trPr>
          <w:trHeight w:val="170"/>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E9AAF5" w14:textId="77777777" w:rsidR="00CF7A47" w:rsidRDefault="00CF7A47" w:rsidP="00541A9D">
            <w:pPr>
              <w:pStyle w:val="ProductList-OfferingBody"/>
              <w:jc w:val="center"/>
            </w:pPr>
            <w:r>
              <w:t>&lt; 95 %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505670" w14:textId="77777777" w:rsidR="00CF7A47" w:rsidRDefault="00CF7A47" w:rsidP="00541A9D">
            <w:pPr>
              <w:pStyle w:val="ProductList-OfferingBody"/>
              <w:keepNext/>
              <w:jc w:val="center"/>
            </w:pPr>
            <w:r>
              <w:t>100 %</w:t>
            </w:r>
          </w:p>
        </w:tc>
      </w:tr>
    </w:tbl>
    <w:p w14:paraId="5089F60F" w14:textId="321B221C"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5DF4D031" w14:textId="2366BAF1" w:rsidR="005C061C" w:rsidRPr="005C061C" w:rsidRDefault="005C061C" w:rsidP="005C061C">
      <w:pPr>
        <w:pStyle w:val="ProductList-Offering2Heading"/>
        <w:keepNext/>
        <w:tabs>
          <w:tab w:val="clear" w:pos="360"/>
          <w:tab w:val="clear" w:pos="720"/>
          <w:tab w:val="clear" w:pos="1080"/>
        </w:tabs>
        <w:outlineLvl w:val="2"/>
        <w:rPr>
          <w:lang w:val="fr-FR"/>
        </w:rPr>
      </w:pPr>
      <w:bookmarkStart w:id="312" w:name="_Toc195543141"/>
      <w:bookmarkStart w:id="313" w:name="_Toc237448998"/>
      <w:r>
        <w:t>Azure Digital Twins</w:t>
      </w:r>
      <w:bookmarkEnd w:id="312"/>
      <w:bookmarkEnd w:id="313"/>
    </w:p>
    <w:p w14:paraId="13E3D280" w14:textId="77777777" w:rsidR="005C061C" w:rsidRPr="005C061C" w:rsidRDefault="005C061C" w:rsidP="005C061C">
      <w:pPr>
        <w:pStyle w:val="ProductList-Body"/>
        <w:rPr>
          <w:b/>
          <w:bCs/>
          <w:color w:val="00188F"/>
        </w:rPr>
      </w:pPr>
      <w:r>
        <w:rPr>
          <w:b/>
          <w:bCs/>
          <w:color w:val="00188F"/>
        </w:rPr>
        <w:t>Zusätzliche Definitionen</w:t>
      </w:r>
    </w:p>
    <w:p w14:paraId="260F4527" w14:textId="77777777" w:rsidR="005C061C" w:rsidRDefault="005C061C" w:rsidP="00762FDE">
      <w:pPr>
        <w:pStyle w:val="ProductList-Body"/>
      </w:pPr>
      <w:r>
        <w:t>„</w:t>
      </w:r>
      <w:r>
        <w:rPr>
          <w:b/>
          <w:bCs/>
          <w:color w:val="00188F"/>
        </w:rPr>
        <w:t>Nachricht</w:t>
      </w:r>
      <w:r>
        <w:t>“ bezieht sich auf jedes Ereignis, das von einer eingesetzten Azure Digital Twins-Instanz an einen Endpunktdienst wie Event Hub, Event Grid und Service Bus gesendet wird.</w:t>
      </w:r>
    </w:p>
    <w:p w14:paraId="5926A16D" w14:textId="77777777" w:rsidR="005C061C" w:rsidRDefault="005C061C" w:rsidP="00762FDE">
      <w:pPr>
        <w:pStyle w:val="ProductList-Body"/>
      </w:pPr>
      <w:r>
        <w:t>„</w:t>
      </w:r>
      <w:r>
        <w:rPr>
          <w:b/>
          <w:bCs/>
          <w:color w:val="00188F"/>
        </w:rPr>
        <w:t>API-Operationen</w:t>
      </w:r>
      <w:r>
        <w:t>“ bezieht sich auf Lese-, Schreib-, Aktualisierungs-, Lösch- und andere Aktionen, die an Modellen und Digital Twins durchgeführt werden, einschließlich Abfragen.</w:t>
      </w:r>
    </w:p>
    <w:p w14:paraId="6CC377C8" w14:textId="585CC3EC" w:rsidR="005C061C" w:rsidRPr="005C061C" w:rsidRDefault="00EE6E3C" w:rsidP="00762FDE">
      <w:pPr>
        <w:pStyle w:val="ProductList-Body"/>
        <w:rPr>
          <w:b/>
          <w:bCs/>
          <w:color w:val="00188F"/>
        </w:rPr>
      </w:pPr>
      <w:r>
        <w:rPr>
          <w:b/>
          <w:bCs/>
          <w:color w:val="00188F"/>
        </w:rPr>
        <w:t>Berechnung der Betriebszeit und Service-Level</w:t>
      </w:r>
    </w:p>
    <w:p w14:paraId="21D71404" w14:textId="79D5208E" w:rsidR="005C061C" w:rsidRDefault="005C061C" w:rsidP="00762FDE">
      <w:pPr>
        <w:pStyle w:val="ProductList-Body"/>
      </w:pPr>
      <w:r>
        <w:t>„</w:t>
      </w:r>
      <w:r>
        <w:rPr>
          <w:b/>
          <w:bCs/>
          <w:color w:val="00188F"/>
        </w:rPr>
        <w:t>Bereitstellungsminuten</w:t>
      </w:r>
      <w:r>
        <w:t>“ ist die Gesamtzahl der Minuten, die eine bestimmte Azure Digital Twins-Instanz während eines Anwendbaren Zeitraums in Azure bereitgestellt wurde.</w:t>
      </w:r>
    </w:p>
    <w:p w14:paraId="3359A4D2" w14:textId="004ED00A" w:rsidR="005C061C" w:rsidRDefault="005C061C" w:rsidP="00762FDE">
      <w:pPr>
        <w:pStyle w:val="ProductList-Body"/>
      </w:pPr>
      <w:r>
        <w:t>„</w:t>
      </w:r>
      <w:r>
        <w:rPr>
          <w:b/>
          <w:bCs/>
          <w:color w:val="00188F"/>
        </w:rPr>
        <w:t>Maximal Verfügbare Minuten</w:t>
      </w:r>
      <w:r>
        <w:t>“ ist die Summe aller Bereitstellungsminuten über alle Azure Digital Twins-Instanzen hinweg, die in einem bestimmten Azure-Abonnement während eines Anwendbaren Zeitraums bereitgestellt wurden.</w:t>
      </w:r>
    </w:p>
    <w:p w14:paraId="65F63DE3" w14:textId="06A0F39C" w:rsidR="005C061C" w:rsidRDefault="005C061C" w:rsidP="00762FDE">
      <w:pPr>
        <w:pStyle w:val="ProductList-Body"/>
      </w:pPr>
      <w:r>
        <w:t>„</w:t>
      </w:r>
      <w:r>
        <w:rPr>
          <w:b/>
          <w:bCs/>
          <w:color w:val="00188F"/>
        </w:rPr>
        <w:t>Ausfallzeit</w:t>
      </w:r>
      <w:r>
        <w:t xml:space="preserve">“ ist die Summe der kumulierten Bereitstellungsminuten über alle Azure Digital Twins hinweg, bereitgestellt in einem bestimmten Azure-Abonnement, in denen die Azure Digital Twins-Instanz nicht verfügbar ist. Eine Minute gilt als nicht verfügbar für eine bestimmte Azure Digital Twins-Instanz, wenn alle kontinuierlichen Versuche, während der gesamten Minute Nachrichten zu senden oder API-Operationen auf </w:t>
      </w:r>
      <w:r>
        <w:lastRenderedPageBreak/>
        <w:t>der</w:t>
      </w:r>
      <w:r w:rsidR="00FD7E2C">
        <w:t> </w:t>
      </w:r>
      <w:r>
        <w:t>Azure Digital Twins-Instanz durchzuführen, entweder einen Fehlercode zurückgeben oder nicht innerhalb von fünf Minuten zu einem Erfolgscode führen.</w:t>
      </w:r>
    </w:p>
    <w:p w14:paraId="509F5CE6" w14:textId="29734CE1" w:rsidR="005C061C" w:rsidRDefault="00AC48A7" w:rsidP="00762FDE">
      <w:pPr>
        <w:pStyle w:val="ProductList-Body"/>
      </w:pPr>
      <w:r>
        <w:rPr>
          <w:b/>
          <w:bCs/>
          <w:color w:val="00188F"/>
        </w:rPr>
        <w:t>Betriebszeitprozentsatz:</w:t>
      </w:r>
      <w:r>
        <w:t xml:space="preserve"> Der Betriebszeitprozentsatz errechnet sich nach folgender Formel:</w:t>
      </w:r>
    </w:p>
    <w:p w14:paraId="71C25E21" w14:textId="53A44B9A" w:rsidR="005C061C" w:rsidRPr="007C7313" w:rsidRDefault="00000000" w:rsidP="004411F5">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463A3969" w14:textId="77777777" w:rsidR="005C061C" w:rsidRPr="005C061C" w:rsidRDefault="005C061C" w:rsidP="005C061C">
      <w:pPr>
        <w:pStyle w:val="ProductList-Body"/>
        <w:rPr>
          <w:b/>
          <w:bCs/>
          <w:color w:val="00188F"/>
        </w:rPr>
      </w:pPr>
      <w:r>
        <w:rPr>
          <w:b/>
          <w:bCs/>
          <w:color w:val="00188F"/>
        </w:rPr>
        <w:t>Die folgenden Servicelevels und Servicegutschriften gelten für die Nutzung von Azure Digital Twins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061C" w:rsidRPr="00B44CF9" w14:paraId="7FC8C299" w14:textId="77777777" w:rsidTr="00277097">
        <w:trPr>
          <w:tblHeader/>
        </w:trPr>
        <w:tc>
          <w:tcPr>
            <w:tcW w:w="5400" w:type="dxa"/>
            <w:shd w:val="clear" w:color="auto" w:fill="0072C6"/>
          </w:tcPr>
          <w:p w14:paraId="0357ED67" w14:textId="47592470" w:rsidR="005C061C"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5F3B44BC" w14:textId="77777777" w:rsidR="005C061C" w:rsidRPr="00EF7CF9" w:rsidRDefault="005C061C" w:rsidP="000F31B4">
            <w:pPr>
              <w:pStyle w:val="ProductList-OfferingBody"/>
              <w:jc w:val="center"/>
              <w:rPr>
                <w:color w:val="FFFFFF" w:themeColor="background1"/>
              </w:rPr>
            </w:pPr>
            <w:r>
              <w:rPr>
                <w:color w:val="FFFFFF" w:themeColor="background1"/>
              </w:rPr>
              <w:t>Servicegutschrift</w:t>
            </w:r>
          </w:p>
        </w:tc>
      </w:tr>
      <w:tr w:rsidR="005C061C" w:rsidRPr="00B44CF9" w14:paraId="2A0F7D12" w14:textId="77777777" w:rsidTr="00277097">
        <w:tc>
          <w:tcPr>
            <w:tcW w:w="5400" w:type="dxa"/>
          </w:tcPr>
          <w:p w14:paraId="53DE73C6" w14:textId="77777777" w:rsidR="005C061C" w:rsidRPr="00EF7CF9" w:rsidRDefault="005C061C" w:rsidP="000F31B4">
            <w:pPr>
              <w:pStyle w:val="ProductList-OfferingBody"/>
              <w:jc w:val="center"/>
            </w:pPr>
            <w:r>
              <w:t>&lt; 99,9 %</w:t>
            </w:r>
          </w:p>
        </w:tc>
        <w:tc>
          <w:tcPr>
            <w:tcW w:w="5400" w:type="dxa"/>
          </w:tcPr>
          <w:p w14:paraId="180C4714" w14:textId="77777777" w:rsidR="005C061C" w:rsidRPr="00EF7CF9" w:rsidRDefault="005C061C" w:rsidP="000F31B4">
            <w:pPr>
              <w:pStyle w:val="ProductList-OfferingBody"/>
              <w:jc w:val="center"/>
            </w:pPr>
            <w:r>
              <w:t>10 %</w:t>
            </w:r>
          </w:p>
        </w:tc>
      </w:tr>
      <w:tr w:rsidR="005C061C" w:rsidRPr="00B44CF9" w14:paraId="30A24E7D" w14:textId="77777777" w:rsidTr="00277097">
        <w:tc>
          <w:tcPr>
            <w:tcW w:w="5400" w:type="dxa"/>
          </w:tcPr>
          <w:p w14:paraId="2F3DD4DC" w14:textId="77777777" w:rsidR="005C061C" w:rsidRPr="00EF7CF9" w:rsidRDefault="005C061C" w:rsidP="000F31B4">
            <w:pPr>
              <w:pStyle w:val="ProductList-OfferingBody"/>
              <w:jc w:val="center"/>
            </w:pPr>
            <w:r>
              <w:t>&lt; 99 %</w:t>
            </w:r>
          </w:p>
        </w:tc>
        <w:tc>
          <w:tcPr>
            <w:tcW w:w="5400" w:type="dxa"/>
          </w:tcPr>
          <w:p w14:paraId="721BD409" w14:textId="77777777" w:rsidR="005C061C" w:rsidRPr="00EF7CF9" w:rsidRDefault="005C061C" w:rsidP="000F31B4">
            <w:pPr>
              <w:pStyle w:val="ProductList-OfferingBody"/>
              <w:jc w:val="center"/>
            </w:pPr>
            <w:r>
              <w:t>25 %</w:t>
            </w:r>
          </w:p>
        </w:tc>
      </w:tr>
    </w:tbl>
    <w:p w14:paraId="07F3B96C" w14:textId="0451C6C9"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52C28851" w14:textId="42544763" w:rsidR="004005AF" w:rsidRPr="00EF7CF9" w:rsidRDefault="004005AF" w:rsidP="00272E37">
      <w:pPr>
        <w:pStyle w:val="ProductList-Offering2Heading"/>
        <w:keepNext/>
        <w:tabs>
          <w:tab w:val="clear" w:pos="360"/>
          <w:tab w:val="clear" w:pos="720"/>
          <w:tab w:val="clear" w:pos="1080"/>
        </w:tabs>
        <w:outlineLvl w:val="2"/>
      </w:pPr>
      <w:bookmarkStart w:id="314" w:name="_Toc195543142"/>
      <w:bookmarkStart w:id="315" w:name="_Toc237448999"/>
      <w:r>
        <w:t>Azure DNS</w:t>
      </w:r>
      <w:bookmarkEnd w:id="296"/>
      <w:bookmarkEnd w:id="297"/>
      <w:bookmarkEnd w:id="314"/>
      <w:bookmarkEnd w:id="315"/>
    </w:p>
    <w:p w14:paraId="0BF477DA" w14:textId="77777777" w:rsidR="004005AF" w:rsidRPr="00EF7CF9" w:rsidRDefault="004005AF" w:rsidP="004005AF">
      <w:pPr>
        <w:pStyle w:val="ProductList-Body"/>
      </w:pPr>
      <w:r>
        <w:rPr>
          <w:b/>
          <w:color w:val="00188F"/>
        </w:rPr>
        <w:t>Zusätzliche Definitionen</w:t>
      </w:r>
      <w:r w:rsidRPr="0008262F">
        <w:rPr>
          <w:b/>
          <w:bCs/>
          <w:color w:val="00188F"/>
        </w:rPr>
        <w:t>:</w:t>
      </w:r>
    </w:p>
    <w:p w14:paraId="3CA6934D" w14:textId="77777777" w:rsidR="004005AF" w:rsidRPr="009200BE" w:rsidRDefault="004005AF" w:rsidP="00762FDE">
      <w:pPr>
        <w:pStyle w:val="ProductList-Body"/>
      </w:pPr>
      <w:r>
        <w:t>„</w:t>
      </w:r>
      <w:r>
        <w:rPr>
          <w:b/>
          <w:color w:val="00188F"/>
        </w:rPr>
        <w:t>DNS-Zone</w:t>
      </w:r>
      <w:r>
        <w:t>“</w:t>
      </w:r>
      <w:r>
        <w:rPr>
          <w:b/>
          <w:color w:val="00188F"/>
        </w:rPr>
        <w:t xml:space="preserve"> </w:t>
      </w:r>
      <w:r>
        <w:t>bezieht sich auf eine Bereitstellung des Azure DNS-Dienstes, der eine DNS-Zone und Datensätze enthält.</w:t>
      </w:r>
    </w:p>
    <w:p w14:paraId="5D6DD826" w14:textId="1115BD16" w:rsidR="004005AF" w:rsidRPr="009200BE" w:rsidRDefault="004005AF" w:rsidP="00762FDE">
      <w:pPr>
        <w:pStyle w:val="ProductList-Body"/>
      </w:pPr>
      <w:r>
        <w:t>„</w:t>
      </w:r>
      <w:r>
        <w:rPr>
          <w:b/>
          <w:color w:val="00188F"/>
        </w:rPr>
        <w:t>Bereitstellungsminuten</w:t>
      </w:r>
      <w:r w:rsidR="00620CAD" w:rsidRPr="00620CAD">
        <w:t>“</w:t>
      </w:r>
      <w:r>
        <w:rPr>
          <w:b/>
          <w:color w:val="00188F"/>
        </w:rPr>
        <w:t xml:space="preserve"> </w:t>
      </w:r>
      <w:r>
        <w:t>ist die Gesamtzahl der Minuten, in denen eine bestimmte DNS-Zone im Verlauf eines Anwendbaren Zeitraums in Microsoft Azure bereitgestellt wurde.</w:t>
      </w:r>
    </w:p>
    <w:p w14:paraId="5A0A0837" w14:textId="095D236B" w:rsidR="004005AF" w:rsidRPr="009200BE" w:rsidRDefault="004005AF" w:rsidP="00762FDE">
      <w:pPr>
        <w:pStyle w:val="ProductList-Body"/>
      </w:pPr>
      <w:r>
        <w:t>„</w:t>
      </w:r>
      <w:r>
        <w:rPr>
          <w:b/>
          <w:color w:val="00188F"/>
        </w:rPr>
        <w:t>Maximal Verfügbare Minuten</w:t>
      </w:r>
      <w:r>
        <w:t>“ ist die Summe der Bereitstellungsminuten aller DNS-Zonen, die vom Kunden in einem bestimmten Microsoft Azure-Abonnement im Verlauf eines Anwendbaren Zeitraums bereitgestellt werden.</w:t>
      </w:r>
    </w:p>
    <w:p w14:paraId="4DE9FAB9" w14:textId="77777777" w:rsidR="004005AF" w:rsidRPr="009200BE" w:rsidRDefault="004005AF" w:rsidP="00762FDE">
      <w:pPr>
        <w:pStyle w:val="ProductList-Body"/>
      </w:pPr>
      <w:r>
        <w:t>„</w:t>
      </w:r>
      <w:r>
        <w:rPr>
          <w:b/>
          <w:color w:val="00188F"/>
        </w:rPr>
        <w:t>Gültige DNS-Anforderung</w:t>
      </w:r>
      <w:r>
        <w:t>“</w:t>
      </w:r>
      <w:r>
        <w:rPr>
          <w:b/>
          <w:color w:val="00188F"/>
        </w:rPr>
        <w:t xml:space="preserve"> </w:t>
      </w:r>
      <w:r>
        <w:t>bezieht sich auf eine DNS-Anforderung an einen Azure DNS-Dienst-Namensserver, der mit einer DNS-Zone für einen passenden Datensatz innerhalb der DNS-Zone zusammenhängt.</w:t>
      </w:r>
    </w:p>
    <w:p w14:paraId="244475C2" w14:textId="77777777" w:rsidR="004005AF" w:rsidRDefault="004005AF" w:rsidP="0097499A">
      <w:pPr>
        <w:pStyle w:val="ProductList-Body"/>
      </w:pPr>
      <w:r>
        <w:t>„</w:t>
      </w:r>
      <w:r>
        <w:rPr>
          <w:b/>
          <w:color w:val="00188F"/>
        </w:rPr>
        <w:t>Ausfallzeit</w:t>
      </w:r>
      <w:r>
        <w:t>“ ist die Gesamtzahl der Maximal verfügbaren Minuten, während derer die DNS-Zone nicht verfügbar ist. Eine Minute gilt für eine bestimmte DNS-Zone als nicht verfügbar, wenn eine DNS-Antwort nicht innerhalb von zwei Sekunden zu einer gültige DNS-Anfrage erhalten wurde, vorausgesetzt, die gültige DNS-Anforderung wird an alle mit der DNS-Zone verbundenen Namensserver gestellt und erneute Versuche werden immer wieder für wenigstens 60 aufeinanderfolgende Sekunden versucht.</w:t>
      </w:r>
    </w:p>
    <w:p w14:paraId="7D6BFCE9" w14:textId="763FF46E" w:rsidR="004005AF" w:rsidRPr="00EF7CF9" w:rsidRDefault="00AC48A7" w:rsidP="004005AF">
      <w:pPr>
        <w:pStyle w:val="ProductList-Body"/>
      </w:pPr>
      <w:r>
        <w:rPr>
          <w:b/>
          <w:color w:val="00188F"/>
        </w:rPr>
        <w:t>Betriebszeitprozentsatz</w:t>
      </w:r>
      <w:r w:rsidRPr="0008262F">
        <w:rPr>
          <w:b/>
          <w:bCs/>
          <w:color w:val="00188F"/>
        </w:rPr>
        <w:t>:</w:t>
      </w:r>
      <w:r>
        <w:t xml:space="preserve"> Der Betriebszeitprozentsatz errechnet sich nach folgender Formel:</w:t>
      </w:r>
    </w:p>
    <w:p w14:paraId="4E6E3CDB" w14:textId="65288984" w:rsidR="004005AF" w:rsidRPr="00EF7CF9" w:rsidRDefault="00000000" w:rsidP="00B820B8">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7621791E" w14:textId="44E56A02" w:rsidR="004005AF" w:rsidRPr="00EF7CF9" w:rsidRDefault="004005AF" w:rsidP="00272E37">
      <w:pPr>
        <w:pStyle w:val="ProductList-Body"/>
        <w:keepNext/>
      </w:pPr>
      <w:r>
        <w:rPr>
          <w:b/>
          <w:color w:val="00188F"/>
        </w:rPr>
        <w:t>Servicegutschrift</w:t>
      </w:r>
      <w:r w:rsidRPr="0008262F">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70C5534" w14:textId="77777777" w:rsidTr="00277097">
        <w:trPr>
          <w:tblHeader/>
        </w:trPr>
        <w:tc>
          <w:tcPr>
            <w:tcW w:w="5400" w:type="dxa"/>
            <w:shd w:val="clear" w:color="auto" w:fill="0072C6"/>
          </w:tcPr>
          <w:p w14:paraId="7D3072C0" w14:textId="0E9128DC" w:rsidR="004005AF" w:rsidRPr="005A3C16"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46AF1D85" w14:textId="77777777" w:rsidR="004005AF" w:rsidRPr="005A3C16" w:rsidRDefault="004005AF" w:rsidP="000F31B4">
            <w:pPr>
              <w:pStyle w:val="ProductList-OfferingBody"/>
              <w:jc w:val="center"/>
              <w:rPr>
                <w:color w:val="FFFFFF" w:themeColor="background1"/>
              </w:rPr>
            </w:pPr>
            <w:r>
              <w:rPr>
                <w:color w:val="FFFFFF" w:themeColor="background1"/>
              </w:rPr>
              <w:t>Servicegutschrift</w:t>
            </w:r>
          </w:p>
        </w:tc>
      </w:tr>
      <w:tr w:rsidR="004005AF" w:rsidRPr="00B44CF9" w14:paraId="4EE2FC55" w14:textId="77777777" w:rsidTr="00277097">
        <w:tc>
          <w:tcPr>
            <w:tcW w:w="5400" w:type="dxa"/>
          </w:tcPr>
          <w:p w14:paraId="3F2D7638" w14:textId="050033DD" w:rsidR="004005AF" w:rsidRPr="005A3C16" w:rsidRDefault="004005AF" w:rsidP="000F31B4">
            <w:pPr>
              <w:pStyle w:val="ProductList-OfferingBody"/>
              <w:jc w:val="center"/>
            </w:pPr>
            <w:r>
              <w:t>&lt;</w:t>
            </w:r>
            <w:r w:rsidR="00EA5BFD">
              <w:t xml:space="preserve"> </w:t>
            </w:r>
            <w:r>
              <w:t>100 %</w:t>
            </w:r>
          </w:p>
        </w:tc>
        <w:tc>
          <w:tcPr>
            <w:tcW w:w="5400" w:type="dxa"/>
          </w:tcPr>
          <w:p w14:paraId="4E1D2360" w14:textId="77777777" w:rsidR="004005AF" w:rsidRPr="005A3C16" w:rsidRDefault="004005AF" w:rsidP="000F31B4">
            <w:pPr>
              <w:pStyle w:val="ProductList-OfferingBody"/>
              <w:jc w:val="center"/>
            </w:pPr>
            <w:r>
              <w:t>10 %</w:t>
            </w:r>
          </w:p>
        </w:tc>
      </w:tr>
      <w:tr w:rsidR="004005AF" w:rsidRPr="00B44CF9" w14:paraId="1E1FFD7F" w14:textId="77777777" w:rsidTr="00277097">
        <w:tc>
          <w:tcPr>
            <w:tcW w:w="5400" w:type="dxa"/>
          </w:tcPr>
          <w:p w14:paraId="74F71647" w14:textId="77777777" w:rsidR="004005AF" w:rsidRPr="005A3C16" w:rsidRDefault="004005AF" w:rsidP="000F31B4">
            <w:pPr>
              <w:pStyle w:val="ProductList-OfferingBody"/>
              <w:jc w:val="center"/>
            </w:pPr>
            <w:r>
              <w:t>&lt; 99,99 %</w:t>
            </w:r>
          </w:p>
        </w:tc>
        <w:tc>
          <w:tcPr>
            <w:tcW w:w="5400" w:type="dxa"/>
          </w:tcPr>
          <w:p w14:paraId="461E93FC" w14:textId="77777777" w:rsidR="004005AF" w:rsidRPr="005A3C16" w:rsidRDefault="004005AF" w:rsidP="000F31B4">
            <w:pPr>
              <w:pStyle w:val="ProductList-OfferingBody"/>
              <w:jc w:val="center"/>
            </w:pPr>
            <w:r>
              <w:t>25 %</w:t>
            </w:r>
          </w:p>
        </w:tc>
      </w:tr>
      <w:tr w:rsidR="004005AF" w:rsidRPr="00B44CF9" w14:paraId="0266D6E2" w14:textId="77777777" w:rsidTr="00277097">
        <w:tc>
          <w:tcPr>
            <w:tcW w:w="5400" w:type="dxa"/>
          </w:tcPr>
          <w:p w14:paraId="4C4CA789" w14:textId="77777777" w:rsidR="004005AF" w:rsidRPr="005A3C16" w:rsidRDefault="004005AF" w:rsidP="000F31B4">
            <w:pPr>
              <w:pStyle w:val="ProductList-OfferingBody"/>
              <w:jc w:val="center"/>
            </w:pPr>
            <w:r>
              <w:t>&lt; 99,5 %</w:t>
            </w:r>
          </w:p>
        </w:tc>
        <w:tc>
          <w:tcPr>
            <w:tcW w:w="5400" w:type="dxa"/>
          </w:tcPr>
          <w:p w14:paraId="33C407AA" w14:textId="77777777" w:rsidR="004005AF" w:rsidRPr="005A3C16" w:rsidRDefault="004005AF" w:rsidP="000F31B4">
            <w:pPr>
              <w:pStyle w:val="ProductList-OfferingBody"/>
              <w:jc w:val="center"/>
            </w:pPr>
            <w:r>
              <w:t>100 %</w:t>
            </w:r>
          </w:p>
        </w:tc>
      </w:tr>
    </w:tbl>
    <w:bookmarkStart w:id="316" w:name="_Toc505679756"/>
    <w:bookmarkStart w:id="317" w:name="_Toc52348953"/>
    <w:bookmarkStart w:id="318" w:name="_Toc526859658"/>
    <w:bookmarkStart w:id="319" w:name="_Toc52348931"/>
    <w:p w14:paraId="2C1D13AA" w14:textId="14394B57"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6D445559" w14:textId="5FA30AFA" w:rsidR="00810B9E" w:rsidRPr="00EF7CF9" w:rsidRDefault="00810B9E" w:rsidP="00810B9E">
      <w:pPr>
        <w:pStyle w:val="ProductList-Offering2Heading"/>
        <w:keepNext/>
        <w:tabs>
          <w:tab w:val="clear" w:pos="360"/>
          <w:tab w:val="clear" w:pos="720"/>
          <w:tab w:val="clear" w:pos="1080"/>
        </w:tabs>
        <w:outlineLvl w:val="2"/>
      </w:pPr>
      <w:bookmarkStart w:id="320" w:name="_Toc195543143"/>
      <w:bookmarkStart w:id="321" w:name="_Toc237449000"/>
      <w:r>
        <w:t>Azure DNS</w:t>
      </w:r>
      <w:r w:rsidR="00422575">
        <w:t xml:space="preserve"> Private Resolver</w:t>
      </w:r>
      <w:bookmarkEnd w:id="320"/>
      <w:bookmarkEnd w:id="321"/>
    </w:p>
    <w:p w14:paraId="718B1CDB" w14:textId="77777777" w:rsidR="00810B9E" w:rsidRDefault="00810B9E" w:rsidP="00810B9E">
      <w:pPr>
        <w:pStyle w:val="ProductList-Body"/>
        <w:rPr>
          <w:b/>
          <w:bCs/>
          <w:color w:val="00188F"/>
        </w:rPr>
      </w:pPr>
      <w:r>
        <w:rPr>
          <w:b/>
          <w:color w:val="00188F"/>
        </w:rPr>
        <w:t>Zusätzliche Definitionen</w:t>
      </w:r>
      <w:r w:rsidRPr="0008262F">
        <w:rPr>
          <w:b/>
          <w:bCs/>
          <w:color w:val="00188F"/>
        </w:rPr>
        <w:t>:</w:t>
      </w:r>
    </w:p>
    <w:p w14:paraId="39676BA5" w14:textId="77777777" w:rsidR="00422575" w:rsidRPr="00422575" w:rsidRDefault="00422575" w:rsidP="00422575">
      <w:pPr>
        <w:pStyle w:val="ProductList-Body"/>
        <w:rPr>
          <w:rFonts w:cstheme="minorHAnsi"/>
        </w:rPr>
      </w:pPr>
      <w:r w:rsidRPr="00422575">
        <w:rPr>
          <w:rFonts w:cstheme="minorHAnsi"/>
        </w:rPr>
        <w:t>„</w:t>
      </w:r>
      <w:r w:rsidRPr="00422575">
        <w:rPr>
          <w:rFonts w:cstheme="minorHAnsi"/>
          <w:b/>
          <w:color w:val="00188F"/>
        </w:rPr>
        <w:t>Azure DNS Private Resolver-Endpunkt</w:t>
      </w:r>
      <w:r w:rsidRPr="00422575">
        <w:rPr>
          <w:rFonts w:cstheme="minorHAnsi"/>
        </w:rPr>
        <w:t>“ bezieht sich auf die Bereitstellung eines Azure DNS Private Resolver-Endpunkts, der die Namensauflösung für empfangene DNS-Abfragen bereitstellt.</w:t>
      </w:r>
    </w:p>
    <w:p w14:paraId="4F997BFF" w14:textId="77777777" w:rsidR="00422575" w:rsidRPr="00422575" w:rsidRDefault="00422575" w:rsidP="00422575">
      <w:pPr>
        <w:pStyle w:val="ProductList-Body"/>
        <w:rPr>
          <w:rFonts w:cstheme="minorHAnsi"/>
        </w:rPr>
      </w:pPr>
      <w:r w:rsidRPr="00422575">
        <w:rPr>
          <w:rFonts w:cstheme="minorHAnsi"/>
        </w:rPr>
        <w:t>„</w:t>
      </w:r>
      <w:r w:rsidRPr="00422575">
        <w:rPr>
          <w:rFonts w:cstheme="minorHAnsi"/>
          <w:b/>
          <w:color w:val="00188F"/>
        </w:rPr>
        <w:t>Bereitstellungsminuten</w:t>
      </w:r>
      <w:r w:rsidRPr="00422575">
        <w:rPr>
          <w:rFonts w:cstheme="minorHAnsi"/>
        </w:rPr>
        <w:t>“ ist die Gesamtzahl der Minuten, in denen ein bestimmter Endpunkt im Verlauf eines Anwendbaren Zeitraums in Microsoft Azure bereitgestellt wird.</w:t>
      </w:r>
    </w:p>
    <w:p w14:paraId="4E36C46C" w14:textId="77777777" w:rsidR="00422575" w:rsidRPr="00422575" w:rsidRDefault="00422575" w:rsidP="00422575">
      <w:pPr>
        <w:pStyle w:val="ProductList-Body"/>
        <w:rPr>
          <w:rFonts w:cstheme="minorHAnsi"/>
        </w:rPr>
      </w:pPr>
      <w:r w:rsidRPr="00422575">
        <w:rPr>
          <w:rFonts w:cstheme="minorHAnsi"/>
        </w:rPr>
        <w:t>„</w:t>
      </w:r>
      <w:r w:rsidRPr="00422575">
        <w:rPr>
          <w:rFonts w:cstheme="minorHAnsi"/>
          <w:b/>
          <w:color w:val="00188F"/>
        </w:rPr>
        <w:t>Maximal Verfügbare Minuten</w:t>
      </w:r>
      <w:r w:rsidRPr="00422575">
        <w:rPr>
          <w:rFonts w:cstheme="minorHAnsi"/>
        </w:rPr>
        <w:t>“ ist die Summe aller Bereitstellungsminuten für alle Endpunkte in jedem Microsoft Azure-Abonnement während eines Anwendbaren Zeitraums.</w:t>
      </w:r>
    </w:p>
    <w:p w14:paraId="261A3475" w14:textId="77777777" w:rsidR="00422575" w:rsidRPr="00422575" w:rsidRDefault="00422575" w:rsidP="00422575">
      <w:pPr>
        <w:pStyle w:val="ProductList-Body"/>
        <w:rPr>
          <w:rFonts w:cstheme="minorHAnsi"/>
        </w:rPr>
      </w:pPr>
      <w:r w:rsidRPr="00422575">
        <w:rPr>
          <w:rFonts w:cstheme="minorHAnsi"/>
        </w:rPr>
        <w:t>„</w:t>
      </w:r>
      <w:r w:rsidRPr="00422575">
        <w:rPr>
          <w:rFonts w:cstheme="minorHAnsi"/>
          <w:b/>
          <w:color w:val="00188F"/>
        </w:rPr>
        <w:t>Gültige DNS-Anforderung</w:t>
      </w:r>
      <w:r w:rsidRPr="00422575">
        <w:rPr>
          <w:rFonts w:cstheme="minorHAnsi"/>
        </w:rPr>
        <w:t>“ bezieht sich auf eine DNS-Anforderung an einen Azure DNS-Dienst-Namensserver, der mit einer DNS-Zone für einen passenden Datensatz innerhalb der DNS-Zone zusammenhängt.</w:t>
      </w:r>
    </w:p>
    <w:p w14:paraId="565B4272" w14:textId="77777777" w:rsidR="00422575" w:rsidRPr="00422575" w:rsidRDefault="00422575" w:rsidP="00422575">
      <w:pPr>
        <w:pStyle w:val="ProductList-Body"/>
        <w:rPr>
          <w:rFonts w:cstheme="minorHAnsi"/>
        </w:rPr>
      </w:pPr>
      <w:r w:rsidRPr="00422575">
        <w:rPr>
          <w:rFonts w:cstheme="minorHAnsi"/>
        </w:rPr>
        <w:t>„</w:t>
      </w:r>
      <w:r w:rsidRPr="00422575">
        <w:rPr>
          <w:rFonts w:cstheme="minorHAnsi"/>
          <w:b/>
          <w:color w:val="00188F"/>
        </w:rPr>
        <w:t>Ausfallzeit</w:t>
      </w:r>
      <w:r w:rsidRPr="00422575">
        <w:rPr>
          <w:rFonts w:cstheme="minorHAnsi"/>
        </w:rPr>
        <w:t>“ ist die Gesamtzahl der Maximal Verfügbaren Minuten, während derer der Azure DNS Private Resolver-Endpoint nicht verfügbar ist. Eine Minute gilt für eine bestimmten Endpunkt als nicht verfügbar, wenn eine DNS-Antwort nicht innerhalb von zwei Sekunden zu einer gültige DNS­Anfrage erhalten wurde, vorausgesetzt, die gültige DNS-Anforderung wird an alle mit dem Endpunkt verbundenen Namensserver gestellt und erneute Versuche werden immer wieder für wenigstens 60 aufeinanderfolgende Sekunden versucht.</w:t>
      </w:r>
    </w:p>
    <w:p w14:paraId="53C83DA7" w14:textId="77777777" w:rsidR="00422575" w:rsidRPr="00422575" w:rsidRDefault="00422575" w:rsidP="00422575">
      <w:pPr>
        <w:pStyle w:val="ProductList-Body"/>
        <w:rPr>
          <w:rFonts w:cstheme="minorHAnsi"/>
        </w:rPr>
      </w:pPr>
      <w:r w:rsidRPr="00422575">
        <w:rPr>
          <w:rFonts w:cstheme="minorHAnsi"/>
          <w:b/>
          <w:color w:val="00188F"/>
        </w:rPr>
        <w:t>Betriebszeitprozentsatz:</w:t>
      </w:r>
      <w:r w:rsidRPr="00422575">
        <w:rPr>
          <w:rFonts w:cstheme="minorHAnsi"/>
        </w:rPr>
        <w:t xml:space="preserve"> Der Betriebszeitprozentsatz errechnet sich nach folgender Formel:</w:t>
      </w:r>
    </w:p>
    <w:p w14:paraId="5BFAEABD" w14:textId="77777777" w:rsidR="0083774D" w:rsidRPr="00EF7CF9" w:rsidRDefault="00000000" w:rsidP="004411F5">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Maximal-verfügbare-Minuten-Ausfallzeit</m:t>
              </m:r>
            </m:num>
            <m:den>
              <m:r>
                <m:rPr>
                  <m:nor/>
                </m:rPr>
                <w:rPr>
                  <w:rFonts w:ascii="Cambria Math" w:hAnsi="Cambria Math" w:cs="Tahoma"/>
                  <w:i/>
                  <w:iCs/>
                  <w:color w:val="000000" w:themeColor="text1"/>
                  <w:sz w:val="18"/>
                  <w:szCs w:val="18"/>
                </w:rPr>
                <m:t>Maximal Verfügbare Minuten</m:t>
              </m:r>
            </m:den>
          </m:f>
          <m:r>
            <w:rPr>
              <w:rFonts w:ascii="Cambria Math" w:hAnsi="Cambria Math" w:cs="Tahoma"/>
              <w:color w:val="000000" w:themeColor="text1"/>
              <w:sz w:val="18"/>
              <w:szCs w:val="18"/>
            </w:rPr>
            <m:t xml:space="preserve"> x 100</m:t>
          </m:r>
        </m:oMath>
      </m:oMathPara>
    </w:p>
    <w:p w14:paraId="1DA71348" w14:textId="77777777" w:rsidR="00C15776" w:rsidRPr="00EF7CF9" w:rsidRDefault="00C15776" w:rsidP="00C15776">
      <w:pPr>
        <w:pStyle w:val="ProductList-Body"/>
        <w:keepNext/>
      </w:pPr>
      <w:r>
        <w:rPr>
          <w:b/>
          <w:color w:val="00188F"/>
        </w:rPr>
        <w:lastRenderedPageBreak/>
        <w:t>Servicegutschrift</w:t>
      </w:r>
      <w:r w:rsidRPr="00301936">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15776" w:rsidRPr="00B44CF9" w14:paraId="6BDF6A15" w14:textId="77777777" w:rsidTr="002D5D7A">
        <w:trPr>
          <w:tblHeader/>
        </w:trPr>
        <w:tc>
          <w:tcPr>
            <w:tcW w:w="5400" w:type="dxa"/>
            <w:shd w:val="clear" w:color="auto" w:fill="0072C6"/>
          </w:tcPr>
          <w:p w14:paraId="2D9B6083" w14:textId="77777777" w:rsidR="00C15776" w:rsidRPr="008E184F" w:rsidRDefault="00C15776" w:rsidP="002D5D7A">
            <w:pPr>
              <w:pStyle w:val="ProductList-OfferingBody"/>
              <w:jc w:val="center"/>
              <w:rPr>
                <w:rFonts w:ascii="Calibri Light" w:hAnsi="Calibri Light" w:cs="Calibri Light"/>
                <w:color w:val="FFFFFF" w:themeColor="background1"/>
              </w:rPr>
            </w:pPr>
            <w:r>
              <w:rPr>
                <w:rFonts w:ascii="Calibri Light" w:hAnsi="Calibri Light" w:cs="Calibri Light"/>
                <w:color w:val="FFFFFF" w:themeColor="background1"/>
              </w:rPr>
              <w:t>Betriebszeitprozentsatz</w:t>
            </w:r>
          </w:p>
        </w:tc>
        <w:tc>
          <w:tcPr>
            <w:tcW w:w="5400" w:type="dxa"/>
            <w:shd w:val="clear" w:color="auto" w:fill="0072C6"/>
          </w:tcPr>
          <w:p w14:paraId="3CD253A3" w14:textId="77777777" w:rsidR="00C15776" w:rsidRPr="008E184F" w:rsidRDefault="00C15776" w:rsidP="002D5D7A">
            <w:pPr>
              <w:pStyle w:val="ProductList-OfferingBody"/>
              <w:jc w:val="center"/>
              <w:rPr>
                <w:rFonts w:ascii="Calibri Light" w:hAnsi="Calibri Light" w:cs="Calibri Light"/>
                <w:color w:val="FFFFFF" w:themeColor="background1"/>
              </w:rPr>
            </w:pPr>
            <w:r>
              <w:rPr>
                <w:rFonts w:ascii="Calibri Light" w:hAnsi="Calibri Light" w:cs="Calibri Light"/>
                <w:color w:val="FFFFFF" w:themeColor="background1"/>
              </w:rPr>
              <w:t>Servicegutschrift</w:t>
            </w:r>
          </w:p>
        </w:tc>
      </w:tr>
      <w:tr w:rsidR="00C15776" w:rsidRPr="00B44CF9" w14:paraId="2E459713" w14:textId="77777777" w:rsidTr="002D5D7A">
        <w:tc>
          <w:tcPr>
            <w:tcW w:w="5400" w:type="dxa"/>
          </w:tcPr>
          <w:p w14:paraId="74F5879C" w14:textId="77777777" w:rsidR="00C15776" w:rsidRPr="00C15776" w:rsidRDefault="00C15776" w:rsidP="002D5D7A">
            <w:pPr>
              <w:pStyle w:val="ProductList-OfferingBody"/>
              <w:jc w:val="center"/>
              <w:rPr>
                <w:rFonts w:cstheme="minorHAnsi"/>
              </w:rPr>
            </w:pPr>
            <w:r w:rsidRPr="00C15776">
              <w:rPr>
                <w:rFonts w:cstheme="minorHAnsi"/>
              </w:rPr>
              <w:t>&lt; 99,99 %</w:t>
            </w:r>
          </w:p>
        </w:tc>
        <w:tc>
          <w:tcPr>
            <w:tcW w:w="5400" w:type="dxa"/>
          </w:tcPr>
          <w:p w14:paraId="0A605FBD" w14:textId="77777777" w:rsidR="00C15776" w:rsidRPr="00C15776" w:rsidRDefault="00C15776" w:rsidP="002D5D7A">
            <w:pPr>
              <w:pStyle w:val="ProductList-OfferingBody"/>
              <w:jc w:val="center"/>
              <w:rPr>
                <w:rFonts w:cstheme="minorHAnsi"/>
              </w:rPr>
            </w:pPr>
            <w:r w:rsidRPr="00C15776">
              <w:rPr>
                <w:rFonts w:cstheme="minorHAnsi"/>
              </w:rPr>
              <w:t>10 %</w:t>
            </w:r>
          </w:p>
        </w:tc>
      </w:tr>
      <w:tr w:rsidR="00C15776" w:rsidRPr="00B44CF9" w14:paraId="21F78700" w14:textId="77777777" w:rsidTr="002D5D7A">
        <w:tc>
          <w:tcPr>
            <w:tcW w:w="5400" w:type="dxa"/>
          </w:tcPr>
          <w:p w14:paraId="3EC17D55" w14:textId="77777777" w:rsidR="00C15776" w:rsidRPr="00C15776" w:rsidRDefault="00C15776" w:rsidP="002D5D7A">
            <w:pPr>
              <w:pStyle w:val="ProductList-OfferingBody"/>
              <w:jc w:val="center"/>
              <w:rPr>
                <w:rFonts w:cstheme="minorHAnsi"/>
              </w:rPr>
            </w:pPr>
            <w:r w:rsidRPr="00C15776">
              <w:rPr>
                <w:rFonts w:cstheme="minorHAnsi"/>
              </w:rPr>
              <w:t>&lt; 99,9 %</w:t>
            </w:r>
          </w:p>
        </w:tc>
        <w:tc>
          <w:tcPr>
            <w:tcW w:w="5400" w:type="dxa"/>
          </w:tcPr>
          <w:p w14:paraId="1FF20005" w14:textId="77777777" w:rsidR="00C15776" w:rsidRPr="00C15776" w:rsidRDefault="00C15776" w:rsidP="002D5D7A">
            <w:pPr>
              <w:pStyle w:val="ProductList-OfferingBody"/>
              <w:jc w:val="center"/>
              <w:rPr>
                <w:rFonts w:cstheme="minorHAnsi"/>
              </w:rPr>
            </w:pPr>
            <w:r w:rsidRPr="00C15776">
              <w:rPr>
                <w:rFonts w:cstheme="minorHAnsi"/>
              </w:rPr>
              <w:t>25 %</w:t>
            </w:r>
          </w:p>
        </w:tc>
      </w:tr>
      <w:tr w:rsidR="00C15776" w:rsidRPr="00B44CF9" w14:paraId="404C7965" w14:textId="77777777" w:rsidTr="002D5D7A">
        <w:tc>
          <w:tcPr>
            <w:tcW w:w="5400" w:type="dxa"/>
          </w:tcPr>
          <w:p w14:paraId="3002D3E8" w14:textId="77777777" w:rsidR="00C15776" w:rsidRPr="00C15776" w:rsidRDefault="00C15776" w:rsidP="002D5D7A">
            <w:pPr>
              <w:pStyle w:val="ProductList-OfferingBody"/>
              <w:jc w:val="center"/>
              <w:rPr>
                <w:rFonts w:cstheme="minorHAnsi"/>
              </w:rPr>
            </w:pPr>
            <w:r w:rsidRPr="00C15776">
              <w:rPr>
                <w:rFonts w:cstheme="minorHAnsi"/>
              </w:rPr>
              <w:t>&lt; 99,5 %</w:t>
            </w:r>
          </w:p>
        </w:tc>
        <w:tc>
          <w:tcPr>
            <w:tcW w:w="5400" w:type="dxa"/>
          </w:tcPr>
          <w:p w14:paraId="77883B00" w14:textId="77777777" w:rsidR="00C15776" w:rsidRPr="00C15776" w:rsidRDefault="00C15776" w:rsidP="002D5D7A">
            <w:pPr>
              <w:pStyle w:val="ProductList-OfferingBody"/>
              <w:jc w:val="center"/>
              <w:rPr>
                <w:rFonts w:cstheme="minorHAnsi"/>
              </w:rPr>
            </w:pPr>
            <w:r w:rsidRPr="00C15776">
              <w:rPr>
                <w:rFonts w:cstheme="minorHAnsi"/>
              </w:rPr>
              <w:t>100 %</w:t>
            </w:r>
          </w:p>
        </w:tc>
      </w:tr>
    </w:tbl>
    <w:p w14:paraId="2E64D4CC" w14:textId="30337814" w:rsidR="00810B9E" w:rsidRPr="00C15776" w:rsidRDefault="00C15776" w:rsidP="00C157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6D7EAC6B" w14:textId="77777777" w:rsidR="00A64FC1" w:rsidRPr="00A64FC1" w:rsidRDefault="00A64FC1" w:rsidP="00A64FC1">
      <w:pPr>
        <w:pStyle w:val="ProductList-Offering2Heading"/>
      </w:pPr>
      <w:bookmarkStart w:id="322" w:name="_Toc210228314"/>
      <w:bookmarkStart w:id="323" w:name="_Toc237449001"/>
      <w:bookmarkStart w:id="324" w:name="_Toc195543144"/>
      <w:r w:rsidRPr="00A64FC1">
        <w:t>Azure DocumentDB (mit MongoDB-Kompatibilität)</w:t>
      </w:r>
      <w:bookmarkEnd w:id="322"/>
      <w:bookmarkEnd w:id="323"/>
    </w:p>
    <w:p w14:paraId="2FA97F3B" w14:textId="77777777" w:rsidR="00A64FC1" w:rsidRPr="00A15C3C" w:rsidRDefault="00A64FC1" w:rsidP="00A64FC1">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Zusätzliche Definitionen:</w:t>
      </w:r>
    </w:p>
    <w:p w14:paraId="1482C5BD" w14:textId="77777777" w:rsidR="00A64FC1" w:rsidRPr="00A15C3C" w:rsidRDefault="00A64FC1" w:rsidP="00A64FC1">
      <w:pPr>
        <w:spacing w:after="0" w:line="240" w:lineRule="auto"/>
        <w:rPr>
          <w:rFonts w:ascii="Calibri" w:eastAsia="Calibri" w:hAnsi="Calibri" w:cs="Calibri"/>
          <w:sz w:val="18"/>
          <w:szCs w:val="18"/>
        </w:rPr>
      </w:pPr>
      <w:r>
        <w:rPr>
          <w:rFonts w:ascii="Calibri" w:eastAsia="Calibri" w:hAnsi="Calibri" w:cs="Calibri"/>
          <w:b/>
          <w:bCs/>
          <w:color w:val="00188F"/>
          <w:sz w:val="18"/>
          <w:szCs w:val="18"/>
        </w:rPr>
        <w:t>„Server“</w:t>
      </w:r>
      <w:r>
        <w:rPr>
          <w:rFonts w:ascii="Calibri" w:eastAsia="Calibri" w:hAnsi="Calibri" w:cs="Calibri"/>
          <w:color w:val="00188F"/>
          <w:sz w:val="18"/>
          <w:szCs w:val="18"/>
        </w:rPr>
        <w:t xml:space="preserve"> </w:t>
      </w:r>
      <w:r>
        <w:rPr>
          <w:rFonts w:ascii="Calibri" w:eastAsia="Calibri" w:hAnsi="Calibri" w:cs="Calibri"/>
          <w:sz w:val="18"/>
          <w:szCs w:val="18"/>
        </w:rPr>
        <w:t>ist ein beliebiger Azure DocumentDB-Server.</w:t>
      </w:r>
    </w:p>
    <w:p w14:paraId="77E8AC30" w14:textId="77777777" w:rsidR="00A64FC1" w:rsidRPr="00A15C3C" w:rsidRDefault="00A64FC1" w:rsidP="00A64FC1">
      <w:pPr>
        <w:spacing w:after="0" w:line="240" w:lineRule="auto"/>
        <w:rPr>
          <w:rFonts w:ascii="Calibri" w:eastAsia="Calibri" w:hAnsi="Calibri" w:cs="Calibri"/>
          <w:sz w:val="18"/>
          <w:szCs w:val="18"/>
        </w:rPr>
      </w:pPr>
      <w:r>
        <w:rPr>
          <w:rFonts w:ascii="Calibri" w:eastAsia="Calibri" w:hAnsi="Calibri" w:cs="Calibri"/>
          <w:b/>
          <w:bCs/>
          <w:color w:val="00188F"/>
          <w:sz w:val="18"/>
          <w:szCs w:val="18"/>
        </w:rPr>
        <w:t>„Hochverfügbarkeitscluster“</w:t>
      </w:r>
      <w:r>
        <w:rPr>
          <w:rFonts w:ascii="Calibri" w:eastAsia="Calibri" w:hAnsi="Calibri" w:cs="Calibri"/>
          <w:color w:val="00188F"/>
          <w:sz w:val="18"/>
          <w:szCs w:val="18"/>
        </w:rPr>
        <w:t xml:space="preserve"> </w:t>
      </w:r>
      <w:r>
        <w:rPr>
          <w:rFonts w:ascii="Calibri" w:eastAsia="Calibri" w:hAnsi="Calibri" w:cs="Calibri"/>
          <w:sz w:val="18"/>
          <w:szCs w:val="18"/>
        </w:rPr>
        <w:t>bezeichnet eine Reihe von Hochverfügbarkeitsknoten.</w:t>
      </w:r>
    </w:p>
    <w:p w14:paraId="3422A70C" w14:textId="77777777" w:rsidR="00A64FC1" w:rsidRPr="00A15C3C" w:rsidRDefault="00A64FC1" w:rsidP="00A64FC1">
      <w:pPr>
        <w:spacing w:after="0" w:line="240" w:lineRule="auto"/>
        <w:rPr>
          <w:rFonts w:ascii="Calibri" w:eastAsia="Calibri" w:hAnsi="Calibri" w:cs="Calibri"/>
          <w:sz w:val="18"/>
          <w:szCs w:val="18"/>
        </w:rPr>
      </w:pPr>
      <w:r>
        <w:rPr>
          <w:rFonts w:ascii="Calibri" w:eastAsia="Calibri" w:hAnsi="Calibri" w:cs="Calibri"/>
          <w:b/>
          <w:bCs/>
          <w:color w:val="00188F"/>
          <w:sz w:val="18"/>
          <w:szCs w:val="18"/>
        </w:rPr>
        <w:t>„Hochverfügbarkeitscluster“</w:t>
      </w:r>
      <w:r>
        <w:rPr>
          <w:rFonts w:ascii="Calibri" w:eastAsia="Calibri" w:hAnsi="Calibri" w:cs="Calibri"/>
          <w:color w:val="00188F"/>
          <w:sz w:val="18"/>
          <w:szCs w:val="18"/>
        </w:rPr>
        <w:t xml:space="preserve"> </w:t>
      </w:r>
      <w:r>
        <w:rPr>
          <w:rFonts w:ascii="Calibri" w:eastAsia="Calibri" w:hAnsi="Calibri" w:cs="Calibri"/>
          <w:sz w:val="18"/>
          <w:szCs w:val="18"/>
        </w:rPr>
        <w:t>bezeichnet einen Knoten innerhalb eines Clusters, bei dem Hochverfügbarkeit aktiviert ist.</w:t>
      </w:r>
    </w:p>
    <w:p w14:paraId="306F49B5" w14:textId="77777777" w:rsidR="00A64FC1" w:rsidRPr="00A15C3C" w:rsidRDefault="00A64FC1" w:rsidP="00A64FC1">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Berechnung der Betriebszeit und Service-Levels für Microsoft Azure DocumentDB – Hochverfügbarkeitsknoten</w:t>
      </w:r>
    </w:p>
    <w:p w14:paraId="386B7022" w14:textId="77777777" w:rsidR="00A64FC1" w:rsidRPr="00A15C3C" w:rsidRDefault="00A64FC1" w:rsidP="00A64FC1">
      <w:pPr>
        <w:spacing w:after="0" w:line="240" w:lineRule="auto"/>
        <w:rPr>
          <w:rFonts w:ascii="Calibri" w:eastAsia="Calibri" w:hAnsi="Calibri" w:cs="Calibri"/>
          <w:sz w:val="18"/>
          <w:szCs w:val="18"/>
        </w:rPr>
      </w:pPr>
      <w:r>
        <w:rPr>
          <w:rFonts w:ascii="Calibri" w:eastAsia="Calibri" w:hAnsi="Calibri" w:cs="Calibri"/>
          <w:b/>
          <w:bCs/>
          <w:color w:val="00188F"/>
          <w:sz w:val="18"/>
          <w:szCs w:val="18"/>
        </w:rPr>
        <w:t>„Maximal Verfügbare Minuten“</w:t>
      </w:r>
      <w:r>
        <w:rPr>
          <w:rFonts w:ascii="Calibri" w:eastAsia="Calibri" w:hAnsi="Calibri" w:cs="Calibri"/>
          <w:color w:val="00188F"/>
          <w:sz w:val="18"/>
          <w:szCs w:val="18"/>
        </w:rPr>
        <w:t xml:space="preserve"> </w:t>
      </w:r>
      <w:r>
        <w:rPr>
          <w:rFonts w:ascii="Calibri" w:eastAsia="Calibri" w:hAnsi="Calibri" w:cs="Calibri"/>
          <w:sz w:val="18"/>
          <w:szCs w:val="18"/>
        </w:rPr>
        <w:t>ist die Gesamtzahl der Minuten für einen bestimmten Hochverfügbarkeitsknoten, der vom Kunden in einem Microsoft Azure-Abonnement während eines Anwendbaren Zeitraums bereitgestellt wird.</w:t>
      </w:r>
    </w:p>
    <w:p w14:paraId="0CB997DB" w14:textId="77777777" w:rsidR="00A64FC1" w:rsidRPr="00A15C3C" w:rsidRDefault="00A64FC1" w:rsidP="00A64FC1">
      <w:pPr>
        <w:spacing w:after="0" w:line="240" w:lineRule="auto"/>
        <w:rPr>
          <w:rFonts w:ascii="Calibri" w:eastAsia="Calibri" w:hAnsi="Calibri" w:cs="Calibri"/>
          <w:sz w:val="18"/>
          <w:szCs w:val="18"/>
        </w:rPr>
      </w:pPr>
      <w:r>
        <w:rPr>
          <w:rFonts w:ascii="Calibri" w:eastAsia="Calibri" w:hAnsi="Calibri" w:cs="Calibri"/>
          <w:b/>
          <w:bCs/>
          <w:color w:val="00188F"/>
          <w:sz w:val="18"/>
          <w:szCs w:val="18"/>
        </w:rPr>
        <w:t>„Ausfallzeit“</w:t>
      </w:r>
      <w:r>
        <w:rPr>
          <w:rFonts w:ascii="Calibri" w:eastAsia="Calibri" w:hAnsi="Calibri" w:cs="Calibri"/>
          <w:color w:val="00188F"/>
          <w:sz w:val="18"/>
          <w:szCs w:val="18"/>
        </w:rPr>
        <w:t xml:space="preserve"> </w:t>
      </w:r>
      <w:r>
        <w:rPr>
          <w:rFonts w:ascii="Calibri" w:eastAsia="Calibri" w:hAnsi="Calibri" w:cs="Calibri"/>
          <w:sz w:val="18"/>
          <w:szCs w:val="18"/>
        </w:rPr>
        <w:t>ist die Gesamtzahl der Minuten innerhalb der Maximal verfügbaren Minuten, in denen ein Knoten nicht verfügbar ist. Eine Minute gilt als nicht verfügbar, wenn alle fortlaufenden Versuche des Kunden, eine Verbindung mit dem Knoten herzustellen, einen Fehlercode ergeben oder eine Minute lang nicht reagiert haben.</w:t>
      </w:r>
    </w:p>
    <w:p w14:paraId="47035552" w14:textId="77777777" w:rsidR="00A64FC1" w:rsidRPr="00A15C3C" w:rsidRDefault="00A64FC1" w:rsidP="00A64FC1">
      <w:pPr>
        <w:spacing w:after="0" w:line="240" w:lineRule="auto"/>
        <w:rPr>
          <w:rFonts w:ascii="Calibri" w:eastAsia="Calibri" w:hAnsi="Calibri" w:cs="Calibri"/>
          <w:sz w:val="18"/>
          <w:szCs w:val="18"/>
        </w:rPr>
      </w:pPr>
      <w:r>
        <w:rPr>
          <w:rFonts w:ascii="Calibri" w:eastAsia="Calibri" w:hAnsi="Calibri" w:cs="Calibri"/>
          <w:b/>
          <w:bCs/>
          <w:color w:val="00188F"/>
          <w:sz w:val="18"/>
          <w:szCs w:val="18"/>
        </w:rPr>
        <w:t>„Prozentsatz der monatlichen Betriebszeit”</w:t>
      </w:r>
      <w:r>
        <w:rPr>
          <w:rFonts w:ascii="Calibri" w:eastAsia="Calibri" w:hAnsi="Calibri" w:cs="Calibri"/>
          <w:color w:val="00188F"/>
          <w:sz w:val="18"/>
          <w:szCs w:val="18"/>
        </w:rPr>
        <w:t xml:space="preserve"> </w:t>
      </w:r>
      <w:r>
        <w:rPr>
          <w:rFonts w:ascii="Calibri" w:eastAsia="Calibri" w:hAnsi="Calibri" w:cs="Calibri"/>
          <w:sz w:val="18"/>
          <w:szCs w:val="18"/>
        </w:rPr>
        <w:t>für den Azure DocumentDB – Hochverfügbarkeitsknoten wird berechnet als Maximal verfügbare Minuten abzüglich Ausfallzeit geteilt durch Maximal verfügbare Minuten.</w:t>
      </w:r>
    </w:p>
    <w:p w14:paraId="65ECFD6F" w14:textId="77777777" w:rsidR="00A64FC1" w:rsidRPr="00A15C3C" w:rsidRDefault="00A64FC1" w:rsidP="00A64FC1">
      <w:pPr>
        <w:spacing w:after="0" w:line="240" w:lineRule="auto"/>
        <w:rPr>
          <w:rFonts w:ascii="Calibri" w:eastAsia="Calibri" w:hAnsi="Calibri" w:cs="Calibri"/>
          <w:sz w:val="18"/>
          <w:szCs w:val="18"/>
        </w:rPr>
      </w:pPr>
      <w:r>
        <w:rPr>
          <w:rFonts w:ascii="Calibri" w:eastAsia="Calibri" w:hAnsi="Calibri" w:cs="Calibri"/>
          <w:sz w:val="18"/>
          <w:szCs w:val="18"/>
        </w:rPr>
        <w:t>Der Betriebszeitprozentsatz errechnet sich nach folgender Formel:</w:t>
      </w:r>
    </w:p>
    <w:p w14:paraId="4FC37293" w14:textId="77777777" w:rsidR="00A64FC1" w:rsidRPr="00A15C3C" w:rsidRDefault="00000000" w:rsidP="00A64FC1">
      <w:pPr>
        <w:tabs>
          <w:tab w:val="left" w:pos="360"/>
          <w:tab w:val="left" w:pos="720"/>
          <w:tab w:val="left" w:pos="1080"/>
        </w:tabs>
        <w:spacing w:before="120" w:after="120" w:line="240" w:lineRule="auto"/>
        <w:rPr>
          <w:rFonts w:ascii="Calibri" w:eastAsia="PMingLiU" w:hAnsi="Calibri" w:cs="Calibri"/>
          <w:sz w:val="18"/>
          <w:szCs w:val="18"/>
        </w:rPr>
      </w:pPr>
      <m:oMathPara>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Maximal verfügbare Minuten – Ausfallzeit</m:t>
              </m:r>
            </m:num>
            <m:den>
              <m:r>
                <m:rPr>
                  <m:nor/>
                </m:rPr>
                <w:rPr>
                  <w:rFonts w:ascii="Cambria Math" w:eastAsia="Calibri" w:hAnsi="Cambria Math" w:cs="Calibri"/>
                  <w:i/>
                  <w:sz w:val="18"/>
                  <w:szCs w:val="18"/>
                </w:rPr>
                <m:t>Maximal verfügbare Minuten</m:t>
              </m:r>
            </m:den>
          </m:f>
          <m:r>
            <w:rPr>
              <w:rFonts w:ascii="Cambria Math" w:eastAsia="Calibri" w:hAnsi="Cambria Math" w:cs="Calibri"/>
              <w:sz w:val="18"/>
              <w:szCs w:val="18"/>
            </w:rPr>
            <m:t xml:space="preserve"> x 100</m:t>
          </m:r>
        </m:oMath>
      </m:oMathPara>
    </w:p>
    <w:p w14:paraId="180F56C8" w14:textId="77777777" w:rsidR="00A64FC1" w:rsidRPr="00A15C3C" w:rsidRDefault="00A64FC1" w:rsidP="00A64FC1">
      <w:pPr>
        <w:spacing w:after="0" w:line="240" w:lineRule="auto"/>
        <w:rPr>
          <w:rFonts w:ascii="Calibri" w:eastAsia="Calibri" w:hAnsi="Calibri" w:cs="Arial"/>
          <w:b/>
          <w:bCs/>
          <w:color w:val="00188F"/>
          <w:sz w:val="18"/>
          <w:szCs w:val="18"/>
        </w:rPr>
      </w:pPr>
      <w:r>
        <w:rPr>
          <w:rFonts w:ascii="Calibri" w:eastAsia="Calibri" w:hAnsi="Calibri" w:cs="Arial"/>
          <w:b/>
          <w:bCs/>
          <w:color w:val="00188F"/>
          <w:sz w:val="18"/>
          <w:szCs w:val="18"/>
        </w:rPr>
        <w:t>Die folgenden Servicelevels und Servicegutschriften gelten für die Nutzung des Microsoft Azure DocumentDB – Hochverfügbarkeitsknoten, konfiguriert für mindestens zwei Azure-Regionen.</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A64FC1" w:rsidRPr="00A15C3C" w14:paraId="2944630A" w14:textId="77777777" w:rsidTr="000B7A4E">
        <w:trPr>
          <w:trHeight w:val="245"/>
          <w:tblHeader/>
        </w:trPr>
        <w:tc>
          <w:tcPr>
            <w:tcW w:w="5400" w:type="dxa"/>
            <w:shd w:val="clear" w:color="auto" w:fill="0072C6"/>
          </w:tcPr>
          <w:p w14:paraId="1F810748" w14:textId="77777777" w:rsidR="00A64FC1" w:rsidRPr="00A15C3C" w:rsidRDefault="00A64FC1" w:rsidP="000B7A4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Betriebszeitprozentsatz</w:t>
            </w:r>
          </w:p>
        </w:tc>
        <w:tc>
          <w:tcPr>
            <w:tcW w:w="5400" w:type="dxa"/>
            <w:shd w:val="clear" w:color="auto" w:fill="0072C6"/>
          </w:tcPr>
          <w:p w14:paraId="340119B7" w14:textId="77777777" w:rsidR="00A64FC1" w:rsidRPr="00A15C3C" w:rsidRDefault="00A64FC1" w:rsidP="000B7A4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Servicegutschrift</w:t>
            </w:r>
          </w:p>
        </w:tc>
      </w:tr>
      <w:tr w:rsidR="00A64FC1" w:rsidRPr="00A15C3C" w14:paraId="7C255915" w14:textId="77777777" w:rsidTr="000B7A4E">
        <w:trPr>
          <w:trHeight w:val="245"/>
        </w:trPr>
        <w:tc>
          <w:tcPr>
            <w:tcW w:w="5400" w:type="dxa"/>
          </w:tcPr>
          <w:p w14:paraId="3F983D24" w14:textId="77777777" w:rsidR="00A64FC1" w:rsidRPr="00A15C3C" w:rsidRDefault="00A64FC1"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99,995 %</w:t>
            </w:r>
          </w:p>
        </w:tc>
        <w:tc>
          <w:tcPr>
            <w:tcW w:w="5400" w:type="dxa"/>
          </w:tcPr>
          <w:p w14:paraId="4E6E64FF" w14:textId="77777777" w:rsidR="00A64FC1" w:rsidRPr="00A15C3C" w:rsidRDefault="00A64FC1" w:rsidP="000B7A4E">
            <w:pPr>
              <w:tabs>
                <w:tab w:val="left" w:pos="360"/>
                <w:tab w:val="left" w:pos="720"/>
                <w:tab w:val="left" w:pos="905"/>
                <w:tab w:val="left" w:pos="1080"/>
                <w:tab w:val="center" w:pos="2635"/>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A64FC1" w:rsidRPr="00A15C3C" w14:paraId="0CABA2E8" w14:textId="77777777" w:rsidTr="000B7A4E">
        <w:trPr>
          <w:trHeight w:val="245"/>
        </w:trPr>
        <w:tc>
          <w:tcPr>
            <w:tcW w:w="5400" w:type="dxa"/>
          </w:tcPr>
          <w:p w14:paraId="3FD781A6" w14:textId="77777777" w:rsidR="00A64FC1" w:rsidRPr="00A15C3C" w:rsidRDefault="00A64FC1"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4995A36F" w14:textId="77777777" w:rsidR="00A64FC1" w:rsidRPr="00A15C3C" w:rsidRDefault="00A64FC1"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2F955FFF" w14:textId="77777777" w:rsidR="00A64FC1" w:rsidRPr="00A15C3C" w:rsidRDefault="00A64FC1" w:rsidP="00A64FC1">
      <w:pPr>
        <w:spacing w:before="120" w:after="0" w:line="240" w:lineRule="auto"/>
        <w:rPr>
          <w:rFonts w:ascii="Calibri" w:eastAsia="Calibri" w:hAnsi="Calibri" w:cs="Arial"/>
          <w:b/>
          <w:bCs/>
          <w:color w:val="00188F"/>
          <w:sz w:val="18"/>
          <w:szCs w:val="18"/>
        </w:rPr>
      </w:pPr>
      <w:r>
        <w:rPr>
          <w:rFonts w:ascii="Calibri" w:eastAsia="Calibri" w:hAnsi="Calibri" w:cs="Arial"/>
          <w:b/>
          <w:bCs/>
          <w:color w:val="00188F"/>
          <w:sz w:val="18"/>
          <w:szCs w:val="18"/>
        </w:rPr>
        <w:t>Die folgenden Servicelevels und Servicegutschriften gelten für die Nutzung des Microsoft Azure DocumentDB – Hochverfügbarkeitsknoten, bezogen auf eine einzelne Azure-Region.</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A64FC1" w:rsidRPr="00A15C3C" w14:paraId="5980EAEA" w14:textId="77777777" w:rsidTr="000B7A4E">
        <w:trPr>
          <w:trHeight w:val="245"/>
          <w:tblHeader/>
        </w:trPr>
        <w:tc>
          <w:tcPr>
            <w:tcW w:w="5400" w:type="dxa"/>
            <w:shd w:val="clear" w:color="auto" w:fill="0072C6"/>
          </w:tcPr>
          <w:p w14:paraId="10907894" w14:textId="77777777" w:rsidR="00A64FC1" w:rsidRPr="00A15C3C" w:rsidRDefault="00A64FC1" w:rsidP="000B7A4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Betriebszeitprozentsatz</w:t>
            </w:r>
          </w:p>
        </w:tc>
        <w:tc>
          <w:tcPr>
            <w:tcW w:w="5400" w:type="dxa"/>
            <w:shd w:val="clear" w:color="auto" w:fill="0072C6"/>
          </w:tcPr>
          <w:p w14:paraId="116E8F6C" w14:textId="77777777" w:rsidR="00A64FC1" w:rsidRPr="00A15C3C" w:rsidRDefault="00A64FC1" w:rsidP="000B7A4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Servicegutschrift</w:t>
            </w:r>
          </w:p>
        </w:tc>
      </w:tr>
      <w:tr w:rsidR="00A64FC1" w:rsidRPr="00A15C3C" w14:paraId="0F06418B" w14:textId="77777777" w:rsidTr="000B7A4E">
        <w:trPr>
          <w:trHeight w:val="245"/>
        </w:trPr>
        <w:tc>
          <w:tcPr>
            <w:tcW w:w="5400" w:type="dxa"/>
          </w:tcPr>
          <w:p w14:paraId="41C0F431" w14:textId="77777777" w:rsidR="00A64FC1" w:rsidRPr="00A15C3C" w:rsidRDefault="00A64FC1"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99,99 %</w:t>
            </w:r>
          </w:p>
        </w:tc>
        <w:tc>
          <w:tcPr>
            <w:tcW w:w="5400" w:type="dxa"/>
          </w:tcPr>
          <w:p w14:paraId="2264C5D5" w14:textId="77777777" w:rsidR="00A64FC1" w:rsidRPr="00A15C3C" w:rsidRDefault="00A64FC1" w:rsidP="000B7A4E">
            <w:pPr>
              <w:tabs>
                <w:tab w:val="left" w:pos="360"/>
                <w:tab w:val="left" w:pos="720"/>
                <w:tab w:val="left" w:pos="905"/>
                <w:tab w:val="left" w:pos="1080"/>
                <w:tab w:val="center" w:pos="2635"/>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A64FC1" w:rsidRPr="00A15C3C" w14:paraId="368A32CE" w14:textId="77777777" w:rsidTr="000B7A4E">
        <w:trPr>
          <w:trHeight w:val="245"/>
        </w:trPr>
        <w:tc>
          <w:tcPr>
            <w:tcW w:w="5400" w:type="dxa"/>
          </w:tcPr>
          <w:p w14:paraId="7E0D17B5" w14:textId="77777777" w:rsidR="00A64FC1" w:rsidRPr="00A15C3C" w:rsidRDefault="00A64FC1"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57536D05" w14:textId="77777777" w:rsidR="00A64FC1" w:rsidRPr="00A15C3C" w:rsidRDefault="00A64FC1"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7B01A540" w14:textId="77777777" w:rsidR="00A64FC1" w:rsidRPr="00C15776" w:rsidRDefault="00A64FC1" w:rsidP="00A64FC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57AD8A2A" w14:textId="114D4A98" w:rsidR="00D57A75" w:rsidRDefault="003F2F0F" w:rsidP="00CE29C1">
      <w:pPr>
        <w:pStyle w:val="ProductList-Offering2Heading"/>
        <w:keepNext/>
        <w:tabs>
          <w:tab w:val="clear" w:pos="360"/>
          <w:tab w:val="clear" w:pos="720"/>
          <w:tab w:val="clear" w:pos="1080"/>
        </w:tabs>
        <w:outlineLvl w:val="2"/>
      </w:pPr>
      <w:bookmarkStart w:id="325" w:name="_Toc237449002"/>
      <w:r>
        <w:t>Elastic San-SLA</w:t>
      </w:r>
      <w:bookmarkEnd w:id="324"/>
      <w:bookmarkEnd w:id="325"/>
    </w:p>
    <w:p w14:paraId="4AF109F1" w14:textId="77777777" w:rsidR="00427694" w:rsidRPr="00B44AB7" w:rsidRDefault="00427694" w:rsidP="00427694">
      <w:pPr>
        <w:pStyle w:val="ProductList-Body"/>
        <w:rPr>
          <w:rFonts w:ascii="Calibri" w:hAnsi="Calibri" w:cs="Calibri"/>
        </w:rPr>
      </w:pPr>
      <w:r w:rsidRPr="00B44AB7">
        <w:rPr>
          <w:rFonts w:ascii="Calibri" w:hAnsi="Calibri" w:cs="Calibri"/>
          <w:b/>
          <w:color w:val="00188F"/>
        </w:rPr>
        <w:t>Zusätzliche Definitionen</w:t>
      </w:r>
      <w:r w:rsidRPr="000336E1">
        <w:rPr>
          <w:rFonts w:ascii="Calibri" w:hAnsi="Calibri" w:cs="Calibri"/>
          <w:b/>
          <w:bCs/>
        </w:rPr>
        <w:t>:</w:t>
      </w:r>
    </w:p>
    <w:p w14:paraId="1C174AA1" w14:textId="77777777" w:rsidR="00427694" w:rsidRPr="00B44AB7" w:rsidRDefault="00427694" w:rsidP="00427694">
      <w:pPr>
        <w:pStyle w:val="ProductList-Body"/>
        <w:rPr>
          <w:rFonts w:ascii="Calibri" w:eastAsia="Segoe UI" w:hAnsi="Calibri" w:cs="Calibri"/>
          <w:color w:val="1A1A1A"/>
        </w:rPr>
      </w:pPr>
      <w:r w:rsidRPr="00D31938">
        <w:rPr>
          <w:rFonts w:ascii="Calibri" w:hAnsi="Calibri" w:cs="Calibri"/>
          <w:bCs/>
          <w:color w:val="00188F"/>
        </w:rPr>
        <w:t>„</w:t>
      </w:r>
      <w:r w:rsidRPr="00B44AB7">
        <w:rPr>
          <w:rFonts w:ascii="Calibri" w:hAnsi="Calibri" w:cs="Calibri"/>
          <w:b/>
          <w:color w:val="00188F"/>
        </w:rPr>
        <w:t>Gesamtzahl der Speichertransaktionen</w:t>
      </w:r>
      <w:r w:rsidRPr="00D31938">
        <w:rPr>
          <w:rFonts w:ascii="Calibri" w:hAnsi="Calibri" w:cs="Calibri"/>
          <w:bCs/>
          <w:color w:val="00188F"/>
        </w:rPr>
        <w:t>“</w:t>
      </w:r>
      <w:r w:rsidRPr="00B44AB7">
        <w:rPr>
          <w:rFonts w:ascii="Calibri" w:hAnsi="Calibri" w:cs="Calibri"/>
        </w:rPr>
        <w:t xml:space="preserve"> </w:t>
      </w:r>
      <w:r w:rsidRPr="00B44AB7">
        <w:rPr>
          <w:rFonts w:ascii="Calibri" w:eastAsia="Segoe UI" w:hAnsi="Calibri" w:cs="Calibri"/>
          <w:color w:val="1A1A1A"/>
        </w:rPr>
        <w:t xml:space="preserve">ist die Menge aller Speichertransaktionen, die innerhalb eines einstündigen Intervalls in einem einzelnen Elastic SAN-Volume versucht wurden und bei denen die Gesamtzahl der Transaktionen &gt; 10.000 ist. Die einzige Art der Speichertransaktion, die Elastic SAN unterstützt, sind iSCSI-Vorgänge. </w:t>
      </w:r>
    </w:p>
    <w:p w14:paraId="4496C16E" w14:textId="77777777" w:rsidR="00427694" w:rsidRPr="00B44AB7" w:rsidRDefault="00427694" w:rsidP="00427694">
      <w:pPr>
        <w:pStyle w:val="ProductList-Body"/>
        <w:rPr>
          <w:rFonts w:ascii="Calibri" w:eastAsia="Segoe UI" w:hAnsi="Calibri" w:cs="Calibri"/>
          <w:color w:val="1A1A1A"/>
        </w:rPr>
      </w:pPr>
      <w:r w:rsidRPr="00D31938">
        <w:rPr>
          <w:rFonts w:ascii="Calibri" w:hAnsi="Calibri" w:cs="Calibri"/>
          <w:bCs/>
          <w:color w:val="00188F"/>
        </w:rPr>
        <w:t>„</w:t>
      </w:r>
      <w:r w:rsidRPr="00B44AB7">
        <w:rPr>
          <w:rFonts w:ascii="Calibri" w:hAnsi="Calibri" w:cs="Calibri"/>
          <w:b/>
          <w:color w:val="00188F"/>
        </w:rPr>
        <w:t>Fehlgeschlagene Speichertransaktionen</w:t>
      </w:r>
      <w:r w:rsidRPr="00D31938">
        <w:rPr>
          <w:rFonts w:ascii="Calibri" w:hAnsi="Calibri" w:cs="Calibri"/>
          <w:bCs/>
          <w:color w:val="00188F"/>
        </w:rPr>
        <w:t>“</w:t>
      </w:r>
      <w:r w:rsidRPr="00B44AB7">
        <w:rPr>
          <w:rFonts w:ascii="Calibri" w:eastAsia="Segoe UI" w:hAnsi="Calibri" w:cs="Calibri"/>
          <w:color w:val="1A1A1A"/>
        </w:rPr>
        <w:t xml:space="preserve"> ist die Menge aller Lese- und Schreibspeichertransaktionen innerhalb der Gesamtzahl der Speichertransaktionen, die aufgrund von Fehlern auf der Dienstseite nicht mit einer erfolgreichen Antwort abgeschlossen wurden, ausgenommen clientseitige Fehler und Drosselungsfehler des Servers.</w:t>
      </w:r>
    </w:p>
    <w:p w14:paraId="6687629D" w14:textId="77777777" w:rsidR="00427694" w:rsidRPr="00B44AB7" w:rsidRDefault="00427694" w:rsidP="00427694">
      <w:pPr>
        <w:pStyle w:val="ProductList-Body"/>
        <w:rPr>
          <w:rFonts w:ascii="Calibri" w:eastAsia="Segoe UI" w:hAnsi="Calibri" w:cs="Calibri"/>
          <w:color w:val="1A1A1A"/>
        </w:rPr>
      </w:pPr>
      <w:r w:rsidRPr="00D31938">
        <w:rPr>
          <w:rFonts w:ascii="Calibri" w:hAnsi="Calibri" w:cs="Calibri"/>
          <w:bCs/>
          <w:color w:val="00188F"/>
        </w:rPr>
        <w:t>„</w:t>
      </w:r>
      <w:r w:rsidRPr="00B44AB7">
        <w:rPr>
          <w:rFonts w:ascii="Calibri" w:hAnsi="Calibri" w:cs="Calibri"/>
          <w:b/>
          <w:color w:val="00188F"/>
        </w:rPr>
        <w:t>Prozentsatz der monatlichen Betriebszeit</w:t>
      </w:r>
      <w:r w:rsidRPr="00D31938">
        <w:rPr>
          <w:rFonts w:ascii="Calibri" w:hAnsi="Calibri" w:cs="Calibri"/>
          <w:bCs/>
          <w:color w:val="00188F"/>
        </w:rPr>
        <w:t>“</w:t>
      </w:r>
      <w:r w:rsidRPr="00B44AB7">
        <w:rPr>
          <w:rStyle w:val="Strong"/>
          <w:rFonts w:ascii="Calibri" w:hAnsi="Calibri" w:cs="Calibri"/>
          <w:shd w:val="clear" w:color="auto" w:fill="FFFFFF"/>
        </w:rPr>
        <w:t>:</w:t>
      </w:r>
      <w:r w:rsidRPr="00B44AB7">
        <w:rPr>
          <w:rFonts w:ascii="Calibri" w:hAnsi="Calibri" w:cs="Calibri"/>
          <w:shd w:val="clear" w:color="auto" w:fill="FFFFFF"/>
        </w:rPr>
        <w:t> Der Prozentsatz der monatlichen Betriebszeit auf Azure Elastic SAN auf einem einzelnen Volume wird als Durchschnitt der Verfügbarkeit aller einstündigen Intervalle in Prozent berechnet. Die Berechnung erfolgt anhand der folgenden Formel:</w:t>
      </w:r>
      <w:r w:rsidRPr="00B44AB7">
        <w:rPr>
          <w:rFonts w:ascii="Calibri" w:eastAsia="Segoe UI" w:hAnsi="Calibri" w:cs="Calibri"/>
          <w:color w:val="1A1A1A"/>
        </w:rPr>
        <w:t xml:space="preserve"> </w:t>
      </w:r>
    </w:p>
    <w:p w14:paraId="7278B072" w14:textId="77777777" w:rsidR="00427694" w:rsidRDefault="00000000" w:rsidP="00B820B8">
      <w:pPr>
        <w:pStyle w:val="ProductList-Body"/>
        <w:spacing w:before="120" w:after="120"/>
        <w:rPr>
          <w:rFonts w:eastAsia="Segoe UI"/>
          <w:color w:val="1A1A1A"/>
        </w:rPr>
      </w:pPr>
      <m:oMathPara>
        <m:oMath>
          <m:f>
            <m:fPr>
              <m:ctrlPr>
                <w:rPr>
                  <w:rFonts w:ascii="Cambria Math" w:hAnsi="Cambria Math"/>
                </w:rPr>
              </m:ctrlPr>
            </m:fPr>
            <m:num>
              <m:r>
                <w:rPr>
                  <w:rFonts w:ascii="Cambria Math" w:hAnsi="Cambria Math"/>
                </w:rPr>
                <m:t>Gesamtzahl der Speichertransaktionen - fehlgeschlagene Speichertransaktionen</m:t>
              </m:r>
            </m:num>
            <m:den>
              <m:r>
                <w:rPr>
                  <w:rFonts w:ascii="Cambria Math" w:hAnsi="Cambria Math"/>
                </w:rPr>
                <m:t>Gesamtzahl der Speichertransaktionen</m:t>
              </m:r>
            </m:den>
          </m:f>
          <m:r>
            <w:rPr>
              <w:rFonts w:ascii="Cambria Math" w:hAnsi="Cambria Math"/>
            </w:rPr>
            <m:t>×100</m:t>
          </m:r>
        </m:oMath>
      </m:oMathPara>
    </w:p>
    <w:p w14:paraId="7161722B" w14:textId="77777777" w:rsidR="004045D3" w:rsidRDefault="004045D3" w:rsidP="0050749B">
      <w:pPr>
        <w:pStyle w:val="ProductList-Body"/>
        <w:rPr>
          <w:b/>
          <w:color w:val="00188F"/>
        </w:rPr>
      </w:pPr>
    </w:p>
    <w:p w14:paraId="3486AB4E" w14:textId="38A01C10" w:rsidR="00427694" w:rsidRDefault="00427694" w:rsidP="0050749B">
      <w:pPr>
        <w:pStyle w:val="ProductList-Body"/>
      </w:pPr>
      <w:r>
        <w:rPr>
          <w:b/>
          <w:color w:val="00188F"/>
        </w:rPr>
        <w:t>Servicegutschrift:</w:t>
      </w:r>
      <w:r>
        <w:t xml:space="preserve"> Elastic SAN in LRS, ZRS (Lese- und Schreibanforderungen), bei denen die Gesamtzahl der Elastic SAN-Volumes &gt; 10 ist und &gt;10 % der Volumes innerhalb dieser Elastic SAN-Bereitstellung die SLA nicht erfüllen:</w:t>
      </w:r>
    </w:p>
    <w:p w14:paraId="094F0C86" w14:textId="77777777" w:rsidR="004045D3" w:rsidRPr="000F5508" w:rsidRDefault="004045D3" w:rsidP="0050749B">
      <w:pPr>
        <w:pStyle w:val="ProductList-Body"/>
      </w:pPr>
    </w:p>
    <w:tbl>
      <w:tblPr>
        <w:tblStyle w:val="TableGrid"/>
        <w:tblW w:w="0" w:type="auto"/>
        <w:tblLook w:val="04A0" w:firstRow="1" w:lastRow="0" w:firstColumn="1" w:lastColumn="0" w:noHBand="0" w:noVBand="1"/>
      </w:tblPr>
      <w:tblGrid>
        <w:gridCol w:w="5395"/>
        <w:gridCol w:w="5395"/>
      </w:tblGrid>
      <w:tr w:rsidR="00427694" w14:paraId="7FAD1B66" w14:textId="77777777" w:rsidTr="000A3F1F">
        <w:trPr>
          <w:trHeight w:val="170"/>
        </w:trPr>
        <w:tc>
          <w:tcPr>
            <w:tcW w:w="5395" w:type="dxa"/>
            <w:shd w:val="clear" w:color="auto" w:fill="0072C6"/>
            <w:vAlign w:val="center"/>
          </w:tcPr>
          <w:p w14:paraId="2D669EC3" w14:textId="77777777" w:rsidR="00427694" w:rsidRPr="0050749B" w:rsidRDefault="00427694" w:rsidP="0050749B">
            <w:pPr>
              <w:pStyle w:val="ProductList-OfferingBody"/>
              <w:jc w:val="center"/>
              <w:rPr>
                <w:rFonts w:ascii="Calibri Light" w:hAnsi="Calibri Light" w:cs="Calibri Light"/>
                <w:color w:val="FFFFFF" w:themeColor="background1"/>
              </w:rPr>
            </w:pPr>
            <w:bookmarkStart w:id="326" w:name="_Toc178003531"/>
            <w:r w:rsidRPr="0050749B">
              <w:rPr>
                <w:rFonts w:ascii="Calibri Light" w:hAnsi="Calibri Light" w:cs="Calibri Light"/>
                <w:color w:val="FFFFFF" w:themeColor="background1"/>
              </w:rPr>
              <w:lastRenderedPageBreak/>
              <w:t>Prozentsatz der monatlichen Betriebszeit (je Volume)</w:t>
            </w:r>
            <w:bookmarkEnd w:id="326"/>
          </w:p>
        </w:tc>
        <w:tc>
          <w:tcPr>
            <w:tcW w:w="5395" w:type="dxa"/>
            <w:shd w:val="clear" w:color="auto" w:fill="0072C6"/>
            <w:vAlign w:val="center"/>
          </w:tcPr>
          <w:p w14:paraId="54E566FF" w14:textId="77777777" w:rsidR="00427694" w:rsidRPr="0050749B" w:rsidRDefault="00427694" w:rsidP="0050749B">
            <w:pPr>
              <w:pStyle w:val="ProductList-OfferingBody"/>
              <w:jc w:val="center"/>
              <w:rPr>
                <w:rFonts w:ascii="Calibri Light" w:hAnsi="Calibri Light" w:cs="Calibri Light"/>
                <w:color w:val="FFFFFF" w:themeColor="background1"/>
              </w:rPr>
            </w:pPr>
            <w:bookmarkStart w:id="327" w:name="_Toc178003532"/>
            <w:r w:rsidRPr="0050749B">
              <w:rPr>
                <w:rFonts w:ascii="Calibri Light" w:hAnsi="Calibri Light" w:cs="Calibri Light"/>
                <w:color w:val="FFFFFF" w:themeColor="background1"/>
              </w:rPr>
              <w:t>Servicegutschrift (basierend auf der monatlichen Nutzung von Elastic SAN)</w:t>
            </w:r>
            <w:bookmarkEnd w:id="327"/>
          </w:p>
        </w:tc>
      </w:tr>
      <w:tr w:rsidR="00427694" w14:paraId="63B62B8A" w14:textId="77777777" w:rsidTr="000A3F1F">
        <w:tc>
          <w:tcPr>
            <w:tcW w:w="5395" w:type="dxa"/>
            <w:vAlign w:val="center"/>
          </w:tcPr>
          <w:p w14:paraId="2F01254C" w14:textId="77777777" w:rsidR="00427694" w:rsidRPr="0050749B" w:rsidRDefault="00427694" w:rsidP="0050749B">
            <w:pPr>
              <w:pStyle w:val="ProductList-OfferingBody"/>
              <w:jc w:val="center"/>
              <w:rPr>
                <w:rFonts w:cstheme="minorHAnsi"/>
              </w:rPr>
            </w:pPr>
            <w:bookmarkStart w:id="328" w:name="_Toc178003533"/>
            <w:r w:rsidRPr="0050749B">
              <w:rPr>
                <w:rFonts w:cstheme="minorHAnsi"/>
              </w:rPr>
              <w:t>&lt; 99,99 %</w:t>
            </w:r>
            <w:bookmarkEnd w:id="328"/>
          </w:p>
        </w:tc>
        <w:tc>
          <w:tcPr>
            <w:tcW w:w="5395" w:type="dxa"/>
            <w:vAlign w:val="center"/>
          </w:tcPr>
          <w:p w14:paraId="5A009738" w14:textId="77777777" w:rsidR="00427694" w:rsidRPr="0050749B" w:rsidRDefault="00427694" w:rsidP="0050749B">
            <w:pPr>
              <w:pStyle w:val="ProductList-OfferingBody"/>
              <w:jc w:val="center"/>
              <w:rPr>
                <w:rFonts w:cstheme="minorHAnsi"/>
              </w:rPr>
            </w:pPr>
            <w:bookmarkStart w:id="329" w:name="_Toc178003534"/>
            <w:r w:rsidRPr="0050749B">
              <w:rPr>
                <w:rFonts w:cstheme="minorHAnsi"/>
              </w:rPr>
              <w:t>5 %</w:t>
            </w:r>
            <w:bookmarkEnd w:id="329"/>
          </w:p>
        </w:tc>
      </w:tr>
      <w:tr w:rsidR="00427694" w14:paraId="2A2E3333" w14:textId="77777777" w:rsidTr="000A3F1F">
        <w:tc>
          <w:tcPr>
            <w:tcW w:w="5395" w:type="dxa"/>
            <w:vAlign w:val="center"/>
          </w:tcPr>
          <w:p w14:paraId="5EB1320F" w14:textId="77777777" w:rsidR="00427694" w:rsidRPr="0050749B" w:rsidRDefault="00427694" w:rsidP="0050749B">
            <w:pPr>
              <w:pStyle w:val="ProductList-OfferingBody"/>
              <w:jc w:val="center"/>
              <w:rPr>
                <w:rFonts w:cstheme="minorHAnsi"/>
              </w:rPr>
            </w:pPr>
            <w:bookmarkStart w:id="330" w:name="_Toc178003535"/>
            <w:r w:rsidRPr="0050749B">
              <w:rPr>
                <w:rFonts w:cstheme="minorHAnsi"/>
              </w:rPr>
              <w:t>&lt; 99 %</w:t>
            </w:r>
            <w:bookmarkEnd w:id="330"/>
          </w:p>
        </w:tc>
        <w:tc>
          <w:tcPr>
            <w:tcW w:w="5395" w:type="dxa"/>
            <w:vAlign w:val="center"/>
          </w:tcPr>
          <w:p w14:paraId="4EDA5CFD" w14:textId="77777777" w:rsidR="00427694" w:rsidRPr="0050749B" w:rsidRDefault="00427694" w:rsidP="0050749B">
            <w:pPr>
              <w:pStyle w:val="ProductList-OfferingBody"/>
              <w:jc w:val="center"/>
              <w:rPr>
                <w:rFonts w:cstheme="minorHAnsi"/>
              </w:rPr>
            </w:pPr>
            <w:bookmarkStart w:id="331" w:name="_Toc178003536"/>
            <w:r w:rsidRPr="0050749B">
              <w:rPr>
                <w:rFonts w:cstheme="minorHAnsi"/>
              </w:rPr>
              <w:t>10 %</w:t>
            </w:r>
            <w:bookmarkEnd w:id="331"/>
          </w:p>
        </w:tc>
      </w:tr>
    </w:tbl>
    <w:p w14:paraId="3E3FD198" w14:textId="2CCD204C" w:rsidR="00427694" w:rsidRDefault="00427694" w:rsidP="000D262E">
      <w:pPr>
        <w:pStyle w:val="ProductList-Body"/>
        <w:spacing w:before="120"/>
      </w:pPr>
      <w:r>
        <w:rPr>
          <w:b/>
          <w:color w:val="00188F"/>
        </w:rPr>
        <w:t>Servicegutschrift:</w:t>
      </w:r>
      <w:r>
        <w:t xml:space="preserve"> Elastic SAN in LRS, ZRS (Lese- und Schreibanforderungen), bei denen die Gesamtzahl der Elastic SAN-Volumes &gt; 10 ist und &gt;30 % der Volumes innerhalb dieser Elastic SAN-Bereitstellung die SLA nicht erfüllen:</w:t>
      </w:r>
    </w:p>
    <w:tbl>
      <w:tblPr>
        <w:tblStyle w:val="TableGrid"/>
        <w:tblW w:w="0" w:type="auto"/>
        <w:tblLook w:val="04A0" w:firstRow="1" w:lastRow="0" w:firstColumn="1" w:lastColumn="0" w:noHBand="0" w:noVBand="1"/>
      </w:tblPr>
      <w:tblGrid>
        <w:gridCol w:w="5395"/>
        <w:gridCol w:w="5395"/>
      </w:tblGrid>
      <w:tr w:rsidR="00427694" w:rsidRPr="00F072ED" w14:paraId="0C0F2F74" w14:textId="77777777" w:rsidTr="000A3F1F">
        <w:trPr>
          <w:trHeight w:val="170"/>
        </w:trPr>
        <w:tc>
          <w:tcPr>
            <w:tcW w:w="5395" w:type="dxa"/>
            <w:shd w:val="clear" w:color="auto" w:fill="0072C6"/>
            <w:vAlign w:val="center"/>
          </w:tcPr>
          <w:p w14:paraId="315893AE" w14:textId="77777777" w:rsidR="00427694" w:rsidRPr="0050749B" w:rsidRDefault="00427694" w:rsidP="0050749B">
            <w:pPr>
              <w:pStyle w:val="ProductList-OfferingBody"/>
              <w:jc w:val="center"/>
              <w:rPr>
                <w:rFonts w:ascii="Calibri Light" w:hAnsi="Calibri Light" w:cs="Calibri Light"/>
                <w:color w:val="FFFFFF" w:themeColor="background1"/>
              </w:rPr>
            </w:pPr>
            <w:bookmarkStart w:id="332" w:name="_Toc178003537"/>
            <w:r w:rsidRPr="0050749B">
              <w:rPr>
                <w:rFonts w:ascii="Calibri Light" w:hAnsi="Calibri Light" w:cs="Calibri Light"/>
                <w:color w:val="FFFFFF" w:themeColor="background1"/>
              </w:rPr>
              <w:t>Prozentsatz der monatlichen Betriebszeit (je Volume)</w:t>
            </w:r>
            <w:bookmarkEnd w:id="332"/>
          </w:p>
        </w:tc>
        <w:tc>
          <w:tcPr>
            <w:tcW w:w="5395" w:type="dxa"/>
            <w:shd w:val="clear" w:color="auto" w:fill="0072C6"/>
            <w:vAlign w:val="center"/>
          </w:tcPr>
          <w:p w14:paraId="2E263D6C" w14:textId="77777777" w:rsidR="00427694" w:rsidRPr="0050749B" w:rsidRDefault="00427694" w:rsidP="0050749B">
            <w:pPr>
              <w:pStyle w:val="ProductList-OfferingBody"/>
              <w:jc w:val="center"/>
              <w:rPr>
                <w:rFonts w:ascii="Calibri Light" w:hAnsi="Calibri Light" w:cs="Calibri Light"/>
                <w:color w:val="FFFFFF" w:themeColor="background1"/>
              </w:rPr>
            </w:pPr>
            <w:bookmarkStart w:id="333" w:name="_Toc178003538"/>
            <w:r w:rsidRPr="0050749B">
              <w:rPr>
                <w:rFonts w:ascii="Calibri Light" w:hAnsi="Calibri Light" w:cs="Calibri Light"/>
                <w:color w:val="FFFFFF" w:themeColor="background1"/>
              </w:rPr>
              <w:t>Servicegutschrift</w:t>
            </w:r>
            <w:bookmarkEnd w:id="333"/>
          </w:p>
        </w:tc>
      </w:tr>
      <w:tr w:rsidR="00427694" w:rsidRPr="008A6F08" w14:paraId="27D216E0" w14:textId="77777777" w:rsidTr="000A3F1F">
        <w:tc>
          <w:tcPr>
            <w:tcW w:w="5395" w:type="dxa"/>
            <w:vAlign w:val="center"/>
          </w:tcPr>
          <w:p w14:paraId="3D9C391A" w14:textId="77777777" w:rsidR="00427694" w:rsidRPr="0050749B" w:rsidRDefault="00427694" w:rsidP="0050749B">
            <w:pPr>
              <w:pStyle w:val="ProductList-OfferingBody"/>
              <w:jc w:val="center"/>
              <w:rPr>
                <w:rFonts w:cstheme="minorHAnsi"/>
              </w:rPr>
            </w:pPr>
            <w:bookmarkStart w:id="334" w:name="_Toc178003539"/>
            <w:r w:rsidRPr="0050749B">
              <w:rPr>
                <w:rFonts w:cstheme="minorHAnsi"/>
              </w:rPr>
              <w:t>&lt; 99,99 %</w:t>
            </w:r>
            <w:bookmarkEnd w:id="334"/>
          </w:p>
        </w:tc>
        <w:tc>
          <w:tcPr>
            <w:tcW w:w="5395" w:type="dxa"/>
            <w:vAlign w:val="center"/>
          </w:tcPr>
          <w:p w14:paraId="2D476A9F" w14:textId="77777777" w:rsidR="00427694" w:rsidRPr="0050749B" w:rsidRDefault="00427694" w:rsidP="0050749B">
            <w:pPr>
              <w:pStyle w:val="ProductList-OfferingBody"/>
              <w:jc w:val="center"/>
              <w:rPr>
                <w:rFonts w:cstheme="minorHAnsi"/>
              </w:rPr>
            </w:pPr>
            <w:bookmarkStart w:id="335" w:name="_Toc178003540"/>
            <w:r w:rsidRPr="0050749B">
              <w:rPr>
                <w:rFonts w:cstheme="minorHAnsi"/>
              </w:rPr>
              <w:t>10 %</w:t>
            </w:r>
            <w:bookmarkEnd w:id="335"/>
          </w:p>
        </w:tc>
      </w:tr>
      <w:tr w:rsidR="00427694" w:rsidRPr="008A6F08" w14:paraId="060716B3" w14:textId="77777777" w:rsidTr="000A3F1F">
        <w:tc>
          <w:tcPr>
            <w:tcW w:w="5395" w:type="dxa"/>
            <w:vAlign w:val="center"/>
          </w:tcPr>
          <w:p w14:paraId="41C4634B" w14:textId="77777777" w:rsidR="00427694" w:rsidRPr="0050749B" w:rsidRDefault="00427694" w:rsidP="0050749B">
            <w:pPr>
              <w:pStyle w:val="ProductList-OfferingBody"/>
              <w:jc w:val="center"/>
              <w:rPr>
                <w:rFonts w:cstheme="minorHAnsi"/>
              </w:rPr>
            </w:pPr>
            <w:bookmarkStart w:id="336" w:name="_Toc178003541"/>
            <w:r w:rsidRPr="0050749B">
              <w:rPr>
                <w:rFonts w:cstheme="minorHAnsi"/>
              </w:rPr>
              <w:t>&lt; 99 %</w:t>
            </w:r>
            <w:bookmarkEnd w:id="336"/>
          </w:p>
        </w:tc>
        <w:tc>
          <w:tcPr>
            <w:tcW w:w="5395" w:type="dxa"/>
            <w:vAlign w:val="center"/>
          </w:tcPr>
          <w:p w14:paraId="26221EDF" w14:textId="77777777" w:rsidR="00427694" w:rsidRPr="0050749B" w:rsidRDefault="00427694" w:rsidP="0050749B">
            <w:pPr>
              <w:pStyle w:val="ProductList-OfferingBody"/>
              <w:jc w:val="center"/>
              <w:rPr>
                <w:rFonts w:cstheme="minorHAnsi"/>
              </w:rPr>
            </w:pPr>
            <w:bookmarkStart w:id="337" w:name="_Toc178003542"/>
            <w:r w:rsidRPr="0050749B">
              <w:rPr>
                <w:rFonts w:cstheme="minorHAnsi"/>
              </w:rPr>
              <w:t>30 %</w:t>
            </w:r>
            <w:bookmarkEnd w:id="337"/>
          </w:p>
        </w:tc>
      </w:tr>
    </w:tbl>
    <w:p w14:paraId="36C0DF73" w14:textId="77777777" w:rsidR="00427694" w:rsidRDefault="00427694" w:rsidP="000D262E">
      <w:pPr>
        <w:pStyle w:val="ProductList-Body"/>
        <w:spacing w:before="120"/>
      </w:pPr>
      <w:r>
        <w:rPr>
          <w:b/>
          <w:color w:val="00188F"/>
        </w:rPr>
        <w:t>Servicegutschrift:</w:t>
      </w:r>
      <w:r>
        <w:t xml:space="preserve"> Elastic SAN in LRS, ZRS (Lese- und Schreibanforderungen), bei denen die Gesamtzahl der Elastic SAN-Volumes &lt;= 10 ist und Volumes innerhalb dieser Elastic SAN-Bereitstellung die SLA nicht erfüllen:</w:t>
      </w:r>
    </w:p>
    <w:tbl>
      <w:tblPr>
        <w:tblStyle w:val="TableGrid"/>
        <w:tblW w:w="0" w:type="auto"/>
        <w:tblLook w:val="04A0" w:firstRow="1" w:lastRow="0" w:firstColumn="1" w:lastColumn="0" w:noHBand="0" w:noVBand="1"/>
      </w:tblPr>
      <w:tblGrid>
        <w:gridCol w:w="5395"/>
        <w:gridCol w:w="5395"/>
      </w:tblGrid>
      <w:tr w:rsidR="00427694" w:rsidRPr="00F072ED" w14:paraId="1C2E6AFF" w14:textId="77777777" w:rsidTr="000A3F1F">
        <w:trPr>
          <w:trHeight w:val="170"/>
        </w:trPr>
        <w:tc>
          <w:tcPr>
            <w:tcW w:w="5395" w:type="dxa"/>
            <w:shd w:val="clear" w:color="auto" w:fill="0072C6"/>
            <w:vAlign w:val="center"/>
          </w:tcPr>
          <w:p w14:paraId="20491B51" w14:textId="77777777" w:rsidR="00427694" w:rsidRPr="0050749B" w:rsidRDefault="00427694" w:rsidP="0050749B">
            <w:pPr>
              <w:pStyle w:val="ProductList-OfferingBody"/>
              <w:jc w:val="center"/>
              <w:rPr>
                <w:rFonts w:ascii="Calibri Light" w:hAnsi="Calibri Light" w:cs="Calibri Light"/>
                <w:color w:val="FFFFFF" w:themeColor="background1"/>
              </w:rPr>
            </w:pPr>
            <w:bookmarkStart w:id="338" w:name="_Toc178003543"/>
            <w:r w:rsidRPr="0050749B">
              <w:rPr>
                <w:rFonts w:ascii="Calibri Light" w:hAnsi="Calibri Light" w:cs="Calibri Light"/>
                <w:color w:val="FFFFFF" w:themeColor="background1"/>
              </w:rPr>
              <w:t>Prozentsatz der monatlichen Betriebszeit (je Volume)</w:t>
            </w:r>
            <w:bookmarkEnd w:id="338"/>
          </w:p>
        </w:tc>
        <w:tc>
          <w:tcPr>
            <w:tcW w:w="5395" w:type="dxa"/>
            <w:shd w:val="clear" w:color="auto" w:fill="0072C6"/>
            <w:vAlign w:val="center"/>
          </w:tcPr>
          <w:p w14:paraId="2FA9B26A" w14:textId="77777777" w:rsidR="00427694" w:rsidRPr="0050749B" w:rsidRDefault="00427694" w:rsidP="0050749B">
            <w:pPr>
              <w:pStyle w:val="ProductList-OfferingBody"/>
              <w:jc w:val="center"/>
              <w:rPr>
                <w:rFonts w:ascii="Calibri Light" w:hAnsi="Calibri Light" w:cs="Calibri Light"/>
                <w:color w:val="FFFFFF" w:themeColor="background1"/>
              </w:rPr>
            </w:pPr>
            <w:bookmarkStart w:id="339" w:name="_Toc178003544"/>
            <w:r w:rsidRPr="0050749B">
              <w:rPr>
                <w:rFonts w:ascii="Calibri Light" w:hAnsi="Calibri Light" w:cs="Calibri Light"/>
                <w:color w:val="FFFFFF" w:themeColor="background1"/>
              </w:rPr>
              <w:t>Servicegutschrift</w:t>
            </w:r>
            <w:bookmarkEnd w:id="339"/>
          </w:p>
        </w:tc>
      </w:tr>
      <w:tr w:rsidR="00427694" w:rsidRPr="008A6F08" w14:paraId="76E12FE8" w14:textId="77777777" w:rsidTr="000A3F1F">
        <w:tc>
          <w:tcPr>
            <w:tcW w:w="5395" w:type="dxa"/>
            <w:vAlign w:val="center"/>
          </w:tcPr>
          <w:p w14:paraId="3BCB6DFC" w14:textId="77777777" w:rsidR="00427694" w:rsidRPr="0050749B" w:rsidRDefault="00427694" w:rsidP="0050749B">
            <w:pPr>
              <w:pStyle w:val="ProductList-OfferingBody"/>
              <w:jc w:val="center"/>
              <w:rPr>
                <w:rFonts w:cstheme="minorHAnsi"/>
              </w:rPr>
            </w:pPr>
            <w:bookmarkStart w:id="340" w:name="_Toc178003545"/>
            <w:r w:rsidRPr="0050749B">
              <w:rPr>
                <w:rFonts w:cstheme="minorHAnsi"/>
              </w:rPr>
              <w:t>&lt; 95 %</w:t>
            </w:r>
            <w:bookmarkEnd w:id="340"/>
          </w:p>
        </w:tc>
        <w:tc>
          <w:tcPr>
            <w:tcW w:w="5395" w:type="dxa"/>
            <w:vAlign w:val="center"/>
          </w:tcPr>
          <w:p w14:paraId="064742FA" w14:textId="77777777" w:rsidR="00427694" w:rsidRPr="0050749B" w:rsidRDefault="00427694" w:rsidP="0050749B">
            <w:pPr>
              <w:pStyle w:val="ProductList-OfferingBody"/>
              <w:jc w:val="center"/>
              <w:rPr>
                <w:rFonts w:cstheme="minorHAnsi"/>
              </w:rPr>
            </w:pPr>
            <w:bookmarkStart w:id="341" w:name="_Toc178003546"/>
            <w:r w:rsidRPr="0050749B">
              <w:rPr>
                <w:rFonts w:cstheme="minorHAnsi"/>
              </w:rPr>
              <w:t>10 %</w:t>
            </w:r>
            <w:bookmarkEnd w:id="341"/>
          </w:p>
        </w:tc>
      </w:tr>
      <w:tr w:rsidR="00427694" w:rsidRPr="008A6F08" w14:paraId="06C9C063" w14:textId="77777777" w:rsidTr="000A3F1F">
        <w:tc>
          <w:tcPr>
            <w:tcW w:w="5395" w:type="dxa"/>
            <w:vAlign w:val="center"/>
          </w:tcPr>
          <w:p w14:paraId="37F7D53D" w14:textId="77777777" w:rsidR="00427694" w:rsidRPr="0050749B" w:rsidRDefault="00427694" w:rsidP="0050749B">
            <w:pPr>
              <w:pStyle w:val="ProductList-OfferingBody"/>
              <w:jc w:val="center"/>
              <w:rPr>
                <w:rFonts w:cstheme="minorHAnsi"/>
              </w:rPr>
            </w:pPr>
            <w:bookmarkStart w:id="342" w:name="_Toc178003547"/>
            <w:r w:rsidRPr="0050749B">
              <w:rPr>
                <w:rFonts w:cstheme="minorHAnsi"/>
              </w:rPr>
              <w:t>&lt; 90 %</w:t>
            </w:r>
            <w:bookmarkEnd w:id="342"/>
          </w:p>
        </w:tc>
        <w:tc>
          <w:tcPr>
            <w:tcW w:w="5395" w:type="dxa"/>
            <w:vAlign w:val="center"/>
          </w:tcPr>
          <w:p w14:paraId="39BC45AD" w14:textId="77777777" w:rsidR="00427694" w:rsidRPr="0050749B" w:rsidRDefault="00427694" w:rsidP="0050749B">
            <w:pPr>
              <w:pStyle w:val="ProductList-OfferingBody"/>
              <w:jc w:val="center"/>
              <w:rPr>
                <w:rFonts w:cstheme="minorHAnsi"/>
              </w:rPr>
            </w:pPr>
            <w:bookmarkStart w:id="343" w:name="_Toc178003548"/>
            <w:r w:rsidRPr="0050749B">
              <w:rPr>
                <w:rFonts w:cstheme="minorHAnsi"/>
              </w:rPr>
              <w:t>30 %</w:t>
            </w:r>
            <w:bookmarkEnd w:id="343"/>
          </w:p>
        </w:tc>
      </w:tr>
    </w:tbl>
    <w:p w14:paraId="4B70CCFB" w14:textId="77777777" w:rsidR="00427694" w:rsidRPr="00C15776" w:rsidRDefault="00427694" w:rsidP="0042769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577520E5" w14:textId="2F227349" w:rsidR="00CE29C1" w:rsidRPr="00042CC1" w:rsidRDefault="00CE29C1" w:rsidP="00CE29C1">
      <w:pPr>
        <w:pStyle w:val="ProductList-Offering2Heading"/>
        <w:keepNext/>
        <w:tabs>
          <w:tab w:val="clear" w:pos="360"/>
          <w:tab w:val="clear" w:pos="720"/>
          <w:tab w:val="clear" w:pos="1080"/>
        </w:tabs>
        <w:outlineLvl w:val="2"/>
      </w:pPr>
      <w:bookmarkStart w:id="344" w:name="_Toc195543145"/>
      <w:bookmarkStart w:id="345" w:name="_Toc237449003"/>
      <w:r>
        <w:t>Event Grid</w:t>
      </w:r>
      <w:bookmarkEnd w:id="316"/>
      <w:bookmarkEnd w:id="317"/>
      <w:bookmarkEnd w:id="344"/>
      <w:bookmarkEnd w:id="345"/>
    </w:p>
    <w:p w14:paraId="437BE5B4" w14:textId="77777777" w:rsidR="00CE29C1" w:rsidRPr="00620CAD" w:rsidRDefault="00CE29C1" w:rsidP="00CE29C1">
      <w:pPr>
        <w:pStyle w:val="ProductList-Body"/>
        <w:rPr>
          <w:szCs w:val="18"/>
        </w:rPr>
      </w:pPr>
      <w:r w:rsidRPr="00620CAD">
        <w:rPr>
          <w:b/>
          <w:color w:val="00188F"/>
          <w:szCs w:val="18"/>
        </w:rPr>
        <w:t>Zusätzliche Definitionen</w:t>
      </w:r>
      <w:r w:rsidRPr="00620CAD">
        <w:rPr>
          <w:b/>
          <w:bCs/>
          <w:color w:val="00188F"/>
          <w:szCs w:val="18"/>
        </w:rPr>
        <w:t>:</w:t>
      </w:r>
    </w:p>
    <w:p w14:paraId="0328158B" w14:textId="71D92E00" w:rsidR="00CE29C1" w:rsidRPr="00620CAD" w:rsidRDefault="00CE29C1" w:rsidP="00CE29C1">
      <w:pPr>
        <w:spacing w:after="0"/>
        <w:rPr>
          <w:rFonts w:eastAsiaTheme="minorEastAsia"/>
          <w:sz w:val="18"/>
          <w:szCs w:val="18"/>
          <w:lang w:eastAsia="zh-TW"/>
        </w:rPr>
      </w:pPr>
      <w:r w:rsidRPr="00620CAD">
        <w:rPr>
          <w:sz w:val="18"/>
          <w:szCs w:val="18"/>
        </w:rPr>
        <w:t>„</w:t>
      </w:r>
      <w:r w:rsidRPr="00620CAD">
        <w:rPr>
          <w:rFonts w:eastAsiaTheme="minorEastAsia"/>
          <w:b/>
          <w:color w:val="00188F"/>
          <w:sz w:val="18"/>
          <w:szCs w:val="18"/>
        </w:rPr>
        <w:t>Maximal Verfügbare Minuten</w:t>
      </w:r>
      <w:r w:rsidRPr="00620CAD">
        <w:rPr>
          <w:sz w:val="18"/>
          <w:szCs w:val="18"/>
        </w:rPr>
        <w:t>“ is</w:t>
      </w:r>
      <w:r w:rsidRPr="00620CAD">
        <w:rPr>
          <w:rFonts w:eastAsiaTheme="minorEastAsia"/>
          <w:sz w:val="18"/>
          <w:szCs w:val="18"/>
        </w:rPr>
        <w:t>t die Gesamtzahl der Minuten, die ein Event Grid vom Kunden in einem Microsoft Azure-Abonnement während eines Anwendbaren Zeitraums bereitgestellt wurde.</w:t>
      </w:r>
    </w:p>
    <w:p w14:paraId="33CF1F3B" w14:textId="77777777" w:rsidR="00CE29C1" w:rsidRPr="00620CAD" w:rsidRDefault="00CE29C1" w:rsidP="00CE29C1">
      <w:pPr>
        <w:spacing w:after="0"/>
        <w:rPr>
          <w:rFonts w:eastAsiaTheme="minorEastAsia"/>
          <w:sz w:val="18"/>
          <w:szCs w:val="18"/>
          <w:lang w:eastAsia="zh-TW"/>
        </w:rPr>
      </w:pPr>
      <w:r w:rsidRPr="00620CAD">
        <w:rPr>
          <w:sz w:val="18"/>
          <w:szCs w:val="18"/>
        </w:rPr>
        <w:t>„</w:t>
      </w:r>
      <w:r w:rsidRPr="00620CAD">
        <w:rPr>
          <w:rFonts w:eastAsiaTheme="minorEastAsia"/>
          <w:b/>
          <w:color w:val="00188F"/>
          <w:sz w:val="18"/>
          <w:szCs w:val="18"/>
        </w:rPr>
        <w:t>Ausfallzeit</w:t>
      </w:r>
      <w:r w:rsidRPr="00620CAD">
        <w:rPr>
          <w:sz w:val="18"/>
          <w:szCs w:val="18"/>
        </w:rPr>
        <w:t xml:space="preserve">“ </w:t>
      </w:r>
      <w:r w:rsidRPr="00620CAD">
        <w:rPr>
          <w:rFonts w:eastAsiaTheme="minorEastAsia"/>
          <w:sz w:val="18"/>
          <w:szCs w:val="18"/>
        </w:rPr>
        <w:t>ist die Gesamtzahl der Minuten innerhalb der Maximal verfügbaren Minuten in allen Event-Grids, die der Kunde in einem bestimmten Microsoft Azure-Abonnement, in dem das Event Grid nicht verfügbar ist, bereitstellt. Eine Minute gilt als nicht verfügbar für ein bestimmtes Event Grid, wenn alle Anforderungen zur Veröffentlichung einer Nachricht entweder einen Fehlercode zurücksenden oder nicht innerhalb einer Minute zu einem Erfolgscode führen.</w:t>
      </w:r>
    </w:p>
    <w:p w14:paraId="2BEDFAF2" w14:textId="25659030" w:rsidR="00CE29C1" w:rsidRPr="00620CAD" w:rsidRDefault="00CE29C1" w:rsidP="00CE29C1">
      <w:pPr>
        <w:pStyle w:val="ProductList-Body"/>
        <w:rPr>
          <w:szCs w:val="18"/>
        </w:rPr>
      </w:pPr>
      <w:r w:rsidRPr="00620CAD">
        <w:rPr>
          <w:szCs w:val="18"/>
        </w:rPr>
        <w:t>„</w:t>
      </w:r>
      <w:r w:rsidRPr="00620CAD">
        <w:rPr>
          <w:b/>
          <w:color w:val="00188F"/>
          <w:szCs w:val="18"/>
        </w:rPr>
        <w:t>Betriebszeitprozentsatz</w:t>
      </w:r>
      <w:r w:rsidRPr="00620CAD">
        <w:rPr>
          <w:szCs w:val="18"/>
        </w:rPr>
        <w:t>“</w:t>
      </w:r>
      <w:r w:rsidRPr="00620CAD">
        <w:rPr>
          <w:b/>
          <w:bCs/>
          <w:color w:val="00188F"/>
          <w:szCs w:val="18"/>
        </w:rPr>
        <w:t>:</w:t>
      </w:r>
      <w:r w:rsidRPr="00620CAD">
        <w:rPr>
          <w:szCs w:val="18"/>
        </w:rPr>
        <w:t xml:space="preserve"> Der Betriebszeitprozentsatz errechnet sich nach folgender Formel:</w:t>
      </w:r>
    </w:p>
    <w:p w14:paraId="79284E66" w14:textId="5F3086A3" w:rsidR="00CE29C1" w:rsidRPr="00D730E5" w:rsidRDefault="00000000" w:rsidP="000D262E">
      <w:pPr>
        <w:spacing w:before="120" w:after="0" w:line="240" w:lineRule="auto"/>
        <w:jc w:val="both"/>
        <w:rPr>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1A548F73" w14:textId="77777777" w:rsidR="00CE29C1" w:rsidRPr="00042CC1" w:rsidRDefault="00CE29C1" w:rsidP="00FD5737">
      <w:pPr>
        <w:pStyle w:val="ProductList-Body"/>
        <w:keepNext/>
      </w:pPr>
      <w:r>
        <w:rPr>
          <w:b/>
          <w:color w:val="00188F"/>
        </w:rPr>
        <w:t>Servicegutschrift</w:t>
      </w:r>
      <w:r w:rsidRPr="0008262F">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E29C1" w:rsidRPr="00B44CF9" w14:paraId="19BFCD1C" w14:textId="77777777" w:rsidTr="00277097">
        <w:trPr>
          <w:tblHeader/>
        </w:trPr>
        <w:tc>
          <w:tcPr>
            <w:tcW w:w="5400" w:type="dxa"/>
            <w:shd w:val="clear" w:color="auto" w:fill="0072C6"/>
          </w:tcPr>
          <w:p w14:paraId="390FF3F0" w14:textId="445941A7" w:rsidR="00CE29C1" w:rsidRPr="00042CC1"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340E0AC4" w14:textId="77777777" w:rsidR="00CE29C1" w:rsidRPr="00042CC1" w:rsidRDefault="00CE29C1" w:rsidP="000F31B4">
            <w:pPr>
              <w:pStyle w:val="ProductList-OfferingBody"/>
              <w:jc w:val="center"/>
              <w:rPr>
                <w:color w:val="FFFFFF" w:themeColor="background1"/>
              </w:rPr>
            </w:pPr>
            <w:r>
              <w:rPr>
                <w:color w:val="FFFFFF" w:themeColor="background1"/>
              </w:rPr>
              <w:t>Servicegutschrift</w:t>
            </w:r>
          </w:p>
        </w:tc>
      </w:tr>
      <w:tr w:rsidR="00CE29C1" w:rsidRPr="00B44CF9" w14:paraId="62ABD52C" w14:textId="77777777" w:rsidTr="00277097">
        <w:trPr>
          <w:trHeight w:val="175"/>
        </w:trPr>
        <w:tc>
          <w:tcPr>
            <w:tcW w:w="5400" w:type="dxa"/>
          </w:tcPr>
          <w:p w14:paraId="6E2C5EB8" w14:textId="73D2546A" w:rsidR="00CE29C1" w:rsidRPr="00D730E5" w:rsidRDefault="00CE29C1" w:rsidP="000F31B4">
            <w:pPr>
              <w:pStyle w:val="ProductList-OfferingBody"/>
              <w:jc w:val="center"/>
            </w:pPr>
            <w:r>
              <w:t>&lt;</w:t>
            </w:r>
            <w:r w:rsidR="00EA5BFD">
              <w:t xml:space="preserve"> </w:t>
            </w:r>
            <w:r>
              <w:t>99,99 %</w:t>
            </w:r>
          </w:p>
        </w:tc>
        <w:tc>
          <w:tcPr>
            <w:tcW w:w="5400" w:type="dxa"/>
          </w:tcPr>
          <w:p w14:paraId="373AB7D9" w14:textId="77777777" w:rsidR="00CE29C1" w:rsidRPr="00D730E5" w:rsidRDefault="00CE29C1" w:rsidP="000F31B4">
            <w:pPr>
              <w:pStyle w:val="ProductList-OfferingBody"/>
              <w:tabs>
                <w:tab w:val="left" w:pos="905"/>
                <w:tab w:val="center" w:pos="2635"/>
              </w:tabs>
              <w:jc w:val="center"/>
            </w:pPr>
            <w:r>
              <w:t>10 %</w:t>
            </w:r>
          </w:p>
        </w:tc>
      </w:tr>
      <w:tr w:rsidR="00CE29C1" w:rsidRPr="00B44CF9" w14:paraId="38780FDF" w14:textId="77777777" w:rsidTr="00277097">
        <w:trPr>
          <w:trHeight w:val="174"/>
        </w:trPr>
        <w:tc>
          <w:tcPr>
            <w:tcW w:w="5400" w:type="dxa"/>
          </w:tcPr>
          <w:p w14:paraId="751DF4EA" w14:textId="77777777" w:rsidR="00CE29C1" w:rsidRPr="00D730E5" w:rsidRDefault="00CE29C1" w:rsidP="000F31B4">
            <w:pPr>
              <w:pStyle w:val="ProductList-OfferingBody"/>
              <w:jc w:val="center"/>
            </w:pPr>
            <w:r>
              <w:t>&lt; 99 %</w:t>
            </w:r>
          </w:p>
        </w:tc>
        <w:tc>
          <w:tcPr>
            <w:tcW w:w="5400" w:type="dxa"/>
          </w:tcPr>
          <w:p w14:paraId="19499F7C" w14:textId="77777777" w:rsidR="00CE29C1" w:rsidRPr="00D730E5" w:rsidRDefault="00CE29C1" w:rsidP="000F31B4">
            <w:pPr>
              <w:pStyle w:val="ProductList-OfferingBody"/>
              <w:jc w:val="center"/>
            </w:pPr>
            <w:r>
              <w:t>25 %</w:t>
            </w:r>
          </w:p>
        </w:tc>
      </w:tr>
    </w:tbl>
    <w:bookmarkStart w:id="346" w:name="_Toc457821571"/>
    <w:bookmarkStart w:id="347" w:name="_Toc52348981"/>
    <w:p w14:paraId="0E1FBD50" w14:textId="4397F873"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207B4770" w14:textId="77777777" w:rsidR="006119F9" w:rsidRPr="00CB5974" w:rsidRDefault="006119F9" w:rsidP="00CB5974">
      <w:pPr>
        <w:pStyle w:val="ProductList-Offering2Heading"/>
      </w:pPr>
      <w:bookmarkStart w:id="348" w:name="_Toc237449004"/>
      <w:bookmarkStart w:id="349" w:name="_Toc195543146"/>
      <w:r w:rsidRPr="00CB5974">
        <w:t>Geo Redundant Storage (GRS) – Prioritätsreplikation</w:t>
      </w:r>
      <w:bookmarkEnd w:id="348"/>
    </w:p>
    <w:p w14:paraId="34705793" w14:textId="77777777" w:rsidR="006119F9" w:rsidRPr="00926E76" w:rsidRDefault="006119F9" w:rsidP="006119F9">
      <w:pPr>
        <w:spacing w:after="0" w:line="240" w:lineRule="auto"/>
        <w:textAlignment w:val="baseline"/>
        <w:rPr>
          <w:rFonts w:ascii="Segoe UI" w:eastAsia="Times New Roman" w:hAnsi="Segoe UI" w:cs="Segoe UI"/>
          <w:sz w:val="18"/>
          <w:szCs w:val="18"/>
        </w:rPr>
      </w:pPr>
      <w:r>
        <w:rPr>
          <w:rFonts w:ascii="Calibri" w:eastAsia="Times New Roman" w:hAnsi="Calibri" w:cs="Calibri"/>
          <w:color w:val="000000"/>
          <w:sz w:val="18"/>
          <w:szCs w:val="18"/>
        </w:rPr>
        <w:t>Diese SLA gilt für alle geografisch redundanten Speicher- oder geografisch zonenredundanten Speicher-Konten, bei denen die Geo-Prioritätsreplikation aktiviert ist.</w:t>
      </w:r>
    </w:p>
    <w:p w14:paraId="54DC6B9B" w14:textId="77777777" w:rsidR="006119F9" w:rsidRDefault="006119F9" w:rsidP="006119F9">
      <w:pPr>
        <w:spacing w:after="0" w:line="240" w:lineRule="auto"/>
        <w:rPr>
          <w:rFonts w:ascii="Calibri" w:eastAsia="Calibri" w:hAnsi="Calibri" w:cs="Calibri"/>
          <w:b/>
          <w:bCs/>
          <w:color w:val="00188F"/>
          <w:sz w:val="18"/>
          <w:szCs w:val="18"/>
        </w:rPr>
      </w:pPr>
    </w:p>
    <w:p w14:paraId="271904E8" w14:textId="77777777" w:rsidR="006119F9" w:rsidRPr="00A15C3C" w:rsidRDefault="006119F9" w:rsidP="006119F9">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Zusätzliche Definitionen:</w:t>
      </w:r>
    </w:p>
    <w:p w14:paraId="05DE0BD5" w14:textId="77777777" w:rsidR="006119F9" w:rsidRPr="00926E76" w:rsidRDefault="006119F9" w:rsidP="006119F9">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2060"/>
          <w:sz w:val="18"/>
          <w:szCs w:val="18"/>
        </w:rPr>
        <w:t>Minute mit Überschreitung der l</w:t>
      </w:r>
      <w:r>
        <w:rPr>
          <w:rFonts w:ascii="Calibri" w:eastAsia="Times New Roman" w:hAnsi="Calibri" w:cs="Calibri"/>
          <w:b/>
          <w:bCs/>
          <w:color w:val="00188F"/>
          <w:sz w:val="18"/>
          <w:szCs w:val="18"/>
        </w:rPr>
        <w:t>etzten Synchronisierungszeit (Last Sync Time, LST)</w:t>
      </w:r>
      <w:r>
        <w:rPr>
          <w:rFonts w:ascii="Calibri" w:eastAsia="Times New Roman" w:hAnsi="Calibri" w:cs="Calibri"/>
          <w:sz w:val="18"/>
          <w:szCs w:val="18"/>
        </w:rPr>
        <w:t>” ist jede Minute in einem Abrechnungsmonat, in der die letzte Synchronisierungszeit des geografisch redundanten Speicherkontos oder des geografisch zonenredundanten Speicherkontos für Block-Blob-Daten 15 Minuten überschreitet. </w:t>
      </w:r>
    </w:p>
    <w:p w14:paraId="32788BCC" w14:textId="77777777" w:rsidR="006119F9" w:rsidRPr="00926E76" w:rsidRDefault="006119F9" w:rsidP="006119F9">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Konto für geografisch redundanten Speicher” („Geographically Redundant Storage“ oder „GRS“</w:t>
      </w:r>
      <w:r>
        <w:rPr>
          <w:rFonts w:ascii="Calibri" w:eastAsia="Times New Roman" w:hAnsi="Calibri" w:cs="Calibri"/>
          <w:sz w:val="18"/>
          <w:szCs w:val="18"/>
        </w:rPr>
        <w:t xml:space="preserve"> ist ein Speicherkonto, für das Daten synchron in einer Primärregion und anschließend asynchron in einer Sekundärregion repliziert werden. Sie können keine Daten direkt in der Sekundären Region, die GRS-Konten zugeordnet ist, lesen oder schreiben. </w:t>
      </w:r>
    </w:p>
    <w:p w14:paraId="5597EB66" w14:textId="77777777" w:rsidR="006119F9" w:rsidRPr="00926E76" w:rsidRDefault="006119F9" w:rsidP="006119F9">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Konto für geografisch zonenredundanten Speicher” („Geographically Zone Redundant Storage“ oder „GZRS“)</w:t>
      </w:r>
      <w:r>
        <w:rPr>
          <w:rFonts w:ascii="Calibri" w:eastAsia="Times New Roman" w:hAnsi="Calibri" w:cs="Calibri"/>
          <w:sz w:val="18"/>
          <w:szCs w:val="18"/>
        </w:rPr>
        <w:t xml:space="preserve"> ist ein Speicherkonto, für das Daten mithilfe von zonenredundantem Speicher innerhalb einer primären Region über mehrere Einrichtungen hinweg repliziert und anschließend mithilfe von lokal redundantem Speicher asynchron in eine sekundäre Region repliziert werden. Sie können keine Daten direkt in der Sekundären Region, die GZRS-Konten zugeordnet ist, lesen oder schreiben. </w:t>
      </w:r>
    </w:p>
    <w:p w14:paraId="402E7D2C" w14:textId="77777777" w:rsidR="006119F9" w:rsidRPr="00926E76" w:rsidRDefault="006119F9" w:rsidP="006119F9">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Letzte Synchronisierungszeit</w:t>
      </w:r>
      <w:r>
        <w:rPr>
          <w:rFonts w:ascii="Calibri" w:eastAsia="Times New Roman" w:hAnsi="Calibri" w:cs="Calibri"/>
          <w:sz w:val="18"/>
          <w:szCs w:val="18"/>
        </w:rPr>
        <w:t>“ gibt an, wann zuletzt die vollständige Datensynchronisierung aus der primären Region erfolgreich in die sekundäre Region repliziert wurde. Alle Schreibvorgänge in der primären Region vor der letzten Synchronisierungszeit stehen zum Lesen in der sekundären Region zur Verfügung. . </w:t>
      </w:r>
    </w:p>
    <w:p w14:paraId="5284E803" w14:textId="77777777" w:rsidR="006119F9" w:rsidRPr="00926E76" w:rsidRDefault="006119F9" w:rsidP="006119F9">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Konto für lokal redundanten Speicher” (Locally Redundant Storage, LRS)</w:t>
      </w:r>
      <w:r>
        <w:rPr>
          <w:rFonts w:ascii="Calibri" w:eastAsia="Times New Roman" w:hAnsi="Calibri" w:cs="Calibri"/>
          <w:sz w:val="18"/>
          <w:szCs w:val="18"/>
        </w:rPr>
        <w:t xml:space="preserve"> ist ein Speicherkonto, für das Daten nur innerhalb einer Primärregion synchron repliziert werden. </w:t>
      </w:r>
    </w:p>
    <w:p w14:paraId="4FC58B90" w14:textId="77777777" w:rsidR="006119F9" w:rsidRPr="00926E76" w:rsidRDefault="006119F9" w:rsidP="006119F9">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lastRenderedPageBreak/>
        <w:t>„</w:t>
      </w:r>
      <w:r>
        <w:rPr>
          <w:rFonts w:ascii="Calibri" w:eastAsia="Times New Roman" w:hAnsi="Calibri" w:cs="Calibri"/>
          <w:b/>
          <w:bCs/>
          <w:color w:val="00188F"/>
          <w:sz w:val="18"/>
          <w:szCs w:val="18"/>
        </w:rPr>
        <w:t>Maximal verfügbare Minuten</w:t>
      </w:r>
      <w:r>
        <w:rPr>
          <w:rFonts w:ascii="Calibri" w:eastAsia="Times New Roman" w:hAnsi="Calibri" w:cs="Calibri"/>
          <w:sz w:val="18"/>
          <w:szCs w:val="18"/>
        </w:rPr>
        <w:t>“ ist die Gesamtzahl der Minuten, die ein geografisch redundantes Speicherkonto oder ein geografisch zonenredundantes Speicherkonto mit aktivierter Geoprioritätsreplikation vom Kunden in einem Microsoft Azure-Abonnement während eines Abrechnungsmonats bereitgestellt wurde. </w:t>
      </w:r>
    </w:p>
    <w:p w14:paraId="6887F04C" w14:textId="77777777" w:rsidR="006119F9" w:rsidRPr="00926E76" w:rsidRDefault="006119F9" w:rsidP="006119F9">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Primärregion</w:t>
      </w:r>
      <w:r>
        <w:rPr>
          <w:rFonts w:ascii="Calibri" w:eastAsia="Times New Roman" w:hAnsi="Calibri" w:cs="Calibri"/>
          <w:sz w:val="18"/>
          <w:szCs w:val="18"/>
        </w:rPr>
        <w:t>“ ist eine geografische Region, in der sich die Daten innerhalb eines Speicherkontos befinden, wie von Ihnen beim Erstellen des Speicherkontos ausgewählt. Sie können Schreibanforderungen nur für Daten ausführen, die in der den Speicherkonten zugeordneten Primären Region gespeichert sind. </w:t>
      </w:r>
    </w:p>
    <w:p w14:paraId="421A7D69" w14:textId="77777777" w:rsidR="006119F9" w:rsidRPr="00926E76" w:rsidRDefault="006119F9" w:rsidP="006119F9">
      <w:pPr>
        <w:spacing w:after="0" w:line="240" w:lineRule="auto"/>
        <w:textAlignment w:val="baseline"/>
        <w:rPr>
          <w:rFonts w:ascii="Segoe UI" w:eastAsia="Times New Roman" w:hAnsi="Segoe UI" w:cs="Segoe UI"/>
          <w:sz w:val="18"/>
          <w:szCs w:val="18"/>
        </w:rPr>
      </w:pPr>
      <w:r>
        <w:rPr>
          <w:rFonts w:ascii="Calibri" w:eastAsia="Times New Roman" w:hAnsi="Calibri" w:cs="Calibri"/>
          <w:b/>
          <w:bCs/>
          <w:color w:val="00188F"/>
          <w:sz w:val="18"/>
          <w:szCs w:val="18"/>
        </w:rPr>
        <w:t>„Lesezugriff Geografisch redundanter Speicher” („Read Access Geographically Redundant Storage“ oder „RA-GRS“)</w:t>
      </w:r>
      <w:r>
        <w:rPr>
          <w:rFonts w:ascii="Calibri" w:eastAsia="Times New Roman" w:hAnsi="Calibri" w:cs="Calibri"/>
          <w:sz w:val="18"/>
          <w:szCs w:val="18"/>
        </w:rPr>
        <w:t xml:space="preserve"> ist ein Speicherkonto, für das Daten synchron in einer Primärregion und anschließend asynchron in einer Sekundärregion repliziert werden. Sie können Daten direkt in der Sekundären Region, die RA-GRS-Konten zugeordnet ist, lesen, aber nicht schreiben. </w:t>
      </w:r>
    </w:p>
    <w:p w14:paraId="0D49EAE8" w14:textId="77777777" w:rsidR="006119F9" w:rsidRPr="00926E76" w:rsidRDefault="006119F9" w:rsidP="006119F9">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Lesezugriff – Konto für geografisch zonenredundanten Speicher” („Read Access Geographically Zone Redundant Storage“ oder „RA-GZRS“)</w:t>
      </w:r>
      <w:r>
        <w:rPr>
          <w:rFonts w:ascii="Calibri" w:eastAsia="Times New Roman" w:hAnsi="Calibri" w:cs="Calibri"/>
          <w:sz w:val="18"/>
          <w:szCs w:val="18"/>
        </w:rPr>
        <w:t xml:space="preserve"> ist ein Speicherkonto, für das Daten mithilfe von zonenredundantem Speicher innerhalb einer primären Region über mehrere Einrichtungen hinweg repliziert und anschließend mithilfe von lokal redundantem Speicher asynchron in eine sekundäre Region repliziert werden. Sie können Daten direkt in der Sekundären Region, die RA-GZRS-Konten zugeordnet ist, lesen, aber nicht schreiben. </w:t>
      </w:r>
    </w:p>
    <w:p w14:paraId="67C57DE0" w14:textId="77777777" w:rsidR="006119F9" w:rsidRPr="00926E76" w:rsidRDefault="006119F9" w:rsidP="006119F9">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Sekundärregion</w:t>
      </w:r>
      <w:r>
        <w:rPr>
          <w:rFonts w:ascii="Calibri" w:eastAsia="Times New Roman" w:hAnsi="Calibri" w:cs="Calibri"/>
          <w:sz w:val="18"/>
          <w:szCs w:val="18"/>
        </w:rPr>
        <w:t>” ist eine geografische Region, in der Daten innerhalb eines GRS- oder RA-GZRS-Kontos repliziert und gespeichert werden, wie von Microsoft Azure auf der Grundlage der mit dem Speicherkonto verbundenen Primärregion zugewiesen. Sie können die den Speicherkonten zugeordnete Sekundärregion nicht angeben. </w:t>
      </w:r>
    </w:p>
    <w:p w14:paraId="1E7AF20A" w14:textId="77777777" w:rsidR="006119F9" w:rsidRPr="00926E76" w:rsidRDefault="006119F9" w:rsidP="006119F9">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Konto in Bezug auf Zonenredundanten Speicher („Zone Redundant Storage“ oder „ZRS“)</w:t>
      </w:r>
      <w:r>
        <w:rPr>
          <w:rFonts w:ascii="Calibri" w:eastAsia="Times New Roman" w:hAnsi="Calibri" w:cs="Calibri"/>
          <w:sz w:val="18"/>
          <w:szCs w:val="18"/>
        </w:rPr>
        <w:t>“ ist ein Speicherkonto, für das Daten über mehrere Einrichtungen repliziert werden. Diese Einrichtungen können in der gleichen geografischen Region liegen oder sich über zwei geografische Regionen erstrecken. </w:t>
      </w:r>
    </w:p>
    <w:p w14:paraId="6DA4202E" w14:textId="77777777" w:rsidR="006119F9" w:rsidRDefault="006119F9" w:rsidP="006119F9">
      <w:p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 xml:space="preserve">„Monatlicher </w:t>
      </w:r>
      <w:r>
        <w:rPr>
          <w:rFonts w:ascii="Calibri" w:eastAsia="Times New Roman" w:hAnsi="Calibri" w:cs="Calibri"/>
          <w:b/>
          <w:bCs/>
          <w:color w:val="00188F"/>
          <w:sz w:val="18"/>
          <w:szCs w:val="18"/>
        </w:rPr>
        <w:t>Konformitätsprozentsatz</w:t>
      </w:r>
      <w:r>
        <w:rPr>
          <w:rFonts w:ascii="Calibri" w:eastAsia="Times New Roman" w:hAnsi="Calibri" w:cs="Calibri"/>
          <w:sz w:val="18"/>
          <w:szCs w:val="18"/>
        </w:rPr>
        <w:t>”: Der monatliche Konformitätsprozentsatz wird mithilfe der folgenden Formel berechnet: </w:t>
      </w:r>
    </w:p>
    <w:p w14:paraId="4C73678A" w14:textId="77777777" w:rsidR="006119F9" w:rsidRPr="00EF7CF9" w:rsidRDefault="00000000" w:rsidP="006119F9">
      <w:pPr>
        <w:pStyle w:val="ListParagraph"/>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Maximal verfügbare Minuten – Minute mit Überschreitung der letzten Synchronisierungszeit</m:t>
              </m:r>
            </m:num>
            <m:den>
              <m:r>
                <m:rPr>
                  <m:nor/>
                </m:rPr>
                <w:rPr>
                  <w:rFonts w:ascii="Cambria Math" w:hAnsi="Cambria Math" w:cs="Tahoma"/>
                  <w:i/>
                  <w:sz w:val="18"/>
                  <w:szCs w:val="18"/>
                </w:rPr>
                <m:t>Maximal verfügbare Minuten</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2580974" w14:textId="77777777" w:rsidR="006119F9" w:rsidRPr="0036053F" w:rsidRDefault="006119F9" w:rsidP="006119F9">
      <w:pPr>
        <w:pStyle w:val="ProductList-Body"/>
        <w:rPr>
          <w:rFonts w:ascii="Calibri" w:hAnsi="Calibri" w:cs="Calibri"/>
        </w:rPr>
      </w:pPr>
      <w:r>
        <w:rPr>
          <w:rFonts w:ascii="Calibri" w:hAnsi="Calibri" w:cs="Calibri"/>
          <w:b/>
          <w:color w:val="00188F"/>
        </w:rPr>
        <w:t>Servicegutschrift</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119F9" w:rsidRPr="00B44CF9" w14:paraId="64609649" w14:textId="77777777" w:rsidTr="000B7A4E">
        <w:trPr>
          <w:trHeight w:val="245"/>
          <w:tblHeader/>
        </w:trPr>
        <w:tc>
          <w:tcPr>
            <w:tcW w:w="5400" w:type="dxa"/>
            <w:shd w:val="clear" w:color="auto" w:fill="0072C6"/>
          </w:tcPr>
          <w:p w14:paraId="066F6556" w14:textId="77777777" w:rsidR="006119F9" w:rsidRPr="0084755E" w:rsidRDefault="006119F9" w:rsidP="000B7A4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Konformitätsprozentsatz</w:t>
            </w:r>
          </w:p>
        </w:tc>
        <w:tc>
          <w:tcPr>
            <w:tcW w:w="5400" w:type="dxa"/>
            <w:shd w:val="clear" w:color="auto" w:fill="0072C6"/>
          </w:tcPr>
          <w:p w14:paraId="7A8F3E93" w14:textId="77777777" w:rsidR="006119F9" w:rsidRPr="0084755E" w:rsidRDefault="006119F9" w:rsidP="000B7A4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Servicegutschrift</w:t>
            </w:r>
          </w:p>
        </w:tc>
      </w:tr>
      <w:tr w:rsidR="006119F9" w:rsidRPr="00B44CF9" w14:paraId="2888E74E" w14:textId="77777777" w:rsidTr="000B7A4E">
        <w:trPr>
          <w:trHeight w:val="245"/>
        </w:trPr>
        <w:tc>
          <w:tcPr>
            <w:tcW w:w="5400" w:type="dxa"/>
          </w:tcPr>
          <w:p w14:paraId="68725A0A" w14:textId="77777777" w:rsidR="006119F9" w:rsidRPr="0084755E" w:rsidRDefault="006119F9" w:rsidP="000B7A4E">
            <w:pPr>
              <w:pStyle w:val="ProductList-OfferingBody"/>
              <w:jc w:val="center"/>
              <w:rPr>
                <w:rFonts w:ascii="Calibri" w:hAnsi="Calibri" w:cs="Calibri"/>
                <w:szCs w:val="16"/>
              </w:rPr>
            </w:pPr>
            <w:r>
              <w:rPr>
                <w:rFonts w:ascii="Calibri" w:eastAsia="Times New Roman" w:hAnsi="Calibri" w:cs="Calibri"/>
                <w:szCs w:val="16"/>
              </w:rPr>
              <w:t>Weniger als 99,00 % und mindestens 95,00 % </w:t>
            </w:r>
          </w:p>
        </w:tc>
        <w:tc>
          <w:tcPr>
            <w:tcW w:w="5400" w:type="dxa"/>
          </w:tcPr>
          <w:p w14:paraId="05F52494" w14:textId="77777777" w:rsidR="006119F9" w:rsidRPr="0084755E" w:rsidRDefault="006119F9" w:rsidP="000B7A4E">
            <w:pPr>
              <w:pStyle w:val="ProductList-OfferingBody"/>
              <w:jc w:val="center"/>
              <w:rPr>
                <w:rFonts w:ascii="Calibri" w:hAnsi="Calibri" w:cs="Calibri"/>
                <w:szCs w:val="16"/>
              </w:rPr>
            </w:pPr>
            <w:r>
              <w:rPr>
                <w:rFonts w:ascii="Calibri" w:hAnsi="Calibri" w:cs="Calibri"/>
                <w:szCs w:val="16"/>
              </w:rPr>
              <w:t>10%</w:t>
            </w:r>
          </w:p>
        </w:tc>
      </w:tr>
      <w:tr w:rsidR="006119F9" w:rsidRPr="00B44CF9" w14:paraId="451A3019" w14:textId="77777777" w:rsidTr="000B7A4E">
        <w:trPr>
          <w:trHeight w:val="245"/>
        </w:trPr>
        <w:tc>
          <w:tcPr>
            <w:tcW w:w="5400" w:type="dxa"/>
          </w:tcPr>
          <w:p w14:paraId="271E7540" w14:textId="77777777" w:rsidR="006119F9" w:rsidRPr="0084755E" w:rsidRDefault="006119F9" w:rsidP="000B7A4E">
            <w:pPr>
              <w:pStyle w:val="ProductList-OfferingBody"/>
              <w:jc w:val="center"/>
              <w:rPr>
                <w:rFonts w:ascii="Calibri" w:hAnsi="Calibri" w:cs="Calibri"/>
                <w:szCs w:val="16"/>
              </w:rPr>
            </w:pPr>
            <w:r>
              <w:rPr>
                <w:rFonts w:ascii="Calibri" w:eastAsia="Times New Roman" w:hAnsi="Calibri" w:cs="Calibri"/>
                <w:szCs w:val="16"/>
              </w:rPr>
              <w:t>Weniger als 95,00 % und mindestens 90,00 % </w:t>
            </w:r>
          </w:p>
        </w:tc>
        <w:tc>
          <w:tcPr>
            <w:tcW w:w="5400" w:type="dxa"/>
          </w:tcPr>
          <w:p w14:paraId="5684F0E4" w14:textId="77777777" w:rsidR="006119F9" w:rsidRPr="0084755E" w:rsidRDefault="006119F9" w:rsidP="000B7A4E">
            <w:pPr>
              <w:pStyle w:val="ProductList-OfferingBody"/>
              <w:jc w:val="center"/>
              <w:rPr>
                <w:rFonts w:ascii="Calibri" w:hAnsi="Calibri" w:cs="Calibri"/>
                <w:szCs w:val="16"/>
              </w:rPr>
            </w:pPr>
            <w:r>
              <w:rPr>
                <w:rFonts w:ascii="Calibri" w:hAnsi="Calibri" w:cs="Calibri"/>
                <w:szCs w:val="16"/>
              </w:rPr>
              <w:t>25%</w:t>
            </w:r>
          </w:p>
        </w:tc>
      </w:tr>
      <w:tr w:rsidR="006119F9" w:rsidRPr="00B44CF9" w14:paraId="4C97BE92" w14:textId="77777777" w:rsidTr="000B7A4E">
        <w:trPr>
          <w:trHeight w:val="245"/>
        </w:trPr>
        <w:tc>
          <w:tcPr>
            <w:tcW w:w="5400" w:type="dxa"/>
          </w:tcPr>
          <w:p w14:paraId="18B3FDAF" w14:textId="77777777" w:rsidR="006119F9" w:rsidRPr="0084755E" w:rsidRDefault="006119F9" w:rsidP="000B7A4E">
            <w:pPr>
              <w:pStyle w:val="ProductList-OfferingBody"/>
              <w:jc w:val="center"/>
              <w:rPr>
                <w:rFonts w:ascii="Calibri" w:hAnsi="Calibri" w:cs="Calibri"/>
                <w:szCs w:val="16"/>
              </w:rPr>
            </w:pPr>
            <w:r>
              <w:rPr>
                <w:rFonts w:ascii="Calibri" w:eastAsia="Times New Roman" w:hAnsi="Calibri" w:cs="Calibri"/>
                <w:szCs w:val="16"/>
              </w:rPr>
              <w:t>&lt; 90,00 % </w:t>
            </w:r>
          </w:p>
        </w:tc>
        <w:tc>
          <w:tcPr>
            <w:tcW w:w="5400" w:type="dxa"/>
          </w:tcPr>
          <w:p w14:paraId="4C17EACE" w14:textId="77777777" w:rsidR="006119F9" w:rsidRPr="0084755E" w:rsidRDefault="006119F9" w:rsidP="000B7A4E">
            <w:pPr>
              <w:pStyle w:val="ProductList-OfferingBody"/>
              <w:jc w:val="center"/>
              <w:rPr>
                <w:rFonts w:ascii="Calibri" w:hAnsi="Calibri" w:cs="Calibri"/>
                <w:szCs w:val="16"/>
              </w:rPr>
            </w:pPr>
            <w:r>
              <w:rPr>
                <w:rFonts w:ascii="Calibri" w:hAnsi="Calibri" w:cs="Calibri"/>
                <w:szCs w:val="16"/>
              </w:rPr>
              <w:t>100%</w:t>
            </w:r>
          </w:p>
        </w:tc>
      </w:tr>
    </w:tbl>
    <w:p w14:paraId="7476C9CB" w14:textId="77777777" w:rsidR="006119F9" w:rsidRDefault="006119F9" w:rsidP="006119F9">
      <w:pPr>
        <w:spacing w:before="120" w:after="0" w:line="240" w:lineRule="auto"/>
        <w:textAlignment w:val="baseline"/>
        <w:rPr>
          <w:rFonts w:ascii="Calibri" w:eastAsia="Times New Roman" w:hAnsi="Calibri" w:cs="Calibri"/>
          <w:color w:val="000000"/>
          <w:sz w:val="18"/>
          <w:szCs w:val="18"/>
        </w:rPr>
      </w:pPr>
      <w:r>
        <w:rPr>
          <w:rFonts w:ascii="Calibri" w:eastAsia="Times New Roman" w:hAnsi="Calibri" w:cs="Calibri"/>
          <w:b/>
          <w:bCs/>
          <w:color w:val="00188F"/>
          <w:sz w:val="18"/>
          <w:szCs w:val="18"/>
        </w:rPr>
        <w:t>Ausnahmen für Servicelevel:</w:t>
      </w:r>
      <w:r>
        <w:rPr>
          <w:rFonts w:ascii="Calibri" w:eastAsia="Times New Roman" w:hAnsi="Calibri" w:cs="Calibri"/>
          <w:color w:val="000000"/>
          <w:sz w:val="18"/>
          <w:szCs w:val="18"/>
        </w:rPr>
        <w:t xml:space="preserve"> Diese SLA gilt nicht (i) für Speicherkonten, für die keine geografische Prioritätsreplikation aktiviert ist, (ii) für Speicherkonten, für die in den letzten 30 Tagen API-Aufrufe zum Anhängen oder zur Seitenblob-Anzeige durchgeführt wurden, (iii) für Speicherkonten, bei denen die letzte Synchronisierungszeit bei Aktivierung der geografischen Prioritätsreplikation mehr als 15 Minuten beträgt und die erst dann berechtigt sind, wenn die letzte Synchronisierungszeit des Kontos weniger als oder gleich 15 Minuten beträgt, oder (iv) während Zeiträumen, in denen (a) Ihre Datenübertragungsrate 1 Gigabit pro Sekunde (Gbps) überschreitet und der daraus resultierende Rückstand an Schreibvorgängen repliziert wird oder (b) wenn Ihre Copy-Blob-Anforderung 100 CopyBlob-Anforderungen pro Sekunde überschreitet und der daraus resultierende Rückstand an Schreibvorgängen repliziert wird.</w:t>
      </w:r>
    </w:p>
    <w:p w14:paraId="7AE65941" w14:textId="77777777" w:rsidR="00CB5974" w:rsidRPr="00D67F75" w:rsidRDefault="00CB5974" w:rsidP="00CB597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4E361F15" w14:textId="167AD42F" w:rsidR="00795604" w:rsidRPr="00EF7CF9" w:rsidRDefault="00795604" w:rsidP="00795604">
      <w:pPr>
        <w:pStyle w:val="ProductList-Offering2Heading"/>
        <w:keepNext/>
        <w:tabs>
          <w:tab w:val="clear" w:pos="360"/>
          <w:tab w:val="clear" w:pos="720"/>
          <w:tab w:val="clear" w:pos="1080"/>
        </w:tabs>
        <w:outlineLvl w:val="2"/>
      </w:pPr>
      <w:bookmarkStart w:id="350" w:name="_Toc237449005"/>
      <w:r>
        <w:t>Event Hubs</w:t>
      </w:r>
      <w:bookmarkEnd w:id="346"/>
      <w:bookmarkEnd w:id="347"/>
      <w:bookmarkEnd w:id="349"/>
      <w:bookmarkEnd w:id="350"/>
    </w:p>
    <w:p w14:paraId="0D535102" w14:textId="77777777" w:rsidR="00795604" w:rsidRPr="00EF7CF9" w:rsidRDefault="00795604" w:rsidP="00795604">
      <w:pPr>
        <w:pStyle w:val="ProductList-Body"/>
      </w:pPr>
      <w:r>
        <w:rPr>
          <w:b/>
          <w:color w:val="00188F"/>
        </w:rPr>
        <w:t>Zusätzliche Definitionen</w:t>
      </w:r>
      <w:r w:rsidRPr="0008262F">
        <w:rPr>
          <w:b/>
          <w:bCs/>
          <w:color w:val="00188F"/>
        </w:rPr>
        <w:t>:</w:t>
      </w:r>
    </w:p>
    <w:p w14:paraId="50576E2D" w14:textId="77777777" w:rsidR="00795604" w:rsidRPr="00EF7CF9" w:rsidRDefault="00795604" w:rsidP="00795604">
      <w:pPr>
        <w:pStyle w:val="ProductList-Body"/>
      </w:pPr>
      <w:r>
        <w:t>„</w:t>
      </w:r>
      <w:r>
        <w:rPr>
          <w:b/>
          <w:color w:val="00188F"/>
        </w:rPr>
        <w:t>Nachricht</w:t>
      </w:r>
      <w:r>
        <w:t>“ ist jeder benutzerdefinierte Inhalt, der über Servicebus-Relays, -Warteschlangen, -Themen oder -Benachrichtigungshubs mithilfe eines von Service Bus unterstützten Protokolls gesendet oder empfangen wird.</w:t>
      </w:r>
    </w:p>
    <w:p w14:paraId="452A93E2" w14:textId="2F3870B2" w:rsidR="00795604" w:rsidRPr="00ED4527" w:rsidRDefault="00EE6E3C" w:rsidP="00120827">
      <w:pPr>
        <w:pStyle w:val="ProductList-Body"/>
        <w:rPr>
          <w:b/>
          <w:bCs/>
          <w:color w:val="00188F"/>
        </w:rPr>
      </w:pPr>
      <w:r>
        <w:rPr>
          <w:b/>
          <w:bCs/>
          <w:color w:val="00188F"/>
        </w:rPr>
        <w:t>Berechnung der Betriebszeit und Service-Level für Event-Hubs für Basis- und Standard-Stufen</w:t>
      </w:r>
    </w:p>
    <w:p w14:paraId="0D780F49" w14:textId="23482C04" w:rsidR="00795604" w:rsidRPr="00EF7CF9" w:rsidRDefault="00795604" w:rsidP="00795604">
      <w:pPr>
        <w:pStyle w:val="ProductList-Body"/>
      </w:pPr>
      <w:r>
        <w:t>„</w:t>
      </w:r>
      <w:r>
        <w:rPr>
          <w:b/>
          <w:color w:val="00188F"/>
        </w:rPr>
        <w:t>Bereitstellungsminuten</w:t>
      </w:r>
      <w:r>
        <w:t>“ ist die Gesamtzahl der Minuten, in denen ein bestimmter Event-Hub im Verlauf eines Anwendbaren Zeitraums in Microsoft Azure bereitgestellt wird.</w:t>
      </w:r>
    </w:p>
    <w:p w14:paraId="5B4F51F2" w14:textId="22CD56A5" w:rsidR="00795604" w:rsidRPr="00EF7CF9" w:rsidRDefault="00795604" w:rsidP="00795604">
      <w:pPr>
        <w:pStyle w:val="ProductList-Body"/>
      </w:pPr>
      <w:r>
        <w:t>„</w:t>
      </w:r>
      <w:r>
        <w:rPr>
          <w:b/>
          <w:color w:val="00188F"/>
        </w:rPr>
        <w:t>Maximal Verfügbare Minuten</w:t>
      </w:r>
      <w:r>
        <w:t>“ ist die Summe aller Bereitstellungsminuten für alle Event-Hubs, die vom Kunden in einem bestimmten Microsoft Azure-Abonnement unter den Basis- oder Standard-Stufen für Event-Hubs im Verlauf eines Anwendbaren Zeitraums bereitgestellt werden.</w:t>
      </w:r>
    </w:p>
    <w:p w14:paraId="0D07A3EF" w14:textId="77777777" w:rsidR="00795604" w:rsidRPr="00EF7CF9" w:rsidRDefault="00795604" w:rsidP="00795604">
      <w:pPr>
        <w:pStyle w:val="ProductList-Body"/>
      </w:pPr>
      <w:r>
        <w:rPr>
          <w:b/>
          <w:color w:val="00188F"/>
        </w:rPr>
        <w:t>Ausfallzeit</w:t>
      </w:r>
      <w:r w:rsidRPr="0008262F">
        <w:rPr>
          <w:b/>
          <w:bCs/>
          <w:color w:val="00188F"/>
        </w:rPr>
        <w:t>:</w:t>
      </w:r>
      <w:r>
        <w:t xml:space="preserve"> Die Gesamtzahl der Bereitstellungsminuten aller Event Hubs, die von Ihnen in einem bestimmten Microsoft Azure-Abonnement unter den Basic- oder Standard-Stufen für Event Hubs bereitgestellt werden, während derer die Event Hubs nicht verfügbar sind. Eine Minute gilt für einen bestimmten Event-Hub als nicht verfügbar, wenn alle fortlaufend unternommenen Versuche zum Senden oder Empfangen von Nachrichten oder zum Durchführen von anderen Vorgängen in dem </w:t>
      </w:r>
      <w:r>
        <w:rPr>
          <w:rFonts w:cs="Segoe UI"/>
        </w:rPr>
        <w:t>Event</w:t>
      </w:r>
      <w:r>
        <w:t>-Hub während der gesamten Minute entweder einen Fehlercode zurückgeben oder binnen fünf Minuten nicht zu einem Erfolgscode führen.</w:t>
      </w:r>
    </w:p>
    <w:p w14:paraId="7928B454" w14:textId="1BC237BC" w:rsidR="00795604" w:rsidRPr="00EF7CF9" w:rsidRDefault="00AC48A7" w:rsidP="00795604">
      <w:pPr>
        <w:pStyle w:val="ProductList-Body"/>
      </w:pPr>
      <w:r>
        <w:rPr>
          <w:b/>
          <w:color w:val="00188F"/>
        </w:rPr>
        <w:t>Betriebszeitprozentsatz</w:t>
      </w:r>
      <w:r w:rsidRPr="0008262F">
        <w:rPr>
          <w:b/>
          <w:bCs/>
          <w:color w:val="00188F"/>
        </w:rPr>
        <w:t>:</w:t>
      </w:r>
      <w:r>
        <w:t xml:space="preserve"> Der Betriebszeitprozentsatz errechnet sich nach folgender Formel:</w:t>
      </w:r>
    </w:p>
    <w:p w14:paraId="38F5FD93" w14:textId="63A9F474" w:rsidR="00795604" w:rsidRPr="007C7313" w:rsidRDefault="00000000" w:rsidP="00CB5974">
      <w:pPr>
        <w:pStyle w:val="ListParagraph"/>
        <w:spacing w:before="16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28D077D9" w14:textId="77777777" w:rsidR="00CB5974" w:rsidRDefault="00CB5974" w:rsidP="00795604">
      <w:pPr>
        <w:pStyle w:val="ProductList-Body"/>
        <w:rPr>
          <w:b/>
          <w:color w:val="00188F"/>
        </w:rPr>
      </w:pPr>
    </w:p>
    <w:p w14:paraId="500DC91E" w14:textId="7ADDC4B6" w:rsidR="00795604" w:rsidRPr="00EF7CF9" w:rsidRDefault="00795604" w:rsidP="00795604">
      <w:pPr>
        <w:pStyle w:val="ProductList-Body"/>
      </w:pPr>
      <w:r>
        <w:rPr>
          <w:b/>
          <w:color w:val="00188F"/>
        </w:rPr>
        <w:t>Die folgenden Servicelevels und Servicegutschriften gelten für die Nutzung der Basis- und Standard-Stufen für Event Hubs durch den Kunden</w:t>
      </w:r>
      <w:r w:rsidRPr="0008262F">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95604" w:rsidRPr="00B44CF9" w14:paraId="1413EBC6" w14:textId="77777777" w:rsidTr="00277097">
        <w:trPr>
          <w:tblHeader/>
        </w:trPr>
        <w:tc>
          <w:tcPr>
            <w:tcW w:w="5400" w:type="dxa"/>
            <w:shd w:val="clear" w:color="auto" w:fill="0072C6"/>
          </w:tcPr>
          <w:p w14:paraId="3BE96023" w14:textId="43FE8F87" w:rsidR="00795604"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0319E933" w14:textId="77777777" w:rsidR="00795604" w:rsidRPr="00EF7CF9" w:rsidRDefault="00795604" w:rsidP="000F31B4">
            <w:pPr>
              <w:pStyle w:val="ProductList-OfferingBody"/>
              <w:jc w:val="center"/>
              <w:rPr>
                <w:color w:val="FFFFFF" w:themeColor="background1"/>
              </w:rPr>
            </w:pPr>
            <w:r>
              <w:rPr>
                <w:color w:val="FFFFFF" w:themeColor="background1"/>
              </w:rPr>
              <w:t>Servicegutschrift</w:t>
            </w:r>
          </w:p>
        </w:tc>
      </w:tr>
      <w:tr w:rsidR="00795604" w:rsidRPr="00B44CF9" w14:paraId="78EF5E47" w14:textId="77777777" w:rsidTr="00277097">
        <w:tc>
          <w:tcPr>
            <w:tcW w:w="5400" w:type="dxa"/>
          </w:tcPr>
          <w:p w14:paraId="5B48BEC8" w14:textId="77777777" w:rsidR="00795604" w:rsidRPr="00EF7CF9" w:rsidRDefault="00795604" w:rsidP="000F31B4">
            <w:pPr>
              <w:pStyle w:val="ProductList-OfferingBody"/>
              <w:jc w:val="center"/>
            </w:pPr>
            <w:r>
              <w:t>&lt; 99,95 %</w:t>
            </w:r>
          </w:p>
        </w:tc>
        <w:tc>
          <w:tcPr>
            <w:tcW w:w="5400" w:type="dxa"/>
          </w:tcPr>
          <w:p w14:paraId="10CBE3D0" w14:textId="77777777" w:rsidR="00795604" w:rsidRPr="00EF7CF9" w:rsidRDefault="00795604" w:rsidP="000F31B4">
            <w:pPr>
              <w:pStyle w:val="ProductList-OfferingBody"/>
              <w:jc w:val="center"/>
            </w:pPr>
            <w:r>
              <w:t>10 %</w:t>
            </w:r>
          </w:p>
        </w:tc>
      </w:tr>
      <w:tr w:rsidR="00795604" w:rsidRPr="00B44CF9" w14:paraId="7B1A3019" w14:textId="77777777" w:rsidTr="00277097">
        <w:tc>
          <w:tcPr>
            <w:tcW w:w="5400" w:type="dxa"/>
          </w:tcPr>
          <w:p w14:paraId="1200C115" w14:textId="77777777" w:rsidR="00795604" w:rsidRPr="00EF7CF9" w:rsidRDefault="00795604" w:rsidP="000F31B4">
            <w:pPr>
              <w:pStyle w:val="ProductList-OfferingBody"/>
              <w:jc w:val="center"/>
            </w:pPr>
            <w:r>
              <w:t>&lt; 99 %</w:t>
            </w:r>
          </w:p>
        </w:tc>
        <w:tc>
          <w:tcPr>
            <w:tcW w:w="5400" w:type="dxa"/>
          </w:tcPr>
          <w:p w14:paraId="41FBFCB3" w14:textId="77777777" w:rsidR="00795604" w:rsidRPr="00EF7CF9" w:rsidRDefault="00795604" w:rsidP="000F31B4">
            <w:pPr>
              <w:pStyle w:val="ProductList-OfferingBody"/>
              <w:jc w:val="center"/>
            </w:pPr>
            <w:r>
              <w:t>25 %</w:t>
            </w:r>
          </w:p>
        </w:tc>
      </w:tr>
    </w:tbl>
    <w:p w14:paraId="36DAB40C" w14:textId="17D51539" w:rsidR="00795604" w:rsidRPr="00ED4527" w:rsidRDefault="00EE6E3C" w:rsidP="000D262E">
      <w:pPr>
        <w:pStyle w:val="ProductList-Body"/>
        <w:spacing w:before="120"/>
        <w:rPr>
          <w:b/>
          <w:bCs/>
          <w:color w:val="00188F"/>
        </w:rPr>
      </w:pPr>
      <w:r>
        <w:rPr>
          <w:b/>
          <w:bCs/>
          <w:color w:val="00188F"/>
        </w:rPr>
        <w:t>Berechnung der Betriebszeit und Service-Level für Event-Hubs in den Premium- und Dediziert-Stufen</w:t>
      </w:r>
    </w:p>
    <w:p w14:paraId="7F3A0014" w14:textId="2EACCAB7" w:rsidR="00795604" w:rsidRPr="00ED4527" w:rsidRDefault="00795604" w:rsidP="00795604">
      <w:pPr>
        <w:pStyle w:val="ProductList-Body"/>
        <w:rPr>
          <w:color w:val="000000" w:themeColor="text1"/>
        </w:rPr>
      </w:pPr>
      <w:r>
        <w:rPr>
          <w:color w:val="000000" w:themeColor="text1"/>
        </w:rPr>
        <w:t>„</w:t>
      </w:r>
      <w:r>
        <w:rPr>
          <w:b/>
          <w:bCs/>
          <w:color w:val="00188F"/>
        </w:rPr>
        <w:t>Bereitstellungsminuten</w:t>
      </w:r>
      <w:r w:rsidR="00C5689E">
        <w:t>“</w:t>
      </w:r>
      <w:r>
        <w:rPr>
          <w:color w:val="000000" w:themeColor="text1"/>
        </w:rPr>
        <w:t xml:space="preserve"> ist die Gesamtzahl der Minuten, in denen ein bestimmter Event-Hub im Verlauf eines Anwendbaren Zeitraums in Microsoft Azure bereitgestellt wird.</w:t>
      </w:r>
    </w:p>
    <w:p w14:paraId="6F2209A8" w14:textId="4B7D37DB" w:rsidR="00795604" w:rsidRPr="00ED4527" w:rsidRDefault="00795604" w:rsidP="00795604">
      <w:pPr>
        <w:pStyle w:val="ProductList-Body"/>
        <w:rPr>
          <w:color w:val="000000" w:themeColor="text1"/>
        </w:rPr>
      </w:pPr>
      <w:r>
        <w:rPr>
          <w:color w:val="000000" w:themeColor="text1"/>
        </w:rPr>
        <w:t>„</w:t>
      </w:r>
      <w:r>
        <w:rPr>
          <w:b/>
          <w:bCs/>
          <w:color w:val="00188F"/>
        </w:rPr>
        <w:t>Maximal Verfügbare Minuten</w:t>
      </w:r>
      <w:r>
        <w:rPr>
          <w:color w:val="000000" w:themeColor="text1"/>
        </w:rPr>
        <w:t>“ ist die Summe aller Bereitstellungsminuten für alle Event-Hubs, die vom Kunden in einem bestimmten Microsoft Azure-Abonnement unter den Premium- oder Dediziert-Stufen für Event-Hubs während eines Anwendbaren Zeitraums bereitgestellt werden.</w:t>
      </w:r>
    </w:p>
    <w:p w14:paraId="07D95EC2" w14:textId="77777777" w:rsidR="00795604" w:rsidRPr="00ED4527" w:rsidRDefault="00795604" w:rsidP="00795604">
      <w:pPr>
        <w:pStyle w:val="ProductList-Body"/>
        <w:rPr>
          <w:color w:val="000000" w:themeColor="text1"/>
        </w:rPr>
      </w:pPr>
      <w:r>
        <w:rPr>
          <w:color w:val="000000" w:themeColor="text1"/>
        </w:rPr>
        <w:t>„</w:t>
      </w:r>
      <w:r>
        <w:rPr>
          <w:b/>
          <w:bCs/>
          <w:color w:val="00188F"/>
        </w:rPr>
        <w:t>Ausfallzeit</w:t>
      </w:r>
      <w:r>
        <w:rPr>
          <w:color w:val="000000" w:themeColor="text1"/>
        </w:rPr>
        <w:t>“ ist die Gesamtzahl der kumulierten Bereitstellungsminuten für alle Event Hubs, die vom Kunden in einem bestimmten Microsoft Azure-Abonnement unter den Premium- oder Dediziert-Stufen für Event Hubs bereitgestellt wurden, in denen der Event Hub nicht verfügbar ist. Eine Minute gilt für einen bestimmten Event-Hub als nicht verfügbar, wenn alle fortlaufend unternommenen Versuche zum Senden oder Empfangen von Nachrichten oder zum Durchführen von anderen Vorgängen in dem Event-Hub während der gesamten Minute entweder einen Fehlercode zurückgeben oder binnen fünf Minuten nicht zu einem Erfolgscode führen.</w:t>
      </w:r>
    </w:p>
    <w:p w14:paraId="3914DB2B" w14:textId="04816BE4" w:rsidR="00795604" w:rsidRDefault="00795604" w:rsidP="00795604">
      <w:pPr>
        <w:pStyle w:val="ProductList-Body"/>
        <w:rPr>
          <w:color w:val="000000" w:themeColor="text1"/>
        </w:rPr>
      </w:pPr>
      <w:r>
        <w:t xml:space="preserve">Der </w:t>
      </w:r>
      <w:r>
        <w:rPr>
          <w:color w:val="000000" w:themeColor="text1"/>
        </w:rPr>
        <w:t>„</w:t>
      </w:r>
      <w:r>
        <w:rPr>
          <w:b/>
          <w:bCs/>
          <w:color w:val="00188F"/>
        </w:rPr>
        <w:t>Betriebszeitprozentsatz</w:t>
      </w:r>
      <w:r>
        <w:rPr>
          <w:color w:val="000000" w:themeColor="text1"/>
        </w:rPr>
        <w:t xml:space="preserve">“ für Event-Hubs wird berechnet als Maximal Verfügbare Minuten abzüglich der Ausfallzeit geteilt durch die Maximal Verfügbaren Minuten in einem Anwendbaren Zeitraum für ein bestimmtes Microsoft Azure-Abonnement. </w:t>
      </w:r>
    </w:p>
    <w:p w14:paraId="7028DE47" w14:textId="7414BE93" w:rsidR="00795604" w:rsidRDefault="00AC48A7" w:rsidP="00795604">
      <w:pPr>
        <w:pStyle w:val="ProductList-Body"/>
        <w:rPr>
          <w:color w:val="000000" w:themeColor="text1"/>
        </w:rPr>
      </w:pPr>
      <w:r>
        <w:rPr>
          <w:color w:val="000000" w:themeColor="text1"/>
        </w:rPr>
        <w:t>Der Betriebszeitprozentsatz wird durch die folgende Formel ermittelt:</w:t>
      </w:r>
    </w:p>
    <w:p w14:paraId="53424A05" w14:textId="0A13ECCC" w:rsidR="00795604" w:rsidRPr="007C7313" w:rsidRDefault="00000000" w:rsidP="00120827">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311E8A31" w14:textId="77777777" w:rsidR="00795604" w:rsidRPr="00EF7CF9" w:rsidRDefault="00795604" w:rsidP="00795604">
      <w:pPr>
        <w:pStyle w:val="ProductList-Body"/>
      </w:pPr>
      <w:r>
        <w:rPr>
          <w:b/>
          <w:color w:val="00188F"/>
        </w:rPr>
        <w:t>Die folgenden Servicelevels und Servicegutschriften gelten für die Nutzung der Premium- oder Dediziert-Stufen durch den Kunden</w:t>
      </w:r>
      <w:r w:rsidRPr="0008262F">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95604" w:rsidRPr="00B44CF9" w14:paraId="67ADAD4A" w14:textId="77777777" w:rsidTr="00277097">
        <w:trPr>
          <w:tblHeader/>
        </w:trPr>
        <w:tc>
          <w:tcPr>
            <w:tcW w:w="5400" w:type="dxa"/>
            <w:shd w:val="clear" w:color="auto" w:fill="0072C6"/>
          </w:tcPr>
          <w:p w14:paraId="7BA8549C" w14:textId="5AE008CF" w:rsidR="00795604"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03C2EA93" w14:textId="77777777" w:rsidR="00795604" w:rsidRPr="00EF7CF9" w:rsidRDefault="00795604" w:rsidP="000F31B4">
            <w:pPr>
              <w:pStyle w:val="ProductList-OfferingBody"/>
              <w:jc w:val="center"/>
              <w:rPr>
                <w:color w:val="FFFFFF" w:themeColor="background1"/>
              </w:rPr>
            </w:pPr>
            <w:r>
              <w:rPr>
                <w:color w:val="FFFFFF" w:themeColor="background1"/>
              </w:rPr>
              <w:t>Servicegutschrift</w:t>
            </w:r>
          </w:p>
        </w:tc>
      </w:tr>
      <w:tr w:rsidR="00795604" w:rsidRPr="00B44CF9" w14:paraId="239389D2" w14:textId="77777777" w:rsidTr="00277097">
        <w:tc>
          <w:tcPr>
            <w:tcW w:w="5400" w:type="dxa"/>
          </w:tcPr>
          <w:p w14:paraId="0CDDF050" w14:textId="77777777" w:rsidR="00795604" w:rsidRPr="00EF7CF9" w:rsidRDefault="00795604" w:rsidP="000F31B4">
            <w:pPr>
              <w:pStyle w:val="ProductList-OfferingBody"/>
              <w:jc w:val="center"/>
            </w:pPr>
            <w:r>
              <w:t>&lt; 99,99 %</w:t>
            </w:r>
          </w:p>
        </w:tc>
        <w:tc>
          <w:tcPr>
            <w:tcW w:w="5400" w:type="dxa"/>
          </w:tcPr>
          <w:p w14:paraId="3958ED47" w14:textId="77777777" w:rsidR="00795604" w:rsidRPr="00EF7CF9" w:rsidRDefault="00795604" w:rsidP="000F31B4">
            <w:pPr>
              <w:pStyle w:val="ProductList-OfferingBody"/>
              <w:jc w:val="center"/>
            </w:pPr>
            <w:r>
              <w:t>10 %</w:t>
            </w:r>
          </w:p>
        </w:tc>
      </w:tr>
      <w:tr w:rsidR="00795604" w:rsidRPr="00B44CF9" w14:paraId="614A2A3D" w14:textId="77777777" w:rsidTr="00277097">
        <w:tc>
          <w:tcPr>
            <w:tcW w:w="5400" w:type="dxa"/>
          </w:tcPr>
          <w:p w14:paraId="6E1B0CA3" w14:textId="77777777" w:rsidR="00795604" w:rsidRPr="00EF7CF9" w:rsidRDefault="00795604" w:rsidP="000F31B4">
            <w:pPr>
              <w:pStyle w:val="ProductList-OfferingBody"/>
              <w:jc w:val="center"/>
            </w:pPr>
            <w:r>
              <w:t>&lt; 99 %</w:t>
            </w:r>
          </w:p>
        </w:tc>
        <w:tc>
          <w:tcPr>
            <w:tcW w:w="5400" w:type="dxa"/>
          </w:tcPr>
          <w:p w14:paraId="1EC0B0C5" w14:textId="77777777" w:rsidR="00795604" w:rsidRPr="00EF7CF9" w:rsidRDefault="00795604" w:rsidP="000F31B4">
            <w:pPr>
              <w:pStyle w:val="ProductList-OfferingBody"/>
              <w:jc w:val="center"/>
            </w:pPr>
            <w:r>
              <w:t>25 %</w:t>
            </w:r>
          </w:p>
        </w:tc>
      </w:tr>
    </w:tbl>
    <w:bookmarkStart w:id="351" w:name="_Toc457821550"/>
    <w:bookmarkStart w:id="352" w:name="_Toc52348954"/>
    <w:p w14:paraId="41736D3B" w14:textId="14BEBE68"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1F899C39" w14:textId="77777777" w:rsidR="000D47D0" w:rsidRPr="00EF7CF9" w:rsidRDefault="000D47D0" w:rsidP="000D262E">
      <w:pPr>
        <w:pStyle w:val="ProductList-Offering2Heading"/>
        <w:keepNext/>
        <w:tabs>
          <w:tab w:val="clear" w:pos="360"/>
          <w:tab w:val="clear" w:pos="720"/>
          <w:tab w:val="clear" w:pos="1080"/>
        </w:tabs>
        <w:outlineLvl w:val="2"/>
      </w:pPr>
      <w:bookmarkStart w:id="353" w:name="_Toc195543147"/>
      <w:bookmarkStart w:id="354" w:name="_Toc237449006"/>
      <w:r>
        <w:t xml:space="preserve">Azure </w:t>
      </w:r>
      <w:bookmarkStart w:id="355" w:name="_Hlk119927884"/>
      <w:r>
        <w:t>ExpressRoute</w:t>
      </w:r>
      <w:bookmarkEnd w:id="351"/>
      <w:bookmarkEnd w:id="352"/>
      <w:bookmarkEnd w:id="353"/>
      <w:bookmarkEnd w:id="354"/>
      <w:bookmarkEnd w:id="355"/>
    </w:p>
    <w:p w14:paraId="7D3B0AEC" w14:textId="77777777" w:rsidR="000D47D0" w:rsidRPr="00620CAD" w:rsidRDefault="000D47D0" w:rsidP="000D47D0">
      <w:pPr>
        <w:pStyle w:val="ProductList-Body"/>
        <w:rPr>
          <w:b/>
          <w:color w:val="00188F"/>
          <w:szCs w:val="18"/>
        </w:rPr>
      </w:pPr>
      <w:r w:rsidRPr="00620CAD">
        <w:rPr>
          <w:b/>
          <w:color w:val="00188F"/>
          <w:szCs w:val="18"/>
        </w:rPr>
        <w:t>Zusätzliche Definitionen</w:t>
      </w:r>
      <w:r w:rsidRPr="00620CAD">
        <w:rPr>
          <w:b/>
          <w:bCs/>
          <w:color w:val="00188F"/>
          <w:szCs w:val="18"/>
        </w:rPr>
        <w:t>:</w:t>
      </w:r>
    </w:p>
    <w:p w14:paraId="3F409BCE" w14:textId="77777777" w:rsidR="009A25DF" w:rsidRPr="00DD0FCE" w:rsidRDefault="009A25DF" w:rsidP="00AD5567">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Verbindung</w:t>
      </w:r>
      <w:r>
        <w:rPr>
          <w:rFonts w:ascii="Calibri" w:eastAsia="Calibri" w:hAnsi="Calibri" w:cs="Arial"/>
          <w:sz w:val="18"/>
        </w:rPr>
        <w:t>“ ist das Azure-Objekt, das das ExpressRoute-Gateway mit deinem dedizierten Schaltkreis verbindet. Für dieses SLA kann ein ExpressRoute-Gateway Verbindungen zu mehreren dedizierten Schaltkreisen aufweisen.</w:t>
      </w:r>
    </w:p>
    <w:p w14:paraId="2CA6014F" w14:textId="77777777" w:rsidR="009A25DF" w:rsidRPr="00DD0FCE" w:rsidRDefault="009A25DF" w:rsidP="00AD5567">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Dedizierter Schaltkreis</w:t>
      </w:r>
      <w:r>
        <w:rPr>
          <w:rFonts w:ascii="Calibri" w:eastAsia="Calibri" w:hAnsi="Calibri" w:cs="Arial"/>
          <w:sz w:val="18"/>
        </w:rPr>
        <w:t>“ bedeutet eine logische Darstellung der Konnektivität, die durch den ExpressRoute Service zwischen Ihrem Betriebsgelände und Microsoft Azure über einen ExpressRoute-Konnektivitätsanbieter oder direkt über einen ExpressRoute-Direktanschluss angeboten wird, wo eine solche Konnektivität das öffentliche Internet nicht durchquert.</w:t>
      </w:r>
    </w:p>
    <w:p w14:paraId="778CF482" w14:textId="77777777" w:rsidR="009A25DF" w:rsidRPr="00DD0FCE" w:rsidRDefault="009A25DF" w:rsidP="00AD5567">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Ausfallzeit</w:t>
      </w:r>
      <w:r>
        <w:rPr>
          <w:rFonts w:ascii="Calibri" w:eastAsia="Calibri" w:hAnsi="Calibri" w:cs="Arial"/>
          <w:sz w:val="18"/>
        </w:rPr>
        <w:t>“ ist die Summe der kumulierten Minuten während eines Anwendbaren Zeitraums für ein bestimmtes Microsoft Azure-Abonnement, in denen der dedizierte Schaltkreis nicht verfügbar ist. Eine Minute gilt für einen bestimmten dedizierten Schaltkreis als nicht verfügbar, wenn alle Versuche innerhalb dieser Minute, eine Verbindung auf IP-Ebene zu dem mit dem virtuellen Netzwerk verbundenen ExpressRoute-Gateway herzustellen, für länger als 30 Sekunden fehlschlagen. Datenverkehr, der über einen alternativen dedizierten Schaltkreis in einer 2+Standortkonfiguration fließt, gilt in dieser Konfiguration nicht als Ausfallzeit für den ausgefallenen dedizierten Schaltkreis.</w:t>
      </w:r>
    </w:p>
    <w:p w14:paraId="758D23FF" w14:textId="77777777" w:rsidR="009A25DF" w:rsidRPr="00DD0FCE" w:rsidRDefault="009A25DF" w:rsidP="00AD5567">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ER-Gateway</w:t>
      </w:r>
      <w:r>
        <w:rPr>
          <w:rFonts w:ascii="Calibri" w:eastAsia="Calibri" w:hAnsi="Calibri" w:cs="Arial"/>
          <w:sz w:val="18"/>
        </w:rPr>
        <w:t>“ bezieht sich auf ein Virtual Network Gateway, das die Verbindung zwischen einem Virtuellen Netzwerk und einem dedizierten Schaltkreis vereinfacht.</w:t>
      </w:r>
    </w:p>
    <w:p w14:paraId="42AAE8BE" w14:textId="77777777" w:rsidR="009A25DF" w:rsidRPr="00DD0FCE" w:rsidRDefault="009A25DF" w:rsidP="00AD5567">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Metro-Peering-Standort</w:t>
      </w:r>
      <w:r>
        <w:rPr>
          <w:rFonts w:ascii="Calibri" w:eastAsia="Calibri" w:hAnsi="Calibri" w:cs="Arial"/>
          <w:sz w:val="18"/>
        </w:rPr>
        <w:t>“ ist der Name der Stadt einschließlich der Bezeichnung „Metro“, die angibt, dass ein dedizierter Schaltkreis mit diesem Metro-Peering-Standort an den beiden Peering-Standorten innerhalb dieser Stadt landet. Beispielsweise haben Washington DC Metro und Sydney Metro Verbindungen zu zwei externen Peering-Standorten in diesen Städten.</w:t>
      </w:r>
    </w:p>
    <w:p w14:paraId="31AFABA6" w14:textId="77777777" w:rsidR="009A25DF" w:rsidRPr="00DD0FCE" w:rsidRDefault="009A25DF" w:rsidP="00AD5567">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Maximal Verfügbare Minuten</w:t>
      </w:r>
      <w:r>
        <w:rPr>
          <w:rFonts w:ascii="Calibri" w:eastAsia="Calibri" w:hAnsi="Calibri" w:cs="Arial"/>
          <w:sz w:val="18"/>
        </w:rPr>
        <w:t>“ ist die Gesamtzahl der Minuten, die ein bestimmter dedizierter Schaltkreis mit einem oder mehreren virtuellen Netzwerken in Microsoft Azure während eines Anwendbaren Zeitraums in einem bestimmten Microsoft Azure-Abonnement verbunden ist.</w:t>
      </w:r>
    </w:p>
    <w:p w14:paraId="3B58C4FD" w14:textId="77777777" w:rsidR="009A25DF" w:rsidRPr="00DD0FCE" w:rsidRDefault="009A25DF" w:rsidP="00AD5567">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Virtuelles Netzwerk</w:t>
      </w:r>
      <w:r>
        <w:rPr>
          <w:rFonts w:ascii="Calibri" w:eastAsia="Calibri" w:hAnsi="Calibri" w:cs="Arial"/>
          <w:sz w:val="18"/>
        </w:rPr>
        <w:t>“ ist ein virtuelles privates Netzwerk, das eine Sammlung benutzerdefinierter IP-Adressen und Subnetze umfasst, die eine Netzwerkgrenze innerhalb von Microsoft Azure bilden.</w:t>
      </w:r>
    </w:p>
    <w:p w14:paraId="5789F4E7" w14:textId="77777777" w:rsidR="009A25DF" w:rsidRPr="00DD0FCE" w:rsidDel="00AA2D86" w:rsidRDefault="009A25DF" w:rsidP="009A25DF">
      <w:pPr>
        <w:tabs>
          <w:tab w:val="left" w:pos="360"/>
          <w:tab w:val="left" w:pos="720"/>
          <w:tab w:val="left" w:pos="1080"/>
        </w:tabs>
        <w:spacing w:after="0" w:line="240" w:lineRule="auto"/>
        <w:rPr>
          <w:rFonts w:ascii="Calibri" w:eastAsia="Calibri" w:hAnsi="Calibri" w:cs="Arial"/>
          <w:sz w:val="18"/>
        </w:rPr>
      </w:pPr>
    </w:p>
    <w:p w14:paraId="62851756" w14:textId="77777777" w:rsidR="009A25DF" w:rsidRPr="00DD0FCE" w:rsidDel="00B90AF1" w:rsidRDefault="009A25DF" w:rsidP="009A25D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Das ExpressRoute-SLA umfasst drei Kategorien:</w:t>
      </w:r>
    </w:p>
    <w:p w14:paraId="26DD1AC8" w14:textId="77777777" w:rsidR="009A25DF" w:rsidRPr="00DD0FCE" w:rsidRDefault="009A25DF">
      <w:pPr>
        <w:numPr>
          <w:ilvl w:val="0"/>
          <w:numId w:val="28"/>
        </w:numPr>
        <w:tabs>
          <w:tab w:val="left" w:pos="360"/>
          <w:tab w:val="left" w:pos="720"/>
          <w:tab w:val="left" w:pos="1080"/>
        </w:tabs>
        <w:spacing w:after="0" w:line="240" w:lineRule="auto"/>
        <w:contextualSpacing/>
        <w:rPr>
          <w:rFonts w:ascii="Calibri" w:eastAsia="Calibri" w:hAnsi="Calibri" w:cs="Arial"/>
          <w:sz w:val="18"/>
          <w:szCs w:val="18"/>
        </w:rPr>
      </w:pPr>
      <w:r>
        <w:rPr>
          <w:rFonts w:ascii="Calibri" w:eastAsia="Calibri" w:hAnsi="Calibri" w:cs="Arial"/>
          <w:sz w:val="18"/>
          <w:szCs w:val="18"/>
        </w:rPr>
        <w:t>„</w:t>
      </w:r>
      <w:r>
        <w:rPr>
          <w:rFonts w:ascii="Calibri" w:eastAsia="Calibri" w:hAnsi="Calibri" w:cs="Arial"/>
          <w:b/>
          <w:bCs/>
          <w:color w:val="00188F"/>
          <w:sz w:val="18"/>
          <w:szCs w:val="18"/>
        </w:rPr>
        <w:t>2+Standortkonfiguration</w:t>
      </w:r>
      <w:r>
        <w:rPr>
          <w:rFonts w:ascii="Calibri" w:eastAsia="Calibri" w:hAnsi="Calibri" w:cs="Arial"/>
          <w:sz w:val="18"/>
          <w:szCs w:val="18"/>
        </w:rPr>
        <w:t>“ – Verbindungen, die an zwei oder mehr verschiedenen Peering-Standorten mit externen dedizierten Schaltkreisen landen. Beispiele für Verbindungen zu Standorten, die für die 2+Standortkonfigurationen in Frage kämen, wären Washington DC2 und Chicago oder Chicago und Chicago 2 usw. Das Hinzufügen eines dritten, anderen Standorts fällt unter diese Konfiguration. Verbindungen zu Standorten außerhalb und in der Metropolregion würden als „Metropolstandortkonfiguration“ und nicht als „2+Standortkonfiguration“ betrachtet.</w:t>
      </w:r>
    </w:p>
    <w:p w14:paraId="0B592AA6" w14:textId="77777777" w:rsidR="009A25DF" w:rsidRPr="00DD0FCE" w:rsidRDefault="009A25DF">
      <w:pPr>
        <w:numPr>
          <w:ilvl w:val="0"/>
          <w:numId w:val="28"/>
        </w:numPr>
        <w:tabs>
          <w:tab w:val="left" w:pos="360"/>
          <w:tab w:val="left" w:pos="720"/>
          <w:tab w:val="left" w:pos="1080"/>
        </w:tabs>
        <w:spacing w:after="0" w:line="240" w:lineRule="auto"/>
        <w:contextualSpacing/>
        <w:rPr>
          <w:rFonts w:ascii="Calibri" w:eastAsia="Calibri" w:hAnsi="Calibri" w:cs="Arial"/>
          <w:sz w:val="18"/>
        </w:rPr>
      </w:pPr>
      <w:r>
        <w:rPr>
          <w:rFonts w:ascii="Calibri" w:eastAsia="Calibri" w:hAnsi="Calibri" w:cs="Arial"/>
          <w:sz w:val="18"/>
        </w:rPr>
        <w:lastRenderedPageBreak/>
        <w:t>„</w:t>
      </w:r>
      <w:r>
        <w:rPr>
          <w:rFonts w:ascii="Calibri" w:eastAsia="Calibri" w:hAnsi="Calibri" w:cs="Arial"/>
          <w:b/>
          <w:color w:val="00188F"/>
          <w:sz w:val="18"/>
        </w:rPr>
        <w:t>Metropolstandortkonfiguration</w:t>
      </w:r>
      <w:r>
        <w:rPr>
          <w:rFonts w:ascii="Calibri" w:eastAsia="Calibri" w:hAnsi="Calibri" w:cs="Arial"/>
          <w:sz w:val="18"/>
        </w:rPr>
        <w:t>“ – eine (oder mehrere) Verbindungen von einem ER-Gateway zu einem ExpressRoute-Schaltkreis an einem einzelnen Metro-Peering-Standort.</w:t>
      </w:r>
    </w:p>
    <w:p w14:paraId="76C5DA6C" w14:textId="77777777" w:rsidR="009A25DF" w:rsidRPr="00DD0FCE" w:rsidRDefault="009A25DF">
      <w:pPr>
        <w:numPr>
          <w:ilvl w:val="0"/>
          <w:numId w:val="28"/>
        </w:numPr>
        <w:tabs>
          <w:tab w:val="left" w:pos="360"/>
          <w:tab w:val="left" w:pos="720"/>
          <w:tab w:val="left" w:pos="1080"/>
        </w:tabs>
        <w:spacing w:after="0" w:line="240" w:lineRule="auto"/>
        <w:contextualSpacing/>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Einzelstandortkonfiguration</w:t>
      </w:r>
      <w:r>
        <w:rPr>
          <w:rFonts w:ascii="Calibri" w:eastAsia="Calibri" w:hAnsi="Calibri" w:cs="Arial"/>
          <w:sz w:val="18"/>
        </w:rPr>
        <w:t>“ – eine (oder mehrere) Verbindungen von einem ER-Gateway zu einem ExpressRoute-Schaltkreis landen an einem einzigen externen Peering-Standort.</w:t>
      </w:r>
    </w:p>
    <w:p w14:paraId="4343B420" w14:textId="77777777" w:rsidR="009A25DF" w:rsidRPr="00DD0FCE" w:rsidRDefault="009A25DF" w:rsidP="009A25D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Servicegutschrift</w:t>
      </w:r>
      <w:r>
        <w:rPr>
          <w:rFonts w:ascii="Calibri" w:eastAsia="Calibri" w:hAnsi="Calibri" w:cs="Arial"/>
          <w:sz w:val="18"/>
        </w:rPr>
        <w:t xml:space="preserve"> Die folgenden Service-Levels und Servicegutschriften gelten für die Nutzung jedes dedizierten Schaltkreises innerhalb des ExpressRoute-Dienstes durch den Kunden abhängig von der Standortkonfiguration. Servicegutschriften werden in einer Architektur mit mehreren Schaltkreisen oder Standorten nur dann angewendet, wenn sowohl Schaltkreise als auch Standorte gleichzeitig ausfallen und es dadurch zu einem vollständigen Verlust der Verbindung zum verbundenen Gateway kommt.</w:t>
      </w:r>
    </w:p>
    <w:p w14:paraId="17621515" w14:textId="77777777" w:rsidR="009A25DF" w:rsidRPr="00DD0FCE" w:rsidRDefault="009A25DF" w:rsidP="009A25DF">
      <w:pPr>
        <w:tabs>
          <w:tab w:val="left" w:pos="360"/>
          <w:tab w:val="left" w:pos="720"/>
          <w:tab w:val="left" w:pos="1080"/>
        </w:tabs>
        <w:spacing w:after="0" w:line="240" w:lineRule="auto"/>
        <w:rPr>
          <w:rFonts w:ascii="Calibri" w:eastAsia="Calibri" w:hAnsi="Calibri" w:cs="Arial"/>
          <w:sz w:val="18"/>
        </w:rPr>
      </w:pPr>
    </w:p>
    <w:p w14:paraId="28CF77DC" w14:textId="77777777" w:rsidR="009A25DF" w:rsidRPr="00DD0FCE" w:rsidRDefault="009A25DF" w:rsidP="009A25DF">
      <w:pPr>
        <w:tabs>
          <w:tab w:val="left" w:pos="360"/>
          <w:tab w:val="left" w:pos="720"/>
          <w:tab w:val="left" w:pos="1080"/>
        </w:tabs>
        <w:spacing w:after="0" w:line="240" w:lineRule="auto"/>
        <w:rPr>
          <w:rFonts w:ascii="Calibri" w:eastAsia="Calibri" w:hAnsi="Calibri" w:cs="Arial"/>
          <w:sz w:val="18"/>
          <w:szCs w:val="18"/>
        </w:rPr>
      </w:pPr>
      <w:r>
        <w:rPr>
          <w:rFonts w:ascii="Calibri" w:eastAsia="Calibri" w:hAnsi="Calibri" w:cs="Arial"/>
          <w:b/>
          <w:bCs/>
          <w:color w:val="00188F"/>
          <w:sz w:val="18"/>
          <w:szCs w:val="18"/>
        </w:rPr>
        <w:t>Mindestens zwei dedizierte Schaltkreise in einer 2+Standortkonfiguration zu einem ER-Gateway:</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9A25DF" w:rsidRPr="00DD0FCE" w14:paraId="3EEF500B" w14:textId="77777777" w:rsidTr="003344AC">
        <w:trPr>
          <w:tblHeader/>
        </w:trPr>
        <w:tc>
          <w:tcPr>
            <w:tcW w:w="5400" w:type="dxa"/>
            <w:shd w:val="clear" w:color="auto" w:fill="0072C6"/>
          </w:tcPr>
          <w:p w14:paraId="3A35F35C" w14:textId="77777777" w:rsidR="009A25DF" w:rsidRPr="00DD0FCE" w:rsidRDefault="009A25DF"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Betriebszeitprozentsatz</w:t>
            </w:r>
          </w:p>
        </w:tc>
        <w:tc>
          <w:tcPr>
            <w:tcW w:w="5400" w:type="dxa"/>
            <w:shd w:val="clear" w:color="auto" w:fill="0072C6"/>
          </w:tcPr>
          <w:p w14:paraId="42C5F25A" w14:textId="77777777" w:rsidR="009A25DF" w:rsidRPr="00DD0FCE" w:rsidRDefault="009A25DF"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Servicegutschrift</w:t>
            </w:r>
          </w:p>
        </w:tc>
      </w:tr>
      <w:tr w:rsidR="009A25DF" w:rsidRPr="00DD0FCE" w14:paraId="42E46040" w14:textId="77777777" w:rsidTr="003344AC">
        <w:tc>
          <w:tcPr>
            <w:tcW w:w="5400" w:type="dxa"/>
          </w:tcPr>
          <w:p w14:paraId="7DDE9EAB" w14:textId="77777777" w:rsidR="009A25DF" w:rsidRPr="00DD0FCE" w:rsidRDefault="009A25DF"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99,95 %</w:t>
            </w:r>
          </w:p>
        </w:tc>
        <w:tc>
          <w:tcPr>
            <w:tcW w:w="5400" w:type="dxa"/>
          </w:tcPr>
          <w:p w14:paraId="6079FCCE" w14:textId="77777777" w:rsidR="009A25DF" w:rsidRPr="00DD0FCE" w:rsidRDefault="009A25DF"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9A25DF" w:rsidRPr="00DD0FCE" w14:paraId="6E940598" w14:textId="77777777" w:rsidTr="003344AC">
        <w:tc>
          <w:tcPr>
            <w:tcW w:w="5400" w:type="dxa"/>
          </w:tcPr>
          <w:p w14:paraId="4E4D42ED" w14:textId="77777777" w:rsidR="009A25DF" w:rsidRPr="00DD0FCE" w:rsidRDefault="009A25DF"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5400" w:type="dxa"/>
          </w:tcPr>
          <w:p w14:paraId="050D6979" w14:textId="77777777" w:rsidR="009A25DF" w:rsidRPr="00DD0FCE" w:rsidRDefault="009A25DF"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23A265DA" w14:textId="77777777" w:rsidR="009A25DF" w:rsidRPr="00DD0FCE" w:rsidRDefault="009A25DF" w:rsidP="00AD5567">
      <w:pPr>
        <w:keepNext/>
        <w:tabs>
          <w:tab w:val="left" w:pos="360"/>
          <w:tab w:val="left" w:pos="720"/>
          <w:tab w:val="left" w:pos="1080"/>
        </w:tabs>
        <w:spacing w:before="120" w:after="0" w:line="240" w:lineRule="auto"/>
        <w:rPr>
          <w:rFonts w:ascii="Calibri" w:eastAsia="Calibri" w:hAnsi="Calibri" w:cs="Arial"/>
          <w:sz w:val="18"/>
        </w:rPr>
      </w:pPr>
      <w:r>
        <w:rPr>
          <w:rFonts w:ascii="Calibri" w:eastAsia="Calibri" w:hAnsi="Calibri" w:cs="Arial"/>
          <w:b/>
          <w:color w:val="00188F"/>
          <w:sz w:val="18"/>
        </w:rPr>
        <w:t>Dedizierter Schaltkreis in einer Metropolstandortkonfiguration zu einem ER-Gateway:</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9A25DF" w:rsidRPr="00DD0FCE" w14:paraId="6D205B77" w14:textId="77777777" w:rsidTr="003344AC">
        <w:trPr>
          <w:tblHeader/>
        </w:trPr>
        <w:tc>
          <w:tcPr>
            <w:tcW w:w="5400" w:type="dxa"/>
            <w:shd w:val="clear" w:color="auto" w:fill="0072C6"/>
          </w:tcPr>
          <w:p w14:paraId="282A3031" w14:textId="77777777" w:rsidR="009A25DF" w:rsidRPr="00DD0FCE" w:rsidRDefault="009A25DF"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Betriebszeitprozentsatz</w:t>
            </w:r>
          </w:p>
        </w:tc>
        <w:tc>
          <w:tcPr>
            <w:tcW w:w="5400" w:type="dxa"/>
            <w:shd w:val="clear" w:color="auto" w:fill="0072C6"/>
          </w:tcPr>
          <w:p w14:paraId="75879307" w14:textId="77777777" w:rsidR="009A25DF" w:rsidRPr="00DD0FCE" w:rsidRDefault="009A25DF"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Servicegutschrift</w:t>
            </w:r>
          </w:p>
        </w:tc>
      </w:tr>
      <w:tr w:rsidR="009A25DF" w:rsidRPr="00DD0FCE" w14:paraId="6E5D7E65" w14:textId="77777777" w:rsidTr="003344AC">
        <w:tc>
          <w:tcPr>
            <w:tcW w:w="5400" w:type="dxa"/>
          </w:tcPr>
          <w:p w14:paraId="0D61E20A" w14:textId="77777777" w:rsidR="009A25DF" w:rsidRPr="00DD0FCE" w:rsidRDefault="009A25DF"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5400" w:type="dxa"/>
          </w:tcPr>
          <w:p w14:paraId="7F294C35" w14:textId="77777777" w:rsidR="009A25DF" w:rsidRPr="00DD0FCE" w:rsidRDefault="009A25DF"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9A25DF" w:rsidRPr="00DD0FCE" w14:paraId="6D9821C7" w14:textId="77777777" w:rsidTr="003344AC">
        <w:tc>
          <w:tcPr>
            <w:tcW w:w="5400" w:type="dxa"/>
          </w:tcPr>
          <w:p w14:paraId="13C6CD53" w14:textId="77777777" w:rsidR="009A25DF" w:rsidRPr="00DD0FCE" w:rsidRDefault="009A25DF"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4CBF9A88" w14:textId="77777777" w:rsidR="009A25DF" w:rsidRPr="00DD0FCE" w:rsidRDefault="009A25DF"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50A34D24" w14:textId="77777777" w:rsidR="009A25DF" w:rsidRPr="00DD0FCE" w:rsidRDefault="009A25DF" w:rsidP="00AD5567">
      <w:pPr>
        <w:tabs>
          <w:tab w:val="left" w:pos="360"/>
          <w:tab w:val="left" w:pos="720"/>
          <w:tab w:val="left" w:pos="1080"/>
        </w:tabs>
        <w:spacing w:before="120" w:after="0" w:line="240" w:lineRule="auto"/>
        <w:rPr>
          <w:rFonts w:ascii="Calibri" w:eastAsia="Calibri" w:hAnsi="Calibri" w:cs="Arial"/>
          <w:sz w:val="18"/>
        </w:rPr>
      </w:pPr>
      <w:r>
        <w:rPr>
          <w:rFonts w:ascii="Calibri" w:eastAsia="Calibri" w:hAnsi="Calibri" w:cs="Arial"/>
          <w:b/>
          <w:color w:val="00188F"/>
          <w:sz w:val="18"/>
        </w:rPr>
        <w:t>Dedizierter Schaltkreis in einer Einzelstandortkonfiguration zu einem ER-Gateway:</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9A25DF" w:rsidRPr="00DD0FCE" w14:paraId="14A05705" w14:textId="77777777" w:rsidTr="003344AC">
        <w:trPr>
          <w:tblHeader/>
        </w:trPr>
        <w:tc>
          <w:tcPr>
            <w:tcW w:w="5400" w:type="dxa"/>
            <w:shd w:val="clear" w:color="auto" w:fill="0072C6"/>
          </w:tcPr>
          <w:p w14:paraId="23D346AE" w14:textId="77777777" w:rsidR="009A25DF" w:rsidRPr="00DD0FCE" w:rsidRDefault="009A25DF"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Betriebszeitprozentsatz</w:t>
            </w:r>
          </w:p>
        </w:tc>
        <w:tc>
          <w:tcPr>
            <w:tcW w:w="5400" w:type="dxa"/>
            <w:shd w:val="clear" w:color="auto" w:fill="0072C6"/>
          </w:tcPr>
          <w:p w14:paraId="7B4B58F3" w14:textId="77777777" w:rsidR="009A25DF" w:rsidRPr="00DD0FCE" w:rsidRDefault="009A25DF"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Servicegutschrift</w:t>
            </w:r>
          </w:p>
        </w:tc>
      </w:tr>
      <w:tr w:rsidR="009A25DF" w:rsidRPr="00DD0FCE" w14:paraId="5D9124C2" w14:textId="77777777" w:rsidTr="003344AC">
        <w:tc>
          <w:tcPr>
            <w:tcW w:w="5400" w:type="dxa"/>
          </w:tcPr>
          <w:p w14:paraId="66370E4A" w14:textId="77777777" w:rsidR="009A25DF" w:rsidRPr="00DD0FCE" w:rsidRDefault="009A25DF"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99,0 %</w:t>
            </w:r>
          </w:p>
        </w:tc>
        <w:tc>
          <w:tcPr>
            <w:tcW w:w="5400" w:type="dxa"/>
          </w:tcPr>
          <w:p w14:paraId="692C24EA" w14:textId="77777777" w:rsidR="009A25DF" w:rsidRPr="00DD0FCE" w:rsidRDefault="009A25DF"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9A25DF" w:rsidRPr="00DD0FCE" w14:paraId="2ECD4471" w14:textId="77777777" w:rsidTr="003344AC">
        <w:tc>
          <w:tcPr>
            <w:tcW w:w="5400" w:type="dxa"/>
          </w:tcPr>
          <w:p w14:paraId="243C1B11" w14:textId="77777777" w:rsidR="009A25DF" w:rsidRPr="00DD0FCE" w:rsidRDefault="009A25DF"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95 %</w:t>
            </w:r>
          </w:p>
        </w:tc>
        <w:tc>
          <w:tcPr>
            <w:tcW w:w="5400" w:type="dxa"/>
          </w:tcPr>
          <w:p w14:paraId="30E726EE" w14:textId="77777777" w:rsidR="009A25DF" w:rsidRPr="00DD0FCE" w:rsidRDefault="009A25DF"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2451B268" w14:textId="49F02F09"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18411648" w14:textId="765A4C33" w:rsidR="008E39A7" w:rsidRDefault="008E39A7" w:rsidP="008E39A7">
      <w:pPr>
        <w:pStyle w:val="ProductList-Offering2Heading"/>
        <w:tabs>
          <w:tab w:val="clear" w:pos="360"/>
          <w:tab w:val="clear" w:pos="720"/>
          <w:tab w:val="clear" w:pos="1080"/>
        </w:tabs>
        <w:outlineLvl w:val="2"/>
      </w:pPr>
      <w:bookmarkStart w:id="356" w:name="_Toc195543148"/>
      <w:bookmarkStart w:id="357" w:name="_Toc237449007"/>
      <w:r>
        <w:t>Azure ExpressRoute Traffic Collector</w:t>
      </w:r>
      <w:bookmarkEnd w:id="356"/>
      <w:bookmarkEnd w:id="357"/>
    </w:p>
    <w:p w14:paraId="65E6CB13" w14:textId="77777777" w:rsidR="00A350D6" w:rsidRPr="005C673D" w:rsidRDefault="00A350D6" w:rsidP="00A350D6">
      <w:pPr>
        <w:pStyle w:val="ProductList-Body"/>
        <w:rPr>
          <w:rFonts w:ascii="Calibri" w:hAnsi="Calibri" w:cs="Calibri"/>
          <w:b/>
          <w:color w:val="00188F"/>
        </w:rPr>
      </w:pPr>
      <w:r>
        <w:rPr>
          <w:rFonts w:ascii="Calibri" w:hAnsi="Calibri" w:cs="Calibri"/>
          <w:b/>
          <w:color w:val="00188F"/>
        </w:rPr>
        <w:t>Zusätzliche Definitionen</w:t>
      </w:r>
      <w:r w:rsidRPr="00856F92">
        <w:rPr>
          <w:rFonts w:ascii="Calibri" w:hAnsi="Calibri" w:cs="Calibri"/>
          <w:b/>
          <w:bCs/>
        </w:rPr>
        <w:t>:</w:t>
      </w:r>
    </w:p>
    <w:p w14:paraId="62097855" w14:textId="77777777" w:rsidR="00A350D6" w:rsidRPr="005C673D" w:rsidRDefault="00A350D6" w:rsidP="006E3BAD">
      <w:pPr>
        <w:pStyle w:val="ProductList-Body"/>
        <w:rPr>
          <w:rFonts w:ascii="Calibri" w:hAnsi="Calibri" w:cs="Calibri"/>
        </w:rPr>
      </w:pPr>
      <w:r>
        <w:rPr>
          <w:rFonts w:ascii="Calibri" w:hAnsi="Calibri" w:cs="Calibri"/>
        </w:rPr>
        <w:t>„</w:t>
      </w:r>
      <w:r>
        <w:rPr>
          <w:rFonts w:ascii="Calibri" w:hAnsi="Calibri" w:cs="Calibri"/>
          <w:b/>
          <w:color w:val="00188F"/>
        </w:rPr>
        <w:t>Dedizierter Schaltkreis</w:t>
      </w:r>
      <w:r>
        <w:rPr>
          <w:rFonts w:ascii="Calibri" w:hAnsi="Calibri" w:cs="Calibri"/>
        </w:rPr>
        <w:t>“ bedeutet eine logische Darstellung der Konnektivität, die durch den ExpressRoute Service zwischen Ihrem Betriebsgelände und Microsoft Azure über eine ExpressRoute-Direktverbindung angeboten wird, wo eine solche Konnektivität das öffentliche Internet nicht durchquert.</w:t>
      </w:r>
    </w:p>
    <w:p w14:paraId="205A4C51" w14:textId="77777777" w:rsidR="00A350D6" w:rsidRPr="005C673D" w:rsidRDefault="00A350D6" w:rsidP="00A350D6">
      <w:pPr>
        <w:pStyle w:val="ProductList-ClauseHeading"/>
        <w:rPr>
          <w:rFonts w:ascii="Calibri" w:hAnsi="Calibri" w:cs="Calibri"/>
          <w:b w:val="0"/>
          <w:bCs/>
          <w:color w:val="auto"/>
        </w:rPr>
      </w:pPr>
      <w:r>
        <w:rPr>
          <w:rFonts w:ascii="Calibri" w:hAnsi="Calibri" w:cs="Calibri"/>
        </w:rPr>
        <w:t xml:space="preserve">„ExpressRoute Traffic Collector“ </w:t>
      </w:r>
      <w:r>
        <w:rPr>
          <w:rFonts w:ascii="Calibri" w:hAnsi="Calibri" w:cs="Calibri"/>
          <w:b w:val="0"/>
          <w:bCs/>
          <w:color w:val="auto"/>
        </w:rPr>
        <w:t>bezeichnet einen Traffic Collector, der die Erfassung von Flussprotokollen über den IP-Datenverkehr über den dedizierten Schaltkreis ermöglicht.</w:t>
      </w:r>
    </w:p>
    <w:p w14:paraId="432E876F" w14:textId="77777777" w:rsidR="00A350D6" w:rsidRPr="005C673D" w:rsidRDefault="00A350D6" w:rsidP="007D5D75">
      <w:pPr>
        <w:pStyle w:val="ProductList-Body"/>
        <w:rPr>
          <w:rFonts w:ascii="Calibri" w:hAnsi="Calibri" w:cs="Calibri"/>
        </w:rPr>
      </w:pPr>
      <w:r>
        <w:rPr>
          <w:rFonts w:ascii="Calibri" w:hAnsi="Calibri" w:cs="Calibri"/>
        </w:rPr>
        <w:t>„</w:t>
      </w:r>
      <w:r>
        <w:rPr>
          <w:rFonts w:ascii="Calibri" w:hAnsi="Calibri" w:cs="Calibri"/>
          <w:b/>
          <w:color w:val="00188F"/>
        </w:rPr>
        <w:t>Maximal Verfügbare Minuten</w:t>
      </w:r>
      <w:r>
        <w:rPr>
          <w:rFonts w:ascii="Calibri" w:hAnsi="Calibri" w:cs="Calibri"/>
        </w:rPr>
        <w:t>“ ist die Gesamtzahl der Minuten, die ein bestimmter ExpressRoute Traffic Controller-Schaltkreis mit einem oder mehreren Dedizierten Schaltkreisen in Microsoft Azure während eines Anwendbaren Zeitraums in einem bestimmten Microsoft Azure-Abonnement verbunden ist.</w:t>
      </w:r>
    </w:p>
    <w:p w14:paraId="6B0E7627" w14:textId="77777777" w:rsidR="00A350D6" w:rsidRPr="005C673D" w:rsidRDefault="00A350D6" w:rsidP="00A350D6">
      <w:pPr>
        <w:pStyle w:val="ProductList-Body"/>
        <w:rPr>
          <w:rFonts w:ascii="Calibri" w:hAnsi="Calibri" w:cs="Calibri"/>
        </w:rPr>
      </w:pPr>
      <w:r>
        <w:rPr>
          <w:rFonts w:ascii="Calibri" w:hAnsi="Calibri" w:cs="Calibri"/>
        </w:rPr>
        <w:t>„</w:t>
      </w:r>
      <w:r>
        <w:rPr>
          <w:rFonts w:ascii="Calibri" w:hAnsi="Calibri" w:cs="Calibri"/>
          <w:b/>
          <w:color w:val="00188F"/>
        </w:rPr>
        <w:t>Ausfallzeit</w:t>
      </w:r>
      <w:r>
        <w:rPr>
          <w:rFonts w:ascii="Calibri" w:hAnsi="Calibri" w:cs="Calibri"/>
        </w:rPr>
        <w:t>“ ist die Gesamtzahl der Minuten innerhalb der maximal verfügbaren Minuten, in denen Daten im ExpressRoute Traffic Collector nicht verfügbar sind und in denen länger als 5 Minuten keine erfassten Flussdatensätze übermittelt werden.</w:t>
      </w:r>
    </w:p>
    <w:p w14:paraId="24D7A54A" w14:textId="77777777" w:rsidR="00A350D6" w:rsidRPr="005C673D" w:rsidRDefault="00A350D6" w:rsidP="00A350D6">
      <w:pPr>
        <w:pStyle w:val="ProductList-Body"/>
        <w:rPr>
          <w:rFonts w:ascii="Calibri" w:hAnsi="Calibri" w:cs="Calibri"/>
        </w:rPr>
      </w:pPr>
      <w:r>
        <w:t xml:space="preserve">Der </w:t>
      </w:r>
      <w:r>
        <w:rPr>
          <w:rFonts w:ascii="Calibri" w:hAnsi="Calibri" w:cs="Calibri"/>
        </w:rPr>
        <w:t>„</w:t>
      </w:r>
      <w:r>
        <w:rPr>
          <w:rFonts w:ascii="Calibri" w:hAnsi="Calibri" w:cs="Calibri"/>
          <w:b/>
          <w:color w:val="00188F"/>
        </w:rPr>
        <w:t>Prozentsatz der Abfrageverfügbarkeit</w:t>
      </w:r>
      <w:r>
        <w:rPr>
          <w:rFonts w:ascii="Calibri" w:hAnsi="Calibri" w:cs="Calibri"/>
        </w:rPr>
        <w:t>“ wird mithilfe der folgenden Formel berechnet:</w:t>
      </w:r>
    </w:p>
    <w:p w14:paraId="3A047144" w14:textId="77777777" w:rsidR="00A350D6" w:rsidRPr="00EF7CF9" w:rsidRDefault="00000000" w:rsidP="00120827">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Maximal-verfügbare-Minuten-Ausfallzeit</m:t>
              </m:r>
            </m:num>
            <m:den>
              <m:r>
                <m:rPr>
                  <m:nor/>
                </m:rPr>
                <w:rPr>
                  <w:rFonts w:ascii="Cambria Math" w:hAnsi="Cambria Math" w:cs="Tahoma"/>
                  <w:i/>
                  <w:sz w:val="18"/>
                  <w:szCs w:val="18"/>
                </w:rPr>
                <m:t>Maximal Verfügbare Minuten</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779FF44" w14:textId="77777777" w:rsidR="00A350D6" w:rsidRPr="00E549F2" w:rsidRDefault="00A350D6" w:rsidP="00A350D6">
      <w:pPr>
        <w:pStyle w:val="ProductList-Body"/>
        <w:rPr>
          <w:rFonts w:cstheme="minorHAnsi"/>
          <w:b/>
          <w:color w:val="00188F"/>
          <w:szCs w:val="18"/>
        </w:rPr>
      </w:pPr>
      <w:r w:rsidRPr="00A350D6">
        <w:rPr>
          <w:rFonts w:cstheme="minorHAnsi"/>
          <w:b/>
          <w:color w:val="00188F"/>
          <w:szCs w:val="18"/>
        </w:rPr>
        <w:t>Dienstgutschrift</w:t>
      </w:r>
      <w:r w:rsidRPr="00A350D6">
        <w:rPr>
          <w:rFonts w:cstheme="minorHAnsi"/>
          <w:szCs w:val="18"/>
        </w:rPr>
        <w:t xml:space="preserve"> </w:t>
      </w:r>
      <w:r w:rsidRPr="00E549F2">
        <w:rPr>
          <w:rFonts w:cstheme="minorHAnsi"/>
          <w:b/>
          <w:color w:val="00188F"/>
          <w:szCs w:val="18"/>
        </w:rPr>
        <w:t>Die folgenden Servicelevel und Dienstgutschriften gelten für die Nutzung des Azure ExpressRoute Traffic Collector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350D6" w:rsidRPr="00B44CF9" w14:paraId="215CF497" w14:textId="77777777" w:rsidTr="001325FB">
        <w:trPr>
          <w:tblHeader/>
        </w:trPr>
        <w:tc>
          <w:tcPr>
            <w:tcW w:w="5400" w:type="dxa"/>
            <w:shd w:val="clear" w:color="auto" w:fill="0072C6"/>
          </w:tcPr>
          <w:p w14:paraId="1D0FB474" w14:textId="77777777" w:rsidR="00A350D6" w:rsidRPr="00EF7CF9" w:rsidRDefault="00A350D6" w:rsidP="001325FB">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7E8A7950" w14:textId="77777777" w:rsidR="00A350D6" w:rsidRPr="00EF7CF9" w:rsidRDefault="00A350D6" w:rsidP="001325FB">
            <w:pPr>
              <w:pStyle w:val="ProductList-OfferingBody"/>
              <w:jc w:val="center"/>
              <w:rPr>
                <w:color w:val="FFFFFF" w:themeColor="background1"/>
              </w:rPr>
            </w:pPr>
            <w:r>
              <w:rPr>
                <w:color w:val="FFFFFF" w:themeColor="background1"/>
              </w:rPr>
              <w:t>Servicegutschrift</w:t>
            </w:r>
          </w:p>
        </w:tc>
      </w:tr>
      <w:tr w:rsidR="00A350D6" w:rsidRPr="00B44CF9" w14:paraId="3B19A0FF" w14:textId="77777777" w:rsidTr="001325FB">
        <w:tc>
          <w:tcPr>
            <w:tcW w:w="5400" w:type="dxa"/>
          </w:tcPr>
          <w:p w14:paraId="06200885" w14:textId="2CB30A68" w:rsidR="00A350D6" w:rsidRPr="00EF7CF9" w:rsidRDefault="00A350D6" w:rsidP="001325FB">
            <w:pPr>
              <w:pStyle w:val="ProductList-OfferingBody"/>
              <w:jc w:val="center"/>
            </w:pPr>
            <w:r>
              <w:t>&lt; 99,9 %</w:t>
            </w:r>
          </w:p>
        </w:tc>
        <w:tc>
          <w:tcPr>
            <w:tcW w:w="5400" w:type="dxa"/>
          </w:tcPr>
          <w:p w14:paraId="15F38A9F" w14:textId="77777777" w:rsidR="00A350D6" w:rsidRPr="00EF7CF9" w:rsidRDefault="00A350D6" w:rsidP="001325FB">
            <w:pPr>
              <w:pStyle w:val="ProductList-OfferingBody"/>
              <w:jc w:val="center"/>
            </w:pPr>
            <w:r>
              <w:t>10 %</w:t>
            </w:r>
          </w:p>
        </w:tc>
      </w:tr>
      <w:tr w:rsidR="00A350D6" w:rsidRPr="00B44CF9" w14:paraId="7861BB7C" w14:textId="77777777" w:rsidTr="001325FB">
        <w:tc>
          <w:tcPr>
            <w:tcW w:w="5400" w:type="dxa"/>
          </w:tcPr>
          <w:p w14:paraId="6142290E" w14:textId="77777777" w:rsidR="00A350D6" w:rsidRPr="00EF7CF9" w:rsidRDefault="00A350D6" w:rsidP="001325FB">
            <w:pPr>
              <w:pStyle w:val="ProductList-OfferingBody"/>
              <w:jc w:val="center"/>
            </w:pPr>
            <w:r>
              <w:t>&lt; 99 %</w:t>
            </w:r>
          </w:p>
        </w:tc>
        <w:tc>
          <w:tcPr>
            <w:tcW w:w="5400" w:type="dxa"/>
          </w:tcPr>
          <w:p w14:paraId="422DF6CC" w14:textId="77777777" w:rsidR="00A350D6" w:rsidRPr="00EF7CF9" w:rsidRDefault="00A350D6" w:rsidP="001325FB">
            <w:pPr>
              <w:pStyle w:val="ProductList-OfferingBody"/>
              <w:jc w:val="center"/>
            </w:pPr>
            <w:r>
              <w:t>25 %</w:t>
            </w:r>
          </w:p>
        </w:tc>
      </w:tr>
    </w:tbl>
    <w:p w14:paraId="586279E8" w14:textId="77777777" w:rsidR="00A350D6" w:rsidRPr="00D67F75" w:rsidRDefault="00A350D6" w:rsidP="00A350D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4EA71994" w14:textId="586BE4EB" w:rsidR="002A7476" w:rsidRDefault="002A7476" w:rsidP="00B76C76">
      <w:pPr>
        <w:pStyle w:val="ProductList-Offering2Heading"/>
        <w:keepNext/>
        <w:tabs>
          <w:tab w:val="clear" w:pos="360"/>
          <w:tab w:val="clear" w:pos="720"/>
          <w:tab w:val="clear" w:pos="1080"/>
        </w:tabs>
        <w:outlineLvl w:val="2"/>
        <w:rPr>
          <w:bdr w:val="none" w:sz="0" w:space="0" w:color="auto" w:frame="1"/>
        </w:rPr>
      </w:pPr>
      <w:bookmarkStart w:id="358" w:name="_Toc195543149"/>
      <w:bookmarkStart w:id="359" w:name="_Toc237449008"/>
      <w:r>
        <w:t xml:space="preserve">Azure Files </w:t>
      </w:r>
      <w:r>
        <w:rPr>
          <w:bdr w:val="none" w:sz="0" w:space="0" w:color="auto" w:frame="1"/>
        </w:rPr>
        <w:t>Premium Tier</w:t>
      </w:r>
      <w:bookmarkEnd w:id="358"/>
      <w:bookmarkEnd w:id="359"/>
    </w:p>
    <w:p w14:paraId="5C4C6FDB" w14:textId="77777777" w:rsidR="002A7476" w:rsidRPr="008E31A8" w:rsidRDefault="002A7476" w:rsidP="002A7476">
      <w:pPr>
        <w:shd w:val="clear" w:color="auto" w:fill="FFFFFF"/>
        <w:spacing w:after="0" w:line="240" w:lineRule="auto"/>
        <w:rPr>
          <w:rFonts w:ascii="Calibri" w:eastAsia="Times New Roman" w:hAnsi="Calibri" w:cs="Calibri"/>
          <w:color w:val="242424"/>
          <w:sz w:val="18"/>
          <w:szCs w:val="18"/>
        </w:rPr>
      </w:pPr>
      <w:r w:rsidRPr="008E31A8">
        <w:rPr>
          <w:rFonts w:ascii="Calibri" w:eastAsia="Times New Roman" w:hAnsi="Calibri" w:cs="Calibri"/>
          <w:b/>
          <w:bCs/>
          <w:color w:val="00188F"/>
          <w:sz w:val="18"/>
          <w:szCs w:val="18"/>
          <w:bdr w:val="none" w:sz="0" w:space="0" w:color="auto" w:frame="1"/>
        </w:rPr>
        <w:t>Zusätzliche Definitionen</w:t>
      </w:r>
    </w:p>
    <w:p w14:paraId="7B6C17B8" w14:textId="77777777" w:rsidR="002A7476" w:rsidRPr="00620CAD" w:rsidRDefault="002A7476" w:rsidP="002A7476">
      <w:pPr>
        <w:shd w:val="clear" w:color="auto" w:fill="FFFFFF"/>
        <w:spacing w:after="0" w:line="240" w:lineRule="auto"/>
        <w:rPr>
          <w:rFonts w:ascii="Calibri" w:eastAsia="Times New Roman" w:hAnsi="Calibri" w:cs="Calibri"/>
          <w:color w:val="242424"/>
          <w:sz w:val="18"/>
          <w:szCs w:val="18"/>
        </w:rPr>
      </w:pPr>
      <w:r w:rsidRPr="008E31A8">
        <w:rPr>
          <w:rFonts w:ascii="Calibri" w:eastAsia="Times New Roman" w:hAnsi="Calibri" w:cs="Calibri"/>
          <w:b/>
          <w:bCs/>
          <w:color w:val="00188F"/>
          <w:sz w:val="18"/>
          <w:szCs w:val="18"/>
          <w:bdr w:val="none" w:sz="0" w:space="0" w:color="auto" w:frame="1"/>
        </w:rPr>
        <w:t> </w:t>
      </w:r>
      <w:r w:rsidRPr="00620CAD">
        <w:rPr>
          <w:sz w:val="18"/>
          <w:szCs w:val="18"/>
        </w:rPr>
        <w:t>„</w:t>
      </w:r>
      <w:r w:rsidRPr="00620CAD">
        <w:rPr>
          <w:rFonts w:ascii="Calibri" w:eastAsia="Times New Roman" w:hAnsi="Calibri" w:cs="Calibri"/>
          <w:b/>
          <w:bCs/>
          <w:color w:val="00188F"/>
          <w:sz w:val="18"/>
          <w:szCs w:val="18"/>
          <w:bdr w:val="none" w:sz="0" w:space="0" w:color="auto" w:frame="1"/>
        </w:rPr>
        <w:t>Dateifreigabe</w:t>
      </w:r>
      <w:r w:rsidRPr="00620CAD">
        <w:rPr>
          <w:sz w:val="18"/>
          <w:szCs w:val="18"/>
        </w:rPr>
        <w:t>“ </w:t>
      </w:r>
      <w:r w:rsidRPr="00620CAD">
        <w:rPr>
          <w:rFonts w:ascii="Calibri" w:eastAsia="Times New Roman" w:hAnsi="Calibri" w:cs="Calibri"/>
          <w:color w:val="242424"/>
          <w:sz w:val="18"/>
          <w:szCs w:val="18"/>
        </w:rPr>
        <w:t>ist eine logische Speicherressource in Azure NetApp Files, die ein Dateisystem enthält und zum Speichern von Daten verwendet wird.</w:t>
      </w:r>
    </w:p>
    <w:p w14:paraId="7CD6F503" w14:textId="77777777" w:rsidR="002A7476" w:rsidRPr="00620CAD" w:rsidRDefault="002A7476" w:rsidP="002A7476">
      <w:pPr>
        <w:shd w:val="clear" w:color="auto" w:fill="FFFFFF"/>
        <w:spacing w:after="0" w:line="240" w:lineRule="auto"/>
        <w:rPr>
          <w:rFonts w:ascii="Calibri" w:eastAsia="Times New Roman" w:hAnsi="Calibri" w:cs="Calibri"/>
          <w:color w:val="242424"/>
          <w:sz w:val="18"/>
          <w:szCs w:val="18"/>
        </w:rPr>
      </w:pPr>
      <w:r w:rsidRPr="00620CAD">
        <w:rPr>
          <w:sz w:val="18"/>
          <w:szCs w:val="18"/>
        </w:rPr>
        <w:t>„</w:t>
      </w:r>
      <w:r w:rsidRPr="00620CAD">
        <w:rPr>
          <w:rFonts w:ascii="Calibri" w:eastAsia="Times New Roman" w:hAnsi="Calibri" w:cs="Calibri"/>
          <w:b/>
          <w:bCs/>
          <w:color w:val="00188F"/>
          <w:sz w:val="18"/>
          <w:szCs w:val="18"/>
          <w:bdr w:val="none" w:sz="0" w:space="0" w:color="auto" w:frame="1"/>
        </w:rPr>
        <w:t>Lokal Redundanter Speicher (</w:t>
      </w:r>
      <w:r w:rsidRPr="00620CAD">
        <w:rPr>
          <w:sz w:val="18"/>
          <w:szCs w:val="18"/>
        </w:rPr>
        <w:t>„</w:t>
      </w:r>
      <w:r w:rsidRPr="00620CAD">
        <w:rPr>
          <w:rFonts w:ascii="Calibri" w:eastAsia="Times New Roman" w:hAnsi="Calibri" w:cs="Calibri"/>
          <w:b/>
          <w:bCs/>
          <w:color w:val="00188F"/>
          <w:sz w:val="18"/>
          <w:szCs w:val="18"/>
          <w:bdr w:val="none" w:sz="0" w:space="0" w:color="auto" w:frame="1"/>
        </w:rPr>
        <w:t>Locally Redundant Storage</w:t>
      </w:r>
      <w:r w:rsidRPr="00620CAD">
        <w:rPr>
          <w:sz w:val="18"/>
          <w:szCs w:val="18"/>
        </w:rPr>
        <w:t xml:space="preserve">“ </w:t>
      </w:r>
      <w:r w:rsidRPr="00620CAD">
        <w:rPr>
          <w:rFonts w:ascii="Calibri" w:eastAsia="Times New Roman" w:hAnsi="Calibri" w:cs="Calibri"/>
          <w:b/>
          <w:bCs/>
          <w:color w:val="00188F"/>
          <w:sz w:val="18"/>
          <w:szCs w:val="18"/>
          <w:bdr w:val="none" w:sz="0" w:space="0" w:color="auto" w:frame="1"/>
        </w:rPr>
        <w:t xml:space="preserve">oder </w:t>
      </w:r>
      <w:r w:rsidRPr="00620CAD">
        <w:rPr>
          <w:sz w:val="18"/>
          <w:szCs w:val="18"/>
        </w:rPr>
        <w:t>„</w:t>
      </w:r>
      <w:r w:rsidRPr="00620CAD">
        <w:rPr>
          <w:rFonts w:ascii="Calibri" w:eastAsia="Times New Roman" w:hAnsi="Calibri" w:cs="Calibri"/>
          <w:b/>
          <w:bCs/>
          <w:color w:val="00188F"/>
          <w:sz w:val="18"/>
          <w:szCs w:val="18"/>
          <w:bdr w:val="none" w:sz="0" w:space="0" w:color="auto" w:frame="1"/>
        </w:rPr>
        <w:t>LRS</w:t>
      </w:r>
      <w:r w:rsidRPr="00620CAD">
        <w:rPr>
          <w:sz w:val="18"/>
          <w:szCs w:val="18"/>
        </w:rPr>
        <w:t>“</w:t>
      </w:r>
      <w:r w:rsidRPr="00620CAD">
        <w:rPr>
          <w:rFonts w:ascii="Calibri" w:eastAsia="Times New Roman" w:hAnsi="Calibri" w:cs="Calibri"/>
          <w:b/>
          <w:bCs/>
          <w:color w:val="00188F"/>
          <w:sz w:val="18"/>
          <w:szCs w:val="18"/>
          <w:bdr w:val="none" w:sz="0" w:space="0" w:color="auto" w:frame="1"/>
        </w:rPr>
        <w:t>)</w:t>
      </w:r>
      <w:r w:rsidRPr="00620CAD">
        <w:rPr>
          <w:rFonts w:ascii="Calibri" w:eastAsia="Times New Roman" w:hAnsi="Calibri" w:cs="Calibri"/>
          <w:color w:val="242424"/>
          <w:sz w:val="18"/>
          <w:szCs w:val="18"/>
        </w:rPr>
        <w:t>“ ist eine Einstellung, die angibt, dass Daten nur innerhalb einer Primärregion synchron repliziert werden.</w:t>
      </w:r>
    </w:p>
    <w:p w14:paraId="5D826801" w14:textId="77777777" w:rsidR="002A7476" w:rsidRPr="00620CAD" w:rsidRDefault="002A7476" w:rsidP="002A7476">
      <w:pPr>
        <w:shd w:val="clear" w:color="auto" w:fill="FFFFFF"/>
        <w:spacing w:after="0" w:line="240" w:lineRule="auto"/>
        <w:rPr>
          <w:rFonts w:ascii="Calibri" w:eastAsia="Times New Roman" w:hAnsi="Calibri" w:cs="Calibri"/>
          <w:color w:val="242424"/>
          <w:sz w:val="18"/>
          <w:szCs w:val="18"/>
        </w:rPr>
      </w:pPr>
      <w:r w:rsidRPr="00620CAD">
        <w:rPr>
          <w:rFonts w:ascii="Calibri" w:eastAsia="Times New Roman" w:hAnsi="Calibri" w:cs="Calibri"/>
          <w:color w:val="242424"/>
          <w:sz w:val="18"/>
          <w:szCs w:val="18"/>
        </w:rPr>
        <w:lastRenderedPageBreak/>
        <w:t>„</w:t>
      </w:r>
      <w:r w:rsidRPr="00620CAD">
        <w:rPr>
          <w:rFonts w:ascii="Calibri" w:eastAsia="Times New Roman" w:hAnsi="Calibri" w:cs="Calibri"/>
          <w:b/>
          <w:bCs/>
          <w:color w:val="00188F"/>
          <w:sz w:val="18"/>
          <w:szCs w:val="18"/>
          <w:bdr w:val="none" w:sz="0" w:space="0" w:color="auto" w:frame="1"/>
        </w:rPr>
        <w:t>Zonenredundanter Speicher (</w:t>
      </w:r>
      <w:r w:rsidRPr="00620CAD">
        <w:rPr>
          <w:sz w:val="18"/>
        </w:rPr>
        <w:t>„</w:t>
      </w:r>
      <w:r w:rsidRPr="00620CAD">
        <w:rPr>
          <w:rFonts w:ascii="Calibri" w:eastAsia="Times New Roman" w:hAnsi="Calibri" w:cs="Calibri"/>
          <w:b/>
          <w:bCs/>
          <w:color w:val="00188F"/>
          <w:sz w:val="18"/>
          <w:szCs w:val="18"/>
          <w:bdr w:val="none" w:sz="0" w:space="0" w:color="auto" w:frame="1"/>
        </w:rPr>
        <w:t>Zone Redundant Storage</w:t>
      </w:r>
      <w:r w:rsidRPr="00620CAD">
        <w:rPr>
          <w:sz w:val="18"/>
        </w:rPr>
        <w:t xml:space="preserve">“ </w:t>
      </w:r>
      <w:r w:rsidRPr="00620CAD">
        <w:rPr>
          <w:rFonts w:ascii="Calibri" w:eastAsia="Times New Roman" w:hAnsi="Calibri" w:cs="Calibri"/>
          <w:b/>
          <w:bCs/>
          <w:color w:val="00188F"/>
          <w:sz w:val="18"/>
          <w:szCs w:val="18"/>
          <w:bdr w:val="none" w:sz="0" w:space="0" w:color="auto" w:frame="1"/>
        </w:rPr>
        <w:t xml:space="preserve">oder </w:t>
      </w:r>
      <w:r w:rsidRPr="00620CAD">
        <w:rPr>
          <w:sz w:val="18"/>
        </w:rPr>
        <w:t>„</w:t>
      </w:r>
      <w:r w:rsidRPr="00620CAD">
        <w:rPr>
          <w:rFonts w:ascii="Calibri" w:eastAsia="Times New Roman" w:hAnsi="Calibri" w:cs="Calibri"/>
          <w:b/>
          <w:bCs/>
          <w:color w:val="00188F"/>
          <w:sz w:val="18"/>
          <w:szCs w:val="18"/>
          <w:bdr w:val="none" w:sz="0" w:space="0" w:color="auto" w:frame="1"/>
        </w:rPr>
        <w:t>ZRS</w:t>
      </w:r>
      <w:r w:rsidRPr="00620CAD">
        <w:rPr>
          <w:sz w:val="18"/>
        </w:rPr>
        <w:t>“</w:t>
      </w:r>
      <w:r w:rsidRPr="00620CAD">
        <w:rPr>
          <w:rFonts w:ascii="Calibri" w:eastAsia="Times New Roman" w:hAnsi="Calibri" w:cs="Calibri"/>
          <w:b/>
          <w:bCs/>
          <w:color w:val="00188F"/>
          <w:sz w:val="18"/>
          <w:szCs w:val="18"/>
          <w:bdr w:val="none" w:sz="0" w:space="0" w:color="auto" w:frame="1"/>
        </w:rPr>
        <w:t>)</w:t>
      </w:r>
      <w:r w:rsidRPr="00620CAD">
        <w:rPr>
          <w:rFonts w:ascii="Calibri" w:eastAsia="Times New Roman" w:hAnsi="Calibri" w:cs="Calibri"/>
          <w:color w:val="242424"/>
          <w:sz w:val="18"/>
          <w:szCs w:val="18"/>
        </w:rPr>
        <w:t>“ ist eine Einstellung, die angibt, dass Daten über mehrere Einrichtungen repliziert werden. Diese Einrichtungen können in der gleichen geografischen Region liegen oder sich über zwei geografische Regionen erstrecken.</w:t>
      </w:r>
    </w:p>
    <w:p w14:paraId="6EDCC833" w14:textId="77777777" w:rsidR="002A7476" w:rsidRPr="00620CAD" w:rsidRDefault="002A7476" w:rsidP="002A7476">
      <w:pPr>
        <w:shd w:val="clear" w:color="auto" w:fill="FFFFFF"/>
        <w:spacing w:after="0" w:line="240" w:lineRule="auto"/>
        <w:rPr>
          <w:rFonts w:ascii="Calibri" w:eastAsia="Times New Roman" w:hAnsi="Calibri" w:cs="Calibri"/>
          <w:color w:val="242424"/>
          <w:sz w:val="18"/>
          <w:szCs w:val="18"/>
        </w:rPr>
      </w:pPr>
      <w:r w:rsidRPr="00620CAD">
        <w:rPr>
          <w:sz w:val="18"/>
        </w:rPr>
        <w:t>„</w:t>
      </w:r>
      <w:r w:rsidRPr="00620CAD">
        <w:rPr>
          <w:rFonts w:ascii="Calibri" w:eastAsia="Times New Roman" w:hAnsi="Calibri" w:cs="Calibri"/>
          <w:b/>
          <w:bCs/>
          <w:color w:val="00188F"/>
          <w:sz w:val="18"/>
          <w:szCs w:val="18"/>
          <w:bdr w:val="none" w:sz="0" w:space="0" w:color="auto" w:frame="1"/>
        </w:rPr>
        <w:t>Maximal Verfügbare Minuten</w:t>
      </w:r>
      <w:r w:rsidRPr="00620CAD">
        <w:rPr>
          <w:sz w:val="18"/>
        </w:rPr>
        <w:t>“ </w:t>
      </w:r>
      <w:r w:rsidRPr="00620CAD">
        <w:rPr>
          <w:rFonts w:ascii="Calibri" w:eastAsia="Times New Roman" w:hAnsi="Calibri" w:cs="Calibri"/>
          <w:color w:val="242424"/>
          <w:sz w:val="18"/>
          <w:szCs w:val="18"/>
        </w:rPr>
        <w:t>ist die Gesamtzahl der Minuten, in denen eine bestimmte Dateifreigabe vom Kunden in einem bestimmten Microsoft Azure-Abonnement während eines Anwendbaren Zeitraums bereitgestellt wird.</w:t>
      </w:r>
    </w:p>
    <w:p w14:paraId="26F94490" w14:textId="77777777" w:rsidR="002A7476" w:rsidRPr="00620CAD" w:rsidRDefault="002A7476" w:rsidP="002A7476">
      <w:pPr>
        <w:shd w:val="clear" w:color="auto" w:fill="FFFFFF"/>
        <w:spacing w:after="0" w:line="240" w:lineRule="auto"/>
        <w:rPr>
          <w:rFonts w:ascii="Calibri" w:eastAsia="Times New Roman" w:hAnsi="Calibri" w:cs="Calibri"/>
          <w:color w:val="242424"/>
          <w:sz w:val="18"/>
          <w:szCs w:val="18"/>
        </w:rPr>
      </w:pPr>
      <w:r w:rsidRPr="00620CAD">
        <w:rPr>
          <w:sz w:val="18"/>
        </w:rPr>
        <w:t>„</w:t>
      </w:r>
      <w:bookmarkStart w:id="360" w:name="x__Hlk87495761"/>
      <w:r w:rsidRPr="00620CAD">
        <w:rPr>
          <w:rFonts w:ascii="Calibri" w:eastAsia="Times New Roman" w:hAnsi="Calibri" w:cs="Calibri"/>
          <w:b/>
          <w:bCs/>
          <w:color w:val="00188F"/>
          <w:sz w:val="18"/>
          <w:szCs w:val="18"/>
          <w:bdr w:val="none" w:sz="0" w:space="0" w:color="auto" w:frame="1"/>
        </w:rPr>
        <w:t>Dienstseitiges </w:t>
      </w:r>
      <w:bookmarkEnd w:id="360"/>
      <w:r w:rsidRPr="00620CAD">
        <w:rPr>
          <w:rFonts w:ascii="Calibri" w:eastAsia="Times New Roman" w:hAnsi="Calibri" w:cs="Calibri"/>
          <w:b/>
          <w:bCs/>
          <w:color w:val="00188F"/>
          <w:sz w:val="18"/>
          <w:szCs w:val="18"/>
          <w:bdr w:val="none" w:sz="0" w:space="0" w:color="auto" w:frame="1"/>
        </w:rPr>
        <w:t>Problem</w:t>
      </w:r>
      <w:r w:rsidRPr="00620CAD">
        <w:rPr>
          <w:sz w:val="18"/>
        </w:rPr>
        <w:t>“ </w:t>
      </w:r>
      <w:r w:rsidRPr="00620CAD">
        <w:rPr>
          <w:rFonts w:ascii="Calibri" w:eastAsia="Times New Roman" w:hAnsi="Calibri" w:cs="Calibri"/>
          <w:color w:val="242424"/>
          <w:sz w:val="18"/>
          <w:szCs w:val="18"/>
        </w:rPr>
        <w:t>wird gemeldet, wenn eine Anfrage mit dem Antworttyp „ServerOtherError“ oder „ServerBusyError“ oder „ServerTimeoutError“ fehlschlägt.</w:t>
      </w:r>
    </w:p>
    <w:p w14:paraId="43C821DA" w14:textId="77777777" w:rsidR="002A7476" w:rsidRPr="00620CAD" w:rsidRDefault="002A7476" w:rsidP="002A7476">
      <w:pPr>
        <w:shd w:val="clear" w:color="auto" w:fill="FFFFFF"/>
        <w:spacing w:after="0" w:line="240" w:lineRule="auto"/>
        <w:rPr>
          <w:rFonts w:ascii="Calibri" w:eastAsia="Times New Roman" w:hAnsi="Calibri" w:cs="Calibri"/>
          <w:color w:val="242424"/>
          <w:sz w:val="18"/>
          <w:szCs w:val="18"/>
        </w:rPr>
      </w:pPr>
      <w:r w:rsidRPr="00620CAD">
        <w:rPr>
          <w:sz w:val="18"/>
          <w:szCs w:val="18"/>
        </w:rPr>
        <w:t>Die „</w:t>
      </w:r>
      <w:r w:rsidRPr="00620CAD">
        <w:rPr>
          <w:rFonts w:ascii="Calibri" w:eastAsia="Times New Roman" w:hAnsi="Calibri" w:cs="Calibri"/>
          <w:b/>
          <w:bCs/>
          <w:color w:val="00188F"/>
          <w:sz w:val="18"/>
          <w:szCs w:val="18"/>
          <w:bdr w:val="none" w:sz="0" w:space="0" w:color="auto" w:frame="1"/>
        </w:rPr>
        <w:t>Ausfallzeit</w:t>
      </w:r>
      <w:r w:rsidRPr="00620CAD">
        <w:rPr>
          <w:rFonts w:ascii="Calibri" w:eastAsia="Times New Roman" w:hAnsi="Calibri" w:cs="Calibri"/>
          <w:color w:val="242424"/>
          <w:sz w:val="18"/>
          <w:szCs w:val="18"/>
        </w:rPr>
        <w:t>“ ist die Gesamtzahl der Minuten im Anwendbaren Zeitraum, in denen alle Anfragen für die Dateifreigabe aufgrund eines dienstseitigen Problems fehlschlagen.</w:t>
      </w:r>
    </w:p>
    <w:p w14:paraId="6FC7845B" w14:textId="77777777" w:rsidR="002A7476" w:rsidRPr="00620CAD" w:rsidRDefault="002A7476" w:rsidP="002A7476">
      <w:pPr>
        <w:shd w:val="clear" w:color="auto" w:fill="FFFFFF"/>
        <w:spacing w:after="0" w:line="240" w:lineRule="auto"/>
        <w:rPr>
          <w:rFonts w:ascii="Calibri" w:eastAsia="Times New Roman" w:hAnsi="Calibri" w:cs="Calibri"/>
          <w:color w:val="242424"/>
          <w:sz w:val="18"/>
          <w:szCs w:val="18"/>
        </w:rPr>
      </w:pPr>
      <w:r w:rsidRPr="00620CAD">
        <w:rPr>
          <w:sz w:val="18"/>
          <w:szCs w:val="18"/>
        </w:rPr>
        <w:t>„</w:t>
      </w:r>
      <w:r w:rsidRPr="00620CAD">
        <w:rPr>
          <w:rFonts w:ascii="Calibri" w:eastAsia="Times New Roman" w:hAnsi="Calibri" w:cs="Calibri"/>
          <w:b/>
          <w:bCs/>
          <w:color w:val="00188F"/>
          <w:sz w:val="18"/>
          <w:szCs w:val="18"/>
          <w:bdr w:val="none" w:sz="0" w:space="0" w:color="auto" w:frame="1"/>
        </w:rPr>
        <w:t>Betriebszeitprozentsatz</w:t>
      </w:r>
      <w:r w:rsidRPr="00620CAD">
        <w:rPr>
          <w:rFonts w:ascii="Calibri" w:eastAsia="Times New Roman" w:hAnsi="Calibri" w:cs="Calibri"/>
          <w:color w:val="242424"/>
          <w:sz w:val="18"/>
          <w:szCs w:val="18"/>
        </w:rPr>
        <w:t>“</w:t>
      </w:r>
      <w:r w:rsidRPr="00620CAD">
        <w:rPr>
          <w:b/>
          <w:bCs/>
          <w:color w:val="00188F"/>
          <w:sz w:val="18"/>
          <w:szCs w:val="18"/>
        </w:rPr>
        <w:t>:</w:t>
      </w:r>
      <w:r w:rsidRPr="00620CAD">
        <w:rPr>
          <w:rFonts w:ascii="Calibri" w:eastAsia="Times New Roman" w:hAnsi="Calibri" w:cs="Calibri"/>
          <w:color w:val="242424"/>
          <w:sz w:val="18"/>
          <w:szCs w:val="18"/>
        </w:rPr>
        <w:t xml:space="preserve"> Der Betriebszeitprozentsatz errechnet sich nach folgender Formel:</w:t>
      </w:r>
    </w:p>
    <w:p w14:paraId="542D80EE" w14:textId="77777777" w:rsidR="002A7476" w:rsidRDefault="00000000" w:rsidP="00E549F2">
      <w:pPr>
        <w:shd w:val="clear" w:color="auto" w:fill="FFFFFF"/>
        <w:spacing w:before="120" w:after="120" w:line="240" w:lineRule="auto"/>
        <w:ind w:left="720"/>
        <w:rPr>
          <w:rFonts w:ascii="Calibri" w:eastAsia="Times New Roman" w:hAnsi="Calibri" w:cs="Calibri"/>
          <w:color w:val="242424"/>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1558134A" w14:textId="4EE33D61" w:rsidR="006C1F3C" w:rsidRDefault="006C1F3C" w:rsidP="006C1F3C">
      <w:pPr>
        <w:spacing w:after="0" w:line="240" w:lineRule="auto"/>
        <w:rPr>
          <w:rFonts w:ascii="Calibri" w:eastAsia="Times New Roman" w:hAnsi="Calibri" w:cs="Calibri"/>
          <w:sz w:val="18"/>
          <w:szCs w:val="18"/>
          <w:bdr w:val="none" w:sz="0" w:space="0" w:color="auto" w:frame="1"/>
        </w:rPr>
      </w:pPr>
      <w:r>
        <w:rPr>
          <w:rFonts w:ascii="Calibri" w:eastAsia="Times New Roman" w:hAnsi="Calibri" w:cs="Calibri"/>
          <w:b/>
          <w:bCs/>
          <w:color w:val="00188F"/>
          <w:sz w:val="18"/>
          <w:szCs w:val="18"/>
          <w:bdr w:val="none" w:sz="0" w:space="0" w:color="auto" w:frame="1"/>
        </w:rPr>
        <w:t>Die folgenden Servicelevel und Servicegutschriften gelten für die Nutzung der Dateifreigabe mit Premium-Tarif durch den Kunden unter Verwendung von zonenredundantem Speicher (ZRS) oder lokal redundantem Speicher (LRS) und gelten für die Dateifreigaben, die sowohl gemäß dem Abrechnungsmodell „Bereitgestellt v1“ als auch gemäß dem Abrechnungsmodell „Bereitgestellt v2“ abgerechnet werden.</w:t>
      </w:r>
    </w:p>
    <w:tbl>
      <w:tblPr>
        <w:tblW w:w="10800" w:type="dxa"/>
        <w:shd w:val="clear" w:color="auto" w:fill="FFFFFF"/>
        <w:tblCellMar>
          <w:left w:w="0" w:type="dxa"/>
          <w:right w:w="0" w:type="dxa"/>
        </w:tblCellMar>
        <w:tblLook w:val="04A0" w:firstRow="1" w:lastRow="0" w:firstColumn="1" w:lastColumn="0" w:noHBand="0" w:noVBand="1"/>
      </w:tblPr>
      <w:tblGrid>
        <w:gridCol w:w="5400"/>
        <w:gridCol w:w="5400"/>
      </w:tblGrid>
      <w:tr w:rsidR="002A7476" w14:paraId="6B3ADE21" w14:textId="77777777" w:rsidTr="009C1558">
        <w:trPr>
          <w:tblHeader/>
        </w:trPr>
        <w:tc>
          <w:tcPr>
            <w:tcW w:w="5400" w:type="dxa"/>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4F5A5DA3" w14:textId="39E9BA98" w:rsidR="002A7476" w:rsidRDefault="002A7476" w:rsidP="009C1558">
            <w:pPr>
              <w:spacing w:after="0" w:line="168" w:lineRule="atLeast"/>
              <w:jc w:val="center"/>
              <w:rPr>
                <w:rFonts w:ascii="Calibri" w:eastAsia="Times New Roman" w:hAnsi="Calibri" w:cs="Calibri"/>
                <w:color w:val="242424"/>
                <w:sz w:val="16"/>
                <w:szCs w:val="16"/>
              </w:rPr>
            </w:pPr>
            <w:r>
              <w:rPr>
                <w:rFonts w:ascii="Calibri" w:eastAsia="Times New Roman" w:hAnsi="Calibri" w:cs="Calibri"/>
                <w:b/>
                <w:bCs/>
                <w:color w:val="00188F"/>
                <w:sz w:val="18"/>
                <w:szCs w:val="18"/>
                <w:bdr w:val="none" w:sz="0" w:space="0" w:color="auto" w:frame="1"/>
              </w:rPr>
              <w:t> </w:t>
            </w:r>
            <w:r>
              <w:rPr>
                <w:rFonts w:ascii="Calibri" w:eastAsia="Times New Roman" w:hAnsi="Calibri" w:cs="Calibri"/>
                <w:color w:val="FFFFFF"/>
                <w:sz w:val="16"/>
                <w:szCs w:val="16"/>
                <w:bdr w:val="none" w:sz="0" w:space="0" w:color="auto" w:frame="1"/>
              </w:rPr>
              <w:t>Betriebszeitprozentsatz</w:t>
            </w:r>
          </w:p>
        </w:tc>
        <w:tc>
          <w:tcPr>
            <w:tcW w:w="5400" w:type="dxa"/>
            <w:tcBorders>
              <w:top w:val="single" w:sz="8" w:space="0" w:color="000000"/>
              <w:left w:val="nil"/>
              <w:bottom w:val="single" w:sz="8" w:space="0" w:color="000000"/>
              <w:right w:val="single" w:sz="8" w:space="0" w:color="000000"/>
            </w:tcBorders>
            <w:shd w:val="clear" w:color="auto" w:fill="0072C6"/>
            <w:tcMar>
              <w:top w:w="0" w:type="dxa"/>
              <w:left w:w="108" w:type="dxa"/>
              <w:bottom w:w="0" w:type="dxa"/>
              <w:right w:w="108" w:type="dxa"/>
            </w:tcMar>
            <w:hideMark/>
          </w:tcPr>
          <w:p w14:paraId="58C72748" w14:textId="77777777" w:rsidR="002A7476" w:rsidRDefault="002A7476" w:rsidP="009C1558">
            <w:pPr>
              <w:spacing w:after="0" w:line="168" w:lineRule="atLeast"/>
              <w:jc w:val="center"/>
              <w:rPr>
                <w:rFonts w:ascii="Calibri" w:eastAsia="Times New Roman" w:hAnsi="Calibri" w:cs="Calibri"/>
                <w:color w:val="242424"/>
                <w:sz w:val="16"/>
                <w:szCs w:val="16"/>
              </w:rPr>
            </w:pPr>
            <w:r>
              <w:rPr>
                <w:rFonts w:ascii="Calibri" w:eastAsia="Times New Roman" w:hAnsi="Calibri" w:cs="Calibri"/>
                <w:color w:val="FFFFFF"/>
                <w:sz w:val="16"/>
                <w:szCs w:val="16"/>
                <w:bdr w:val="none" w:sz="0" w:space="0" w:color="auto" w:frame="1"/>
              </w:rPr>
              <w:t>Servicegutschrift</w:t>
            </w:r>
          </w:p>
        </w:tc>
      </w:tr>
      <w:tr w:rsidR="002A7476" w14:paraId="0A6EC78B" w14:textId="77777777" w:rsidTr="009C1558">
        <w:tc>
          <w:tcPr>
            <w:tcW w:w="54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C68842F" w14:textId="77777777" w:rsidR="002A7476" w:rsidRDefault="002A7476" w:rsidP="009C1558">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&lt; 99,99 %</w:t>
            </w:r>
          </w:p>
        </w:tc>
        <w:tc>
          <w:tcPr>
            <w:tcW w:w="54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0A3E400" w14:textId="77777777" w:rsidR="002A7476" w:rsidRDefault="002A7476" w:rsidP="009C1558">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10 %</w:t>
            </w:r>
          </w:p>
        </w:tc>
      </w:tr>
      <w:tr w:rsidR="002A7476" w14:paraId="499B0E59" w14:textId="77777777" w:rsidTr="009C1558">
        <w:tc>
          <w:tcPr>
            <w:tcW w:w="54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6E9D66B" w14:textId="77777777" w:rsidR="002A7476" w:rsidRDefault="002A7476" w:rsidP="009C1558">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&lt; 99 %</w:t>
            </w:r>
          </w:p>
        </w:tc>
        <w:tc>
          <w:tcPr>
            <w:tcW w:w="54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3D3A62E" w14:textId="77777777" w:rsidR="002A7476" w:rsidRDefault="002A7476" w:rsidP="009C1558">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25 %</w:t>
            </w:r>
          </w:p>
        </w:tc>
      </w:tr>
    </w:tbl>
    <w:p w14:paraId="5C824BCA" w14:textId="77777777" w:rsidR="002A7476" w:rsidRPr="00D67F75" w:rsidRDefault="002A7476" w:rsidP="002A7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5DC2AD44" w14:textId="794B090C" w:rsidR="004005AF" w:rsidRPr="00EF7CF9" w:rsidRDefault="004005AF" w:rsidP="004005AF">
      <w:pPr>
        <w:pStyle w:val="ProductList-Offering2Heading"/>
        <w:tabs>
          <w:tab w:val="clear" w:pos="360"/>
          <w:tab w:val="clear" w:pos="720"/>
          <w:tab w:val="clear" w:pos="1080"/>
        </w:tabs>
        <w:outlineLvl w:val="2"/>
      </w:pPr>
      <w:bookmarkStart w:id="361" w:name="_Toc195543150"/>
      <w:bookmarkStart w:id="362" w:name="_Toc237449009"/>
      <w:r>
        <w:t>Azure Firewall</w:t>
      </w:r>
      <w:bookmarkEnd w:id="318"/>
      <w:bookmarkEnd w:id="319"/>
      <w:bookmarkEnd w:id="361"/>
      <w:bookmarkEnd w:id="362"/>
    </w:p>
    <w:p w14:paraId="107DEEB6" w14:textId="77777777" w:rsidR="004005AF" w:rsidRPr="00EF7CF9" w:rsidRDefault="004005AF" w:rsidP="004005AF">
      <w:pPr>
        <w:pStyle w:val="ProductList-Body"/>
      </w:pPr>
      <w:r>
        <w:rPr>
          <w:b/>
          <w:color w:val="00188F"/>
        </w:rPr>
        <w:t>Zusätzliche Definitionen</w:t>
      </w:r>
      <w:r w:rsidRPr="0008262F">
        <w:rPr>
          <w:b/>
          <w:bCs/>
          <w:color w:val="00188F"/>
        </w:rPr>
        <w:t>:</w:t>
      </w:r>
    </w:p>
    <w:p w14:paraId="4A3B69E6" w14:textId="77777777" w:rsidR="004005AF" w:rsidRPr="00E9584A" w:rsidRDefault="004005AF" w:rsidP="004005AF">
      <w:pPr>
        <w:pStyle w:val="ProductList-Body"/>
      </w:pPr>
      <w:r>
        <w:t>„</w:t>
      </w:r>
      <w:r>
        <w:rPr>
          <w:b/>
          <w:color w:val="00188F"/>
        </w:rPr>
        <w:t>Azure Firewall-Dienst</w:t>
      </w:r>
      <w:r>
        <w:t>“</w:t>
      </w:r>
      <w:r>
        <w:rPr>
          <w:b/>
          <w:color w:val="00188F"/>
        </w:rPr>
        <w:t xml:space="preserve"> </w:t>
      </w:r>
      <w:r>
        <w:t>bezieht sich auf eine logische Firewall-Instanz, die in einem Virtuellen Netzwerk des Kunden bereitgestellt wird.</w:t>
      </w:r>
    </w:p>
    <w:p w14:paraId="7D62F386" w14:textId="07808C7F" w:rsidR="004005AF" w:rsidRPr="00ED4527" w:rsidRDefault="00EE6E3C" w:rsidP="004005AF">
      <w:pPr>
        <w:pStyle w:val="ProductList-Body"/>
        <w:rPr>
          <w:b/>
          <w:bCs/>
          <w:color w:val="00188F"/>
        </w:rPr>
      </w:pPr>
      <w:r>
        <w:rPr>
          <w:b/>
          <w:bCs/>
          <w:color w:val="00188F"/>
        </w:rPr>
        <w:t>Berechnung der Betriebszeit und Service-Levels für den Azure Firewall-Dienst, der in einer einzigen Verfügbarkeitszone eingesetzt wird</w:t>
      </w:r>
    </w:p>
    <w:p w14:paraId="58255A28" w14:textId="699AA074" w:rsidR="004005AF" w:rsidRPr="00A2017D" w:rsidRDefault="004005AF" w:rsidP="004005AF">
      <w:pPr>
        <w:pStyle w:val="ProductList-Body"/>
      </w:pPr>
      <w:r>
        <w:t>„</w:t>
      </w:r>
      <w:r>
        <w:rPr>
          <w:b/>
          <w:color w:val="00188F"/>
        </w:rPr>
        <w:t>Maximal Verfügbare Minuten</w:t>
      </w:r>
      <w:r>
        <w:t>“</w:t>
      </w:r>
      <w:r>
        <w:rPr>
          <w:b/>
          <w:color w:val="00188F"/>
        </w:rPr>
        <w:t xml:space="preserve"> </w:t>
      </w:r>
      <w:r>
        <w:t>ist die Summe der kumulierten Minuten in einem Anwendbaren Zeitraum, in dem der Azure Firewall-Dienst in einem Microsoft Azure-Abonnement bereitgestellt wird.</w:t>
      </w:r>
    </w:p>
    <w:p w14:paraId="2C00A1C0" w14:textId="6C0A6472" w:rsidR="004005AF" w:rsidRDefault="004005AF" w:rsidP="004005AF">
      <w:pPr>
        <w:pStyle w:val="ProductList-Body"/>
      </w:pPr>
      <w:r>
        <w:t>Die „</w:t>
      </w:r>
      <w:r>
        <w:rPr>
          <w:b/>
          <w:color w:val="00188F"/>
        </w:rPr>
        <w:t>Ausfallzeit</w:t>
      </w:r>
      <w:r>
        <w:t>“</w:t>
      </w:r>
      <w:r>
        <w:rPr>
          <w:b/>
          <w:color w:val="00188F"/>
        </w:rPr>
        <w:t xml:space="preserve"> </w:t>
      </w:r>
      <w:r>
        <w:t>ist die Gesamtzahl der Maximal Verfügbaren Minuten in einem Anwendbaren Zeitraum für einen bestimmten Azure Firewall-Dienst,</w:t>
      </w:r>
      <w:r>
        <w:rPr>
          <w:b/>
          <w:color w:val="00188F"/>
        </w:rPr>
        <w:t xml:space="preserve"> </w:t>
      </w:r>
      <w:r>
        <w:t>in denen der Azure Firewall-Dienst nicht verfügbar ist. Eine Minute gilt als nicht verfügbar, wenn alle Versuche innerhalb dieser Minute, eine Verbindung mit dem Azure Firewall-Dienst herzustellen, erfolglos bleiben.</w:t>
      </w:r>
    </w:p>
    <w:p w14:paraId="2F4A07D6" w14:textId="12D0664A" w:rsidR="004005AF" w:rsidRPr="00EF7CF9" w:rsidRDefault="00AC48A7" w:rsidP="004005AF">
      <w:pPr>
        <w:pStyle w:val="ProductList-Body"/>
      </w:pPr>
      <w:r>
        <w:rPr>
          <w:b/>
          <w:color w:val="00188F"/>
        </w:rPr>
        <w:t>Betriebszeitprozentsatz</w:t>
      </w:r>
      <w:r w:rsidRPr="0008262F">
        <w:rPr>
          <w:b/>
          <w:bCs/>
          <w:color w:val="00188F"/>
        </w:rPr>
        <w:t>:</w:t>
      </w:r>
      <w:r>
        <w:t xml:space="preserve"> Der Betriebszeitprozentsatz errechnet sich nach folgender Formel:</w:t>
      </w:r>
    </w:p>
    <w:p w14:paraId="2398E6B9" w14:textId="2367462D" w:rsidR="004005AF" w:rsidRPr="00EF7CF9" w:rsidRDefault="00000000" w:rsidP="00120827">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3BD7FA62" w14:textId="2030E5AA" w:rsidR="004005AF" w:rsidRDefault="004005AF" w:rsidP="004005AF">
      <w:pPr>
        <w:pStyle w:val="ProductList-Body"/>
        <w:keepNext/>
        <w:rPr>
          <w:b/>
          <w:color w:val="00188F"/>
        </w:rPr>
      </w:pPr>
      <w:r>
        <w:rPr>
          <w:b/>
          <w:color w:val="00188F"/>
        </w:rPr>
        <w:t>Die folgenden Service-Levels und Servicegutschriften gelten für die Nutzung des Azure Firewall-Dienstes, wenn dieser innerhalb einer einzigen Verfügbarkeitszone bereitgestellt wird:</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2499836" w14:textId="77777777" w:rsidTr="00277097">
        <w:trPr>
          <w:tblHeader/>
        </w:trPr>
        <w:tc>
          <w:tcPr>
            <w:tcW w:w="5400" w:type="dxa"/>
            <w:shd w:val="clear" w:color="auto" w:fill="0072C6"/>
          </w:tcPr>
          <w:p w14:paraId="67AD5DC3" w14:textId="5FF0DE34" w:rsidR="004005AF" w:rsidRPr="005A3C16"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00F2EBB8" w14:textId="77777777" w:rsidR="004005AF" w:rsidRPr="005A3C16" w:rsidRDefault="004005AF" w:rsidP="000F31B4">
            <w:pPr>
              <w:pStyle w:val="ProductList-OfferingBody"/>
              <w:jc w:val="center"/>
              <w:rPr>
                <w:color w:val="FFFFFF" w:themeColor="background1"/>
              </w:rPr>
            </w:pPr>
            <w:r>
              <w:rPr>
                <w:color w:val="FFFFFF" w:themeColor="background1"/>
              </w:rPr>
              <w:t>Servicegutschrift</w:t>
            </w:r>
          </w:p>
        </w:tc>
      </w:tr>
      <w:tr w:rsidR="004005AF" w:rsidRPr="00B44CF9" w14:paraId="45E9D7E7" w14:textId="77777777" w:rsidTr="00277097">
        <w:tc>
          <w:tcPr>
            <w:tcW w:w="5400" w:type="dxa"/>
          </w:tcPr>
          <w:p w14:paraId="5C610318" w14:textId="77777777" w:rsidR="004005AF" w:rsidRPr="005A3C16" w:rsidRDefault="004005AF" w:rsidP="000F31B4">
            <w:pPr>
              <w:pStyle w:val="ProductList-OfferingBody"/>
              <w:jc w:val="center"/>
            </w:pPr>
            <w:r>
              <w:t>&lt; 99,95 %</w:t>
            </w:r>
          </w:p>
        </w:tc>
        <w:tc>
          <w:tcPr>
            <w:tcW w:w="5400" w:type="dxa"/>
          </w:tcPr>
          <w:p w14:paraId="10C08CE5" w14:textId="77777777" w:rsidR="004005AF" w:rsidRPr="005A3C16" w:rsidRDefault="004005AF" w:rsidP="000F31B4">
            <w:pPr>
              <w:pStyle w:val="ProductList-OfferingBody"/>
              <w:jc w:val="center"/>
            </w:pPr>
            <w:r>
              <w:t>10 %</w:t>
            </w:r>
          </w:p>
        </w:tc>
      </w:tr>
      <w:tr w:rsidR="004005AF" w:rsidRPr="00B44CF9" w14:paraId="1A548F38" w14:textId="77777777" w:rsidTr="00277097">
        <w:tc>
          <w:tcPr>
            <w:tcW w:w="5400" w:type="dxa"/>
          </w:tcPr>
          <w:p w14:paraId="370C80ED" w14:textId="77777777" w:rsidR="004005AF" w:rsidRPr="005A3C16" w:rsidRDefault="004005AF" w:rsidP="000F31B4">
            <w:pPr>
              <w:pStyle w:val="ProductList-OfferingBody"/>
              <w:jc w:val="center"/>
            </w:pPr>
            <w:r>
              <w:t>&lt; 99 %</w:t>
            </w:r>
          </w:p>
        </w:tc>
        <w:tc>
          <w:tcPr>
            <w:tcW w:w="5400" w:type="dxa"/>
          </w:tcPr>
          <w:p w14:paraId="75BACCED" w14:textId="77777777" w:rsidR="004005AF" w:rsidRPr="005A3C16" w:rsidRDefault="004005AF" w:rsidP="000F31B4">
            <w:pPr>
              <w:pStyle w:val="ProductList-OfferingBody"/>
              <w:jc w:val="center"/>
            </w:pPr>
            <w:r>
              <w:t>25 %</w:t>
            </w:r>
          </w:p>
        </w:tc>
      </w:tr>
    </w:tbl>
    <w:p w14:paraId="605ED321" w14:textId="36894902" w:rsidR="004005AF" w:rsidRPr="00ED4527" w:rsidRDefault="00EE6E3C" w:rsidP="00A54875">
      <w:pPr>
        <w:pStyle w:val="ProductList-Body"/>
        <w:spacing w:before="120"/>
        <w:rPr>
          <w:b/>
          <w:bCs/>
          <w:color w:val="00188F"/>
        </w:rPr>
      </w:pPr>
      <w:r>
        <w:rPr>
          <w:b/>
          <w:bCs/>
          <w:color w:val="00188F"/>
        </w:rPr>
        <w:t>Berechnung der Betriebszeit und Service-Level für den Azure Firewall-Dienst, der innerhalb von mindestens zwei Verfügbarkeitszonen bereitgestellt wird</w:t>
      </w:r>
    </w:p>
    <w:p w14:paraId="30D680C4" w14:textId="4BC29C94" w:rsidR="004005AF" w:rsidRPr="00ED4527" w:rsidRDefault="004005AF" w:rsidP="004005AF">
      <w:pPr>
        <w:pStyle w:val="ProductList-Body"/>
        <w:rPr>
          <w:color w:val="000000" w:themeColor="text1"/>
        </w:rPr>
      </w:pPr>
      <w:r>
        <w:t>„</w:t>
      </w:r>
      <w:r>
        <w:rPr>
          <w:b/>
          <w:bCs/>
          <w:color w:val="00188F"/>
        </w:rPr>
        <w:t>Maximal Verfügbare Minuten</w:t>
      </w:r>
      <w:r>
        <w:rPr>
          <w:color w:val="000000" w:themeColor="text1"/>
        </w:rPr>
        <w:t>“ ist die Summe der kumulierten Minuten in einem Anwendbaren Zeitraum, in denen der Azure Firewall-Dienst innerhalb von zwei oder mehr Verfügbarkeitszonen in derselben Region in einem Microsoft-Abonnement bereitgestellt wird.</w:t>
      </w:r>
    </w:p>
    <w:p w14:paraId="3016A8A2" w14:textId="03FDC537" w:rsidR="004005AF" w:rsidRPr="00ED4527" w:rsidRDefault="004005AF" w:rsidP="004005AF">
      <w:pPr>
        <w:pStyle w:val="ProductList-Body"/>
        <w:rPr>
          <w:color w:val="000000" w:themeColor="text1"/>
        </w:rPr>
      </w:pPr>
      <w:r>
        <w:t>„</w:t>
      </w:r>
      <w:r>
        <w:rPr>
          <w:b/>
          <w:bCs/>
          <w:color w:val="00188F"/>
        </w:rPr>
        <w:t>Ausfallzeit</w:t>
      </w:r>
      <w:r>
        <w:rPr>
          <w:color w:val="000000" w:themeColor="text1"/>
        </w:rPr>
        <w:t>“ ist die Summe der kumulierten Maximal Verfügbaren Minuten in einem Anwendbaren Zeitraum für einen bestimmten Azure Firewall-Dienst, der in zwei oder mehr Verfügbarkeitszonen bereitgestellt wird, in denen der Azure Firewall-Dienst nicht verfügbar ist. Eine Minute gilt als nicht verfügbar, wenn alle Versuche innerhalb dieser Minute, eine Verbindung mit dem Azure Firewall-Dienst herzustellen, erfolglos bleiben.</w:t>
      </w:r>
    </w:p>
    <w:p w14:paraId="705028FD" w14:textId="39839497" w:rsidR="004005AF" w:rsidRPr="00ED4527" w:rsidRDefault="004005AF" w:rsidP="004005AF">
      <w:pPr>
        <w:pStyle w:val="ProductList-Body"/>
        <w:tabs>
          <w:tab w:val="clear" w:pos="360"/>
          <w:tab w:val="clear" w:pos="720"/>
          <w:tab w:val="clear" w:pos="1080"/>
        </w:tabs>
        <w:rPr>
          <w:color w:val="000000" w:themeColor="text1"/>
        </w:rPr>
      </w:pPr>
      <w:r>
        <w:t>Der „</w:t>
      </w:r>
      <w:r>
        <w:rPr>
          <w:b/>
          <w:bCs/>
          <w:color w:val="00188F"/>
        </w:rPr>
        <w:t>Betriebszeitprozentsatz</w:t>
      </w:r>
      <w:r>
        <w:rPr>
          <w:color w:val="00188F"/>
        </w:rPr>
        <w:t xml:space="preserve">“ </w:t>
      </w:r>
      <w:r>
        <w:rPr>
          <w:color w:val="000000" w:themeColor="text1"/>
        </w:rPr>
        <w:t>für Azure Firewalls, die in zwei oder mehr Verfügbarkeitszonen eingesetzt werden, wird nach folgender Formel berechnet:</w:t>
      </w:r>
    </w:p>
    <w:p w14:paraId="3CF7D48F" w14:textId="59AA4F87" w:rsidR="004005AF" w:rsidRPr="00EF7CF9" w:rsidRDefault="00000000" w:rsidP="004005AF">
      <w:pPr>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0AA24F9D" w14:textId="77777777" w:rsidR="004005AF" w:rsidRPr="008D2319" w:rsidRDefault="004005AF" w:rsidP="004005AF">
      <w:pPr>
        <w:pStyle w:val="ProductList-Body"/>
        <w:keepNext/>
        <w:rPr>
          <w:b/>
          <w:color w:val="00188F"/>
        </w:rPr>
      </w:pPr>
      <w:r>
        <w:rPr>
          <w:b/>
          <w:color w:val="00188F"/>
        </w:rPr>
        <w:t>Die folgenden Service-Levels und Servicegutschriften gelten für die Nutzung des Azure Firewall-Dienstes, wenn dieser innerhalb von mindestens zwei Verfügbarkeitszonen in derselben Region bereitgestellt wird:</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6E4080E2" w14:textId="77777777" w:rsidTr="00277097">
        <w:trPr>
          <w:tblHeader/>
        </w:trPr>
        <w:tc>
          <w:tcPr>
            <w:tcW w:w="5400" w:type="dxa"/>
            <w:shd w:val="clear" w:color="auto" w:fill="0072C6"/>
          </w:tcPr>
          <w:p w14:paraId="0FD4EF76" w14:textId="07E834E2" w:rsidR="004005AF" w:rsidRPr="005A3C16"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76F348E5" w14:textId="77777777" w:rsidR="004005AF" w:rsidRPr="005A3C16" w:rsidRDefault="004005AF" w:rsidP="000F31B4">
            <w:pPr>
              <w:pStyle w:val="ProductList-OfferingBody"/>
              <w:jc w:val="center"/>
              <w:rPr>
                <w:color w:val="FFFFFF" w:themeColor="background1"/>
              </w:rPr>
            </w:pPr>
            <w:r>
              <w:rPr>
                <w:color w:val="FFFFFF" w:themeColor="background1"/>
              </w:rPr>
              <w:t>Servicegutschrift</w:t>
            </w:r>
          </w:p>
        </w:tc>
      </w:tr>
      <w:tr w:rsidR="004005AF" w:rsidRPr="00B44CF9" w14:paraId="5E9E209C" w14:textId="77777777" w:rsidTr="00277097">
        <w:tc>
          <w:tcPr>
            <w:tcW w:w="5400" w:type="dxa"/>
          </w:tcPr>
          <w:p w14:paraId="3B9D5C82" w14:textId="77777777" w:rsidR="004005AF" w:rsidRPr="005A3C16" w:rsidRDefault="004005AF" w:rsidP="000F31B4">
            <w:pPr>
              <w:pStyle w:val="ProductList-OfferingBody"/>
              <w:jc w:val="center"/>
            </w:pPr>
            <w:r>
              <w:t>&lt; 99,99 %</w:t>
            </w:r>
          </w:p>
        </w:tc>
        <w:tc>
          <w:tcPr>
            <w:tcW w:w="5400" w:type="dxa"/>
          </w:tcPr>
          <w:p w14:paraId="1EF2AB30" w14:textId="77777777" w:rsidR="004005AF" w:rsidRPr="005A3C16" w:rsidRDefault="004005AF" w:rsidP="000F31B4">
            <w:pPr>
              <w:pStyle w:val="ProductList-OfferingBody"/>
              <w:jc w:val="center"/>
            </w:pPr>
            <w:r>
              <w:t>10 %</w:t>
            </w:r>
          </w:p>
        </w:tc>
      </w:tr>
      <w:tr w:rsidR="004005AF" w:rsidRPr="00B44CF9" w14:paraId="435C1CD5" w14:textId="77777777" w:rsidTr="00277097">
        <w:tc>
          <w:tcPr>
            <w:tcW w:w="5400" w:type="dxa"/>
          </w:tcPr>
          <w:p w14:paraId="7355E825" w14:textId="77777777" w:rsidR="004005AF" w:rsidRPr="005A3C16" w:rsidRDefault="004005AF" w:rsidP="000F31B4">
            <w:pPr>
              <w:pStyle w:val="ProductList-OfferingBody"/>
              <w:jc w:val="center"/>
            </w:pPr>
            <w:r>
              <w:t>&lt; 99 %</w:t>
            </w:r>
          </w:p>
        </w:tc>
        <w:tc>
          <w:tcPr>
            <w:tcW w:w="5400" w:type="dxa"/>
          </w:tcPr>
          <w:p w14:paraId="41B7CDB9" w14:textId="77777777" w:rsidR="004005AF" w:rsidRPr="005A3C16" w:rsidRDefault="004005AF" w:rsidP="000F31B4">
            <w:pPr>
              <w:pStyle w:val="ProductList-OfferingBody"/>
              <w:jc w:val="center"/>
            </w:pPr>
            <w:r>
              <w:t>25 %</w:t>
            </w:r>
          </w:p>
        </w:tc>
      </w:tr>
    </w:tbl>
    <w:bookmarkStart w:id="363" w:name="_Toc52348932"/>
    <w:p w14:paraId="198E4148" w14:textId="13BD8EFA"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lastRenderedPageBreak/>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154879A1" w14:textId="77777777" w:rsidR="00E76FE2" w:rsidRPr="00E76FE2" w:rsidRDefault="00E76FE2" w:rsidP="007D5D75">
      <w:pPr>
        <w:pStyle w:val="ProductList-Offering2Heading"/>
        <w:keepNext/>
        <w:tabs>
          <w:tab w:val="clear" w:pos="360"/>
          <w:tab w:val="clear" w:pos="720"/>
          <w:tab w:val="clear" w:pos="1080"/>
        </w:tabs>
        <w:outlineLvl w:val="2"/>
      </w:pPr>
      <w:bookmarkStart w:id="364" w:name="_Toc195543151"/>
      <w:bookmarkStart w:id="365" w:name="_Toc237449010"/>
      <w:r>
        <w:t>Azure Fluid Relay</w:t>
      </w:r>
      <w:bookmarkEnd w:id="364"/>
      <w:bookmarkEnd w:id="365"/>
    </w:p>
    <w:p w14:paraId="186ED242" w14:textId="77777777" w:rsidR="00E76FE2" w:rsidRPr="00E76FE2" w:rsidRDefault="00E76FE2" w:rsidP="00E76FE2">
      <w:pPr>
        <w:pStyle w:val="ProductList-Body"/>
        <w:rPr>
          <w:b/>
          <w:bCs/>
          <w:color w:val="00188F"/>
        </w:rPr>
      </w:pPr>
      <w:r>
        <w:rPr>
          <w:b/>
          <w:bCs/>
          <w:color w:val="00188F"/>
        </w:rPr>
        <w:t>Zusätzliche Definitionen</w:t>
      </w:r>
    </w:p>
    <w:p w14:paraId="6E84ED5D" w14:textId="72417546" w:rsidR="00E76FE2" w:rsidRDefault="00E76FE2" w:rsidP="00E76FE2">
      <w:pPr>
        <w:pStyle w:val="ProductList-Body"/>
      </w:pPr>
      <w:r>
        <w:t>„</w:t>
      </w:r>
      <w:r>
        <w:rPr>
          <w:b/>
          <w:bCs/>
          <w:color w:val="00188F"/>
        </w:rPr>
        <w:t>Maximal Verfügbare Minuten</w:t>
      </w:r>
      <w:r>
        <w:t>“ ist die Summe der kumulierten Minuten in einem Anwendbaren Zeitraum, in denen mindestens eine Azure Fluid Relay-Ressource in einem Microsoft Azure-Abonnement bereitgestellt wird.</w:t>
      </w:r>
    </w:p>
    <w:p w14:paraId="2DE3F9A5" w14:textId="543D00F4" w:rsidR="00E76FE2" w:rsidRDefault="00E76FE2" w:rsidP="00E76FE2">
      <w:pPr>
        <w:pStyle w:val="ProductList-Body"/>
      </w:pPr>
      <w:r>
        <w:t>„</w:t>
      </w:r>
      <w:r>
        <w:rPr>
          <w:b/>
          <w:bCs/>
          <w:color w:val="00188F"/>
        </w:rPr>
        <w:t>Ausfallzeit</w:t>
      </w:r>
      <w:r>
        <w:t>“ ist die Summe der kumulierten Maximal Verfügbaren Minuten in einem Anwendbaren Zeitraum, in denen mindestens eine Azure Fluid Relay-Ressource bereitgestellt wird, aber die Serviceaufrufe für die Azure Fluid Relay-Ressource nicht verfügbar sind.</w:t>
      </w:r>
    </w:p>
    <w:p w14:paraId="263517D6" w14:textId="77C88703" w:rsidR="00E76FE2" w:rsidRDefault="00E76FE2" w:rsidP="00E76FE2">
      <w:pPr>
        <w:pStyle w:val="ProductList-Body"/>
      </w:pPr>
      <w:r>
        <w:t>„</w:t>
      </w:r>
      <w:r>
        <w:rPr>
          <w:b/>
          <w:bCs/>
          <w:color w:val="00188F"/>
        </w:rPr>
        <w:t>Betriebszeitprozentsatz</w:t>
      </w:r>
      <w:r w:rsidR="00620CAD" w:rsidRPr="00620CAD">
        <w:t>“</w:t>
      </w:r>
      <w:r w:rsidRPr="0008262F">
        <w:rPr>
          <w:b/>
          <w:bCs/>
          <w:color w:val="00188F"/>
        </w:rPr>
        <w:t>:</w:t>
      </w:r>
      <w:r>
        <w:t xml:space="preserve"> Der Betriebszeitprozentsatz errechnet sich nach folgender Formel:</w:t>
      </w:r>
    </w:p>
    <w:p w14:paraId="74504FF8" w14:textId="75B9DDD5" w:rsidR="00E76FE2" w:rsidRPr="00EF7CF9" w:rsidRDefault="00000000" w:rsidP="00855AC4">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60582B5E" w14:textId="77777777" w:rsidR="00E76FE2" w:rsidRPr="004F2381" w:rsidRDefault="00E76FE2" w:rsidP="004F2381">
      <w:pPr>
        <w:pStyle w:val="ProductList-Body"/>
        <w:keepNext/>
        <w:rPr>
          <w:b/>
          <w:bCs/>
          <w:color w:val="00188F"/>
        </w:rPr>
      </w:pPr>
      <w:r>
        <w:rPr>
          <w:b/>
          <w:bCs/>
          <w:color w:val="00188F"/>
        </w:rPr>
        <w:t>Die folgenden Servicelevels und Servicegutschriften gelten für die Nutzung der Azure Fluid Relay-Ressource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76FE2" w:rsidRPr="00B44CF9" w14:paraId="39724092" w14:textId="77777777" w:rsidTr="00277097">
        <w:trPr>
          <w:tblHeader/>
        </w:trPr>
        <w:tc>
          <w:tcPr>
            <w:tcW w:w="5400" w:type="dxa"/>
            <w:shd w:val="clear" w:color="auto" w:fill="0072C6"/>
          </w:tcPr>
          <w:p w14:paraId="58B7A839" w14:textId="5C9D4ED4" w:rsidR="00E76FE2" w:rsidRPr="005A3C16"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18BD83B4" w14:textId="77777777" w:rsidR="00E76FE2" w:rsidRPr="005A3C16" w:rsidRDefault="00E76FE2" w:rsidP="000F31B4">
            <w:pPr>
              <w:pStyle w:val="ProductList-OfferingBody"/>
              <w:jc w:val="center"/>
              <w:rPr>
                <w:color w:val="FFFFFF" w:themeColor="background1"/>
              </w:rPr>
            </w:pPr>
            <w:r>
              <w:rPr>
                <w:color w:val="FFFFFF" w:themeColor="background1"/>
              </w:rPr>
              <w:t>Servicegutschrift</w:t>
            </w:r>
          </w:p>
        </w:tc>
      </w:tr>
      <w:tr w:rsidR="00E76FE2" w:rsidRPr="00B44CF9" w14:paraId="014A3618" w14:textId="77777777" w:rsidTr="00277097">
        <w:tc>
          <w:tcPr>
            <w:tcW w:w="5400" w:type="dxa"/>
          </w:tcPr>
          <w:p w14:paraId="6F23F302" w14:textId="71E99B8D" w:rsidR="00E76FE2" w:rsidRPr="005A3C16" w:rsidRDefault="00E76FE2" w:rsidP="000F31B4">
            <w:pPr>
              <w:pStyle w:val="ProductList-OfferingBody"/>
              <w:jc w:val="center"/>
            </w:pPr>
            <w:r>
              <w:t>&lt; 99,9 %</w:t>
            </w:r>
          </w:p>
        </w:tc>
        <w:tc>
          <w:tcPr>
            <w:tcW w:w="5400" w:type="dxa"/>
          </w:tcPr>
          <w:p w14:paraId="512E88FD" w14:textId="77777777" w:rsidR="00E76FE2" w:rsidRPr="005A3C16" w:rsidRDefault="00E76FE2" w:rsidP="000F31B4">
            <w:pPr>
              <w:pStyle w:val="ProductList-OfferingBody"/>
              <w:jc w:val="center"/>
            </w:pPr>
            <w:r>
              <w:t>10 %</w:t>
            </w:r>
          </w:p>
        </w:tc>
      </w:tr>
      <w:tr w:rsidR="00E76FE2" w:rsidRPr="00B44CF9" w14:paraId="25315DD6" w14:textId="77777777" w:rsidTr="00277097">
        <w:tc>
          <w:tcPr>
            <w:tcW w:w="5400" w:type="dxa"/>
          </w:tcPr>
          <w:p w14:paraId="1709E494" w14:textId="77777777" w:rsidR="00E76FE2" w:rsidRPr="005A3C16" w:rsidRDefault="00E76FE2" w:rsidP="000F31B4">
            <w:pPr>
              <w:pStyle w:val="ProductList-OfferingBody"/>
              <w:jc w:val="center"/>
            </w:pPr>
            <w:r>
              <w:t>&lt; 99 %</w:t>
            </w:r>
          </w:p>
        </w:tc>
        <w:tc>
          <w:tcPr>
            <w:tcW w:w="5400" w:type="dxa"/>
          </w:tcPr>
          <w:p w14:paraId="7192BB89" w14:textId="77777777" w:rsidR="00E76FE2" w:rsidRPr="005A3C16" w:rsidRDefault="00E76FE2" w:rsidP="000F31B4">
            <w:pPr>
              <w:pStyle w:val="ProductList-OfferingBody"/>
              <w:jc w:val="center"/>
            </w:pPr>
            <w:r>
              <w:t>25 %</w:t>
            </w:r>
          </w:p>
        </w:tc>
      </w:tr>
    </w:tbl>
    <w:p w14:paraId="166AFAB6" w14:textId="77777777" w:rsidR="00C6646C" w:rsidRDefault="00C6646C" w:rsidP="00A54875">
      <w:pPr>
        <w:pStyle w:val="ProductList-Body"/>
        <w:spacing w:before="120"/>
        <w:rPr>
          <w:rFonts w:ascii="Calibri" w:hAnsi="Calibri" w:cs="Calibri"/>
        </w:rPr>
      </w:pPr>
      <w:r>
        <w:rPr>
          <w:rFonts w:ascii="Calibri" w:hAnsi="Calibri" w:cs="Calibri"/>
          <w:b/>
          <w:color w:val="00188F"/>
        </w:rPr>
        <w:t>Servicelevel-Ausnahmen</w:t>
      </w:r>
      <w:r w:rsidRPr="00B168D6">
        <w:rPr>
          <w:rFonts w:ascii="Calibri" w:eastAsia="Calibri" w:hAnsi="Calibri" w:cs="Arial"/>
          <w:b/>
          <w:bCs/>
          <w:color w:val="00188F"/>
          <w:kern w:val="2"/>
          <w:bdr w:val="none" w:sz="0" w:space="0" w:color="auto" w:frame="1"/>
        </w:rPr>
        <w:t>:</w:t>
      </w:r>
      <w:r>
        <w:rPr>
          <w:rFonts w:ascii="Calibri" w:hAnsi="Calibri" w:cs="Calibri"/>
        </w:rPr>
        <w:t xml:space="preserve"> </w:t>
      </w:r>
      <w:r>
        <w:rPr>
          <w:rFonts w:ascii="Calibri" w:eastAsia="Calibri" w:hAnsi="Calibri" w:cs="Calibri"/>
        </w:rPr>
        <w:t>Für die Basisstufe ist keine SLA vorgesehen.</w:t>
      </w:r>
    </w:p>
    <w:p w14:paraId="084E077A" w14:textId="77777777" w:rsidR="00C76827" w:rsidRPr="00D67F75" w:rsidRDefault="00C76827" w:rsidP="00C7682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518DF4C1" w14:textId="77777777" w:rsidR="004F2381" w:rsidRPr="004F2381" w:rsidRDefault="004F2381" w:rsidP="00AD5567">
      <w:pPr>
        <w:pStyle w:val="ProductList-Offering2Heading"/>
        <w:keepNext/>
        <w:tabs>
          <w:tab w:val="clear" w:pos="360"/>
          <w:tab w:val="clear" w:pos="720"/>
          <w:tab w:val="clear" w:pos="1080"/>
        </w:tabs>
        <w:outlineLvl w:val="2"/>
      </w:pPr>
      <w:bookmarkStart w:id="366" w:name="_Toc195543152"/>
      <w:bookmarkStart w:id="367" w:name="_Toc237449011"/>
      <w:r>
        <w:t>Azure Front Door und Azure Front Door (klassisch)</w:t>
      </w:r>
      <w:bookmarkEnd w:id="366"/>
      <w:bookmarkEnd w:id="367"/>
    </w:p>
    <w:p w14:paraId="4DF36CA6" w14:textId="19E613CE" w:rsidR="004F2381" w:rsidRPr="004F2381" w:rsidRDefault="00EE6E3C" w:rsidP="004F2381">
      <w:pPr>
        <w:pStyle w:val="ProductList-Body"/>
        <w:rPr>
          <w:b/>
          <w:bCs/>
          <w:color w:val="00188F"/>
        </w:rPr>
      </w:pPr>
      <w:r>
        <w:rPr>
          <w:b/>
          <w:bCs/>
          <w:color w:val="00188F"/>
        </w:rPr>
        <w:t>Berechnung der Betriebszeit und Service-Levels für Azure Front Door und Azure Front Door (klassisch)</w:t>
      </w:r>
    </w:p>
    <w:p w14:paraId="0E9C02A9" w14:textId="77777777" w:rsidR="004F2381" w:rsidRDefault="004F2381" w:rsidP="004F2381">
      <w:pPr>
        <w:pStyle w:val="ProductList-Body"/>
      </w:pPr>
      <w:r>
        <w:t>Microsoft überprüft die Daten von jedem wirtschaftlich angemessenen, unabhängigen Messsystem, das der Kunde verwendet.</w:t>
      </w:r>
    </w:p>
    <w:p w14:paraId="418C34AA" w14:textId="77777777" w:rsidR="004F2381" w:rsidRDefault="004F2381" w:rsidP="00AD5567">
      <w:pPr>
        <w:pStyle w:val="ProductList-Body"/>
        <w:spacing w:before="120"/>
      </w:pPr>
      <w:r>
        <w:t>Der Kunde muss eine Reihe Agents aus der Liste der Standard-Agents für das Messsystem auswählen, die allgemein verfügbar sind und mindestens fünf unterschiedliche geografische Standorte in wichtigen Großstadtbereichen weltweit repräsentieren (außer der VR China).</w:t>
      </w:r>
    </w:p>
    <w:p w14:paraId="6FBDA486" w14:textId="77777777" w:rsidR="004F2381" w:rsidRDefault="004F2381">
      <w:pPr>
        <w:pStyle w:val="ProductList-Body"/>
        <w:numPr>
          <w:ilvl w:val="0"/>
          <w:numId w:val="9"/>
        </w:numPr>
      </w:pPr>
      <w:r>
        <w:t>Messsystemtests (Häufigkeit mindestens ein Test alle fünf Minuten pro Agent) werden so konfiguriert, dass ein HTTP GET-Vorgang entsprechend dem folgenden Modell durchgeführt wird:</w:t>
      </w:r>
    </w:p>
    <w:p w14:paraId="595DA6A2" w14:textId="77777777" w:rsidR="004F2381" w:rsidRDefault="004F2381">
      <w:pPr>
        <w:pStyle w:val="ProductList-Body"/>
        <w:numPr>
          <w:ilvl w:val="0"/>
          <w:numId w:val="9"/>
        </w:numPr>
      </w:pPr>
      <w:r>
        <w:t>Eine Testdatei wird am Back-End des Kunden platziert (dem Azure-Speicherkonto).</w:t>
      </w:r>
    </w:p>
    <w:p w14:paraId="78CE7BBA" w14:textId="1833CC76" w:rsidR="004F2381" w:rsidRDefault="004F2381">
      <w:pPr>
        <w:pStyle w:val="ProductList-Body"/>
        <w:numPr>
          <w:ilvl w:val="0"/>
          <w:numId w:val="9"/>
        </w:numPr>
      </w:pPr>
      <w:r>
        <w:t>Der GET-Vorgang ruft die Datei über Azure Front Door und Azure Front Door (klassisch) ab, indem er das Objekt vom entsprechenden Hostnamen des Microsoft Azure-Domänennamens anfordert.</w:t>
      </w:r>
    </w:p>
    <w:p w14:paraId="246D7779" w14:textId="77777777" w:rsidR="004F2381" w:rsidRDefault="004F2381">
      <w:pPr>
        <w:pStyle w:val="ProductList-Body"/>
        <w:numPr>
          <w:ilvl w:val="0"/>
          <w:numId w:val="9"/>
        </w:numPr>
      </w:pPr>
      <w:r>
        <w:t>Die Testdatei muss die folgenden Kriterien erfüllen:</w:t>
      </w:r>
    </w:p>
    <w:p w14:paraId="168D1BD3" w14:textId="77777777" w:rsidR="004F2381" w:rsidRDefault="004F2381">
      <w:pPr>
        <w:pStyle w:val="ProductList-Body"/>
        <w:numPr>
          <w:ilvl w:val="0"/>
          <w:numId w:val="10"/>
        </w:numPr>
        <w:ind w:left="1080"/>
      </w:pPr>
      <w:r>
        <w:t>Das Testobjekt ist eine Datei, die mindestens 50 KB groß ist.</w:t>
      </w:r>
    </w:p>
    <w:p w14:paraId="3E713057" w14:textId="121D57DC" w:rsidR="004F2381" w:rsidRDefault="004F2381">
      <w:pPr>
        <w:pStyle w:val="ProductList-Body"/>
        <w:numPr>
          <w:ilvl w:val="0"/>
          <w:numId w:val="10"/>
        </w:numPr>
        <w:ind w:left="1080"/>
      </w:pPr>
      <w:r>
        <w:t>Rohdaten werden zugeschnitten, um alle Messungen zu entfernen, die von einem Agent mit technischen Problemen während des Messzeitraums stammen.</w:t>
      </w:r>
    </w:p>
    <w:p w14:paraId="17584669" w14:textId="50DD1CE1" w:rsidR="004F2381" w:rsidRDefault="004F2381" w:rsidP="00AD5567">
      <w:pPr>
        <w:pStyle w:val="ProductList-Body"/>
        <w:spacing w:before="120"/>
      </w:pPr>
      <w:r>
        <w:t>Der „</w:t>
      </w:r>
      <w:r>
        <w:rPr>
          <w:b/>
          <w:bCs/>
          <w:color w:val="00188F"/>
        </w:rPr>
        <w:t>Betriebszeitprozentsatz</w:t>
      </w:r>
      <w:r>
        <w:t>“ gibt den Prozentsatz der HTTP-Transaktionen an, bei denen Azure Front Door und Azure Front Door (klassisch) auf Client-Anforderungen reagieren und den angeforderten Inhalt ohne Fehler liefern. Der Betriebszeitprozentsatz von Azure Front Door und Azure Front Door (klassisch) wird berechnet als die Anzahl der erfolgreichen Zustellungen des Objekts geteilt durch die Gesamtzahl der Anfragen (nach Entfernung fehlerhafter Daten).</w:t>
      </w:r>
    </w:p>
    <w:p w14:paraId="67FB4267" w14:textId="77777777" w:rsidR="004F2381" w:rsidRPr="004F2381" w:rsidRDefault="004F2381" w:rsidP="00AD5567">
      <w:pPr>
        <w:pStyle w:val="ProductList-Body"/>
        <w:spacing w:before="120"/>
        <w:rPr>
          <w:b/>
          <w:bCs/>
          <w:color w:val="00188F"/>
        </w:rPr>
      </w:pPr>
      <w:r>
        <w:rPr>
          <w:b/>
          <w:bCs/>
          <w:color w:val="00188F"/>
        </w:rPr>
        <w:t>Die folgenden Servicelevels und Servicegutschriften gelten für die Nutzung von Azure Front Door und Azure Front Door (klassisch)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2381" w:rsidRPr="00B44CF9" w14:paraId="4015E684" w14:textId="77777777" w:rsidTr="00277097">
        <w:trPr>
          <w:tblHeader/>
        </w:trPr>
        <w:tc>
          <w:tcPr>
            <w:tcW w:w="5400" w:type="dxa"/>
            <w:shd w:val="clear" w:color="auto" w:fill="0072C6"/>
          </w:tcPr>
          <w:p w14:paraId="404A7F08" w14:textId="4DA9C8E4" w:rsidR="004F2381" w:rsidRPr="005A3C16"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04F82E53" w14:textId="77777777" w:rsidR="004F2381" w:rsidRPr="005A3C16" w:rsidRDefault="004F2381" w:rsidP="000F31B4">
            <w:pPr>
              <w:pStyle w:val="ProductList-OfferingBody"/>
              <w:jc w:val="center"/>
              <w:rPr>
                <w:color w:val="FFFFFF" w:themeColor="background1"/>
              </w:rPr>
            </w:pPr>
            <w:r>
              <w:rPr>
                <w:color w:val="FFFFFF" w:themeColor="background1"/>
              </w:rPr>
              <w:t>Servicegutschrift</w:t>
            </w:r>
          </w:p>
        </w:tc>
      </w:tr>
      <w:tr w:rsidR="004F2381" w:rsidRPr="00B44CF9" w14:paraId="4B99269F" w14:textId="77777777" w:rsidTr="00277097">
        <w:tc>
          <w:tcPr>
            <w:tcW w:w="5400" w:type="dxa"/>
          </w:tcPr>
          <w:p w14:paraId="233930EB" w14:textId="61EBE563" w:rsidR="004F2381" w:rsidRPr="005A3C16" w:rsidRDefault="004F2381" w:rsidP="000F31B4">
            <w:pPr>
              <w:pStyle w:val="ProductList-OfferingBody"/>
              <w:jc w:val="center"/>
            </w:pPr>
            <w:r>
              <w:t>&lt; 99,99 %</w:t>
            </w:r>
          </w:p>
        </w:tc>
        <w:tc>
          <w:tcPr>
            <w:tcW w:w="5400" w:type="dxa"/>
          </w:tcPr>
          <w:p w14:paraId="64166E7A" w14:textId="77777777" w:rsidR="004F2381" w:rsidRPr="005A3C16" w:rsidRDefault="004F2381" w:rsidP="000F31B4">
            <w:pPr>
              <w:pStyle w:val="ProductList-OfferingBody"/>
              <w:jc w:val="center"/>
            </w:pPr>
            <w:r>
              <w:t>10 %</w:t>
            </w:r>
          </w:p>
        </w:tc>
      </w:tr>
      <w:tr w:rsidR="004F2381" w:rsidRPr="00B44CF9" w14:paraId="3D5E3389" w14:textId="77777777" w:rsidTr="00277097">
        <w:tc>
          <w:tcPr>
            <w:tcW w:w="5400" w:type="dxa"/>
          </w:tcPr>
          <w:p w14:paraId="4D6B759B" w14:textId="7559920F" w:rsidR="004F2381" w:rsidRPr="005A3C16" w:rsidRDefault="004F2381" w:rsidP="000F31B4">
            <w:pPr>
              <w:pStyle w:val="ProductList-OfferingBody"/>
              <w:jc w:val="center"/>
            </w:pPr>
            <w:r>
              <w:t>&lt; 99,9 %</w:t>
            </w:r>
          </w:p>
        </w:tc>
        <w:tc>
          <w:tcPr>
            <w:tcW w:w="5400" w:type="dxa"/>
          </w:tcPr>
          <w:p w14:paraId="2E8B9EF7" w14:textId="77777777" w:rsidR="004F2381" w:rsidRPr="005A3C16" w:rsidRDefault="004F2381" w:rsidP="000F31B4">
            <w:pPr>
              <w:pStyle w:val="ProductList-OfferingBody"/>
              <w:jc w:val="center"/>
            </w:pPr>
            <w:r>
              <w:t>25 %</w:t>
            </w:r>
          </w:p>
        </w:tc>
      </w:tr>
    </w:tbl>
    <w:p w14:paraId="0CCB51FA" w14:textId="3D8E1275"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14D9DDFE" w14:textId="77777777" w:rsidR="00BA2ACE" w:rsidRPr="00BA2ACE" w:rsidRDefault="00BA2ACE" w:rsidP="00BA2ACE">
      <w:pPr>
        <w:pStyle w:val="ProductList-Offering2Heading"/>
        <w:keepNext/>
        <w:tabs>
          <w:tab w:val="clear" w:pos="360"/>
          <w:tab w:val="clear" w:pos="720"/>
          <w:tab w:val="clear" w:pos="1080"/>
        </w:tabs>
        <w:outlineLvl w:val="2"/>
      </w:pPr>
      <w:bookmarkStart w:id="368" w:name="_Toc195543153"/>
      <w:bookmarkStart w:id="369" w:name="_Toc237449012"/>
      <w:r>
        <w:t>Azure-Funktionen</w:t>
      </w:r>
      <w:bookmarkEnd w:id="368"/>
      <w:bookmarkEnd w:id="369"/>
    </w:p>
    <w:p w14:paraId="052624BB" w14:textId="77777777" w:rsidR="00BA2ACE" w:rsidRPr="00BA2ACE" w:rsidRDefault="00BA2ACE" w:rsidP="00BA2ACE">
      <w:pPr>
        <w:pStyle w:val="ProductList-Body"/>
        <w:rPr>
          <w:b/>
          <w:bCs/>
          <w:color w:val="00188F"/>
        </w:rPr>
      </w:pPr>
      <w:r>
        <w:rPr>
          <w:b/>
          <w:bCs/>
          <w:color w:val="00188F"/>
        </w:rPr>
        <w:t>Zusätzliche Definitionen</w:t>
      </w:r>
    </w:p>
    <w:p w14:paraId="235BCA0A" w14:textId="77777777" w:rsidR="00BA2ACE" w:rsidRDefault="00BA2ACE" w:rsidP="00BA2ACE">
      <w:pPr>
        <w:pStyle w:val="ProductList-Body"/>
      </w:pPr>
      <w:r>
        <w:t>„</w:t>
      </w:r>
      <w:r>
        <w:rPr>
          <w:b/>
          <w:bCs/>
          <w:color w:val="00188F"/>
        </w:rPr>
        <w:t>Funktionen-App</w:t>
      </w:r>
      <w:r>
        <w:t>“ bezieht sich auf eine Sammlung einer oder mehrerer Funktionen, die mit einem verknüpften Auslöser bereitgestellt werden.</w:t>
      </w:r>
    </w:p>
    <w:p w14:paraId="4B85BC3C" w14:textId="058CB4EA" w:rsidR="00BA2ACE" w:rsidRPr="00BA2ACE" w:rsidRDefault="00EE6E3C" w:rsidP="001377C7">
      <w:pPr>
        <w:pStyle w:val="ProductList-Body"/>
        <w:rPr>
          <w:b/>
          <w:bCs/>
          <w:color w:val="00188F"/>
        </w:rPr>
      </w:pPr>
      <w:r>
        <w:rPr>
          <w:b/>
          <w:bCs/>
          <w:color w:val="00188F"/>
        </w:rPr>
        <w:t>Berechnung der Betriebszeit und Service-Levels für eine Funktionen-App, die über einen Verbrauchsplan läuft</w:t>
      </w:r>
    </w:p>
    <w:p w14:paraId="64932D86" w14:textId="02051F92" w:rsidR="00BA2ACE" w:rsidRDefault="00BA2ACE" w:rsidP="00BA2ACE">
      <w:pPr>
        <w:pStyle w:val="ProductList-Body"/>
      </w:pPr>
      <w:r>
        <w:t>Die „</w:t>
      </w:r>
      <w:r>
        <w:rPr>
          <w:b/>
          <w:bCs/>
          <w:color w:val="00188F"/>
        </w:rPr>
        <w:t>Gesamtzahl der ausgelösten Ausführungen</w:t>
      </w:r>
      <w:r>
        <w:t>“ bezieht sich auf die Gesamtzahl aller Ausführungen von Funktionen-Apps, die vom Kunden in einem bestimmten Microsoft Azure-Abonnement während eines Anwendbaren Zeitraums ausgelöst werden.</w:t>
      </w:r>
    </w:p>
    <w:p w14:paraId="1096786D" w14:textId="77777777" w:rsidR="00BA2ACE" w:rsidRDefault="00BA2ACE" w:rsidP="00BA2ACE">
      <w:pPr>
        <w:pStyle w:val="ProductList-Body"/>
      </w:pPr>
      <w:r>
        <w:lastRenderedPageBreak/>
        <w:t>„</w:t>
      </w:r>
      <w:r>
        <w:rPr>
          <w:b/>
          <w:bCs/>
          <w:color w:val="00188F"/>
        </w:rPr>
        <w:t>Nicht verfügbare Ausführungen</w:t>
      </w:r>
      <w:r>
        <w:t>“ bezieht sich auf die Gesamtzahl der Ausführungen im Rahmen der Gesamtzahl der ausgelösten Ausführungen, die nicht ausgeführt wurden. Eine Ausführung gilt als fehlgeschlagen, wenn das betreffende Funktionen-App-Protokoll fünf (5) Minuten nach erfolgreicher Betätigung des Auslösers keine Ausgabe erfasst hat.</w:t>
      </w:r>
    </w:p>
    <w:p w14:paraId="689CE859" w14:textId="1998DE1C" w:rsidR="00BA2ACE" w:rsidRDefault="00BA2ACE" w:rsidP="00BA2ACE">
      <w:pPr>
        <w:pStyle w:val="ProductList-Body"/>
      </w:pPr>
      <w:r>
        <w:t>Der „</w:t>
      </w:r>
      <w:r>
        <w:rPr>
          <w:b/>
          <w:bCs/>
          <w:color w:val="00188F"/>
        </w:rPr>
        <w:t>Betriebszeitprozentsatz</w:t>
      </w:r>
      <w:r>
        <w:t>“ für Funktionen-Apps, die über den Verbrauchsplan laufen, wird berechnet, indem die nicht verfügbaren Ausführungen von der Gesamtzahl der ausgelösten Ausführungen abgezogen werden und das Ergebnis durch die Gesamtzahl der ausgelösten Ausführungen dividiert und dann mit 100 multipliziert wird.</w:t>
      </w:r>
    </w:p>
    <w:p w14:paraId="293767FF" w14:textId="7112C493" w:rsidR="00BA2ACE" w:rsidRPr="00BA2ACE" w:rsidRDefault="00000000" w:rsidP="00855AC4">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Gesamtzahl der Ausgelösten Ausführungen abzüglich Nicht verfügbare Ausführungen</m:t>
              </m:r>
            </m:num>
            <m:den>
              <m:r>
                <m:rPr>
                  <m:nor/>
                </m:rPr>
                <w:rPr>
                  <w:rFonts w:ascii="Cambria Math" w:hAnsi="Cambria Math" w:cs="Tahoma"/>
                  <w:i/>
                  <w:color w:val="000000" w:themeColor="text1"/>
                  <w:sz w:val="18"/>
                  <w:szCs w:val="18"/>
                </w:rPr>
                <m:t>Gesamtzahl der Ausgelösten Ausführungen</m:t>
              </m:r>
            </m:den>
          </m:f>
          <m:r>
            <w:rPr>
              <w:rFonts w:ascii="Cambria Math" w:hAnsi="Cambria Math" w:cs="Tahoma"/>
              <w:color w:val="000000" w:themeColor="text1"/>
              <w:sz w:val="18"/>
              <w:szCs w:val="18"/>
            </w:rPr>
            <m:t xml:space="preserve"> x 100</m:t>
          </m:r>
        </m:oMath>
      </m:oMathPara>
    </w:p>
    <w:p w14:paraId="4D9D763B" w14:textId="77777777" w:rsidR="00BA2ACE" w:rsidRPr="00BA2ACE" w:rsidRDefault="00BA2ACE" w:rsidP="00BA2ACE">
      <w:pPr>
        <w:pStyle w:val="ProductList-Body"/>
        <w:keepNext/>
        <w:rPr>
          <w:b/>
          <w:bCs/>
          <w:color w:val="00188F"/>
        </w:rPr>
      </w:pPr>
      <w:r>
        <w:rPr>
          <w:b/>
          <w:bCs/>
          <w:color w:val="00188F"/>
        </w:rPr>
        <w:t>Die folgenden Service-Levels und Servicegutschriften gelten für die Nutzung der Funktionen-App durch den Kunden im Rahmen des Verbrauchsplans.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A2ACE" w:rsidRPr="00B44CF9" w14:paraId="5B3876C3" w14:textId="77777777" w:rsidTr="00277097">
        <w:trPr>
          <w:trHeight w:val="249"/>
          <w:tblHeader/>
        </w:trPr>
        <w:tc>
          <w:tcPr>
            <w:tcW w:w="5400" w:type="dxa"/>
            <w:shd w:val="clear" w:color="auto" w:fill="0072C6"/>
          </w:tcPr>
          <w:p w14:paraId="421CB153" w14:textId="188DA940" w:rsidR="00BA2ACE"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61CB9C4F" w14:textId="77777777" w:rsidR="00BA2ACE" w:rsidRPr="00EF7CF9" w:rsidRDefault="00BA2ACE" w:rsidP="000F31B4">
            <w:pPr>
              <w:pStyle w:val="ProductList-OfferingBody"/>
              <w:jc w:val="center"/>
              <w:rPr>
                <w:color w:val="FFFFFF" w:themeColor="background1"/>
              </w:rPr>
            </w:pPr>
            <w:r>
              <w:rPr>
                <w:color w:val="FFFFFF" w:themeColor="background1"/>
              </w:rPr>
              <w:t>Servicegutschrift</w:t>
            </w:r>
          </w:p>
        </w:tc>
      </w:tr>
      <w:tr w:rsidR="00BA2ACE" w:rsidRPr="00B44CF9" w14:paraId="66A68143" w14:textId="77777777" w:rsidTr="00277097">
        <w:trPr>
          <w:trHeight w:val="242"/>
        </w:trPr>
        <w:tc>
          <w:tcPr>
            <w:tcW w:w="5400" w:type="dxa"/>
          </w:tcPr>
          <w:p w14:paraId="2030FE8B" w14:textId="77777777" w:rsidR="00BA2ACE" w:rsidRPr="00EF7CF9" w:rsidRDefault="00BA2ACE" w:rsidP="000F31B4">
            <w:pPr>
              <w:pStyle w:val="ProductList-OfferingBody"/>
              <w:jc w:val="center"/>
            </w:pPr>
            <w:r>
              <w:t>&lt; 99,95 %</w:t>
            </w:r>
          </w:p>
        </w:tc>
        <w:tc>
          <w:tcPr>
            <w:tcW w:w="5400" w:type="dxa"/>
          </w:tcPr>
          <w:p w14:paraId="12A1DCF6" w14:textId="77777777" w:rsidR="00BA2ACE" w:rsidRPr="00EF7CF9" w:rsidRDefault="00BA2ACE" w:rsidP="000F31B4">
            <w:pPr>
              <w:pStyle w:val="ProductList-OfferingBody"/>
              <w:jc w:val="center"/>
            </w:pPr>
            <w:r>
              <w:t>10 %</w:t>
            </w:r>
          </w:p>
        </w:tc>
      </w:tr>
      <w:tr w:rsidR="00BA2ACE" w:rsidRPr="00B44CF9" w14:paraId="3194E7C9" w14:textId="77777777" w:rsidTr="00277097">
        <w:trPr>
          <w:trHeight w:val="249"/>
        </w:trPr>
        <w:tc>
          <w:tcPr>
            <w:tcW w:w="5400" w:type="dxa"/>
          </w:tcPr>
          <w:p w14:paraId="1CB9D483" w14:textId="77777777" w:rsidR="00BA2ACE" w:rsidRPr="00EF7CF9" w:rsidRDefault="00BA2ACE" w:rsidP="000F31B4">
            <w:pPr>
              <w:pStyle w:val="ProductList-OfferingBody"/>
              <w:jc w:val="center"/>
            </w:pPr>
            <w:r>
              <w:t>&lt; 99 %</w:t>
            </w:r>
          </w:p>
        </w:tc>
        <w:tc>
          <w:tcPr>
            <w:tcW w:w="5400" w:type="dxa"/>
          </w:tcPr>
          <w:p w14:paraId="201A7205" w14:textId="77777777" w:rsidR="00BA2ACE" w:rsidRPr="00EF7CF9" w:rsidRDefault="00BA2ACE" w:rsidP="000F31B4">
            <w:pPr>
              <w:pStyle w:val="ProductList-OfferingBody"/>
              <w:jc w:val="center"/>
            </w:pPr>
            <w:r>
              <w:t>25 %</w:t>
            </w:r>
          </w:p>
        </w:tc>
      </w:tr>
      <w:tr w:rsidR="00BA2ACE" w:rsidRPr="00B44CF9" w14:paraId="51850274" w14:textId="77777777" w:rsidTr="00277097">
        <w:trPr>
          <w:trHeight w:val="249"/>
        </w:trPr>
        <w:tc>
          <w:tcPr>
            <w:tcW w:w="5400" w:type="dxa"/>
          </w:tcPr>
          <w:p w14:paraId="388CC5D0" w14:textId="77777777" w:rsidR="00BA2ACE" w:rsidRPr="00EF7CF9" w:rsidRDefault="00BA2ACE" w:rsidP="000F31B4">
            <w:pPr>
              <w:pStyle w:val="ProductList-OfferingBody"/>
              <w:jc w:val="center"/>
            </w:pPr>
            <w:r>
              <w:t>&lt; 95 %</w:t>
            </w:r>
          </w:p>
        </w:tc>
        <w:tc>
          <w:tcPr>
            <w:tcW w:w="5400" w:type="dxa"/>
          </w:tcPr>
          <w:p w14:paraId="0B8D9475" w14:textId="77777777" w:rsidR="00BA2ACE" w:rsidRPr="00EF7CF9" w:rsidRDefault="00BA2ACE" w:rsidP="000F31B4">
            <w:pPr>
              <w:pStyle w:val="ProductList-OfferingBody"/>
              <w:jc w:val="center"/>
            </w:pPr>
            <w:r>
              <w:t>100 %</w:t>
            </w:r>
          </w:p>
        </w:tc>
      </w:tr>
    </w:tbl>
    <w:p w14:paraId="4DEA314D" w14:textId="77777777" w:rsidR="00710D9F" w:rsidRPr="006629FF" w:rsidRDefault="00710D9F" w:rsidP="00710D9F">
      <w:pPr>
        <w:pStyle w:val="ProductList-Body"/>
        <w:keepNext/>
        <w:spacing w:before="120"/>
        <w:rPr>
          <w:rFonts w:ascii="Calibri" w:hAnsi="Calibri" w:cs="Calibri"/>
          <w:b/>
          <w:bCs/>
          <w:color w:val="00188F"/>
        </w:rPr>
      </w:pPr>
      <w:r>
        <w:rPr>
          <w:rFonts w:ascii="Calibri" w:hAnsi="Calibri" w:cs="Calibri"/>
          <w:b/>
          <w:bCs/>
          <w:color w:val="00188F"/>
        </w:rPr>
        <w:t>Berechnung der Betriebszeit und Service-Levels für Function-Apps im Flex-Verbrauchstarif oder im speziellen App Service-Plan</w:t>
      </w:r>
    </w:p>
    <w:p w14:paraId="2C724797" w14:textId="77777777" w:rsidR="00710D9F" w:rsidRPr="006629FF" w:rsidRDefault="00710D9F" w:rsidP="00710D9F">
      <w:pPr>
        <w:pStyle w:val="ProductList-Body"/>
        <w:rPr>
          <w:rFonts w:ascii="Calibri" w:hAnsi="Calibri" w:cs="Calibri"/>
        </w:rPr>
      </w:pPr>
      <w:r>
        <w:rPr>
          <w:rFonts w:ascii="Calibri" w:hAnsi="Calibri" w:cs="Calibri"/>
        </w:rPr>
        <w:t>„</w:t>
      </w:r>
      <w:r>
        <w:rPr>
          <w:rFonts w:ascii="Calibri" w:hAnsi="Calibri" w:cs="Calibri"/>
          <w:b/>
          <w:bCs/>
          <w:color w:val="00188F"/>
        </w:rPr>
        <w:t>Bereitstellungsminuten</w:t>
      </w:r>
      <w:r>
        <w:rPr>
          <w:rFonts w:ascii="Calibri" w:hAnsi="Calibri" w:cs="Calibri"/>
        </w:rPr>
        <w:t>“ ist die Gesamtzahl der Minuten, in denen eine bestimmte Function-App während eines Anwendbaren Zeitraums zur Auslösung bereitgestellt wurde. Bereitstellungsminuten werden auf Grundlage der Gesamtzeit gemessen, in der der Service für die Auslösung einer Funktionsausführung verfügbar ist, und nicht auf Grundlage der potenziellen Anzahl von Funktionsausführungen, die in einem beliebigen Anwendbaren Zeitraum möglicherweise ausgelöst werden.</w:t>
      </w:r>
    </w:p>
    <w:p w14:paraId="373145EC" w14:textId="77777777" w:rsidR="00710D9F" w:rsidRPr="006629FF" w:rsidRDefault="00710D9F" w:rsidP="00710D9F">
      <w:pPr>
        <w:pStyle w:val="ProductList-Body"/>
        <w:rPr>
          <w:rFonts w:ascii="Calibri" w:hAnsi="Calibri" w:cs="Calibri"/>
        </w:rPr>
      </w:pPr>
      <w:r>
        <w:rPr>
          <w:rFonts w:ascii="Calibri" w:hAnsi="Calibri" w:cs="Calibri"/>
        </w:rPr>
        <w:t>„</w:t>
      </w:r>
      <w:r>
        <w:rPr>
          <w:rFonts w:ascii="Calibri" w:hAnsi="Calibri" w:cs="Calibri"/>
          <w:b/>
          <w:bCs/>
          <w:color w:val="00188F"/>
        </w:rPr>
        <w:t>Maximal Verfügbare Minuten</w:t>
      </w:r>
      <w:r>
        <w:rPr>
          <w:rFonts w:ascii="Calibri" w:hAnsi="Calibri" w:cs="Calibri"/>
        </w:rPr>
        <w:t>“ ist die Summe aller Bereitstellungsminuten für eine bestimmte Function-App, die vom Kunden in einem bestimmten Microsoft Azure-Abonnement im Verlauf eines Anwendbaren Zeitraums bereitgestellt wird.</w:t>
      </w:r>
    </w:p>
    <w:p w14:paraId="78542EF2" w14:textId="77777777" w:rsidR="00710D9F" w:rsidRPr="006629FF" w:rsidRDefault="00710D9F" w:rsidP="00710D9F">
      <w:pPr>
        <w:pStyle w:val="ProductList-Body"/>
        <w:rPr>
          <w:rFonts w:ascii="Calibri" w:hAnsi="Calibri" w:cs="Calibri"/>
        </w:rPr>
      </w:pPr>
      <w:r>
        <w:rPr>
          <w:rFonts w:ascii="Calibri" w:hAnsi="Calibri" w:cs="Calibri"/>
        </w:rPr>
        <w:t>„</w:t>
      </w:r>
      <w:r>
        <w:rPr>
          <w:rFonts w:ascii="Calibri" w:hAnsi="Calibri" w:cs="Calibri"/>
          <w:b/>
          <w:bCs/>
          <w:color w:val="00188F"/>
        </w:rPr>
        <w:t>Ausfallzeit</w:t>
      </w:r>
      <w:r>
        <w:rPr>
          <w:rFonts w:ascii="Calibri" w:hAnsi="Calibri" w:cs="Calibri"/>
        </w:rPr>
        <w:t>“ steht für die Gesamtzahl der Minuten innerhalb der Maximal Verfügbaren Minuten, in denen die Function-App nicht zur Auslösung verfügbar ist. Eine Minute gilt für eine bestimmte Function-App als nicht verfügbar, wenn keine Verbindung zwischen dem App Service-Plan, auf dem die Funktionen-App gehostet wird (dem Flex-Verbrauchstarif, dem Premium-Plan oder dem speziellen App Service-Plan), und dem Internetgateway von Microsoft besteht.</w:t>
      </w:r>
    </w:p>
    <w:p w14:paraId="5099ED4E" w14:textId="77777777" w:rsidR="00710D9F" w:rsidRPr="006629FF" w:rsidRDefault="00710D9F" w:rsidP="00710D9F">
      <w:pPr>
        <w:pStyle w:val="ProductList-Body"/>
        <w:rPr>
          <w:rFonts w:ascii="Calibri" w:hAnsi="Calibri" w:cs="Calibri"/>
        </w:rPr>
      </w:pPr>
      <w:r>
        <w:rPr>
          <w:rFonts w:ascii="Calibri" w:hAnsi="Calibri" w:cs="Calibri"/>
        </w:rPr>
        <w:t>„</w:t>
      </w:r>
      <w:r>
        <w:rPr>
          <w:rFonts w:ascii="Calibri" w:hAnsi="Calibri" w:cs="Calibri"/>
          <w:b/>
          <w:bCs/>
          <w:color w:val="00188F"/>
        </w:rPr>
        <w:t>Betriebszeitprozentsatz</w:t>
      </w:r>
      <w:r>
        <w:rPr>
          <w:rFonts w:ascii="Calibri" w:hAnsi="Calibri" w:cs="Calibri"/>
        </w:rPr>
        <w:t>“ für Function-Apps im Flex-Verbrauchstarif, auf dem Premium-Plan oder dem speziellen App Service-Plan, wird berechnet, indem die Ausfallzeit von den Maximal verfügbaren Minuten abgezogen und das Ergebnis durch die Maximal verfügbaren Minuten dividiert und dann mit 100 multipliziert wird.</w:t>
      </w:r>
    </w:p>
    <w:p w14:paraId="032F4CDF" w14:textId="780C275F" w:rsidR="00BA2ACE" w:rsidRPr="00EF7CF9" w:rsidRDefault="00000000" w:rsidP="00BB7354">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28444FF0" w14:textId="1763E357" w:rsidR="00BA2ACE" w:rsidRPr="00BA2ACE" w:rsidRDefault="00BA2ACE" w:rsidP="00BA2ACE">
      <w:pPr>
        <w:pStyle w:val="ProductList-Body"/>
        <w:rPr>
          <w:b/>
          <w:bCs/>
          <w:color w:val="00188F"/>
        </w:rPr>
      </w:pPr>
      <w:r>
        <w:rPr>
          <w:b/>
          <w:bCs/>
          <w:color w:val="00188F"/>
        </w:rPr>
        <w:t>Servicegutschrift: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A2ACE" w:rsidRPr="00B44CF9" w14:paraId="6D556F81" w14:textId="77777777" w:rsidTr="00277097">
        <w:trPr>
          <w:trHeight w:val="249"/>
          <w:tblHeader/>
        </w:trPr>
        <w:tc>
          <w:tcPr>
            <w:tcW w:w="5400" w:type="dxa"/>
            <w:shd w:val="clear" w:color="auto" w:fill="0072C6"/>
          </w:tcPr>
          <w:p w14:paraId="0222726D" w14:textId="240144BF" w:rsidR="00BA2ACE"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7E8C7445" w14:textId="77777777" w:rsidR="00BA2ACE" w:rsidRPr="00EF7CF9" w:rsidRDefault="00BA2ACE" w:rsidP="000F31B4">
            <w:pPr>
              <w:pStyle w:val="ProductList-OfferingBody"/>
              <w:jc w:val="center"/>
              <w:rPr>
                <w:color w:val="FFFFFF" w:themeColor="background1"/>
              </w:rPr>
            </w:pPr>
            <w:r>
              <w:rPr>
                <w:color w:val="FFFFFF" w:themeColor="background1"/>
              </w:rPr>
              <w:t>Servicegutschrift</w:t>
            </w:r>
          </w:p>
        </w:tc>
      </w:tr>
      <w:tr w:rsidR="00BA2ACE" w:rsidRPr="00B44CF9" w14:paraId="3DF2A24F" w14:textId="77777777" w:rsidTr="00277097">
        <w:trPr>
          <w:trHeight w:val="242"/>
        </w:trPr>
        <w:tc>
          <w:tcPr>
            <w:tcW w:w="5400" w:type="dxa"/>
          </w:tcPr>
          <w:p w14:paraId="01A3A320" w14:textId="77777777" w:rsidR="00BA2ACE" w:rsidRPr="00EF7CF9" w:rsidRDefault="00BA2ACE" w:rsidP="000F31B4">
            <w:pPr>
              <w:pStyle w:val="ProductList-OfferingBody"/>
              <w:jc w:val="center"/>
            </w:pPr>
            <w:r>
              <w:t>&lt; 99,95 %</w:t>
            </w:r>
          </w:p>
        </w:tc>
        <w:tc>
          <w:tcPr>
            <w:tcW w:w="5400" w:type="dxa"/>
          </w:tcPr>
          <w:p w14:paraId="7DB5AE74" w14:textId="77777777" w:rsidR="00BA2ACE" w:rsidRPr="00EF7CF9" w:rsidRDefault="00BA2ACE" w:rsidP="000F31B4">
            <w:pPr>
              <w:pStyle w:val="ProductList-OfferingBody"/>
              <w:jc w:val="center"/>
            </w:pPr>
            <w:r>
              <w:t>10 %</w:t>
            </w:r>
          </w:p>
        </w:tc>
      </w:tr>
      <w:tr w:rsidR="00BA2ACE" w:rsidRPr="00B44CF9" w14:paraId="50785373" w14:textId="77777777" w:rsidTr="00277097">
        <w:trPr>
          <w:trHeight w:val="249"/>
        </w:trPr>
        <w:tc>
          <w:tcPr>
            <w:tcW w:w="5400" w:type="dxa"/>
          </w:tcPr>
          <w:p w14:paraId="204993FB" w14:textId="77777777" w:rsidR="00BA2ACE" w:rsidRPr="00EF7CF9" w:rsidRDefault="00BA2ACE" w:rsidP="000F31B4">
            <w:pPr>
              <w:pStyle w:val="ProductList-OfferingBody"/>
              <w:jc w:val="center"/>
            </w:pPr>
            <w:r>
              <w:t>&lt; 99 %</w:t>
            </w:r>
          </w:p>
        </w:tc>
        <w:tc>
          <w:tcPr>
            <w:tcW w:w="5400" w:type="dxa"/>
          </w:tcPr>
          <w:p w14:paraId="41BED183" w14:textId="77777777" w:rsidR="00BA2ACE" w:rsidRPr="00EF7CF9" w:rsidRDefault="00BA2ACE" w:rsidP="000F31B4">
            <w:pPr>
              <w:pStyle w:val="ProductList-OfferingBody"/>
              <w:jc w:val="center"/>
            </w:pPr>
            <w:r>
              <w:t>25 %</w:t>
            </w:r>
          </w:p>
        </w:tc>
      </w:tr>
      <w:tr w:rsidR="00BA2ACE" w:rsidRPr="00B44CF9" w14:paraId="194F7CFA" w14:textId="77777777" w:rsidTr="00277097">
        <w:trPr>
          <w:trHeight w:val="249"/>
        </w:trPr>
        <w:tc>
          <w:tcPr>
            <w:tcW w:w="5400" w:type="dxa"/>
          </w:tcPr>
          <w:p w14:paraId="332639D8" w14:textId="77777777" w:rsidR="00BA2ACE" w:rsidRPr="00EF7CF9" w:rsidRDefault="00BA2ACE" w:rsidP="000F31B4">
            <w:pPr>
              <w:pStyle w:val="ProductList-OfferingBody"/>
              <w:jc w:val="center"/>
            </w:pPr>
            <w:r>
              <w:t>&lt; 95 %</w:t>
            </w:r>
          </w:p>
        </w:tc>
        <w:tc>
          <w:tcPr>
            <w:tcW w:w="5400" w:type="dxa"/>
          </w:tcPr>
          <w:p w14:paraId="5C85EFDB" w14:textId="77777777" w:rsidR="00BA2ACE" w:rsidRPr="00EF7CF9" w:rsidRDefault="00BA2ACE" w:rsidP="000F31B4">
            <w:pPr>
              <w:pStyle w:val="ProductList-OfferingBody"/>
              <w:jc w:val="center"/>
            </w:pPr>
            <w:r>
              <w:t>100 %</w:t>
            </w:r>
          </w:p>
        </w:tc>
      </w:tr>
    </w:tbl>
    <w:p w14:paraId="35CF65D4" w14:textId="49EC6785"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4839D9BF" w14:textId="2646CB04" w:rsidR="00F53CD5" w:rsidRDefault="00F53CD5" w:rsidP="00C02802">
      <w:pPr>
        <w:pStyle w:val="ProductList-Offering2Heading"/>
        <w:tabs>
          <w:tab w:val="clear" w:pos="360"/>
          <w:tab w:val="clear" w:pos="720"/>
          <w:tab w:val="clear" w:pos="1080"/>
        </w:tabs>
        <w:outlineLvl w:val="2"/>
      </w:pPr>
      <w:bookmarkStart w:id="370" w:name="_Toc195543154"/>
      <w:bookmarkStart w:id="371" w:name="_Toc237449013"/>
      <w:bookmarkStart w:id="372" w:name="_Toc457821551"/>
      <w:bookmarkStart w:id="373" w:name="_Toc52348957"/>
      <w:r>
        <w:t>Global Secure Access</w:t>
      </w:r>
      <w:bookmarkEnd w:id="370"/>
      <w:bookmarkEnd w:id="371"/>
    </w:p>
    <w:p w14:paraId="29C29175" w14:textId="77777777" w:rsidR="005B0F61" w:rsidRPr="004C1229" w:rsidRDefault="005B0F61" w:rsidP="005B0F61">
      <w:pPr>
        <w:pStyle w:val="ProductList-Body"/>
        <w:rPr>
          <w:rFonts w:ascii="Calibri" w:hAnsi="Calibri" w:cs="Calibri"/>
          <w:b/>
          <w:color w:val="00188F"/>
        </w:rPr>
      </w:pPr>
      <w:r>
        <w:rPr>
          <w:rFonts w:ascii="Calibri" w:hAnsi="Calibri" w:cs="Calibri"/>
          <w:b/>
          <w:color w:val="00188F"/>
        </w:rPr>
        <w:t>Microsoft Entra-Privatzugriff und Microsoft Entra-Internetzugriff</w:t>
      </w:r>
    </w:p>
    <w:p w14:paraId="2853005C" w14:textId="77777777" w:rsidR="005B0F61" w:rsidRPr="004C1229" w:rsidRDefault="005B0F61" w:rsidP="005B0F61">
      <w:pPr>
        <w:pStyle w:val="ProductList-Body"/>
        <w:rPr>
          <w:rFonts w:ascii="Calibri" w:hAnsi="Calibri" w:cs="Calibri"/>
          <w:b/>
          <w:color w:val="00188F"/>
        </w:rPr>
      </w:pPr>
      <w:r>
        <w:rPr>
          <w:rFonts w:ascii="Calibri" w:hAnsi="Calibri" w:cs="Calibri"/>
          <w:b/>
          <w:color w:val="00188F"/>
        </w:rPr>
        <w:t>Zusätzliche Definitionen</w:t>
      </w:r>
    </w:p>
    <w:p w14:paraId="13418E82" w14:textId="77777777" w:rsidR="005B0F61" w:rsidRPr="004C1229" w:rsidRDefault="005B0F61" w:rsidP="005B0F61">
      <w:pPr>
        <w:pStyle w:val="ProductList-Body"/>
        <w:rPr>
          <w:rFonts w:ascii="Calibri" w:hAnsi="Calibri" w:cs="Calibri"/>
        </w:rPr>
      </w:pPr>
      <w:r>
        <w:rPr>
          <w:rFonts w:ascii="Calibri" w:hAnsi="Calibri" w:cs="Calibri"/>
          <w:b/>
          <w:color w:val="00188F"/>
        </w:rPr>
        <w:t xml:space="preserve">Ausfallzeit: </w:t>
      </w:r>
      <w:r>
        <w:rPr>
          <w:rFonts w:ascii="Calibri" w:hAnsi="Calibri" w:cs="Calibri"/>
        </w:rPr>
        <w:t>Jeder Zeitraum, in dem Global Secure Access zum Annehmen oder Verarbeiten von Transaktionen oder Sitzungen nicht verfügbar ist. Ausfallzeiten umfassen nicht die Nichtverfügbarkeit der Web-Benutzeroberfläche (UI), der APIs und der Protokollverarbeitung. Eine bestimmte Minute gilt als nicht verfügbar, wenn alle Verbindungsversuche mit GSA während dieser Minute erfolglos bleiben oder wenn GSA trotz Verbindungsaufbau keine Transaktionen oder Sitzungen verarbeiten kann.</w:t>
      </w:r>
    </w:p>
    <w:p w14:paraId="5504D6D6" w14:textId="77777777" w:rsidR="005B0F61" w:rsidRPr="004C1229" w:rsidRDefault="005B0F61" w:rsidP="005B0F61">
      <w:pPr>
        <w:pStyle w:val="ProductList-Body"/>
        <w:rPr>
          <w:rFonts w:ascii="Calibri" w:hAnsi="Calibri" w:cs="Calibri"/>
        </w:rPr>
      </w:pPr>
      <w:r>
        <w:rPr>
          <w:rFonts w:ascii="Calibri" w:hAnsi="Calibri" w:cs="Calibri"/>
          <w:b/>
          <w:color w:val="00188F"/>
        </w:rPr>
        <w:t>Transaktion:</w:t>
      </w:r>
      <w:r>
        <w:rPr>
          <w:rFonts w:ascii="Calibri" w:hAnsi="Calibri" w:cs="Calibri"/>
        </w:rPr>
        <w:t xml:space="preserve"> Eine HTTP- oder HTTPS-Anfrage, die bei der Nutzung der GSA an oder von einem Endbenutzer gesendet wird.</w:t>
      </w:r>
    </w:p>
    <w:p w14:paraId="35B29FC4" w14:textId="77777777" w:rsidR="005B0F61" w:rsidRPr="004C1229" w:rsidRDefault="005B0F61" w:rsidP="005B0F61">
      <w:pPr>
        <w:pStyle w:val="ProductList-Body"/>
        <w:rPr>
          <w:rFonts w:ascii="Calibri" w:hAnsi="Calibri" w:cs="Calibri"/>
        </w:rPr>
      </w:pPr>
      <w:r>
        <w:rPr>
          <w:rFonts w:ascii="Calibri" w:hAnsi="Calibri" w:cs="Calibri"/>
          <w:b/>
          <w:color w:val="00188F"/>
        </w:rPr>
        <w:t>Sitzung:</w:t>
      </w:r>
      <w:r>
        <w:rPr>
          <w:rFonts w:ascii="Calibri" w:hAnsi="Calibri" w:cs="Calibri"/>
        </w:rPr>
        <w:t xml:space="preserve"> Eine beliebige Nicht-HTTP- oder Nicht-HTTPS-Anfrage bei der Nutzung der GSA an oder von einem Endbenutzer.</w:t>
      </w:r>
    </w:p>
    <w:p w14:paraId="20A7FBBF" w14:textId="77777777" w:rsidR="005B0F61" w:rsidRPr="004C1229" w:rsidRDefault="005B0F61" w:rsidP="005B0F61">
      <w:pPr>
        <w:pStyle w:val="ProductList-Body"/>
        <w:rPr>
          <w:rFonts w:ascii="Calibri" w:hAnsi="Calibri" w:cs="Calibri"/>
        </w:rPr>
      </w:pPr>
      <w:r>
        <w:rPr>
          <w:rFonts w:ascii="Calibri" w:hAnsi="Calibri" w:cs="Calibri"/>
          <w:b/>
          <w:color w:val="00188F"/>
        </w:rPr>
        <w:t>Betriebszeitprozentsatz:</w:t>
      </w:r>
      <w:r>
        <w:rPr>
          <w:rFonts w:ascii="Calibri" w:hAnsi="Calibri" w:cs="Calibri"/>
        </w:rPr>
        <w:t xml:space="preserve"> Der Betriebszeitprozentsatz errechnet sich nach folgender Formel:</w:t>
      </w:r>
    </w:p>
    <w:p w14:paraId="08E8E8F4" w14:textId="77777777" w:rsidR="005B0F61" w:rsidRDefault="00000000" w:rsidP="00D809C4">
      <w:pPr>
        <w:pStyle w:val="ProductList-Body"/>
        <w:spacing w:before="120" w:after="120"/>
      </w:pPr>
      <m:oMathPara>
        <m:oMath>
          <m:f>
            <m:fPr>
              <m:ctrlPr>
                <w:rPr>
                  <w:rFonts w:ascii="Cambria Math" w:hAnsi="Cambria Math" w:cs="Tahoma"/>
                  <w:i/>
                  <w:szCs w:val="18"/>
                </w:rPr>
              </m:ctrlPr>
            </m:fPr>
            <m:num>
              <m:r>
                <m:rPr>
                  <m:nor/>
                </m:rPr>
                <w:rPr>
                  <w:rFonts w:ascii="Cambria Math" w:hAnsi="Cambria Math" w:cs="Tahoma"/>
                  <w:i/>
                  <w:szCs w:val="18"/>
                </w:rPr>
                <m:t>Nutzerminuten abzüglich Ausfallzeit</m:t>
              </m:r>
            </m:num>
            <m:den>
              <m:r>
                <m:rPr>
                  <m:nor/>
                </m:rPr>
                <w:rPr>
                  <w:rFonts w:ascii="Cambria Math" w:hAnsi="Cambria Math" w:cs="Tahoma"/>
                  <w:i/>
                  <w:szCs w:val="18"/>
                </w:rPr>
                <m:t>Nutzerminuten</m:t>
              </m:r>
            </m:den>
          </m:f>
          <m:r>
            <w:rPr>
              <w:rFonts w:ascii="Cambria Math" w:hAnsi="Cambria Math" w:cs="Tahoma"/>
              <w:szCs w:val="18"/>
            </w:rPr>
            <m:t xml:space="preserve"> </m:t>
          </m:r>
          <m:r>
            <w:rPr>
              <w:rFonts w:ascii="Cambria Math" w:hAnsi="Cambria Math" w:cs="Calibri"/>
              <w:szCs w:val="18"/>
            </w:rPr>
            <m:t>x</m:t>
          </m:r>
          <m:r>
            <w:rPr>
              <w:rFonts w:ascii="Cambria Math" w:hAnsi="Cambria Math" w:cs="Tahoma"/>
              <w:szCs w:val="18"/>
            </w:rPr>
            <m:t xml:space="preserve"> 100</m:t>
          </m:r>
        </m:oMath>
      </m:oMathPara>
    </w:p>
    <w:p w14:paraId="543E2334" w14:textId="77777777" w:rsidR="005B0F61" w:rsidRPr="004C1229" w:rsidRDefault="005B0F61" w:rsidP="005B0F61">
      <w:pPr>
        <w:pStyle w:val="ProductList-Body"/>
        <w:rPr>
          <w:rFonts w:ascii="Calibri" w:hAnsi="Calibri" w:cs="Calibri"/>
        </w:rPr>
      </w:pPr>
      <w:r>
        <w:rPr>
          <w:rFonts w:ascii="Calibri" w:hAnsi="Calibri" w:cs="Calibri"/>
        </w:rPr>
        <w:t>Die Ausfallzeit wird in Nutzerminuten gemessen, d. h. für jeden Anwendbaren Zeitraum ist die Ausfallzeit die Summe der Dauer (in Minuten) jedes Vorfalls, der während dieses Anwendbaren Zeitraums auftritt, multipliziert mit der Anzahl der von diesem Vorfall betroffenen Nutzer.</w:t>
      </w:r>
    </w:p>
    <w:p w14:paraId="6ED9538F" w14:textId="77777777" w:rsidR="005B0F61" w:rsidRPr="004C1229" w:rsidRDefault="005B0F61" w:rsidP="005B0F61">
      <w:pPr>
        <w:pStyle w:val="ProductList-Body"/>
        <w:rPr>
          <w:rFonts w:ascii="Calibri" w:hAnsi="Calibri" w:cs="Calibri"/>
        </w:rPr>
      </w:pPr>
    </w:p>
    <w:p w14:paraId="226794B4" w14:textId="77777777" w:rsidR="005B0F61" w:rsidRPr="004C1229" w:rsidRDefault="005B0F61" w:rsidP="005B0F61">
      <w:pPr>
        <w:pStyle w:val="ProductList-Body"/>
        <w:rPr>
          <w:rFonts w:ascii="Calibri" w:hAnsi="Calibri" w:cs="Calibri"/>
          <w:b/>
          <w:color w:val="00188F"/>
        </w:rPr>
      </w:pPr>
      <w:r>
        <w:rPr>
          <w:rFonts w:ascii="Calibri" w:hAnsi="Calibri" w:cs="Calibri"/>
          <w:b/>
          <w:color w:val="00188F"/>
        </w:rPr>
        <w:lastRenderedPageBreak/>
        <w:t>Ausnahmen für Servicelevel:</w:t>
      </w:r>
    </w:p>
    <w:p w14:paraId="7AC08BB0" w14:textId="77777777" w:rsidR="005B0F61" w:rsidRPr="004C1229" w:rsidRDefault="005B0F61">
      <w:pPr>
        <w:pStyle w:val="ProductList-Body"/>
        <w:numPr>
          <w:ilvl w:val="0"/>
          <w:numId w:val="30"/>
        </w:numPr>
        <w:rPr>
          <w:rFonts w:ascii="Calibri" w:hAnsi="Calibri" w:cs="Calibri"/>
        </w:rPr>
      </w:pPr>
      <w:r>
        <w:rPr>
          <w:rFonts w:ascii="Calibri" w:hAnsi="Calibri" w:cs="Calibri"/>
        </w:rPr>
        <w:t>Leistungs- oder Verfügbarkeitsprobleme, die sich aus Folgendem ergeben:</w:t>
      </w:r>
    </w:p>
    <w:p w14:paraId="47BBD805" w14:textId="77777777" w:rsidR="005B0F61" w:rsidRPr="004C1229" w:rsidRDefault="005B0F61">
      <w:pPr>
        <w:pStyle w:val="ProductList-Body"/>
        <w:numPr>
          <w:ilvl w:val="1"/>
          <w:numId w:val="30"/>
        </w:numPr>
        <w:rPr>
          <w:rFonts w:ascii="Calibri" w:hAnsi="Calibri" w:cs="Calibri"/>
        </w:rPr>
      </w:pPr>
      <w:r>
        <w:rPr>
          <w:rFonts w:ascii="Calibri" w:hAnsi="Calibri" w:cs="Calibri"/>
        </w:rPr>
        <w:t>Routenkonvergenzzeit bei Verwendung von Border Gateway Protocol oder Anycast;</w:t>
      </w:r>
    </w:p>
    <w:p w14:paraId="0C5B260A" w14:textId="77777777" w:rsidR="005B0F61" w:rsidRPr="004C1229" w:rsidRDefault="005B0F61">
      <w:pPr>
        <w:pStyle w:val="ProductList-Body"/>
        <w:numPr>
          <w:ilvl w:val="1"/>
          <w:numId w:val="30"/>
        </w:numPr>
        <w:rPr>
          <w:rFonts w:ascii="Calibri" w:hAnsi="Calibri" w:cs="Calibri"/>
        </w:rPr>
      </w:pPr>
      <w:r>
        <w:rPr>
          <w:rFonts w:ascii="Calibri" w:hAnsi="Calibri" w:cs="Calibri"/>
        </w:rPr>
        <w:t>Skalierungsereignisse und geplante Wartungsarbeiten, einschließlich Umschaltzeiten während Hochverfügbarkeitsereignissen.</w:t>
      </w:r>
    </w:p>
    <w:p w14:paraId="6486F40A" w14:textId="77777777" w:rsidR="005B0F61" w:rsidRPr="0065793E" w:rsidRDefault="005B0F61" w:rsidP="005B0F61">
      <w:pPr>
        <w:pStyle w:val="ProductList-Body"/>
        <w:rPr>
          <w:rFonts w:ascii="Calibri" w:hAnsi="Calibri" w:cs="Calibri"/>
          <w:b/>
          <w:bCs/>
        </w:rPr>
      </w:pPr>
      <w:r>
        <w:rPr>
          <w:rFonts w:ascii="Calibri" w:hAnsi="Calibri" w:cs="Calibri"/>
          <w:b/>
          <w:color w:val="00188F"/>
        </w:rPr>
        <w:t>Servicegutschrift</w:t>
      </w:r>
      <w:r w:rsidRPr="0065793E">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B0F61" w:rsidRPr="00B44CF9" w14:paraId="4379C416" w14:textId="77777777" w:rsidTr="002B6EED">
        <w:trPr>
          <w:tblHeader/>
        </w:trPr>
        <w:tc>
          <w:tcPr>
            <w:tcW w:w="5400" w:type="dxa"/>
            <w:shd w:val="clear" w:color="auto" w:fill="0072C6"/>
          </w:tcPr>
          <w:p w14:paraId="284D0B09" w14:textId="77777777" w:rsidR="005B0F61" w:rsidRPr="001B0267" w:rsidRDefault="005B0F61" w:rsidP="002B6EED">
            <w:pPr>
              <w:pStyle w:val="ProductList-OfferingBody"/>
              <w:ind w:left="-144" w:right="-1008"/>
              <w:jc w:val="center"/>
              <w:rPr>
                <w:rFonts w:ascii="Calibri" w:hAnsi="Calibri" w:cs="Calibri"/>
                <w:color w:val="FFFFFF" w:themeColor="background1"/>
                <w:szCs w:val="16"/>
              </w:rPr>
            </w:pPr>
            <w:r>
              <w:rPr>
                <w:rFonts w:ascii="Calibri" w:hAnsi="Calibri" w:cs="Calibri"/>
                <w:color w:val="FFFFFF" w:themeColor="background1"/>
                <w:szCs w:val="16"/>
              </w:rPr>
              <w:t>Betriebszeitprozentsatz</w:t>
            </w:r>
          </w:p>
        </w:tc>
        <w:tc>
          <w:tcPr>
            <w:tcW w:w="5400" w:type="dxa"/>
            <w:shd w:val="clear" w:color="auto" w:fill="0072C6"/>
          </w:tcPr>
          <w:p w14:paraId="2EAD2539" w14:textId="77777777" w:rsidR="005B0F61" w:rsidRPr="001B0267" w:rsidRDefault="005B0F61" w:rsidP="002B6EED">
            <w:pPr>
              <w:pStyle w:val="ProductList-OfferingBody"/>
              <w:ind w:left="-144" w:right="-1008"/>
              <w:jc w:val="center"/>
              <w:rPr>
                <w:rFonts w:ascii="Calibri" w:hAnsi="Calibri" w:cs="Calibri"/>
                <w:color w:val="FFFFFF" w:themeColor="background1"/>
                <w:szCs w:val="16"/>
              </w:rPr>
            </w:pPr>
            <w:r>
              <w:rPr>
                <w:rFonts w:ascii="Calibri" w:hAnsi="Calibri" w:cs="Calibri"/>
                <w:color w:val="FFFFFF" w:themeColor="background1"/>
                <w:szCs w:val="16"/>
              </w:rPr>
              <w:t>Servicegutschrift</w:t>
            </w:r>
          </w:p>
        </w:tc>
      </w:tr>
      <w:tr w:rsidR="005B0F61" w:rsidRPr="00B44CF9" w14:paraId="6852C816" w14:textId="77777777" w:rsidTr="002B6EED">
        <w:tc>
          <w:tcPr>
            <w:tcW w:w="5400" w:type="dxa"/>
          </w:tcPr>
          <w:p w14:paraId="31646BAA" w14:textId="77777777" w:rsidR="005B0F61" w:rsidRPr="00F463CE" w:rsidRDefault="005B0F61" w:rsidP="002B6EED">
            <w:pPr>
              <w:pStyle w:val="ProductList-OfferingBody"/>
              <w:ind w:left="-144" w:right="-1008"/>
              <w:jc w:val="center"/>
              <w:rPr>
                <w:rFonts w:ascii="Calibri" w:hAnsi="Calibri" w:cs="Calibri"/>
                <w:szCs w:val="16"/>
              </w:rPr>
            </w:pPr>
            <w:r>
              <w:rPr>
                <w:rFonts w:ascii="Calibri" w:hAnsi="Calibri" w:cs="Calibri"/>
                <w:szCs w:val="16"/>
              </w:rPr>
              <w:t>&lt; 99,9 %</w:t>
            </w:r>
          </w:p>
        </w:tc>
        <w:tc>
          <w:tcPr>
            <w:tcW w:w="5400" w:type="dxa"/>
          </w:tcPr>
          <w:p w14:paraId="74833345" w14:textId="77777777" w:rsidR="005B0F61" w:rsidRPr="00F463CE" w:rsidRDefault="005B0F61" w:rsidP="002B6EED">
            <w:pPr>
              <w:pStyle w:val="ProductList-OfferingBody"/>
              <w:ind w:left="-144" w:right="-1008"/>
              <w:jc w:val="center"/>
              <w:rPr>
                <w:rFonts w:ascii="Calibri" w:hAnsi="Calibri" w:cs="Calibri"/>
                <w:szCs w:val="16"/>
              </w:rPr>
            </w:pPr>
            <w:r>
              <w:rPr>
                <w:rFonts w:ascii="Calibri" w:hAnsi="Calibri" w:cs="Calibri"/>
                <w:szCs w:val="16"/>
              </w:rPr>
              <w:t>25 %</w:t>
            </w:r>
          </w:p>
        </w:tc>
      </w:tr>
      <w:tr w:rsidR="005B0F61" w:rsidRPr="00B44CF9" w14:paraId="2A5A28D2" w14:textId="77777777" w:rsidTr="002B6EED">
        <w:trPr>
          <w:trHeight w:val="80"/>
        </w:trPr>
        <w:tc>
          <w:tcPr>
            <w:tcW w:w="5400" w:type="dxa"/>
          </w:tcPr>
          <w:p w14:paraId="4AD2F518" w14:textId="77777777" w:rsidR="005B0F61" w:rsidRPr="00F463CE" w:rsidRDefault="005B0F61" w:rsidP="002B6EED">
            <w:pPr>
              <w:pStyle w:val="ProductList-OfferingBody"/>
              <w:ind w:left="-144" w:right="-1008"/>
              <w:jc w:val="center"/>
              <w:rPr>
                <w:rFonts w:ascii="Calibri" w:hAnsi="Calibri" w:cs="Calibri"/>
                <w:szCs w:val="16"/>
              </w:rPr>
            </w:pPr>
            <w:r>
              <w:rPr>
                <w:rFonts w:ascii="Calibri" w:hAnsi="Calibri" w:cs="Calibri"/>
                <w:szCs w:val="16"/>
              </w:rPr>
              <w:t>&lt; 99 %</w:t>
            </w:r>
          </w:p>
        </w:tc>
        <w:tc>
          <w:tcPr>
            <w:tcW w:w="5400" w:type="dxa"/>
          </w:tcPr>
          <w:p w14:paraId="1A117249" w14:textId="77777777" w:rsidR="005B0F61" w:rsidRPr="00F463CE" w:rsidRDefault="005B0F61" w:rsidP="002B6EED">
            <w:pPr>
              <w:pStyle w:val="ProductList-OfferingBody"/>
              <w:ind w:left="-144" w:right="-1008"/>
              <w:jc w:val="center"/>
              <w:rPr>
                <w:rFonts w:ascii="Calibri" w:hAnsi="Calibri" w:cs="Calibri"/>
                <w:szCs w:val="16"/>
              </w:rPr>
            </w:pPr>
            <w:r>
              <w:rPr>
                <w:rFonts w:ascii="Calibri" w:hAnsi="Calibri" w:cs="Calibri"/>
                <w:szCs w:val="16"/>
              </w:rPr>
              <w:t>50 %</w:t>
            </w:r>
          </w:p>
        </w:tc>
      </w:tr>
      <w:tr w:rsidR="005B0F61" w:rsidRPr="00B44CF9" w14:paraId="1EC3E22C" w14:textId="77777777" w:rsidTr="002B6EED">
        <w:trPr>
          <w:trHeight w:val="80"/>
        </w:trPr>
        <w:tc>
          <w:tcPr>
            <w:tcW w:w="5400" w:type="dxa"/>
          </w:tcPr>
          <w:p w14:paraId="5FDCD302" w14:textId="77777777" w:rsidR="005B0F61" w:rsidRPr="00F463CE" w:rsidRDefault="005B0F61" w:rsidP="002B6EED">
            <w:pPr>
              <w:pStyle w:val="ProductList-OfferingBody"/>
              <w:ind w:left="-144" w:right="-1008"/>
              <w:jc w:val="center"/>
              <w:rPr>
                <w:rFonts w:ascii="Calibri" w:hAnsi="Calibri" w:cs="Calibri"/>
                <w:szCs w:val="16"/>
              </w:rPr>
            </w:pPr>
            <w:r>
              <w:rPr>
                <w:rFonts w:ascii="Calibri" w:hAnsi="Calibri" w:cs="Calibri"/>
                <w:szCs w:val="16"/>
              </w:rPr>
              <w:t>&lt; 95 %</w:t>
            </w:r>
          </w:p>
        </w:tc>
        <w:tc>
          <w:tcPr>
            <w:tcW w:w="5400" w:type="dxa"/>
          </w:tcPr>
          <w:p w14:paraId="3597E1F2" w14:textId="77777777" w:rsidR="005B0F61" w:rsidRPr="00F463CE" w:rsidRDefault="005B0F61" w:rsidP="002B6EED">
            <w:pPr>
              <w:pStyle w:val="ProductList-OfferingBody"/>
              <w:ind w:left="-144" w:right="-1008"/>
              <w:jc w:val="center"/>
              <w:rPr>
                <w:rFonts w:ascii="Calibri" w:hAnsi="Calibri" w:cs="Calibri"/>
                <w:szCs w:val="16"/>
              </w:rPr>
            </w:pPr>
            <w:r>
              <w:rPr>
                <w:rFonts w:ascii="Calibri" w:hAnsi="Calibri" w:cs="Calibri"/>
                <w:szCs w:val="16"/>
              </w:rPr>
              <w:t>100 %</w:t>
            </w:r>
          </w:p>
        </w:tc>
      </w:tr>
    </w:tbl>
    <w:p w14:paraId="0A732E2E" w14:textId="77777777" w:rsidR="005B0F61" w:rsidRPr="00D67F75" w:rsidRDefault="005B0F61" w:rsidP="005B0F6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5D15C719" w14:textId="76FC4D99" w:rsidR="00C02802" w:rsidRPr="00EF7CF9" w:rsidRDefault="00C02802" w:rsidP="00C02802">
      <w:pPr>
        <w:pStyle w:val="ProductList-Offering2Heading"/>
        <w:tabs>
          <w:tab w:val="clear" w:pos="360"/>
          <w:tab w:val="clear" w:pos="720"/>
          <w:tab w:val="clear" w:pos="1080"/>
        </w:tabs>
        <w:outlineLvl w:val="2"/>
      </w:pPr>
      <w:bookmarkStart w:id="374" w:name="_Toc195543155"/>
      <w:bookmarkStart w:id="375" w:name="_Toc237449014"/>
      <w:r>
        <w:t>HDInsight</w:t>
      </w:r>
      <w:bookmarkEnd w:id="372"/>
      <w:bookmarkEnd w:id="373"/>
      <w:bookmarkEnd w:id="374"/>
      <w:bookmarkEnd w:id="375"/>
    </w:p>
    <w:p w14:paraId="2784026B" w14:textId="77777777" w:rsidR="00C02802" w:rsidRPr="00EF7CF9" w:rsidRDefault="00C02802" w:rsidP="00C02802">
      <w:pPr>
        <w:pStyle w:val="ProductList-Body"/>
        <w:rPr>
          <w:b/>
          <w:color w:val="00188F"/>
        </w:rPr>
      </w:pPr>
      <w:r>
        <w:rPr>
          <w:b/>
          <w:color w:val="00188F"/>
        </w:rPr>
        <w:t>Zusätzliche Definitionen</w:t>
      </w:r>
      <w:r w:rsidRPr="0008262F">
        <w:rPr>
          <w:b/>
          <w:bCs/>
          <w:color w:val="00188F"/>
        </w:rPr>
        <w:t>:</w:t>
      </w:r>
    </w:p>
    <w:p w14:paraId="0E5D91C6" w14:textId="77777777" w:rsidR="00C02802" w:rsidRPr="00EF7CF9" w:rsidRDefault="00C02802" w:rsidP="00835F13">
      <w:pPr>
        <w:pStyle w:val="ProductList-Body"/>
      </w:pPr>
      <w:r>
        <w:t>„</w:t>
      </w:r>
      <w:r>
        <w:rPr>
          <w:b/>
          <w:color w:val="00188F"/>
        </w:rPr>
        <w:t>Cluster-Internetgateway</w:t>
      </w:r>
      <w:r>
        <w:t>“ bezeichnet eine Reihe virtueller Computer innerhalb eines HDInsight-Clusters, die alle Verbindungsanforderungen an den Cluster weiterleiten.</w:t>
      </w:r>
    </w:p>
    <w:p w14:paraId="36AE16AC" w14:textId="77777777" w:rsidR="00C02802" w:rsidRPr="00EF7CF9" w:rsidRDefault="00C02802" w:rsidP="00835F13">
      <w:pPr>
        <w:pStyle w:val="ProductList-Body"/>
      </w:pPr>
      <w:r>
        <w:t>„</w:t>
      </w:r>
      <w:r>
        <w:rPr>
          <w:b/>
          <w:color w:val="00188F"/>
        </w:rPr>
        <w:t>Bereitstellungsminuten</w:t>
      </w:r>
      <w:r>
        <w:t>“ ist die Gesamtzahl der Minuten, die ein bestimmter HDInsight-Cluster in Microsoft Azure bereitgestellt wurde.</w:t>
      </w:r>
    </w:p>
    <w:p w14:paraId="4FA891BC" w14:textId="77777777" w:rsidR="00C02802" w:rsidRPr="00EF7CF9" w:rsidRDefault="00C02802" w:rsidP="00835F13">
      <w:pPr>
        <w:pStyle w:val="ProductList-Body"/>
      </w:pPr>
      <w:r>
        <w:t>„</w:t>
      </w:r>
      <w:r>
        <w:rPr>
          <w:b/>
          <w:color w:val="00188F"/>
        </w:rPr>
        <w:t>HDInsight Cluster</w:t>
      </w:r>
      <w:r>
        <w:t>“ oder „</w:t>
      </w:r>
      <w:r>
        <w:rPr>
          <w:b/>
          <w:color w:val="00188F"/>
        </w:rPr>
        <w:t>Cluster</w:t>
      </w:r>
      <w:r>
        <w:t>“ bezeichnet eine Sammlung virtueller Computer, auf denen eine einzelne Instanz des HDInsight-Dienstes ausgeführt wird.</w:t>
      </w:r>
    </w:p>
    <w:p w14:paraId="10EBBD8E" w14:textId="0EBC995C" w:rsidR="00C02802" w:rsidRPr="00EF7CF9" w:rsidRDefault="00C02802" w:rsidP="00835F13">
      <w:pPr>
        <w:pStyle w:val="ProductList-Body"/>
      </w:pPr>
      <w:r>
        <w:t>„</w:t>
      </w:r>
      <w:r>
        <w:rPr>
          <w:b/>
          <w:color w:val="00188F"/>
        </w:rPr>
        <w:t>Maximal Verfügbare Minuten</w:t>
      </w:r>
      <w:r>
        <w:t>“ ist die Summe aller Bereitstellungsminuten über alle in einem bestimmten Microsoft Azure-Abonnement im Verlauf eines Anwendbaren Zeitraums bereitgestellten Cluster.</w:t>
      </w:r>
    </w:p>
    <w:p w14:paraId="3ED3A569" w14:textId="1F7C1A4A" w:rsidR="00C02802" w:rsidRPr="00EF7CF9" w:rsidRDefault="00C02802" w:rsidP="00C02802">
      <w:pPr>
        <w:pStyle w:val="ProductList-Body"/>
      </w:pPr>
      <w:r>
        <w:rPr>
          <w:b/>
          <w:color w:val="00188F"/>
        </w:rPr>
        <w:t>Ausfallzeit</w:t>
      </w:r>
      <w:r w:rsidRPr="0008262F">
        <w:rPr>
          <w:b/>
          <w:bCs/>
          <w:color w:val="00188F"/>
        </w:rPr>
        <w:t>:</w:t>
      </w:r>
      <w:r>
        <w:t xml:space="preserve"> Die gesamten kumulierten Bereitstellungsminuten, wenn der HDInsight-Dienst nicht verfügbar ist. Eine Minute gilt für einen bestimmten Cluster als nicht verfügbar, wenn alle fortlaufenden Versuche innerhalb einer Minute, eine Verbindung mit dem Internet-Gateway des</w:t>
      </w:r>
      <w:r w:rsidR="00800928">
        <w:t> </w:t>
      </w:r>
      <w:r>
        <w:t>Clusters herzustellen, erfolglos bleiben.</w:t>
      </w:r>
    </w:p>
    <w:p w14:paraId="587D8928" w14:textId="5BA0AF4C" w:rsidR="00C02802" w:rsidRDefault="00AC48A7" w:rsidP="00C02802">
      <w:pPr>
        <w:pStyle w:val="ProductList-Body"/>
      </w:pPr>
      <w:r>
        <w:rPr>
          <w:b/>
          <w:color w:val="00188F"/>
        </w:rPr>
        <w:t>Betriebszeitprozentsatz</w:t>
      </w:r>
      <w:r w:rsidRPr="0008262F">
        <w:rPr>
          <w:b/>
          <w:bCs/>
          <w:color w:val="00188F"/>
        </w:rPr>
        <w:t>:</w:t>
      </w:r>
      <w:r>
        <w:t xml:space="preserve"> Der Betriebszeitprozentsatz errechnet sich nach folgender Formel:</w:t>
      </w:r>
    </w:p>
    <w:p w14:paraId="1D099391" w14:textId="281C65ED" w:rsidR="00C02802" w:rsidRPr="007C7313" w:rsidRDefault="00000000" w:rsidP="009062DF">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136ED468" w14:textId="77777777" w:rsidR="00C02802" w:rsidRPr="00EF7CF9" w:rsidRDefault="00C02802" w:rsidP="00C02802">
      <w:pPr>
        <w:pStyle w:val="ProductList-Body"/>
      </w:pPr>
      <w:r>
        <w:rPr>
          <w:b/>
          <w:color w:val="00188F"/>
        </w:rPr>
        <w:t>Servicegutschrift</w:t>
      </w:r>
      <w:r w:rsidRPr="0008262F">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02802" w:rsidRPr="00B44CF9" w14:paraId="3007BB56" w14:textId="77777777" w:rsidTr="00277097">
        <w:trPr>
          <w:tblHeader/>
        </w:trPr>
        <w:tc>
          <w:tcPr>
            <w:tcW w:w="5400" w:type="dxa"/>
            <w:shd w:val="clear" w:color="auto" w:fill="0072C6"/>
          </w:tcPr>
          <w:p w14:paraId="1DD74C23" w14:textId="3E71E9A0" w:rsidR="00C02802"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67909096" w14:textId="77777777" w:rsidR="00C02802" w:rsidRPr="00EF7CF9" w:rsidRDefault="00C02802" w:rsidP="000F31B4">
            <w:pPr>
              <w:pStyle w:val="ProductList-OfferingBody"/>
              <w:jc w:val="center"/>
              <w:rPr>
                <w:color w:val="FFFFFF" w:themeColor="background1"/>
              </w:rPr>
            </w:pPr>
            <w:r>
              <w:rPr>
                <w:color w:val="FFFFFF" w:themeColor="background1"/>
              </w:rPr>
              <w:t>Servicegutschrift</w:t>
            </w:r>
          </w:p>
        </w:tc>
      </w:tr>
      <w:tr w:rsidR="00C02802" w:rsidRPr="00B44CF9" w14:paraId="21490783" w14:textId="77777777" w:rsidTr="00277097">
        <w:tc>
          <w:tcPr>
            <w:tcW w:w="5400" w:type="dxa"/>
          </w:tcPr>
          <w:p w14:paraId="33AA9AD9" w14:textId="77777777" w:rsidR="00C02802" w:rsidRPr="00EF7CF9" w:rsidRDefault="00C02802" w:rsidP="000F31B4">
            <w:pPr>
              <w:pStyle w:val="ProductList-OfferingBody"/>
              <w:jc w:val="center"/>
            </w:pPr>
            <w:r>
              <w:t>&lt; 99,9 %</w:t>
            </w:r>
          </w:p>
        </w:tc>
        <w:tc>
          <w:tcPr>
            <w:tcW w:w="5400" w:type="dxa"/>
          </w:tcPr>
          <w:p w14:paraId="3303510C" w14:textId="77777777" w:rsidR="00C02802" w:rsidRPr="00EF7CF9" w:rsidRDefault="00C02802" w:rsidP="000F31B4">
            <w:pPr>
              <w:pStyle w:val="ProductList-OfferingBody"/>
              <w:jc w:val="center"/>
            </w:pPr>
            <w:r>
              <w:t>10 %</w:t>
            </w:r>
          </w:p>
        </w:tc>
      </w:tr>
      <w:tr w:rsidR="00C02802" w:rsidRPr="00B44CF9" w14:paraId="482293F7" w14:textId="77777777" w:rsidTr="00277097">
        <w:trPr>
          <w:trHeight w:val="80"/>
        </w:trPr>
        <w:tc>
          <w:tcPr>
            <w:tcW w:w="5400" w:type="dxa"/>
          </w:tcPr>
          <w:p w14:paraId="09B1F161" w14:textId="77777777" w:rsidR="00C02802" w:rsidRPr="00EF7CF9" w:rsidRDefault="00C02802" w:rsidP="000F31B4">
            <w:pPr>
              <w:pStyle w:val="ProductList-OfferingBody"/>
              <w:jc w:val="center"/>
            </w:pPr>
            <w:r>
              <w:t>&lt; 99 %</w:t>
            </w:r>
          </w:p>
        </w:tc>
        <w:tc>
          <w:tcPr>
            <w:tcW w:w="5400" w:type="dxa"/>
          </w:tcPr>
          <w:p w14:paraId="0A85BFFA" w14:textId="77777777" w:rsidR="00C02802" w:rsidRPr="00EF7CF9" w:rsidRDefault="00C02802" w:rsidP="000F31B4">
            <w:pPr>
              <w:pStyle w:val="ProductList-OfferingBody"/>
              <w:jc w:val="center"/>
            </w:pPr>
            <w:r>
              <w:t>25 %</w:t>
            </w:r>
          </w:p>
        </w:tc>
      </w:tr>
    </w:tbl>
    <w:p w14:paraId="70823D92" w14:textId="54AD654A"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4F374F59" w14:textId="77777777" w:rsidR="00E92C40" w:rsidRDefault="00E92C40" w:rsidP="00AC35B1">
      <w:pPr>
        <w:pStyle w:val="ProductList-Offering2Heading"/>
        <w:keepNext/>
        <w:tabs>
          <w:tab w:val="clear" w:pos="360"/>
        </w:tabs>
        <w:outlineLvl w:val="2"/>
      </w:pPr>
      <w:bookmarkStart w:id="376" w:name="_Toc195543156"/>
      <w:bookmarkStart w:id="377" w:name="_Toc237449015"/>
      <w:r>
        <w:t>Azure Health Data Services (ohne den MedTech-Dienst)</w:t>
      </w:r>
      <w:bookmarkEnd w:id="376"/>
      <w:bookmarkEnd w:id="377"/>
    </w:p>
    <w:p w14:paraId="17EBEAAB" w14:textId="77777777" w:rsidR="00E92C40" w:rsidRDefault="00E92C40" w:rsidP="00E92C40">
      <w:pPr>
        <w:pStyle w:val="ProductList-Body"/>
      </w:pPr>
      <w:r>
        <w:rPr>
          <w:b/>
          <w:color w:val="00188F"/>
        </w:rPr>
        <w:t>Zusätzliche Definitionen</w:t>
      </w:r>
      <w:r w:rsidRPr="0008262F">
        <w:rPr>
          <w:b/>
          <w:bCs/>
          <w:color w:val="00188F"/>
        </w:rPr>
        <w:t>:</w:t>
      </w:r>
    </w:p>
    <w:p w14:paraId="509653B9" w14:textId="331C71FF" w:rsidR="00E92C40" w:rsidRPr="007E787D" w:rsidRDefault="00E92C40" w:rsidP="00E92C40">
      <w:pPr>
        <w:pStyle w:val="ProductList-Body"/>
        <w:rPr>
          <w:spacing w:val="-2"/>
        </w:rPr>
      </w:pPr>
      <w:r w:rsidRPr="007E787D">
        <w:rPr>
          <w:spacing w:val="-2"/>
        </w:rPr>
        <w:t>„</w:t>
      </w:r>
      <w:r w:rsidRPr="007E787D">
        <w:rPr>
          <w:b/>
          <w:color w:val="00188F"/>
          <w:spacing w:val="-2"/>
        </w:rPr>
        <w:t>Gesamttransaktionsversuche</w:t>
      </w:r>
      <w:r w:rsidRPr="007E787D">
        <w:rPr>
          <w:spacing w:val="-2"/>
        </w:rPr>
        <w:t>“ ist die Gesamtzahl der authentifizierten API-Anfragen des Kunden während eines Anwendbaren Zeitraums für eine bestimmte Health Data Services-API (ausgenommen MedTech-Dienst). Die Transaktionsversuchssumme schließt keine API-Anforderungen ein, die einen Fehlercode rückmelden und innerhalb eines Fünf-Minuten-Fensters nach dem Erhalt des ersten Fehlercodes kontinuierlich wiederholt werden.</w:t>
      </w:r>
    </w:p>
    <w:p w14:paraId="3216C37D" w14:textId="77777777" w:rsidR="00E92C40" w:rsidRPr="007E787D" w:rsidRDefault="00E92C40" w:rsidP="00E92C40">
      <w:pPr>
        <w:pStyle w:val="ProductList-Body"/>
        <w:rPr>
          <w:spacing w:val="-2"/>
        </w:rPr>
      </w:pPr>
      <w:r w:rsidRPr="007E787D">
        <w:rPr>
          <w:spacing w:val="-2"/>
        </w:rPr>
        <w:t>„</w:t>
      </w:r>
      <w:r w:rsidRPr="007E787D">
        <w:rPr>
          <w:b/>
          <w:color w:val="00188F"/>
          <w:spacing w:val="-2"/>
        </w:rPr>
        <w:t>Fehlerhafte Transaktionen</w:t>
      </w:r>
      <w:r w:rsidRPr="007E787D">
        <w:rPr>
          <w:spacing w:val="-2"/>
        </w:rPr>
        <w:t>“ ist die Menge aller Anfragen an die Health Data Services-APIs (ausgenommen MedTech-Dienst) innerhalb der Transaktionsversuche insgesamt, die einen Fehlercode rückmelden. Fehlerhafte Transaktionsversuche schließen keine API-Anforderungen ein, die einen Fehlercode rückmelden und innerhalb eines Fünf-Minuten-Fensters nach dem Erhalt des ersten Fehlercodes kontinuierlich wiederholt werden.</w:t>
      </w:r>
    </w:p>
    <w:p w14:paraId="42A39A85" w14:textId="654E196D" w:rsidR="00E92C40" w:rsidRDefault="00EE6E3C" w:rsidP="00E92C40">
      <w:pPr>
        <w:pStyle w:val="ProductList-Body"/>
        <w:rPr>
          <w:b/>
          <w:color w:val="00188F"/>
        </w:rPr>
      </w:pPr>
      <w:r>
        <w:rPr>
          <w:b/>
          <w:color w:val="00188F"/>
        </w:rPr>
        <w:t>Berechnung der Betriebszeit</w:t>
      </w:r>
    </w:p>
    <w:p w14:paraId="196BB763" w14:textId="29303409" w:rsidR="00E92C40" w:rsidRDefault="00AC48A7" w:rsidP="00E92C40">
      <w:pPr>
        <w:pStyle w:val="ProductList-Body"/>
      </w:pPr>
      <w:r>
        <w:rPr>
          <w:b/>
          <w:color w:val="00188F"/>
        </w:rPr>
        <w:t>Betriebszeitprozentsatz</w:t>
      </w:r>
      <w:r w:rsidRPr="0008262F">
        <w:rPr>
          <w:b/>
          <w:bCs/>
          <w:color w:val="00188F"/>
        </w:rPr>
        <w:t>:</w:t>
      </w:r>
      <w:r>
        <w:t xml:space="preserve"> für jeden API-Dienst (ohne den MedTech-Dienst) wird berechnet als Transaktionsversuche insgesamt abzüglich Fehlerhafte Transaktionen geteilt durch Transaktionsversuche insgesamt. Der Betriebszeitprozentsatz wird durch die folgende Formel ermittelt:</w:t>
      </w:r>
    </w:p>
    <w:p w14:paraId="0F83F054" w14:textId="1FDA2263" w:rsidR="00E92C40" w:rsidRDefault="00000000" w:rsidP="00855AC4">
      <w:pPr>
        <w:spacing w:before="120" w:after="120" w:line="240" w:lineRule="auto"/>
        <w:jc w:val="both"/>
        <w:rPr>
          <w:sz w:val="18"/>
          <w:szCs w:val="18"/>
        </w:rPr>
      </w:pPr>
      <m:oMathPara>
        <m:oMathParaPr>
          <m:jc m:val="center"/>
        </m:oMathParaPr>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Gesamtzahl der Transaktionsversuche abzüglich Fehlerhafte Transaktionen</m:t>
              </m:r>
            </m:num>
            <m:den>
              <m:r>
                <m:rPr>
                  <m:nor/>
                </m:rPr>
                <w:rPr>
                  <w:rFonts w:ascii="Cambria Math" w:hAnsi="Cambria Math" w:cs="Tahoma"/>
                  <w:i/>
                  <w:color w:val="000000" w:themeColor="text1"/>
                  <w:sz w:val="18"/>
                  <w:szCs w:val="18"/>
                </w:rPr>
                <m:t>Gesamtzahl der Transaktionsversuche</m:t>
              </m:r>
            </m:den>
          </m:f>
          <m:r>
            <w:rPr>
              <w:rFonts w:ascii="Cambria Math" w:hAnsi="Cambria Math" w:cs="Tahoma"/>
              <w:color w:val="000000" w:themeColor="text1"/>
              <w:sz w:val="18"/>
              <w:szCs w:val="18"/>
            </w:rPr>
            <m:t xml:space="preserve"> x 100</m:t>
          </m:r>
        </m:oMath>
      </m:oMathPara>
    </w:p>
    <w:p w14:paraId="53A786E1" w14:textId="77777777" w:rsidR="00E92C40" w:rsidRDefault="00E92C40" w:rsidP="00E92C40">
      <w:pPr>
        <w:pStyle w:val="ProductList-Body"/>
      </w:pPr>
      <w:r>
        <w:t>Die folgenden Servicelevels und Servicegutschriften gelten für Azure Health Data Services (mit Ausnahme des MedTech-Dienstes):</w:t>
      </w:r>
    </w:p>
    <w:p w14:paraId="3B350080" w14:textId="77777777" w:rsidR="00E92C40" w:rsidRPr="0008262F" w:rsidRDefault="00E92C40" w:rsidP="00E92C40">
      <w:pPr>
        <w:pStyle w:val="ProductList-Body"/>
        <w:rPr>
          <w:lang w:val="en-US"/>
        </w:rPr>
      </w:pPr>
      <w:r>
        <w:rPr>
          <w:b/>
          <w:color w:val="00188F"/>
        </w:rPr>
        <w:t>Servicegutschrift</w:t>
      </w:r>
      <w:r w:rsidRPr="0008262F">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92C40" w14:paraId="5A576122" w14:textId="77777777" w:rsidTr="00E92C40">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B60F06F" w14:textId="394915C3" w:rsidR="00E92C40" w:rsidRDefault="00AC48A7">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Betriebszeitprozentsatz</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0F4CC88" w14:textId="77777777" w:rsidR="00E92C40" w:rsidRDefault="00E92C40">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Servicegutschrift</w:t>
            </w:r>
          </w:p>
        </w:tc>
      </w:tr>
      <w:tr w:rsidR="00E92C40" w14:paraId="66518298" w14:textId="77777777" w:rsidTr="00E92C4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364C7C" w14:textId="77777777" w:rsidR="00E92C40" w:rsidRDefault="00E92C40">
            <w:pPr>
              <w:pStyle w:val="ProductList-OfferingBody"/>
              <w:spacing w:line="256" w:lineRule="auto"/>
              <w:jc w:val="center"/>
              <w:rPr>
                <w:kern w:val="2"/>
                <w14:ligatures w14:val="standardContextual"/>
              </w:rPr>
            </w:pPr>
            <w:r>
              <w:rPr>
                <w14:ligatures w14:val="standardContextual"/>
              </w:rP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2129E7" w14:textId="77777777" w:rsidR="00E92C40" w:rsidRDefault="00E92C40">
            <w:pPr>
              <w:pStyle w:val="ProductList-OfferingBody"/>
              <w:spacing w:line="256" w:lineRule="auto"/>
              <w:jc w:val="center"/>
              <w:rPr>
                <w:kern w:val="2"/>
                <w14:ligatures w14:val="standardContextual"/>
              </w:rPr>
            </w:pPr>
            <w:r>
              <w:rPr>
                <w14:ligatures w14:val="standardContextual"/>
              </w:rPr>
              <w:t>10 %</w:t>
            </w:r>
          </w:p>
        </w:tc>
      </w:tr>
      <w:tr w:rsidR="00E92C40" w14:paraId="73ABD1C9" w14:textId="77777777" w:rsidTr="00E92C4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0BEED6" w14:textId="77777777" w:rsidR="00E92C40" w:rsidRDefault="00E92C40">
            <w:pPr>
              <w:pStyle w:val="ProductList-OfferingBody"/>
              <w:spacing w:line="256" w:lineRule="auto"/>
              <w:jc w:val="center"/>
              <w:rPr>
                <w:kern w:val="2"/>
                <w14:ligatures w14:val="standardContextual"/>
              </w:rPr>
            </w:pPr>
            <w:r>
              <w:rPr>
                <w14:ligatures w14:val="standardContextual"/>
              </w:rP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D67DFB" w14:textId="77777777" w:rsidR="00E92C40" w:rsidRDefault="00E92C40">
            <w:pPr>
              <w:pStyle w:val="ProductList-OfferingBody"/>
              <w:spacing w:line="256" w:lineRule="auto"/>
              <w:jc w:val="center"/>
              <w:rPr>
                <w:kern w:val="2"/>
                <w14:ligatures w14:val="standardContextual"/>
              </w:rPr>
            </w:pPr>
            <w:r>
              <w:rPr>
                <w14:ligatures w14:val="standardContextual"/>
              </w:rPr>
              <w:t>25 %</w:t>
            </w:r>
          </w:p>
        </w:tc>
      </w:tr>
    </w:tbl>
    <w:p w14:paraId="1F9F91FD" w14:textId="72B167D4"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432B7AEC" w14:textId="77777777" w:rsidR="008B23AE" w:rsidRPr="008B23AE" w:rsidRDefault="008B23AE" w:rsidP="00BC5957">
      <w:pPr>
        <w:pStyle w:val="ProductList-Offering2Heading"/>
        <w:keepNext/>
        <w:tabs>
          <w:tab w:val="clear" w:pos="360"/>
          <w:tab w:val="clear" w:pos="720"/>
          <w:tab w:val="clear" w:pos="1080"/>
        </w:tabs>
        <w:outlineLvl w:val="2"/>
      </w:pPr>
      <w:bookmarkStart w:id="378" w:name="_Toc195543157"/>
      <w:bookmarkStart w:id="379" w:name="_Toc237449016"/>
      <w:r>
        <w:lastRenderedPageBreak/>
        <w:t>Health Bot</w:t>
      </w:r>
      <w:bookmarkEnd w:id="378"/>
      <w:bookmarkEnd w:id="379"/>
    </w:p>
    <w:p w14:paraId="761783E0" w14:textId="77777777" w:rsidR="008B23AE" w:rsidRPr="008B23AE" w:rsidRDefault="008B23AE" w:rsidP="00BC5957">
      <w:pPr>
        <w:pStyle w:val="ProductList-Body"/>
        <w:keepNext/>
        <w:rPr>
          <w:b/>
          <w:bCs/>
          <w:color w:val="00188F"/>
        </w:rPr>
      </w:pPr>
      <w:r>
        <w:rPr>
          <w:b/>
          <w:bCs/>
          <w:color w:val="00188F"/>
        </w:rPr>
        <w:t>Zusätzliche Definitionen</w:t>
      </w:r>
    </w:p>
    <w:p w14:paraId="7F2B27E6" w14:textId="77777777" w:rsidR="008B23AE" w:rsidRDefault="008B23AE" w:rsidP="008B23AE">
      <w:pPr>
        <w:pStyle w:val="ProductList-Body"/>
      </w:pPr>
      <w:r>
        <w:t>„</w:t>
      </w:r>
      <w:r>
        <w:rPr>
          <w:b/>
          <w:bCs/>
          <w:color w:val="00188F"/>
        </w:rPr>
        <w:t>Azure Health Bot Premium Channel</w:t>
      </w:r>
      <w:r>
        <w:t>“ ist ein Bot Framework Channel in der Premium-Kategorie mit Webchat und Direct Line.</w:t>
      </w:r>
    </w:p>
    <w:p w14:paraId="55A4B3E0" w14:textId="77777777" w:rsidR="008B23AE" w:rsidRDefault="008B23AE" w:rsidP="008B23AE">
      <w:pPr>
        <w:pStyle w:val="ProductList-Body"/>
      </w:pPr>
      <w:r>
        <w:t>„</w:t>
      </w:r>
      <w:r>
        <w:rPr>
          <w:b/>
          <w:bCs/>
          <w:color w:val="00188F"/>
        </w:rPr>
        <w:t>Health Bot-Kundenanwendung</w:t>
      </w:r>
      <w:r>
        <w:t>“ ist die mit dem Internet verbundene Gesprächsanwendung des Kunden, die registriert und konfiguriert ist, um Nachrichten vom Azure Bot Service zu senden und zu empfangen.</w:t>
      </w:r>
    </w:p>
    <w:p w14:paraId="459B7380" w14:textId="77777777" w:rsidR="008B23AE" w:rsidRDefault="008B23AE" w:rsidP="008B23AE">
      <w:pPr>
        <w:pStyle w:val="ProductList-Body"/>
      </w:pPr>
      <w:r>
        <w:t>„</w:t>
      </w:r>
      <w:r>
        <w:rPr>
          <w:b/>
          <w:bCs/>
          <w:color w:val="00188F"/>
        </w:rPr>
        <w:t>Health Bot Client</w:t>
      </w:r>
      <w:r>
        <w:t>“ ist der dem Endbenutzer zugewandte Teil einer Health Bot-Kundenanwendung.</w:t>
      </w:r>
    </w:p>
    <w:p w14:paraId="7098DA7D" w14:textId="77777777" w:rsidR="008B23AE" w:rsidRDefault="008B23AE" w:rsidP="007E787D">
      <w:pPr>
        <w:pStyle w:val="ProductList-Body"/>
        <w:jc w:val="both"/>
      </w:pPr>
      <w:r>
        <w:t>„</w:t>
      </w:r>
      <w:r>
        <w:rPr>
          <w:b/>
          <w:bCs/>
          <w:color w:val="00188F"/>
        </w:rPr>
        <w:t>Azure Health Bot</w:t>
      </w:r>
      <w:r>
        <w:t>“ ist eine Plattform zum Erstellen, Verbinden, Testen und Verbreiten von leistungsstarken und intelligenten virtuellen Assistenten.</w:t>
      </w:r>
    </w:p>
    <w:p w14:paraId="0FD30F46" w14:textId="77777777" w:rsidR="008B23AE" w:rsidRDefault="008B23AE" w:rsidP="008B23AE">
      <w:pPr>
        <w:pStyle w:val="ProductList-Body"/>
      </w:pPr>
      <w:r>
        <w:t>„</w:t>
      </w:r>
      <w:r>
        <w:rPr>
          <w:b/>
          <w:bCs/>
          <w:color w:val="00188F"/>
        </w:rPr>
        <w:t>API-Endpunkt der Azure Health Bot Channels</w:t>
      </w:r>
      <w:r>
        <w:t>“ ist ein REST-API-Endpunkt, den der Health Bot Client für die HTTP-Kommunikation über Health Bot Channels verwendet.</w:t>
      </w:r>
    </w:p>
    <w:p w14:paraId="51948353" w14:textId="43D4A12C" w:rsidR="008B23AE" w:rsidRDefault="008B23AE" w:rsidP="008B23AE">
      <w:pPr>
        <w:pStyle w:val="ProductList-Body"/>
      </w:pPr>
      <w:r>
        <w:t>Die „</w:t>
      </w:r>
      <w:r>
        <w:rPr>
          <w:b/>
          <w:bCs/>
          <w:color w:val="00188F"/>
        </w:rPr>
        <w:t>Gesamtzahl der API-Anforderungen</w:t>
      </w:r>
      <w:r>
        <w:t>“ ist die Gesamtzahl der HTTP-Anforderungen, die während eines Anwendbaren Zeitraums von der Health Bot-Kundenanwendung oder dem Health Bot Client an den API-Endpunkt der Azure Health Bot Channels gesendet wurden.</w:t>
      </w:r>
    </w:p>
    <w:p w14:paraId="26D47C0E" w14:textId="77777777" w:rsidR="008B23AE" w:rsidRDefault="008B23AE" w:rsidP="008B23AE">
      <w:pPr>
        <w:pStyle w:val="ProductList-Body"/>
      </w:pPr>
      <w:r>
        <w:t>„</w:t>
      </w:r>
      <w:r>
        <w:rPr>
          <w:b/>
          <w:bCs/>
          <w:color w:val="00188F"/>
        </w:rPr>
        <w:t>Fehlerhafte API-Anforderungen</w:t>
      </w:r>
      <w:r>
        <w:t>“ sind die Gesamtzahl der Anforderungen innerhalb der API-Anforderungen insgesamt, die einen Fehlercode zurückgeben oder nicht innerhalb von 2 Minuten antworten.</w:t>
      </w:r>
    </w:p>
    <w:p w14:paraId="051FDBFA" w14:textId="4F37EBD3" w:rsidR="008B23AE" w:rsidRDefault="008B23AE" w:rsidP="008B23AE">
      <w:pPr>
        <w:pStyle w:val="ProductList-Body"/>
      </w:pPr>
      <w:r>
        <w:t>Der „</w:t>
      </w:r>
      <w:r>
        <w:rPr>
          <w:b/>
          <w:bCs/>
          <w:color w:val="00188F"/>
        </w:rPr>
        <w:t>Betriebszeitprozentsatz</w:t>
      </w:r>
      <w:r>
        <w:t>“ wird berechnet als Gesamtzahl der API-Anfragen abzüglich der fehlgeschlagenen API-Anfragen geteilt durch die Gesamtzahl der API-Anfragen multipliziert mit 100.</w:t>
      </w:r>
    </w:p>
    <w:p w14:paraId="5CBB5BBD" w14:textId="677D4BEA" w:rsidR="008B23AE" w:rsidRDefault="00AC48A7" w:rsidP="008B23AE">
      <w:pPr>
        <w:pStyle w:val="ProductList-Body"/>
      </w:pPr>
      <w:r>
        <w:rPr>
          <w:b/>
          <w:bCs/>
          <w:color w:val="00188F"/>
        </w:rPr>
        <w:t>Betriebszeitprozentsatz:</w:t>
      </w:r>
      <w:r>
        <w:rPr>
          <w:color w:val="00188F"/>
        </w:rPr>
        <w:t xml:space="preserve"> </w:t>
      </w:r>
      <w:r>
        <w:t>Der Betriebszeitprozentsatz errechnet sich nach folgender Formel:</w:t>
      </w:r>
    </w:p>
    <w:p w14:paraId="7F009D58" w14:textId="6597A3DC" w:rsidR="00766665" w:rsidRPr="007E787D" w:rsidRDefault="00000000" w:rsidP="00855AC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Gesamtzahl der API-Anforderungen abzüglich Fehlerhafte API-Anforderungen</m:t>
              </m:r>
            </m:num>
            <m:den>
              <m:r>
                <m:rPr>
                  <m:nor/>
                </m:rPr>
                <w:rPr>
                  <w:rFonts w:ascii="Cambria Math" w:hAnsi="Cambria Math" w:cs="Tahoma"/>
                  <w:i/>
                  <w:sz w:val="18"/>
                  <w:szCs w:val="18"/>
                </w:rPr>
                <m:t>Gesamtzahl der API-Anforderungen</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8A407FE" w14:textId="77777777" w:rsidR="008B23AE" w:rsidRPr="00167E37" w:rsidRDefault="008B23AE" w:rsidP="008B23AE">
      <w:pPr>
        <w:pStyle w:val="ProductList-Body"/>
        <w:rPr>
          <w:b/>
          <w:bCs/>
          <w:color w:val="00188F"/>
        </w:rPr>
      </w:pPr>
      <w:r>
        <w:rPr>
          <w:b/>
          <w:bCs/>
          <w:color w:val="00188F"/>
        </w:rPr>
        <w:t>Die folgenden Service-Levels und Servicegutschriften gelten für die Nutzung der Microsoft Health Bot-Kanäle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A72F9" w:rsidRPr="00B44CF9" w14:paraId="4D8A7FB7" w14:textId="77777777" w:rsidTr="00277097">
        <w:trPr>
          <w:tblHeader/>
        </w:trPr>
        <w:tc>
          <w:tcPr>
            <w:tcW w:w="5400" w:type="dxa"/>
            <w:shd w:val="clear" w:color="auto" w:fill="0072C6"/>
          </w:tcPr>
          <w:p w14:paraId="177A649F" w14:textId="4CD6359C" w:rsidR="009A72F9"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4D72F0BE" w14:textId="77777777" w:rsidR="009A72F9" w:rsidRPr="00EF7CF9" w:rsidRDefault="009A72F9" w:rsidP="000F31B4">
            <w:pPr>
              <w:pStyle w:val="ProductList-OfferingBody"/>
              <w:jc w:val="center"/>
              <w:rPr>
                <w:color w:val="FFFFFF" w:themeColor="background1"/>
              </w:rPr>
            </w:pPr>
            <w:r>
              <w:rPr>
                <w:color w:val="FFFFFF" w:themeColor="background1"/>
              </w:rPr>
              <w:t>Servicegutschrift</w:t>
            </w:r>
          </w:p>
        </w:tc>
      </w:tr>
      <w:tr w:rsidR="009A72F9" w:rsidRPr="00B44CF9" w14:paraId="3DC04967" w14:textId="77777777" w:rsidTr="00277097">
        <w:tc>
          <w:tcPr>
            <w:tcW w:w="5400" w:type="dxa"/>
          </w:tcPr>
          <w:p w14:paraId="55526F63" w14:textId="77777777" w:rsidR="009A72F9" w:rsidRPr="00EF7CF9" w:rsidRDefault="009A72F9" w:rsidP="000F31B4">
            <w:pPr>
              <w:pStyle w:val="ProductList-OfferingBody"/>
              <w:jc w:val="center"/>
            </w:pPr>
            <w:r>
              <w:t>&lt; 99,9 %</w:t>
            </w:r>
          </w:p>
        </w:tc>
        <w:tc>
          <w:tcPr>
            <w:tcW w:w="5400" w:type="dxa"/>
          </w:tcPr>
          <w:p w14:paraId="568815FC" w14:textId="77777777" w:rsidR="009A72F9" w:rsidRPr="00EF7CF9" w:rsidRDefault="009A72F9" w:rsidP="000F31B4">
            <w:pPr>
              <w:pStyle w:val="ProductList-OfferingBody"/>
              <w:jc w:val="center"/>
            </w:pPr>
            <w:r>
              <w:t>10 %</w:t>
            </w:r>
          </w:p>
        </w:tc>
      </w:tr>
      <w:tr w:rsidR="009A72F9" w:rsidRPr="00B44CF9" w14:paraId="3016D957" w14:textId="77777777" w:rsidTr="00277097">
        <w:trPr>
          <w:trHeight w:val="80"/>
        </w:trPr>
        <w:tc>
          <w:tcPr>
            <w:tcW w:w="5400" w:type="dxa"/>
          </w:tcPr>
          <w:p w14:paraId="14CCBAA1" w14:textId="77777777" w:rsidR="009A72F9" w:rsidRPr="00EF7CF9" w:rsidRDefault="009A72F9" w:rsidP="000F31B4">
            <w:pPr>
              <w:pStyle w:val="ProductList-OfferingBody"/>
              <w:jc w:val="center"/>
            </w:pPr>
            <w:r>
              <w:t>&lt; 99 %</w:t>
            </w:r>
          </w:p>
        </w:tc>
        <w:tc>
          <w:tcPr>
            <w:tcW w:w="5400" w:type="dxa"/>
          </w:tcPr>
          <w:p w14:paraId="0D206D89" w14:textId="77777777" w:rsidR="009A72F9" w:rsidRPr="00EF7CF9" w:rsidRDefault="009A72F9" w:rsidP="000F31B4">
            <w:pPr>
              <w:pStyle w:val="ProductList-OfferingBody"/>
              <w:jc w:val="center"/>
            </w:pPr>
            <w:r>
              <w:t>25 %</w:t>
            </w:r>
          </w:p>
        </w:tc>
      </w:tr>
    </w:tbl>
    <w:bookmarkStart w:id="380" w:name="_Toc457821532"/>
    <w:bookmarkStart w:id="381" w:name="_Toc52349006"/>
    <w:bookmarkStart w:id="382" w:name="AzureRightsManagementPremium"/>
    <w:p w14:paraId="7EB3E2C1" w14:textId="46A9F126"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793FBDBF" w14:textId="77777777" w:rsidR="003C3496" w:rsidRPr="00EF7CF9" w:rsidRDefault="003C3496" w:rsidP="00AC35B1">
      <w:pPr>
        <w:pStyle w:val="ProductList-Offering2Heading"/>
        <w:keepNext/>
        <w:tabs>
          <w:tab w:val="clear" w:pos="360"/>
          <w:tab w:val="clear" w:pos="720"/>
          <w:tab w:val="clear" w:pos="1080"/>
        </w:tabs>
        <w:outlineLvl w:val="2"/>
      </w:pPr>
      <w:bookmarkStart w:id="383" w:name="_Toc195543158"/>
      <w:bookmarkStart w:id="384" w:name="_Toc237449017"/>
      <w:r>
        <w:t>Azure Information Protection</w:t>
      </w:r>
      <w:bookmarkEnd w:id="380"/>
      <w:bookmarkEnd w:id="381"/>
      <w:bookmarkEnd w:id="383"/>
      <w:bookmarkEnd w:id="384"/>
    </w:p>
    <w:bookmarkEnd w:id="382"/>
    <w:p w14:paraId="1D5F3E5D" w14:textId="77777777" w:rsidR="003C3496" w:rsidRPr="00EF7CF9" w:rsidRDefault="003C3496" w:rsidP="003C3496">
      <w:pPr>
        <w:pStyle w:val="ProductList-Body"/>
      </w:pPr>
      <w:r>
        <w:rPr>
          <w:b/>
          <w:color w:val="00188F"/>
        </w:rPr>
        <w:t>Ausfallzeit</w:t>
      </w:r>
      <w:r w:rsidRPr="0008262F">
        <w:rPr>
          <w:b/>
          <w:bCs/>
          <w:color w:val="00188F"/>
        </w:rPr>
        <w:t>:</w:t>
      </w:r>
      <w:r>
        <w:t xml:space="preserve"> </w:t>
      </w:r>
      <w:r>
        <w:rPr>
          <w:szCs w:val="18"/>
        </w:rPr>
        <w:t>Jede Zeitspanne, in der Endnutzer keine IRM-Dokumente und E-Mails erstellen oder abrufen können.</w:t>
      </w:r>
    </w:p>
    <w:p w14:paraId="0D5DE02B" w14:textId="5DF68E16" w:rsidR="003C3496" w:rsidRPr="00EF7CF9" w:rsidRDefault="00AC48A7" w:rsidP="003C3496">
      <w:pPr>
        <w:pStyle w:val="ProductList-Body"/>
      </w:pPr>
      <w:r>
        <w:rPr>
          <w:b/>
          <w:color w:val="00188F"/>
        </w:rPr>
        <w:t>Betriebszeitprozentsatz</w:t>
      </w:r>
      <w:r w:rsidRPr="0008262F">
        <w:rPr>
          <w:b/>
          <w:bCs/>
          <w:color w:val="00188F"/>
        </w:rPr>
        <w:t>:</w:t>
      </w:r>
      <w:r>
        <w:t xml:space="preserve"> Der Betriebszeitprozentsatz errechnet sich nach folgender Formel:</w:t>
      </w:r>
    </w:p>
    <w:p w14:paraId="33E2F56A" w14:textId="4E7C1A82" w:rsidR="003C3496" w:rsidRPr="00EF7CF9" w:rsidRDefault="00000000" w:rsidP="00855AC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Nutzerminuten abzüglich Ausfallzeit</m:t>
              </m:r>
            </m:num>
            <m:den>
              <m:r>
                <m:rPr>
                  <m:nor/>
                </m:rPr>
                <w:rPr>
                  <w:rFonts w:ascii="Cambria Math" w:hAnsi="Cambria Math" w:cs="Calibri"/>
                  <w:i/>
                  <w:sz w:val="18"/>
                  <w:szCs w:val="18"/>
                </w:rPr>
                <m:t>Nutzerminuten</m:t>
              </m:r>
            </m:den>
          </m:f>
          <m:r>
            <w:rPr>
              <w:rFonts w:ascii="Cambria Math" w:hAnsi="Cambria Math" w:cs="Calibri"/>
              <w:sz w:val="18"/>
              <w:szCs w:val="18"/>
            </w:rPr>
            <m:t xml:space="preserve"> x 100</m:t>
          </m:r>
        </m:oMath>
      </m:oMathPara>
    </w:p>
    <w:p w14:paraId="24EDA320" w14:textId="1646DCCB" w:rsidR="003C3496" w:rsidRPr="00EF7CF9" w:rsidRDefault="00AC48A7" w:rsidP="003C3496">
      <w:pPr>
        <w:pStyle w:val="ProductList-Body"/>
      </w:pPr>
      <w: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176B2706" w14:textId="77777777" w:rsidR="003C3496" w:rsidRPr="00EF7CF9" w:rsidRDefault="003C3496" w:rsidP="003C3496">
      <w:pPr>
        <w:pStyle w:val="ProductList-Body"/>
      </w:pPr>
      <w:r>
        <w:rPr>
          <w:b/>
          <w:color w:val="00188F"/>
        </w:rPr>
        <w:t>Servicegutschrift</w:t>
      </w:r>
      <w:r w:rsidRPr="0008262F">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C3496" w:rsidRPr="00B44CF9" w14:paraId="74302324" w14:textId="77777777" w:rsidTr="00277097">
        <w:trPr>
          <w:tblHeader/>
        </w:trPr>
        <w:tc>
          <w:tcPr>
            <w:tcW w:w="5400" w:type="dxa"/>
            <w:shd w:val="clear" w:color="auto" w:fill="0072C6"/>
          </w:tcPr>
          <w:p w14:paraId="04C4CF60" w14:textId="37911736" w:rsidR="003C3496"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0D544037" w14:textId="77777777" w:rsidR="003C3496" w:rsidRPr="00EF7CF9" w:rsidRDefault="003C3496" w:rsidP="000F31B4">
            <w:pPr>
              <w:pStyle w:val="ProductList-OfferingBody"/>
              <w:jc w:val="center"/>
              <w:rPr>
                <w:color w:val="FFFFFF" w:themeColor="background1"/>
              </w:rPr>
            </w:pPr>
            <w:r>
              <w:rPr>
                <w:color w:val="FFFFFF" w:themeColor="background1"/>
              </w:rPr>
              <w:t>Servicegutschrift</w:t>
            </w:r>
          </w:p>
        </w:tc>
      </w:tr>
      <w:tr w:rsidR="003C3496" w:rsidRPr="00B44CF9" w14:paraId="0B43A41B" w14:textId="77777777" w:rsidTr="00277097">
        <w:tc>
          <w:tcPr>
            <w:tcW w:w="5400" w:type="dxa"/>
          </w:tcPr>
          <w:p w14:paraId="75C11FE0" w14:textId="77777777" w:rsidR="003C3496" w:rsidRPr="00EF7CF9" w:rsidRDefault="003C3496" w:rsidP="000F31B4">
            <w:pPr>
              <w:pStyle w:val="ProductList-OfferingBody"/>
              <w:jc w:val="center"/>
            </w:pPr>
            <w:r>
              <w:t>&lt; 99,9 %</w:t>
            </w:r>
          </w:p>
        </w:tc>
        <w:tc>
          <w:tcPr>
            <w:tcW w:w="5400" w:type="dxa"/>
          </w:tcPr>
          <w:p w14:paraId="0CF0C1B3" w14:textId="77777777" w:rsidR="003C3496" w:rsidRPr="00EF7CF9" w:rsidRDefault="003C3496" w:rsidP="000F31B4">
            <w:pPr>
              <w:pStyle w:val="ProductList-OfferingBody"/>
              <w:jc w:val="center"/>
            </w:pPr>
            <w:r>
              <w:t>25 %</w:t>
            </w:r>
          </w:p>
        </w:tc>
      </w:tr>
      <w:tr w:rsidR="003C3496" w:rsidRPr="00B44CF9" w14:paraId="4FF1B6BE" w14:textId="77777777" w:rsidTr="00277097">
        <w:tc>
          <w:tcPr>
            <w:tcW w:w="5400" w:type="dxa"/>
          </w:tcPr>
          <w:p w14:paraId="3CFB5C80" w14:textId="77777777" w:rsidR="003C3496" w:rsidRPr="00EF7CF9" w:rsidRDefault="003C3496" w:rsidP="000F31B4">
            <w:pPr>
              <w:pStyle w:val="ProductList-OfferingBody"/>
              <w:jc w:val="center"/>
            </w:pPr>
            <w:r>
              <w:t>&lt; 99 %</w:t>
            </w:r>
          </w:p>
        </w:tc>
        <w:tc>
          <w:tcPr>
            <w:tcW w:w="5400" w:type="dxa"/>
          </w:tcPr>
          <w:p w14:paraId="1218794A" w14:textId="77777777" w:rsidR="003C3496" w:rsidRPr="00EF7CF9" w:rsidRDefault="003C3496" w:rsidP="000F31B4">
            <w:pPr>
              <w:pStyle w:val="ProductList-OfferingBody"/>
              <w:jc w:val="center"/>
            </w:pPr>
            <w:r>
              <w:t>50 %</w:t>
            </w:r>
          </w:p>
        </w:tc>
      </w:tr>
      <w:tr w:rsidR="003C3496" w:rsidRPr="00B44CF9" w14:paraId="50F1D114" w14:textId="77777777" w:rsidTr="00277097">
        <w:tc>
          <w:tcPr>
            <w:tcW w:w="5400" w:type="dxa"/>
          </w:tcPr>
          <w:p w14:paraId="06FC6CF8" w14:textId="77777777" w:rsidR="003C3496" w:rsidRPr="00EF7CF9" w:rsidRDefault="003C3496" w:rsidP="000F31B4">
            <w:pPr>
              <w:pStyle w:val="ProductList-OfferingBody"/>
              <w:jc w:val="center"/>
            </w:pPr>
            <w:r>
              <w:t>&lt; 95 %</w:t>
            </w:r>
          </w:p>
        </w:tc>
        <w:tc>
          <w:tcPr>
            <w:tcW w:w="5400" w:type="dxa"/>
          </w:tcPr>
          <w:p w14:paraId="1CED26AF" w14:textId="77777777" w:rsidR="003C3496" w:rsidRPr="00EF7CF9" w:rsidRDefault="003C3496" w:rsidP="000F31B4">
            <w:pPr>
              <w:pStyle w:val="ProductList-OfferingBody"/>
              <w:jc w:val="center"/>
            </w:pPr>
            <w:r>
              <w:t>100 %</w:t>
            </w:r>
          </w:p>
        </w:tc>
      </w:tr>
    </w:tbl>
    <w:bookmarkStart w:id="385" w:name="_Toc526859685"/>
    <w:bookmarkStart w:id="386" w:name="_Toc52348959"/>
    <w:p w14:paraId="3DA24DE2" w14:textId="7635F6FA"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136D2BC5" w14:textId="46CC37E8" w:rsidR="007B07AE" w:rsidRPr="00EF7CF9" w:rsidRDefault="007B07AE" w:rsidP="002502CE">
      <w:pPr>
        <w:pStyle w:val="ProductList-Offering2Heading"/>
        <w:tabs>
          <w:tab w:val="clear" w:pos="360"/>
          <w:tab w:val="clear" w:pos="720"/>
          <w:tab w:val="clear" w:pos="1080"/>
        </w:tabs>
        <w:outlineLvl w:val="2"/>
      </w:pPr>
      <w:bookmarkStart w:id="387" w:name="_Toc195543159"/>
      <w:bookmarkStart w:id="388" w:name="_Toc237449018"/>
      <w:r>
        <w:t>Azure IoT Central</w:t>
      </w:r>
      <w:bookmarkEnd w:id="385"/>
      <w:bookmarkEnd w:id="386"/>
      <w:bookmarkEnd w:id="387"/>
      <w:bookmarkEnd w:id="388"/>
    </w:p>
    <w:p w14:paraId="5E34EF0B" w14:textId="77777777" w:rsidR="007B07AE" w:rsidRPr="00EF7CF9" w:rsidRDefault="007B07AE" w:rsidP="007B07AE">
      <w:pPr>
        <w:pStyle w:val="ProductList-Body"/>
        <w:rPr>
          <w:b/>
          <w:color w:val="00188F"/>
        </w:rPr>
      </w:pPr>
      <w:r>
        <w:rPr>
          <w:b/>
          <w:color w:val="00188F"/>
        </w:rPr>
        <w:t>Zusätzliche Definitionen</w:t>
      </w:r>
      <w:r w:rsidRPr="0008262F">
        <w:rPr>
          <w:b/>
          <w:bCs/>
          <w:color w:val="00188F"/>
        </w:rPr>
        <w:t>:</w:t>
      </w:r>
    </w:p>
    <w:p w14:paraId="2FC367F7" w14:textId="543446B0" w:rsidR="007B07AE" w:rsidRPr="00EF7CF9" w:rsidRDefault="007B07AE" w:rsidP="007B07AE">
      <w:pPr>
        <w:pStyle w:val="ProductList-Body"/>
        <w:spacing w:after="40"/>
      </w:pPr>
      <w:r>
        <w:t>„</w:t>
      </w:r>
      <w:r>
        <w:rPr>
          <w:b/>
          <w:color w:val="00188F"/>
        </w:rPr>
        <w:t>Bereitstellungsminuten</w:t>
      </w:r>
      <w:r>
        <w:t>“ ist die Gesamtzahl der Minuten, in denen eine bestimmte IoT Central-Anwendung während eines Anwendbaren Zeitraums in einem bestimmten Microsoft Azure-Abonnement bereitgestellt wird.</w:t>
      </w:r>
    </w:p>
    <w:p w14:paraId="767848F1" w14:textId="77777777" w:rsidR="007B07AE" w:rsidRPr="00EF7CF9" w:rsidRDefault="007B07AE" w:rsidP="007B07AE">
      <w:pPr>
        <w:pStyle w:val="ProductList-Body"/>
        <w:spacing w:after="40"/>
      </w:pPr>
      <w:r>
        <w:t>„</w:t>
      </w:r>
      <w:r>
        <w:rPr>
          <w:b/>
          <w:color w:val="00188F"/>
        </w:rPr>
        <w:t>Gerätidentifikationsvorgänge</w:t>
      </w:r>
      <w:r>
        <w:t>“ bezieht sich auf Erstellungs-, Lese-, Aktualisierungs- und Löschvorgänge, die auf den Geräten einer IoT Central-Anwendung ausgeführt werden.</w:t>
      </w:r>
    </w:p>
    <w:p w14:paraId="7F933A10" w14:textId="7488A022" w:rsidR="007B07AE" w:rsidRPr="00EF7CF9" w:rsidRDefault="007B07AE" w:rsidP="007B07AE">
      <w:pPr>
        <w:pStyle w:val="ProductList-Body"/>
      </w:pPr>
      <w:r>
        <w:t>„</w:t>
      </w:r>
      <w:r>
        <w:rPr>
          <w:b/>
          <w:color w:val="00188F"/>
        </w:rPr>
        <w:t>Maximal Verfügbare Minuten</w:t>
      </w:r>
      <w:r>
        <w:t>“ ist die Summe der Bereitstellungsminuten aller IoT Central-Anwendungen, die in einem bestimmten Microsoft Azure-Abonnement während eines Anwendbaren Zeitraums bereitgestellt werden.</w:t>
      </w:r>
    </w:p>
    <w:p w14:paraId="4E276309" w14:textId="77777777" w:rsidR="007B07AE" w:rsidRPr="00EF7CF9" w:rsidRDefault="007B07AE" w:rsidP="007B07AE">
      <w:pPr>
        <w:pStyle w:val="ProductList-Body"/>
      </w:pPr>
      <w:r>
        <w:t>„</w:t>
      </w:r>
      <w:r>
        <w:rPr>
          <w:b/>
          <w:color w:val="00188F"/>
        </w:rPr>
        <w:t>Nachricht</w:t>
      </w:r>
      <w:r>
        <w:t xml:space="preserve">“ ist jeder benutzerdefinierte Inhalt, der mithilfe eines vom Dienst unterstützten Protokolls über eine bereitgestellte IoT Central-Anwendung an ein in der IoT Central-Anwendung registriertes Gerät gesendet wird oder den die IoT Central-Anwendung von einem registrierten Gerät erhält. </w:t>
      </w:r>
    </w:p>
    <w:p w14:paraId="5867CA80" w14:textId="77777777" w:rsidR="007B07AE" w:rsidRPr="00EF7CF9" w:rsidRDefault="007B07AE" w:rsidP="007B07AE">
      <w:pPr>
        <w:pStyle w:val="ProductList-Body"/>
      </w:pPr>
      <w:r>
        <w:rPr>
          <w:b/>
          <w:color w:val="00188F"/>
        </w:rPr>
        <w:t>Ausfallzeit</w:t>
      </w:r>
      <w:r w:rsidRPr="0008262F">
        <w:rPr>
          <w:b/>
          <w:bCs/>
          <w:color w:val="00188F"/>
        </w:rPr>
        <w:t>:</w:t>
      </w:r>
      <w:r>
        <w:t xml:space="preserve"> Die Gesamtzahl der Maximal verfügbaren Minuten, in denen IoT Central nicht verfügbar ist. Eine Minute gilt für eine bestimmte IoT Central-Anwendung als nicht verfügbar, wenn alle fortlaufend unternommenen Versuche zum Senden oder Empfangen von Nachrichten oder zum </w:t>
      </w:r>
      <w:r>
        <w:lastRenderedPageBreak/>
        <w:t>Durchführen von Gerätidentifikationsvorgängen in der IoT Central-Anwendung während der gesamten Minute entweder einen Fehlercode zurückgeben oder nicht binnen fünf Minuten zu einem Erfolgscode führen.</w:t>
      </w:r>
    </w:p>
    <w:p w14:paraId="75B7A6D8" w14:textId="59690245" w:rsidR="007B07AE" w:rsidRPr="00EF7CF9" w:rsidRDefault="00AC48A7" w:rsidP="007B07AE">
      <w:pPr>
        <w:pStyle w:val="ProductList-Body"/>
      </w:pPr>
      <w:r>
        <w:rPr>
          <w:b/>
          <w:color w:val="00188F"/>
        </w:rPr>
        <w:t>Betriebszeitprozentsatz</w:t>
      </w:r>
      <w:r w:rsidRPr="0008262F">
        <w:rPr>
          <w:b/>
          <w:bCs/>
          <w:color w:val="00188F"/>
        </w:rPr>
        <w:t>:</w:t>
      </w:r>
      <w:r>
        <w:t xml:space="preserve"> Der Betriebszeitprozentsatz errechnet sich nach folgender Formel:</w:t>
      </w:r>
    </w:p>
    <w:p w14:paraId="12F9185F" w14:textId="05762204" w:rsidR="007B07AE" w:rsidRPr="007C7313" w:rsidRDefault="00000000" w:rsidP="00855AC4">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7928BF49" w14:textId="77777777" w:rsidR="007B07AE" w:rsidRPr="00EF7CF9" w:rsidRDefault="007B07AE" w:rsidP="007871BE">
      <w:pPr>
        <w:pStyle w:val="ProductList-Body"/>
        <w:keepNext/>
      </w:pPr>
      <w:r>
        <w:rPr>
          <w:b/>
          <w:color w:val="00188F"/>
        </w:rPr>
        <w:t>Servicegutschrift</w:t>
      </w:r>
      <w:r w:rsidRPr="0008262F">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B07AE" w:rsidRPr="00B44CF9" w14:paraId="4A757A79" w14:textId="77777777" w:rsidTr="00277097">
        <w:trPr>
          <w:tblHeader/>
        </w:trPr>
        <w:tc>
          <w:tcPr>
            <w:tcW w:w="5400" w:type="dxa"/>
            <w:shd w:val="clear" w:color="auto" w:fill="0072C6"/>
          </w:tcPr>
          <w:p w14:paraId="2B3F5E5D" w14:textId="2C8905CE" w:rsidR="007B07AE" w:rsidRPr="005A3C16"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3913DF97" w14:textId="77777777" w:rsidR="007B07AE" w:rsidRPr="005A3C16" w:rsidRDefault="007B07AE" w:rsidP="000F31B4">
            <w:pPr>
              <w:pStyle w:val="ProductList-OfferingBody"/>
              <w:jc w:val="center"/>
              <w:rPr>
                <w:color w:val="FFFFFF" w:themeColor="background1"/>
              </w:rPr>
            </w:pPr>
            <w:r>
              <w:rPr>
                <w:color w:val="FFFFFF" w:themeColor="background1"/>
              </w:rPr>
              <w:t>Servicegutschrift</w:t>
            </w:r>
          </w:p>
        </w:tc>
      </w:tr>
      <w:tr w:rsidR="007B07AE" w:rsidRPr="00B44CF9" w14:paraId="7890475B" w14:textId="77777777" w:rsidTr="00277097">
        <w:tc>
          <w:tcPr>
            <w:tcW w:w="5400" w:type="dxa"/>
          </w:tcPr>
          <w:p w14:paraId="17E84CE6" w14:textId="77777777" w:rsidR="007B07AE" w:rsidRPr="005A3C16" w:rsidRDefault="007B07AE" w:rsidP="000F31B4">
            <w:pPr>
              <w:pStyle w:val="ProductList-OfferingBody"/>
              <w:jc w:val="center"/>
            </w:pPr>
            <w:r>
              <w:t>&lt; 99,9 %</w:t>
            </w:r>
          </w:p>
        </w:tc>
        <w:tc>
          <w:tcPr>
            <w:tcW w:w="5400" w:type="dxa"/>
          </w:tcPr>
          <w:p w14:paraId="45DADE55" w14:textId="77777777" w:rsidR="007B07AE" w:rsidRPr="005A3C16" w:rsidRDefault="007B07AE" w:rsidP="000F31B4">
            <w:pPr>
              <w:pStyle w:val="ProductList-OfferingBody"/>
              <w:jc w:val="center"/>
            </w:pPr>
            <w:r>
              <w:t>10 %</w:t>
            </w:r>
          </w:p>
        </w:tc>
      </w:tr>
      <w:tr w:rsidR="007B07AE" w:rsidRPr="00B44CF9" w14:paraId="606AA7FC" w14:textId="77777777" w:rsidTr="00277097">
        <w:tc>
          <w:tcPr>
            <w:tcW w:w="5400" w:type="dxa"/>
          </w:tcPr>
          <w:p w14:paraId="520E5E27" w14:textId="77777777" w:rsidR="007B07AE" w:rsidRPr="005A3C16" w:rsidRDefault="007B07AE" w:rsidP="000F31B4">
            <w:pPr>
              <w:pStyle w:val="ProductList-OfferingBody"/>
              <w:jc w:val="center"/>
            </w:pPr>
            <w:r>
              <w:t>&lt; 99 %</w:t>
            </w:r>
          </w:p>
        </w:tc>
        <w:tc>
          <w:tcPr>
            <w:tcW w:w="5400" w:type="dxa"/>
          </w:tcPr>
          <w:p w14:paraId="0C3ECDD2" w14:textId="77777777" w:rsidR="007B07AE" w:rsidRPr="005A3C16" w:rsidRDefault="007B07AE" w:rsidP="000F31B4">
            <w:pPr>
              <w:pStyle w:val="ProductList-OfferingBody"/>
              <w:jc w:val="center"/>
            </w:pPr>
            <w:r>
              <w:t>25 %</w:t>
            </w:r>
          </w:p>
        </w:tc>
      </w:tr>
    </w:tbl>
    <w:bookmarkStart w:id="389" w:name="_Toc457821553"/>
    <w:bookmarkStart w:id="390" w:name="_Toc52348960"/>
    <w:bookmarkStart w:id="391" w:name="IoTHub"/>
    <w:p w14:paraId="687E597A" w14:textId="2E3DDC90"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7B306458" w14:textId="32479080" w:rsidR="00A33D05" w:rsidRPr="00EF7CF9" w:rsidRDefault="00A33D05" w:rsidP="004E2B93">
      <w:pPr>
        <w:pStyle w:val="ProductList-Offering2Heading"/>
        <w:tabs>
          <w:tab w:val="clear" w:pos="360"/>
          <w:tab w:val="clear" w:pos="720"/>
          <w:tab w:val="clear" w:pos="1080"/>
        </w:tabs>
        <w:outlineLvl w:val="2"/>
      </w:pPr>
      <w:bookmarkStart w:id="392" w:name="_Toc195543160"/>
      <w:bookmarkStart w:id="393" w:name="_Toc237449019"/>
      <w:r>
        <w:t>Azure IoT Hub</w:t>
      </w:r>
      <w:bookmarkEnd w:id="389"/>
      <w:bookmarkEnd w:id="390"/>
      <w:bookmarkEnd w:id="392"/>
      <w:bookmarkEnd w:id="393"/>
    </w:p>
    <w:bookmarkEnd w:id="391"/>
    <w:p w14:paraId="0A867471" w14:textId="1FB08987" w:rsidR="00A33D05" w:rsidRDefault="00EE6E3C" w:rsidP="00A33D05">
      <w:pPr>
        <w:pStyle w:val="ProductList-Body"/>
        <w:rPr>
          <w:b/>
          <w:color w:val="00188F"/>
        </w:rPr>
      </w:pPr>
      <w:r>
        <w:rPr>
          <w:b/>
          <w:color w:val="00188F"/>
        </w:rPr>
        <w:t>Berechnung der Betriebszeit und Service-Levels für IoT-Hub</w:t>
      </w:r>
    </w:p>
    <w:p w14:paraId="632DB8E3" w14:textId="77777777" w:rsidR="00A33D05" w:rsidRPr="00EF7CF9" w:rsidRDefault="00A33D05" w:rsidP="00AD5567">
      <w:pPr>
        <w:pStyle w:val="ProductList-Body"/>
        <w:rPr>
          <w:b/>
          <w:color w:val="00188F"/>
        </w:rPr>
      </w:pPr>
      <w:r>
        <w:rPr>
          <w:b/>
          <w:color w:val="00188F"/>
        </w:rPr>
        <w:t>Zusätzliche Definitionen</w:t>
      </w:r>
      <w:r w:rsidRPr="0008262F">
        <w:rPr>
          <w:b/>
          <w:bCs/>
          <w:color w:val="00188F"/>
        </w:rPr>
        <w:t>:</w:t>
      </w:r>
    </w:p>
    <w:p w14:paraId="6C1AD240" w14:textId="5298C3C7" w:rsidR="00A33D05" w:rsidRPr="00EF7CF9" w:rsidRDefault="00A33D05" w:rsidP="00AD5567">
      <w:pPr>
        <w:pStyle w:val="ProductList-Body"/>
      </w:pPr>
      <w:r>
        <w:t>„</w:t>
      </w:r>
      <w:r>
        <w:rPr>
          <w:b/>
          <w:color w:val="00188F"/>
        </w:rPr>
        <w:t>Bereitstellungsminuten</w:t>
      </w:r>
      <w:r>
        <w:t>“ ist die Gesamtzahl der Minuten, die ein bestimmter IoT-Hub im Verlauf eines Anwendbaren Zeitraums in Microsoft Azure bereitgestellt wird.</w:t>
      </w:r>
    </w:p>
    <w:p w14:paraId="5C00CFC5" w14:textId="77777777" w:rsidR="00A33D05" w:rsidRPr="00EF7CF9" w:rsidRDefault="00A33D05" w:rsidP="00AD5567">
      <w:pPr>
        <w:pStyle w:val="ProductList-Body"/>
      </w:pPr>
      <w:r>
        <w:t>„</w:t>
      </w:r>
      <w:r>
        <w:rPr>
          <w:b/>
          <w:color w:val="00188F"/>
        </w:rPr>
        <w:t>Gerätidentifikationsvorgänge</w:t>
      </w:r>
      <w:r>
        <w:t>“ bezieht sich auf Erstellungs-, Lese-, Aktualisierungs- und Löschvorgänge, die in der Gerätidentifikationsregistrierung eines IoT Hub ausgeführt werden.</w:t>
      </w:r>
    </w:p>
    <w:p w14:paraId="262F8F69" w14:textId="499B8AED" w:rsidR="00A33D05" w:rsidRPr="00EF7CF9" w:rsidRDefault="00A33D05" w:rsidP="00AD5567">
      <w:pPr>
        <w:pStyle w:val="ProductList-Body"/>
      </w:pPr>
      <w:r>
        <w:t>„</w:t>
      </w:r>
      <w:r>
        <w:rPr>
          <w:b/>
          <w:color w:val="00188F"/>
        </w:rPr>
        <w:t>Maximal Verfügbare Minuten</w:t>
      </w:r>
      <w:r>
        <w:t>“ ist die Summe der Bereitstellungsminuten aller IoT-Hubs, die in einem bestimmten Microsoft Azure-Abonnement während eines Anwendbaren Zeitraums bereitgestellt werden.</w:t>
      </w:r>
    </w:p>
    <w:p w14:paraId="099D76A1" w14:textId="77777777" w:rsidR="00A33D05" w:rsidRPr="00EF7CF9" w:rsidRDefault="00A33D05" w:rsidP="00AD5567">
      <w:pPr>
        <w:pStyle w:val="ProductList-Body"/>
      </w:pPr>
      <w:r>
        <w:t>„</w:t>
      </w:r>
      <w:r>
        <w:rPr>
          <w:b/>
          <w:color w:val="00188F"/>
        </w:rPr>
        <w:t>Nachricht</w:t>
      </w:r>
      <w:r>
        <w:t xml:space="preserve">“ ist jeder benutzerdefinierte Inhalt, der mithilfe eines vom Dienst unterstützten Protokolls über einen bereitgestellten IoT Hub an ein im IoT Hub registriertes Gerät gesendet wird oder den der IoT Hub von einem registrierten Gerät erhält. </w:t>
      </w:r>
    </w:p>
    <w:p w14:paraId="78DCBCE7" w14:textId="77777777" w:rsidR="00A33D05" w:rsidRPr="00EF7CF9" w:rsidRDefault="00A33D05" w:rsidP="00A33D05">
      <w:pPr>
        <w:pStyle w:val="ProductList-Body"/>
      </w:pPr>
      <w:r>
        <w:rPr>
          <w:b/>
          <w:color w:val="00188F"/>
        </w:rPr>
        <w:t>Ausfallzeit</w:t>
      </w:r>
      <w:r w:rsidRPr="0008262F">
        <w:rPr>
          <w:b/>
          <w:bCs/>
          <w:color w:val="00188F"/>
        </w:rPr>
        <w:t>:</w:t>
      </w:r>
      <w:r>
        <w:t xml:space="preserve"> Die kumulierten Bereitstellungsminuten für alle in einem bestimmten Microsoft Azure-Abonnement bereitgestellten IoT-Hubs, in denen der IoT-Hub nicht verfügbar ist. Eine Minute gilt für einen bestimmten IoT Hub als nicht verfügbar, wenn alle fortlaufend unternommenen Versuche zum Senden oder Empfangen von Nachrichten oder zum Durchführen von Gerätidentifikationsvorgängen in dem IoT Hub während der gesamten Minute entweder einen Fehlercode zurückgeben oder nicht binnen fünf Minuten zu einem Erfolgscode führen.</w:t>
      </w:r>
    </w:p>
    <w:p w14:paraId="4747CF85" w14:textId="3DB7A133" w:rsidR="00A33D05" w:rsidRPr="00EF7CF9" w:rsidRDefault="00AC48A7" w:rsidP="00A33D05">
      <w:pPr>
        <w:pStyle w:val="ProductList-Body"/>
      </w:pPr>
      <w:r>
        <w:rPr>
          <w:b/>
          <w:color w:val="00188F"/>
        </w:rPr>
        <w:t>Betriebszeitprozentsatz</w:t>
      </w:r>
      <w:r w:rsidRPr="0008262F">
        <w:rPr>
          <w:b/>
          <w:bCs/>
          <w:color w:val="00188F"/>
        </w:rPr>
        <w:t>:</w:t>
      </w:r>
      <w:r>
        <w:t xml:space="preserve"> Der Betriebszeitprozentsatz errechnet sich nach folgender Formel:</w:t>
      </w:r>
    </w:p>
    <w:p w14:paraId="41A06B07" w14:textId="2003A6EE" w:rsidR="00A33D05" w:rsidRPr="007C7313" w:rsidRDefault="00000000" w:rsidP="009062DF">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4236CE39" w14:textId="77777777" w:rsidR="00A33D05" w:rsidRPr="00EF7CF9" w:rsidRDefault="00A33D05" w:rsidP="00A33D05">
      <w:pPr>
        <w:pStyle w:val="ProductList-Body"/>
      </w:pPr>
      <w:r>
        <w:rPr>
          <w:b/>
          <w:color w:val="00188F"/>
        </w:rPr>
        <w:t>Die folgenden Service-Levels und Servicegutschriften gelten für die Nutzung von IoT-Hubs durch den Kunden</w:t>
      </w:r>
      <w:r w:rsidRPr="0008262F">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33D05" w:rsidRPr="00B44CF9" w14:paraId="38669E71" w14:textId="77777777" w:rsidTr="00277097">
        <w:trPr>
          <w:tblHeader/>
        </w:trPr>
        <w:tc>
          <w:tcPr>
            <w:tcW w:w="5400" w:type="dxa"/>
            <w:shd w:val="clear" w:color="auto" w:fill="0072C6"/>
          </w:tcPr>
          <w:p w14:paraId="4B924303" w14:textId="48AFF06D" w:rsidR="00A33D05"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4521AFEB" w14:textId="77777777" w:rsidR="00A33D05" w:rsidRPr="00EF7CF9" w:rsidRDefault="00A33D05" w:rsidP="000F31B4">
            <w:pPr>
              <w:pStyle w:val="ProductList-OfferingBody"/>
              <w:jc w:val="center"/>
              <w:rPr>
                <w:color w:val="FFFFFF" w:themeColor="background1"/>
              </w:rPr>
            </w:pPr>
            <w:r>
              <w:rPr>
                <w:color w:val="FFFFFF" w:themeColor="background1"/>
              </w:rPr>
              <w:t>Servicegutschrift</w:t>
            </w:r>
          </w:p>
        </w:tc>
      </w:tr>
      <w:tr w:rsidR="00A33D05" w:rsidRPr="00B44CF9" w14:paraId="0306810C" w14:textId="77777777" w:rsidTr="00277097">
        <w:tc>
          <w:tcPr>
            <w:tcW w:w="5400" w:type="dxa"/>
          </w:tcPr>
          <w:p w14:paraId="53D9273F" w14:textId="77777777" w:rsidR="00A33D05" w:rsidRPr="00EF7CF9" w:rsidRDefault="00A33D05" w:rsidP="000F31B4">
            <w:pPr>
              <w:pStyle w:val="ProductList-OfferingBody"/>
              <w:jc w:val="center"/>
            </w:pPr>
            <w:r>
              <w:t>&lt; 99,9 %</w:t>
            </w:r>
          </w:p>
        </w:tc>
        <w:tc>
          <w:tcPr>
            <w:tcW w:w="5400" w:type="dxa"/>
          </w:tcPr>
          <w:p w14:paraId="4CC37FB1" w14:textId="77777777" w:rsidR="00A33D05" w:rsidRPr="00EF7CF9" w:rsidRDefault="00A33D05" w:rsidP="000F31B4">
            <w:pPr>
              <w:pStyle w:val="ProductList-OfferingBody"/>
              <w:jc w:val="center"/>
            </w:pPr>
            <w:r>
              <w:t>10 %</w:t>
            </w:r>
          </w:p>
        </w:tc>
      </w:tr>
      <w:tr w:rsidR="00A33D05" w:rsidRPr="00B44CF9" w14:paraId="66153CA0" w14:textId="77777777" w:rsidTr="00277097">
        <w:tc>
          <w:tcPr>
            <w:tcW w:w="5400" w:type="dxa"/>
          </w:tcPr>
          <w:p w14:paraId="2B91515F" w14:textId="77777777" w:rsidR="00A33D05" w:rsidRPr="00EF7CF9" w:rsidRDefault="00A33D05" w:rsidP="000F31B4">
            <w:pPr>
              <w:pStyle w:val="ProductList-OfferingBody"/>
              <w:jc w:val="center"/>
            </w:pPr>
            <w:r>
              <w:t>&lt; 99 %</w:t>
            </w:r>
          </w:p>
        </w:tc>
        <w:tc>
          <w:tcPr>
            <w:tcW w:w="5400" w:type="dxa"/>
          </w:tcPr>
          <w:p w14:paraId="00EB8335" w14:textId="77777777" w:rsidR="00A33D05" w:rsidRPr="00EF7CF9" w:rsidRDefault="00A33D05" w:rsidP="000F31B4">
            <w:pPr>
              <w:pStyle w:val="ProductList-OfferingBody"/>
              <w:jc w:val="center"/>
            </w:pPr>
            <w:r>
              <w:t>25 %</w:t>
            </w:r>
          </w:p>
        </w:tc>
      </w:tr>
    </w:tbl>
    <w:p w14:paraId="0C6B83DA" w14:textId="20A769B4" w:rsidR="00A33D05" w:rsidRDefault="00EE6E3C" w:rsidP="00AD5567">
      <w:pPr>
        <w:pStyle w:val="ProductList-Body"/>
        <w:spacing w:before="120"/>
        <w:rPr>
          <w:b/>
          <w:bCs/>
          <w:color w:val="00188F"/>
        </w:rPr>
      </w:pPr>
      <w:r>
        <w:rPr>
          <w:b/>
          <w:bCs/>
          <w:color w:val="00188F"/>
        </w:rPr>
        <w:t>Berechnung der Betriebszeit und Service-Levels des Gerätebereitstellungsdienstes für IoT-Hubs</w:t>
      </w:r>
    </w:p>
    <w:p w14:paraId="13AE0CE7" w14:textId="77777777" w:rsidR="00A33D05" w:rsidRPr="00ED4527" w:rsidRDefault="00A33D05" w:rsidP="00A33D05">
      <w:pPr>
        <w:pStyle w:val="ProductList-Body"/>
        <w:rPr>
          <w:b/>
          <w:bCs/>
          <w:color w:val="00188F"/>
        </w:rPr>
      </w:pPr>
      <w:r>
        <w:rPr>
          <w:b/>
          <w:bCs/>
          <w:color w:val="00188F"/>
        </w:rPr>
        <w:t>Zusätzliche Definitionen:</w:t>
      </w:r>
    </w:p>
    <w:p w14:paraId="1731B111" w14:textId="518EEBA4" w:rsidR="00A33D05" w:rsidRPr="00D64BCA" w:rsidRDefault="00A33D05" w:rsidP="00A33D05">
      <w:pPr>
        <w:pStyle w:val="ProductList-Body"/>
        <w:rPr>
          <w:color w:val="000000" w:themeColor="text1"/>
        </w:rPr>
      </w:pPr>
      <w:r>
        <w:rPr>
          <w:color w:val="000000" w:themeColor="text1"/>
        </w:rPr>
        <w:t>„</w:t>
      </w:r>
      <w:r>
        <w:rPr>
          <w:b/>
          <w:bCs/>
          <w:color w:val="00188F"/>
        </w:rPr>
        <w:t>Maximal Verfügbare Minuten</w:t>
      </w:r>
      <w:r>
        <w:rPr>
          <w:color w:val="000000" w:themeColor="text1"/>
        </w:rPr>
        <w:t>“ ist die Gesamtzahl der Minuten für einen bestimmten Gerätebereitstellungsdienst, der vom Kunden in einem Microsoft Azure-Abonnement während eines Anwendbaren Zeitraums bereitgestellt wird.</w:t>
      </w:r>
    </w:p>
    <w:p w14:paraId="6862A706" w14:textId="37E613B6" w:rsidR="00A33D05" w:rsidRPr="00D64BCA" w:rsidRDefault="00A33D05" w:rsidP="00A33D05">
      <w:pPr>
        <w:pStyle w:val="ProductList-Body"/>
        <w:rPr>
          <w:color w:val="000000" w:themeColor="text1"/>
        </w:rPr>
      </w:pPr>
      <w:r>
        <w:rPr>
          <w:color w:val="000000" w:themeColor="text1"/>
        </w:rPr>
        <w:t>„</w:t>
      </w:r>
      <w:r>
        <w:rPr>
          <w:b/>
          <w:bCs/>
          <w:color w:val="00188F"/>
        </w:rPr>
        <w:t>Ausfallzeit</w:t>
      </w:r>
      <w:r>
        <w:rPr>
          <w:color w:val="000000" w:themeColor="text1"/>
        </w:rPr>
        <w:t>“ ist die Gesamtzahl der Minuten innerhalb der Maximal verfügbaren Minuten, in denen der Gerätebereitstellungsdienst nicht verfügbar ist. Eine Minute gilt für einen bestimmten Gerätebereitstellungsdienst als nicht verfügbar, wenn alle fortlaufend unternommenen Versuche zur Registrierung eines Geräts oder zur Durchführung eines Registrierungseintrags im Rahmen des Gerätebereitstellungsdiensts während</w:t>
      </w:r>
      <w:r w:rsidR="00FA3326">
        <w:rPr>
          <w:color w:val="000000" w:themeColor="text1"/>
        </w:rPr>
        <w:t> </w:t>
      </w:r>
      <w:r>
        <w:rPr>
          <w:color w:val="000000" w:themeColor="text1"/>
        </w:rPr>
        <w:t>dieser Minute entweder einen Fehlercode zurückgeben oder innerhalb von zwei Minuten nicht zu einem Erfolgscode führen.</w:t>
      </w:r>
    </w:p>
    <w:p w14:paraId="2BAE86D2" w14:textId="69288491" w:rsidR="00A33D05" w:rsidRPr="00D64BCA" w:rsidRDefault="00AC48A7" w:rsidP="00A33D05">
      <w:pPr>
        <w:pStyle w:val="ProductList-Body"/>
        <w:rPr>
          <w:color w:val="000000" w:themeColor="text1"/>
        </w:rPr>
      </w:pPr>
      <w:r>
        <w:rPr>
          <w:b/>
          <w:bCs/>
          <w:color w:val="00188F"/>
        </w:rPr>
        <w:t>Betriebszeitprozentsatz:</w:t>
      </w:r>
      <w:r>
        <w:rPr>
          <w:color w:val="000000" w:themeColor="text1"/>
        </w:rPr>
        <w:t xml:space="preserve"> Der Betriebszeitprozentsatz errechnet sich nach folgender Formel:</w:t>
      </w:r>
    </w:p>
    <w:p w14:paraId="288FBA3D" w14:textId="4727CA22" w:rsidR="00A33D05" w:rsidRPr="007C7313" w:rsidRDefault="00000000" w:rsidP="009062DF">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2CE875ED" w14:textId="77777777" w:rsidR="00A33D05" w:rsidRPr="00ED4527" w:rsidRDefault="00A33D05" w:rsidP="00A33D05">
      <w:pPr>
        <w:pStyle w:val="ProductList-Body"/>
        <w:tabs>
          <w:tab w:val="clear" w:pos="360"/>
          <w:tab w:val="clear" w:pos="720"/>
          <w:tab w:val="clear" w:pos="1080"/>
        </w:tabs>
        <w:rPr>
          <w:b/>
          <w:bCs/>
          <w:color w:val="00188F"/>
        </w:rPr>
      </w:pPr>
      <w:r>
        <w:rPr>
          <w:b/>
          <w:bCs/>
          <w:color w:val="00188F"/>
        </w:rPr>
        <w:t>Die folgenden Servicelevels und Servicegutschriften gelten für die Nutzung des IoT-Hub-Gerätebereitstellungsdienstes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33D05" w:rsidRPr="00B44CF9" w14:paraId="1B7B051D" w14:textId="77777777" w:rsidTr="00277097">
        <w:trPr>
          <w:tblHeader/>
        </w:trPr>
        <w:tc>
          <w:tcPr>
            <w:tcW w:w="5400" w:type="dxa"/>
            <w:shd w:val="clear" w:color="auto" w:fill="0072C6"/>
          </w:tcPr>
          <w:p w14:paraId="6D00CEAD" w14:textId="52728AC3" w:rsidR="00A33D05"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5305AAEC" w14:textId="77777777" w:rsidR="00A33D05" w:rsidRPr="00EF7CF9" w:rsidRDefault="00A33D05" w:rsidP="000F31B4">
            <w:pPr>
              <w:pStyle w:val="ProductList-OfferingBody"/>
              <w:jc w:val="center"/>
              <w:rPr>
                <w:color w:val="FFFFFF" w:themeColor="background1"/>
              </w:rPr>
            </w:pPr>
            <w:r>
              <w:rPr>
                <w:color w:val="FFFFFF" w:themeColor="background1"/>
              </w:rPr>
              <w:t>Servicegutschrift</w:t>
            </w:r>
          </w:p>
        </w:tc>
      </w:tr>
      <w:tr w:rsidR="00A33D05" w:rsidRPr="00B44CF9" w14:paraId="06A032B3" w14:textId="77777777" w:rsidTr="00277097">
        <w:tc>
          <w:tcPr>
            <w:tcW w:w="5400" w:type="dxa"/>
          </w:tcPr>
          <w:p w14:paraId="597FFA28" w14:textId="77777777" w:rsidR="00A33D05" w:rsidRPr="00EF7CF9" w:rsidRDefault="00A33D05" w:rsidP="000F31B4">
            <w:pPr>
              <w:pStyle w:val="ProductList-OfferingBody"/>
              <w:jc w:val="center"/>
            </w:pPr>
            <w:r>
              <w:t>&lt; 99,9 %</w:t>
            </w:r>
          </w:p>
        </w:tc>
        <w:tc>
          <w:tcPr>
            <w:tcW w:w="5400" w:type="dxa"/>
          </w:tcPr>
          <w:p w14:paraId="1DACBB75" w14:textId="77777777" w:rsidR="00A33D05" w:rsidRPr="00EF7CF9" w:rsidRDefault="00A33D05" w:rsidP="000F31B4">
            <w:pPr>
              <w:pStyle w:val="ProductList-OfferingBody"/>
              <w:jc w:val="center"/>
            </w:pPr>
            <w:r>
              <w:t>10 %</w:t>
            </w:r>
          </w:p>
        </w:tc>
      </w:tr>
      <w:tr w:rsidR="00A33D05" w:rsidRPr="00B44CF9" w14:paraId="1D776F64" w14:textId="77777777" w:rsidTr="00277097">
        <w:tc>
          <w:tcPr>
            <w:tcW w:w="5400" w:type="dxa"/>
          </w:tcPr>
          <w:p w14:paraId="4AC5C389" w14:textId="77777777" w:rsidR="00A33D05" w:rsidRPr="00EF7CF9" w:rsidRDefault="00A33D05" w:rsidP="000F31B4">
            <w:pPr>
              <w:pStyle w:val="ProductList-OfferingBody"/>
              <w:jc w:val="center"/>
            </w:pPr>
            <w:r>
              <w:t>&lt; 99 %</w:t>
            </w:r>
          </w:p>
        </w:tc>
        <w:tc>
          <w:tcPr>
            <w:tcW w:w="5400" w:type="dxa"/>
          </w:tcPr>
          <w:p w14:paraId="1FEB35B0" w14:textId="77777777" w:rsidR="00A33D05" w:rsidRPr="00EF7CF9" w:rsidRDefault="00A33D05" w:rsidP="000F31B4">
            <w:pPr>
              <w:pStyle w:val="ProductList-OfferingBody"/>
              <w:jc w:val="center"/>
            </w:pPr>
            <w:r>
              <w:t>25 %</w:t>
            </w:r>
          </w:p>
        </w:tc>
      </w:tr>
    </w:tbl>
    <w:bookmarkStart w:id="394" w:name="_Toc457821554"/>
    <w:bookmarkStart w:id="395" w:name="_Toc52348961"/>
    <w:p w14:paraId="038AF57D" w14:textId="4958CE03"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52A3AB6C" w14:textId="77777777" w:rsidR="00EE79C5" w:rsidRPr="00EF7CF9" w:rsidRDefault="00EE79C5" w:rsidP="00181F4B">
      <w:pPr>
        <w:pStyle w:val="ProductList-Offering2Heading"/>
        <w:keepNext/>
        <w:tabs>
          <w:tab w:val="clear" w:pos="360"/>
          <w:tab w:val="clear" w:pos="720"/>
          <w:tab w:val="clear" w:pos="1080"/>
        </w:tabs>
        <w:outlineLvl w:val="2"/>
      </w:pPr>
      <w:bookmarkStart w:id="396" w:name="_Toc195543161"/>
      <w:bookmarkStart w:id="397" w:name="_Toc237449020"/>
      <w:r>
        <w:lastRenderedPageBreak/>
        <w:t>Schlüsseltresor</w:t>
      </w:r>
      <w:bookmarkEnd w:id="396"/>
      <w:bookmarkEnd w:id="397"/>
    </w:p>
    <w:p w14:paraId="6BF42A9E" w14:textId="77777777" w:rsidR="00EE79C5" w:rsidRPr="00EF7CF9" w:rsidRDefault="00EE79C5" w:rsidP="00EE79C5">
      <w:pPr>
        <w:pStyle w:val="ProductList-Body"/>
        <w:keepNext/>
        <w:rPr>
          <w:b/>
          <w:color w:val="00188F"/>
        </w:rPr>
      </w:pPr>
      <w:r>
        <w:rPr>
          <w:b/>
          <w:color w:val="00188F"/>
        </w:rPr>
        <w:t>Zusätzliche Definitionen</w:t>
      </w:r>
      <w:r w:rsidRPr="0008262F">
        <w:rPr>
          <w:b/>
          <w:bCs/>
          <w:color w:val="00188F"/>
        </w:rPr>
        <w:t>:</w:t>
      </w:r>
    </w:p>
    <w:p w14:paraId="1113EE2E" w14:textId="77777777" w:rsidR="00EE79C5" w:rsidRPr="00FC2F2F" w:rsidRDefault="00EE79C5" w:rsidP="00AD5567">
      <w:pPr>
        <w:pStyle w:val="ProductList-Body"/>
        <w:rPr>
          <w:rFonts w:cstheme="minorHAnsi"/>
        </w:rPr>
      </w:pPr>
      <w:r w:rsidRPr="00FC2F2F">
        <w:rPr>
          <w:rFonts w:cstheme="minorHAnsi"/>
        </w:rPr>
        <w:t>„</w:t>
      </w:r>
      <w:r w:rsidRPr="00FC2F2F">
        <w:rPr>
          <w:rFonts w:cstheme="minorHAnsi"/>
          <w:b/>
          <w:color w:val="00188F"/>
        </w:rPr>
        <w:t>Bereitstellungsminuten</w:t>
      </w:r>
      <w:r w:rsidRPr="00FC2F2F">
        <w:rPr>
          <w:rFonts w:cstheme="minorHAnsi"/>
        </w:rPr>
        <w:t>“ ist die Gesamtzahl der Minuten, die ein bestimmter Schlüsseltresor im Verlauf eines Abrechnungsmonats in Microsoft Azure bereitgestellt wurde.</w:t>
      </w:r>
    </w:p>
    <w:p w14:paraId="44A51B13" w14:textId="77777777" w:rsidR="00EE79C5" w:rsidRPr="00FC2F2F" w:rsidRDefault="00EE79C5" w:rsidP="00AD5567">
      <w:pPr>
        <w:pStyle w:val="ProductList-Body"/>
        <w:rPr>
          <w:rFonts w:cstheme="minorHAnsi"/>
        </w:rPr>
      </w:pPr>
      <w:r w:rsidRPr="00FC2F2F">
        <w:rPr>
          <w:rFonts w:cstheme="minorHAnsi"/>
        </w:rPr>
        <w:t>„</w:t>
      </w:r>
      <w:r w:rsidRPr="00FC2F2F">
        <w:rPr>
          <w:rFonts w:cstheme="minorHAnsi"/>
          <w:b/>
          <w:color w:val="00188F"/>
        </w:rPr>
        <w:t>Ausgeschlossene Transaktionen</w:t>
      </w:r>
      <w:r w:rsidRPr="00FC2F2F">
        <w:rPr>
          <w:rFonts w:cstheme="minorHAnsi"/>
        </w:rPr>
        <w:t>“ sind Transaktionen zum Erstellen, Aktualisieren oder Löschen von Schlüsseltresoren, Schlüsseln oder Geheimnissen.</w:t>
      </w:r>
    </w:p>
    <w:p w14:paraId="0D0C82DE" w14:textId="77777777" w:rsidR="00EE79C5" w:rsidRPr="00FC2F2F" w:rsidRDefault="00EE79C5" w:rsidP="00AD5567">
      <w:pPr>
        <w:pStyle w:val="ProductList-Body"/>
        <w:rPr>
          <w:rFonts w:cstheme="minorHAnsi"/>
        </w:rPr>
      </w:pPr>
      <w:r w:rsidRPr="00FC2F2F">
        <w:rPr>
          <w:rFonts w:cstheme="minorHAnsi"/>
        </w:rPr>
        <w:t>„</w:t>
      </w:r>
      <w:r w:rsidRPr="00FC2F2F">
        <w:rPr>
          <w:rFonts w:cstheme="minorHAnsi"/>
          <w:b/>
          <w:color w:val="00188F"/>
        </w:rPr>
        <w:t>Maximal Verfügbare Minuten</w:t>
      </w:r>
      <w:r w:rsidRPr="00FC2F2F">
        <w:rPr>
          <w:rFonts w:cstheme="minorHAnsi"/>
        </w:rPr>
        <w:t>“ ist die Summe der Bereitstellungsminuten in allen Schlüsseltresoren, die von Ihnen in einem bestimmten Microsoft Azure-Abonnement in einem Abrechnungsmonat bereitgestellt werden.</w:t>
      </w:r>
    </w:p>
    <w:p w14:paraId="340545C2" w14:textId="77777777" w:rsidR="00EE79C5" w:rsidRPr="00EF7CF9" w:rsidRDefault="00EE79C5" w:rsidP="00EE79C5">
      <w:pPr>
        <w:pStyle w:val="ProductList-Body"/>
      </w:pPr>
      <w:r>
        <w:rPr>
          <w:b/>
          <w:color w:val="00188F"/>
        </w:rPr>
        <w:t>Ausfallzeit</w:t>
      </w:r>
      <w:r w:rsidRPr="0008262F">
        <w:rPr>
          <w:b/>
          <w:bCs/>
          <w:color w:val="00188F"/>
        </w:rPr>
        <w:t>:</w:t>
      </w:r>
      <w:r>
        <w:t xml:space="preserve"> ist die Gesamtzahl der Bereitstellungsminuten für alle Schlüsseltresore, die vom Kunden in einem bestimmten Microsoft Azure-Abonnement bereitgestellt werden, während derer der Schlüsseltresor nicht verfügbar ist. Eine Minute gilt für einen bestimmten Schlüsseltresor als nicht verfügbar, wenn alle fortlaufend unternommenen Versuche zur Durchführung von Transaktionen (außer den ausgeschlossenen Transaktionen) am Schlüsseltresor während der gesamten Minute entweder zu einem Fehlercode führen oder binnen fünf Sekunden nach dem Eingang der Aufforderung bei Microsoft nicht zu einem Erfolgscode führen.</w:t>
      </w:r>
    </w:p>
    <w:p w14:paraId="4951E56A" w14:textId="77777777" w:rsidR="00EE79C5" w:rsidRPr="00EF7CF9" w:rsidRDefault="00EE79C5" w:rsidP="00EE79C5">
      <w:pPr>
        <w:pStyle w:val="ProductList-Body"/>
      </w:pPr>
      <w:r>
        <w:rPr>
          <w:b/>
          <w:color w:val="00188F"/>
        </w:rPr>
        <w:t>Betriebszeitprozentsatz</w:t>
      </w:r>
      <w:r w:rsidRPr="0008262F">
        <w:rPr>
          <w:b/>
          <w:bCs/>
          <w:color w:val="00188F"/>
        </w:rPr>
        <w:t>:</w:t>
      </w:r>
      <w:r>
        <w:t xml:space="preserve"> Der Betriebszeitprozentsatz errechnet sich nach folgender Formel:</w:t>
      </w:r>
    </w:p>
    <w:p w14:paraId="19EA4B5A" w14:textId="77777777" w:rsidR="00EE79C5" w:rsidRPr="007C7313" w:rsidRDefault="00000000" w:rsidP="009062DF">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4C598580" w14:textId="77777777" w:rsidR="00EE79C5" w:rsidRPr="00EF7CF9" w:rsidRDefault="00EE79C5" w:rsidP="00EE79C5">
      <w:pPr>
        <w:pStyle w:val="ProductList-Body"/>
      </w:pPr>
      <w:r>
        <w:rPr>
          <w:b/>
          <w:color w:val="00188F"/>
        </w:rPr>
        <w:t>Servicegutschrift</w:t>
      </w:r>
      <w:r w:rsidRPr="0008262F">
        <w:rPr>
          <w:b/>
          <w:bCs/>
          <w:color w:val="00188F"/>
        </w:rPr>
        <w:t>:</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E79C5" w:rsidRPr="00B44CF9" w14:paraId="3AE023E2" w14:textId="77777777" w:rsidTr="00E00804">
        <w:trPr>
          <w:tblHeader/>
        </w:trPr>
        <w:tc>
          <w:tcPr>
            <w:tcW w:w="5400" w:type="dxa"/>
            <w:shd w:val="clear" w:color="auto" w:fill="0072C6"/>
          </w:tcPr>
          <w:p w14:paraId="2163561F" w14:textId="77777777" w:rsidR="00EE79C5" w:rsidRPr="00EF7CF9" w:rsidRDefault="00EE79C5" w:rsidP="00E0080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7AEB95D6" w14:textId="77777777" w:rsidR="00EE79C5" w:rsidRPr="00EF7CF9" w:rsidRDefault="00EE79C5" w:rsidP="00E00804">
            <w:pPr>
              <w:pStyle w:val="ProductList-OfferingBody"/>
              <w:jc w:val="center"/>
              <w:rPr>
                <w:color w:val="FFFFFF" w:themeColor="background1"/>
              </w:rPr>
            </w:pPr>
            <w:r>
              <w:rPr>
                <w:color w:val="FFFFFF" w:themeColor="background1"/>
              </w:rPr>
              <w:t>Servicegutschrift</w:t>
            </w:r>
          </w:p>
        </w:tc>
      </w:tr>
      <w:tr w:rsidR="00EE79C5" w:rsidRPr="00B44CF9" w14:paraId="3F73255A" w14:textId="77777777" w:rsidTr="00E00804">
        <w:tc>
          <w:tcPr>
            <w:tcW w:w="5400" w:type="dxa"/>
          </w:tcPr>
          <w:p w14:paraId="43CD79BB" w14:textId="77777777" w:rsidR="00EE79C5" w:rsidRPr="00EF7CF9" w:rsidRDefault="00EE79C5" w:rsidP="00E00804">
            <w:pPr>
              <w:pStyle w:val="ProductList-OfferingBody"/>
              <w:jc w:val="center"/>
            </w:pPr>
            <w:r>
              <w:t>&lt; 99,99 %</w:t>
            </w:r>
          </w:p>
        </w:tc>
        <w:tc>
          <w:tcPr>
            <w:tcW w:w="5400" w:type="dxa"/>
          </w:tcPr>
          <w:p w14:paraId="3CC3D29A" w14:textId="77777777" w:rsidR="00EE79C5" w:rsidRPr="00EF7CF9" w:rsidRDefault="00EE79C5" w:rsidP="00E00804">
            <w:pPr>
              <w:pStyle w:val="ProductList-OfferingBody"/>
              <w:jc w:val="center"/>
            </w:pPr>
            <w:r>
              <w:t>10 %</w:t>
            </w:r>
          </w:p>
        </w:tc>
      </w:tr>
      <w:tr w:rsidR="00EE79C5" w:rsidRPr="00B44CF9" w14:paraId="525848A5" w14:textId="77777777" w:rsidTr="00E00804">
        <w:tc>
          <w:tcPr>
            <w:tcW w:w="5400" w:type="dxa"/>
          </w:tcPr>
          <w:p w14:paraId="3F6CCB82" w14:textId="77777777" w:rsidR="00EE79C5" w:rsidRPr="00EF7CF9" w:rsidRDefault="00EE79C5" w:rsidP="00E00804">
            <w:pPr>
              <w:pStyle w:val="ProductList-OfferingBody"/>
              <w:jc w:val="center"/>
            </w:pPr>
            <w:r>
              <w:t>&lt; 99 %</w:t>
            </w:r>
          </w:p>
        </w:tc>
        <w:tc>
          <w:tcPr>
            <w:tcW w:w="5400" w:type="dxa"/>
          </w:tcPr>
          <w:p w14:paraId="4BC7FD96" w14:textId="77777777" w:rsidR="00EE79C5" w:rsidRPr="00EF7CF9" w:rsidRDefault="00EE79C5" w:rsidP="00E00804">
            <w:pPr>
              <w:pStyle w:val="ProductList-OfferingBody"/>
              <w:jc w:val="center"/>
            </w:pPr>
            <w:r>
              <w:t>25 %</w:t>
            </w:r>
          </w:p>
        </w:tc>
      </w:tr>
    </w:tbl>
    <w:p w14:paraId="1FE7C406" w14:textId="77777777" w:rsidR="00EE79C5" w:rsidRPr="00D67F75" w:rsidRDefault="00EE79C5" w:rsidP="00EE79C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1957EB1B" w14:textId="77777777" w:rsidR="00EE79C5" w:rsidRPr="00660E55" w:rsidRDefault="00EE79C5" w:rsidP="00EE79C5">
      <w:pPr>
        <w:pStyle w:val="ProductList-Offering2Heading"/>
        <w:keepNext/>
        <w:tabs>
          <w:tab w:val="clear" w:pos="360"/>
          <w:tab w:val="clear" w:pos="720"/>
          <w:tab w:val="clear" w:pos="1080"/>
        </w:tabs>
        <w:outlineLvl w:val="2"/>
      </w:pPr>
      <w:bookmarkStart w:id="398" w:name="_Toc195543162"/>
      <w:bookmarkStart w:id="399" w:name="_Toc237449021"/>
      <w:r>
        <w:t>Azure-Schlüsseltresor – Verwaltetes HSM</w:t>
      </w:r>
      <w:bookmarkEnd w:id="398"/>
      <w:bookmarkEnd w:id="399"/>
    </w:p>
    <w:p w14:paraId="5CE324E0" w14:textId="77777777" w:rsidR="00EE79C5" w:rsidRPr="00660E55" w:rsidRDefault="00EE79C5" w:rsidP="00EE79C5">
      <w:pPr>
        <w:pStyle w:val="ProductList-Body"/>
        <w:rPr>
          <w:b/>
          <w:bCs/>
          <w:color w:val="00188F"/>
        </w:rPr>
      </w:pPr>
      <w:r>
        <w:rPr>
          <w:b/>
          <w:bCs/>
          <w:color w:val="00188F"/>
        </w:rPr>
        <w:t>Berechnung der Betriebszeit und Service-Levels für verwaltetes HSM</w:t>
      </w:r>
    </w:p>
    <w:p w14:paraId="110A9CD0" w14:textId="77777777" w:rsidR="00EE79C5" w:rsidRDefault="00EE79C5" w:rsidP="00EE79C5">
      <w:pPr>
        <w:pStyle w:val="ProductList-Body"/>
      </w:pPr>
      <w:r>
        <w:t>„</w:t>
      </w:r>
      <w:r>
        <w:rPr>
          <w:b/>
          <w:bCs/>
          <w:color w:val="00188F"/>
        </w:rPr>
        <w:t>Bereitstellungsminuten</w:t>
      </w:r>
      <w:r w:rsidRPr="00620CAD">
        <w:t>“</w:t>
      </w:r>
      <w:r>
        <w:t xml:space="preserve"> ist die Gesamtzahl der Minuten, in denen ein bestimmtes verwaltetes HSM im Verlauf eines Anwendbaren Zeitraums in Microsoft Azure bereitgestellt wird.</w:t>
      </w:r>
    </w:p>
    <w:p w14:paraId="5F2E9F91" w14:textId="77777777" w:rsidR="00EE79C5" w:rsidRDefault="00EE79C5" w:rsidP="00EE79C5">
      <w:pPr>
        <w:pStyle w:val="ProductList-Body"/>
      </w:pPr>
      <w:r>
        <w:t>„</w:t>
      </w:r>
      <w:r>
        <w:rPr>
          <w:b/>
          <w:bCs/>
          <w:color w:val="00188F"/>
        </w:rPr>
        <w:t>Maximal Verfügbare Minuten</w:t>
      </w:r>
      <w:r>
        <w:t>“ ist die Summe aller Bereitstellungsminuten für alle vom Kunden in einem bestimmten Microsoft Azure-Abonnement während eines Anwendbaren Zeitraums bereitgestellten verwalteten HSMs.</w:t>
      </w:r>
    </w:p>
    <w:p w14:paraId="1AAC6CDF" w14:textId="77777777" w:rsidR="00EE79C5" w:rsidRDefault="00EE79C5" w:rsidP="00EE79C5">
      <w:pPr>
        <w:pStyle w:val="ProductList-Body"/>
      </w:pPr>
      <w:r>
        <w:t>„</w:t>
      </w:r>
      <w:r>
        <w:rPr>
          <w:b/>
          <w:bCs/>
          <w:color w:val="00188F"/>
        </w:rPr>
        <w:t>Ausgeschlossene Transaktionen</w:t>
      </w:r>
      <w:r>
        <w:t>“ sind Transaktionen zum Erstellen, Aktualisieren oder Löschen von verwalteten HSM, Schlüsseln, Rollenzuweisungen, Rollendefinitionen und Herunter-/Hochladen von Sicherheitsdomänen.</w:t>
      </w:r>
    </w:p>
    <w:p w14:paraId="63D96FC4" w14:textId="77777777" w:rsidR="00EE79C5" w:rsidRDefault="00EE79C5" w:rsidP="00EE79C5">
      <w:pPr>
        <w:pStyle w:val="ProductList-Body"/>
      </w:pPr>
      <w:r>
        <w:t>„</w:t>
      </w:r>
      <w:r>
        <w:rPr>
          <w:b/>
          <w:bCs/>
          <w:color w:val="00188F"/>
        </w:rPr>
        <w:t>Ausfallzeit</w:t>
      </w:r>
      <w:r>
        <w:t>“ ist die Kumulation der Bereitstellungsminuten über alle verwalteten HSM hinweg, die vom Kunden in einem bestimmten Microsoft Azure-Abonnement bereitgestellt wurden, während der das verwaltete HSM nicht verfügbar ist. Eine Minute gilt für ein bestimmtes verwaltetes HSM als nicht verfügbar, wenn alle kontinuierlichen Versuche, während der gesamten Minute auf dem verwalteten HSM Transaktionen mit Ausnahme von ausgeschlossenen Transaktionen auszuführen, entweder einen Fehlercode zurückgeben oder innerhalb von 5 Sekunden nach Eingang der Anforderung bei Microsoft nicht zu einem Erfolgscode führen.</w:t>
      </w:r>
    </w:p>
    <w:p w14:paraId="27A19A5B" w14:textId="77777777" w:rsidR="00EE79C5" w:rsidRDefault="00EE79C5" w:rsidP="00EE79C5">
      <w:pPr>
        <w:pStyle w:val="ProductList-Body"/>
      </w:pPr>
      <w:r>
        <w:t>Der „</w:t>
      </w:r>
      <w:r>
        <w:rPr>
          <w:b/>
          <w:bCs/>
          <w:color w:val="00188F"/>
        </w:rPr>
        <w:t>Betriebszeitprozentsatz</w:t>
      </w:r>
      <w:r>
        <w:t xml:space="preserve">“ für den verwalteten HSM-Service wird berechnet als Maximal Verfügbare Minuten abzüglich der Ausfallzeit, geteilt durch die Maximal Verfügbaren Minuten in einem Anwendbaren Zeitraum für ein bestimmtes Microsoft Azure-Abonnement. </w:t>
      </w:r>
    </w:p>
    <w:p w14:paraId="7DAB5AF7" w14:textId="77777777" w:rsidR="00EE79C5" w:rsidRDefault="00EE79C5" w:rsidP="00EE79C5">
      <w:pPr>
        <w:pStyle w:val="ProductList-Body"/>
      </w:pPr>
      <w:r>
        <w:t>Der Betriebszeitprozentsatz wird durch die folgende Formel ermittelt:</w:t>
      </w:r>
    </w:p>
    <w:p w14:paraId="38BE668B" w14:textId="77777777" w:rsidR="00EE79C5" w:rsidRPr="007C7313" w:rsidRDefault="00000000" w:rsidP="009062DF">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7B70C027" w14:textId="77777777" w:rsidR="00EE79C5" w:rsidRPr="00660E55" w:rsidRDefault="00EE79C5" w:rsidP="00EE79C5">
      <w:pPr>
        <w:pStyle w:val="ProductList-Body"/>
        <w:rPr>
          <w:b/>
          <w:bCs/>
          <w:color w:val="00188F"/>
        </w:rPr>
      </w:pPr>
      <w:r>
        <w:rPr>
          <w:b/>
          <w:bCs/>
          <w:color w:val="00188F"/>
        </w:rPr>
        <w:t>Die folgenden Servicelevels und Servicegutschriften gelten für die Nutzung des Verwaltetes HSM-Dienstes durch den Kunden.</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E79C5" w:rsidRPr="00B44CF9" w14:paraId="3D9CF37E" w14:textId="77777777" w:rsidTr="00E00804">
        <w:trPr>
          <w:tblHeader/>
        </w:trPr>
        <w:tc>
          <w:tcPr>
            <w:tcW w:w="5400" w:type="dxa"/>
            <w:shd w:val="clear" w:color="auto" w:fill="0072C6"/>
          </w:tcPr>
          <w:p w14:paraId="2F889A52" w14:textId="77777777" w:rsidR="00EE79C5" w:rsidRPr="00EF7CF9" w:rsidRDefault="00EE79C5" w:rsidP="00E0080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269502E6" w14:textId="77777777" w:rsidR="00EE79C5" w:rsidRPr="00EF7CF9" w:rsidRDefault="00EE79C5" w:rsidP="00E00804">
            <w:pPr>
              <w:pStyle w:val="ProductList-OfferingBody"/>
              <w:jc w:val="center"/>
              <w:rPr>
                <w:color w:val="FFFFFF" w:themeColor="background1"/>
              </w:rPr>
            </w:pPr>
            <w:r>
              <w:rPr>
                <w:color w:val="FFFFFF" w:themeColor="background1"/>
              </w:rPr>
              <w:t>Servicegutschrift</w:t>
            </w:r>
          </w:p>
        </w:tc>
      </w:tr>
      <w:tr w:rsidR="00EE79C5" w:rsidRPr="00B44CF9" w14:paraId="3F4C6BE4" w14:textId="77777777" w:rsidTr="00E00804">
        <w:tc>
          <w:tcPr>
            <w:tcW w:w="5400" w:type="dxa"/>
          </w:tcPr>
          <w:p w14:paraId="4935FC9E" w14:textId="77777777" w:rsidR="00EE79C5" w:rsidRPr="00EF7CF9" w:rsidRDefault="00EE79C5" w:rsidP="00E00804">
            <w:pPr>
              <w:pStyle w:val="ProductList-OfferingBody"/>
              <w:jc w:val="center"/>
            </w:pPr>
            <w:r>
              <w:t>&lt; 99,9 %</w:t>
            </w:r>
          </w:p>
        </w:tc>
        <w:tc>
          <w:tcPr>
            <w:tcW w:w="5400" w:type="dxa"/>
          </w:tcPr>
          <w:p w14:paraId="37291D0E" w14:textId="77777777" w:rsidR="00EE79C5" w:rsidRPr="00EF7CF9" w:rsidRDefault="00EE79C5" w:rsidP="00E00804">
            <w:pPr>
              <w:pStyle w:val="ProductList-OfferingBody"/>
              <w:jc w:val="center"/>
            </w:pPr>
            <w:r>
              <w:t>10 %</w:t>
            </w:r>
          </w:p>
        </w:tc>
      </w:tr>
      <w:tr w:rsidR="00EE79C5" w:rsidRPr="00B44CF9" w14:paraId="5208C3E9" w14:textId="77777777" w:rsidTr="00E00804">
        <w:tc>
          <w:tcPr>
            <w:tcW w:w="5400" w:type="dxa"/>
          </w:tcPr>
          <w:p w14:paraId="71D3E071" w14:textId="77777777" w:rsidR="00EE79C5" w:rsidRPr="00EF7CF9" w:rsidRDefault="00EE79C5" w:rsidP="00E00804">
            <w:pPr>
              <w:pStyle w:val="ProductList-OfferingBody"/>
              <w:jc w:val="center"/>
            </w:pPr>
            <w:r>
              <w:t>&lt; 99 %</w:t>
            </w:r>
          </w:p>
        </w:tc>
        <w:tc>
          <w:tcPr>
            <w:tcW w:w="5400" w:type="dxa"/>
          </w:tcPr>
          <w:p w14:paraId="68564E5A" w14:textId="77777777" w:rsidR="00EE79C5" w:rsidRPr="00EF7CF9" w:rsidRDefault="00EE79C5" w:rsidP="00E00804">
            <w:pPr>
              <w:pStyle w:val="ProductList-OfferingBody"/>
              <w:jc w:val="center"/>
            </w:pPr>
            <w:r>
              <w:t>25 %</w:t>
            </w:r>
          </w:p>
        </w:tc>
      </w:tr>
    </w:tbl>
    <w:p w14:paraId="2E686204" w14:textId="77777777" w:rsidR="00311CCA" w:rsidRPr="007664A7" w:rsidRDefault="00311CCA" w:rsidP="00311CCA">
      <w:pPr>
        <w:pStyle w:val="ProductList-Body"/>
        <w:spacing w:before="120"/>
        <w:rPr>
          <w:rFonts w:ascii="Calibri" w:hAnsi="Calibri" w:cs="Calibri"/>
          <w:b/>
          <w:bCs/>
          <w:color w:val="00188F"/>
        </w:rPr>
      </w:pPr>
      <w:bookmarkStart w:id="400" w:name="_Toc195543163"/>
      <w:r>
        <w:rPr>
          <w:rFonts w:ascii="Calibri" w:hAnsi="Calibri" w:cs="Calibri"/>
          <w:b/>
          <w:bCs/>
          <w:color w:val="00188F"/>
        </w:rPr>
        <w:t>Für den Verwalteten HSM-Dienst, bei dem ein verwalteter HSM-Pool über Azure-Regionen hinweg repliziert wird, gelten die folgenden Servicelevel und die entsprechenden Servicegutschriften (der Betriebszeitprozentsatz wird basierend auf der kombinierten Verfügbarkeit der primären und replizierten HSM-Pools berechnet):</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11CCA" w:rsidRPr="00EF7CF9" w14:paraId="738E5BF6" w14:textId="77777777" w:rsidTr="00C20A28">
        <w:trPr>
          <w:trHeight w:val="245"/>
          <w:tblHeader/>
        </w:trPr>
        <w:tc>
          <w:tcPr>
            <w:tcW w:w="5400" w:type="dxa"/>
            <w:shd w:val="clear" w:color="auto" w:fill="0072C6"/>
          </w:tcPr>
          <w:p w14:paraId="7584FCCE" w14:textId="77777777" w:rsidR="00311CCA" w:rsidRPr="007664A7" w:rsidRDefault="00311CCA"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Betriebszeitprozentsatz</w:t>
            </w:r>
          </w:p>
        </w:tc>
        <w:tc>
          <w:tcPr>
            <w:tcW w:w="5400" w:type="dxa"/>
            <w:shd w:val="clear" w:color="auto" w:fill="0072C6"/>
          </w:tcPr>
          <w:p w14:paraId="09E36460" w14:textId="77777777" w:rsidR="00311CCA" w:rsidRPr="007664A7" w:rsidRDefault="00311CCA"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Servicegutschrift</w:t>
            </w:r>
          </w:p>
        </w:tc>
      </w:tr>
      <w:tr w:rsidR="00311CCA" w:rsidRPr="00EF7CF9" w14:paraId="4203382B" w14:textId="77777777" w:rsidTr="00C20A28">
        <w:trPr>
          <w:trHeight w:val="245"/>
        </w:trPr>
        <w:tc>
          <w:tcPr>
            <w:tcW w:w="5400" w:type="dxa"/>
          </w:tcPr>
          <w:p w14:paraId="376AE933" w14:textId="77777777" w:rsidR="00311CCA" w:rsidRPr="007664A7" w:rsidRDefault="00311CCA" w:rsidP="00C20A28">
            <w:pPr>
              <w:pStyle w:val="ProductList-OfferingBody"/>
              <w:jc w:val="center"/>
              <w:rPr>
                <w:rFonts w:ascii="Calibri" w:hAnsi="Calibri" w:cs="Calibri"/>
                <w:szCs w:val="16"/>
              </w:rPr>
            </w:pPr>
            <w:r>
              <w:rPr>
                <w:rFonts w:ascii="Calibri" w:hAnsi="Calibri" w:cs="Calibri"/>
                <w:szCs w:val="16"/>
              </w:rPr>
              <w:t>&lt; 99,99%</w:t>
            </w:r>
          </w:p>
        </w:tc>
        <w:tc>
          <w:tcPr>
            <w:tcW w:w="5400" w:type="dxa"/>
          </w:tcPr>
          <w:p w14:paraId="1B8114AF" w14:textId="77777777" w:rsidR="00311CCA" w:rsidRPr="007664A7" w:rsidRDefault="00311CCA" w:rsidP="00C20A28">
            <w:pPr>
              <w:pStyle w:val="ProductList-OfferingBody"/>
              <w:jc w:val="center"/>
              <w:rPr>
                <w:rFonts w:ascii="Calibri" w:hAnsi="Calibri" w:cs="Calibri"/>
                <w:szCs w:val="16"/>
              </w:rPr>
            </w:pPr>
            <w:r>
              <w:rPr>
                <w:rFonts w:ascii="Calibri" w:hAnsi="Calibri" w:cs="Calibri"/>
                <w:szCs w:val="16"/>
              </w:rPr>
              <w:t>10%</w:t>
            </w:r>
          </w:p>
        </w:tc>
      </w:tr>
      <w:tr w:rsidR="00311CCA" w:rsidRPr="00EF7CF9" w14:paraId="61981C1D" w14:textId="77777777" w:rsidTr="00C20A28">
        <w:trPr>
          <w:trHeight w:val="245"/>
        </w:trPr>
        <w:tc>
          <w:tcPr>
            <w:tcW w:w="5400" w:type="dxa"/>
          </w:tcPr>
          <w:p w14:paraId="108EA51D" w14:textId="77777777" w:rsidR="00311CCA" w:rsidRPr="007664A7" w:rsidRDefault="00311CCA" w:rsidP="00C20A28">
            <w:pPr>
              <w:pStyle w:val="ProductList-OfferingBody"/>
              <w:jc w:val="center"/>
              <w:rPr>
                <w:rFonts w:ascii="Calibri" w:hAnsi="Calibri" w:cs="Calibri"/>
                <w:szCs w:val="16"/>
              </w:rPr>
            </w:pPr>
            <w:r>
              <w:rPr>
                <w:rFonts w:ascii="Calibri" w:hAnsi="Calibri" w:cs="Calibri"/>
                <w:szCs w:val="16"/>
              </w:rPr>
              <w:t>&lt; 99%</w:t>
            </w:r>
          </w:p>
        </w:tc>
        <w:tc>
          <w:tcPr>
            <w:tcW w:w="5400" w:type="dxa"/>
          </w:tcPr>
          <w:p w14:paraId="4B60F4B2" w14:textId="77777777" w:rsidR="00311CCA" w:rsidRPr="007664A7" w:rsidRDefault="00311CCA" w:rsidP="00C20A28">
            <w:pPr>
              <w:pStyle w:val="ProductList-OfferingBody"/>
              <w:jc w:val="center"/>
              <w:rPr>
                <w:rFonts w:ascii="Calibri" w:hAnsi="Calibri" w:cs="Calibri"/>
                <w:szCs w:val="16"/>
              </w:rPr>
            </w:pPr>
            <w:r>
              <w:rPr>
                <w:rFonts w:ascii="Calibri" w:hAnsi="Calibri" w:cs="Calibri"/>
                <w:szCs w:val="16"/>
              </w:rPr>
              <w:t>25%</w:t>
            </w:r>
          </w:p>
        </w:tc>
      </w:tr>
    </w:tbl>
    <w:p w14:paraId="14467710" w14:textId="77777777" w:rsidR="00311CCA" w:rsidRPr="00D67F75" w:rsidRDefault="00311CCA" w:rsidP="00311CC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3A5DE972" w14:textId="16BE02FF" w:rsidR="00EE79C5" w:rsidRPr="00F82DA2" w:rsidRDefault="00EE79C5" w:rsidP="00181F4B">
      <w:pPr>
        <w:pStyle w:val="ProductList-Offering2Heading"/>
        <w:tabs>
          <w:tab w:val="clear" w:pos="360"/>
          <w:tab w:val="clear" w:pos="720"/>
          <w:tab w:val="clear" w:pos="1080"/>
        </w:tabs>
        <w:outlineLvl w:val="2"/>
      </w:pPr>
      <w:bookmarkStart w:id="401" w:name="_Toc237449022"/>
      <w:r>
        <w:lastRenderedPageBreak/>
        <w:t>Azure Kubernetes-Dienst (AKD)</w:t>
      </w:r>
      <w:bookmarkEnd w:id="400"/>
      <w:bookmarkEnd w:id="401"/>
    </w:p>
    <w:p w14:paraId="3FD19082" w14:textId="77777777" w:rsidR="00EE79C5" w:rsidRPr="005A1265" w:rsidRDefault="00EE79C5" w:rsidP="00EE79C5">
      <w:pPr>
        <w:pStyle w:val="ProductList-Body"/>
        <w:rPr>
          <w:b/>
          <w:bCs/>
          <w:color w:val="00188F"/>
        </w:rPr>
      </w:pPr>
      <w:r>
        <w:rPr>
          <w:b/>
          <w:bCs/>
          <w:color w:val="00188F"/>
        </w:rPr>
        <w:t>Zusätzliche Definitionen</w:t>
      </w:r>
    </w:p>
    <w:p w14:paraId="65A199C0" w14:textId="77777777" w:rsidR="00EE79C5" w:rsidRDefault="00EE79C5" w:rsidP="00EE79C5">
      <w:pPr>
        <w:pStyle w:val="ProductList-Body"/>
      </w:pPr>
      <w:r>
        <w:t>„</w:t>
      </w:r>
      <w:r>
        <w:rPr>
          <w:b/>
          <w:bCs/>
          <w:color w:val="00188F"/>
        </w:rPr>
        <w:t>Azure Kubernetes-Dienst (AKD) – Cluster</w:t>
      </w:r>
      <w:r>
        <w:t>“ Ein Kubernetes-Cluster ist in zwei Komponenten unterteilt:</w:t>
      </w:r>
    </w:p>
    <w:p w14:paraId="03944261" w14:textId="77777777" w:rsidR="00EE79C5" w:rsidRDefault="00EE79C5">
      <w:pPr>
        <w:pStyle w:val="ProductList-Body"/>
        <w:numPr>
          <w:ilvl w:val="0"/>
          <w:numId w:val="11"/>
        </w:numPr>
      </w:pPr>
      <w:r>
        <w:t>Steuerungsebeneknoten stellen die grundlegenden Kubernetes-Dienste und die Orchestrierung der Anwendungsarbeitsauslastungen bereit.</w:t>
      </w:r>
    </w:p>
    <w:p w14:paraId="69C33EBB" w14:textId="77777777" w:rsidR="00EE79C5" w:rsidRDefault="00EE79C5">
      <w:pPr>
        <w:pStyle w:val="ProductList-Body"/>
        <w:numPr>
          <w:ilvl w:val="0"/>
          <w:numId w:val="11"/>
        </w:numPr>
      </w:pPr>
      <w:r>
        <w:t>Knoten führen Anwendungsarbeitsauslastungen aus.</w:t>
      </w:r>
    </w:p>
    <w:p w14:paraId="024A6E52" w14:textId="77777777" w:rsidR="00EE79C5" w:rsidRDefault="00EE79C5" w:rsidP="00EE79C5">
      <w:pPr>
        <w:pStyle w:val="ProductList-Body"/>
      </w:pPr>
      <w:r>
        <w:t>„</w:t>
      </w:r>
      <w:r>
        <w:rPr>
          <w:b/>
          <w:bCs/>
          <w:color w:val="00188F"/>
        </w:rPr>
        <w:t>Kubernetes-API-Server</w:t>
      </w:r>
      <w:r>
        <w:t>“ Wenn Sie einen Azure Kubernetes-Dienst (AKD) – Cluster erstellen, wird automatisch eine Steuerungsebene erstellt und konfiguriert. Die Steuerungsebene enthält den API-Server, der die zugrunde liegende Kubernetes-API verfügbar macht.</w:t>
      </w:r>
    </w:p>
    <w:p w14:paraId="7C76DFDB" w14:textId="77777777" w:rsidR="00EE79C5" w:rsidRDefault="00EE79C5" w:rsidP="00EE79C5">
      <w:pPr>
        <w:pStyle w:val="ProductList-Body"/>
      </w:pPr>
      <w:r>
        <w:t>„</w:t>
      </w:r>
      <w:r>
        <w:rPr>
          <w:b/>
          <w:bCs/>
          <w:color w:val="00188F"/>
        </w:rPr>
        <w:t>Verfügbarkeitszone</w:t>
      </w:r>
      <w:r>
        <w:t>“ ist ein fehlerisolierter Bereich in einer Azure-Region, der redundante Stromversorgung, Kühlung und Vernetzung zur Verfügung stellt.</w:t>
      </w:r>
    </w:p>
    <w:p w14:paraId="2351B696" w14:textId="77777777" w:rsidR="00EE79C5" w:rsidRPr="007E7727" w:rsidRDefault="00EE79C5" w:rsidP="00EE79C5">
      <w:pPr>
        <w:pStyle w:val="ProductList-Body"/>
        <w:rPr>
          <w:b/>
          <w:bCs/>
          <w:color w:val="00188F"/>
        </w:rPr>
      </w:pPr>
      <w:r>
        <w:rPr>
          <w:b/>
          <w:bCs/>
          <w:color w:val="00188F"/>
        </w:rPr>
        <w:t>Berechnung der Betriebszeit und Service-Levels für AKD-Cluster, die Verfügbarkeitszonen nutzen</w:t>
      </w:r>
    </w:p>
    <w:p w14:paraId="10D66FC9" w14:textId="77777777" w:rsidR="00EE79C5" w:rsidRDefault="00EE79C5" w:rsidP="00EE79C5">
      <w:pPr>
        <w:pStyle w:val="ProductList-Body"/>
      </w:pPr>
      <w:r>
        <w:t>„</w:t>
      </w:r>
      <w:r>
        <w:rPr>
          <w:b/>
          <w:bCs/>
          <w:color w:val="00188F"/>
        </w:rPr>
        <w:t>Maximal Verfügbare Minuten</w:t>
      </w:r>
      <w:r>
        <w:t>“ ist die Summe der kumulierten Minuten eines AKD-Clusters in aktivierter Verfügbarkeitszone bis zu dem Zeitpunkt, an dem der Kunde eine Aktion zum Stoppen oder Löschen des AKD-Clusters während eines Anwendbaren Zeitraums initiiert hat.</w:t>
      </w:r>
    </w:p>
    <w:p w14:paraId="0D8B3CF4" w14:textId="77777777" w:rsidR="00EE79C5" w:rsidRDefault="00EE79C5" w:rsidP="00EE79C5">
      <w:pPr>
        <w:pStyle w:val="ProductList-Body"/>
      </w:pPr>
      <w:r>
        <w:t>„</w:t>
      </w:r>
      <w:r>
        <w:rPr>
          <w:b/>
          <w:bCs/>
          <w:color w:val="00188F"/>
        </w:rPr>
        <w:t>Ausfallzeit</w:t>
      </w:r>
      <w:r>
        <w:t>“ ist die Gesamtzahl der kumulierten Minuten, die Teil der Maximal verfügbaren Minuten ohne Konnektivität zum Kubernetes-API-Server von bereitgestellten AKD-Clustern in aktivierter Verfügbarkeitszone in der Region sind.</w:t>
      </w:r>
    </w:p>
    <w:p w14:paraId="31AE0255" w14:textId="77777777" w:rsidR="00EE79C5" w:rsidRDefault="00EE79C5" w:rsidP="00EE79C5">
      <w:pPr>
        <w:pStyle w:val="ProductList-Body"/>
      </w:pPr>
      <w:r>
        <w:t>„</w:t>
      </w:r>
      <w:r>
        <w:rPr>
          <w:b/>
          <w:bCs/>
          <w:color w:val="00188F"/>
        </w:rPr>
        <w:t>Betriebszeitprozentsatz</w:t>
      </w:r>
      <w:r>
        <w:t>“ für AKD-Cluster in aktivierter Verfügbarkeitszone wird berechnet als Maximal Verfügbare Minuten abzüglich Ausfallzeit, geteilt durch die Maximal Verfügbaren Minuten in einem Anwendbaren Zeitraum für ein bestimmtes Microsoft Azure-Abonnement. Der Betriebszeitprozentsatz wird durch die folgende Formel ermittelt:</w:t>
      </w:r>
    </w:p>
    <w:p w14:paraId="332B3E8C" w14:textId="77777777" w:rsidR="00EE79C5" w:rsidRPr="007C7313" w:rsidRDefault="00000000" w:rsidP="009062DF">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1D0B56F4" w14:textId="77777777" w:rsidR="00EE79C5" w:rsidRPr="007E7727" w:rsidRDefault="00EE79C5" w:rsidP="00EE79C5">
      <w:pPr>
        <w:pStyle w:val="ProductList-Body"/>
        <w:rPr>
          <w:b/>
          <w:bCs/>
          <w:color w:val="00188F"/>
        </w:rPr>
      </w:pPr>
      <w:r>
        <w:rPr>
          <w:b/>
          <w:bCs/>
          <w:color w:val="00188F"/>
        </w:rPr>
        <w:t>Die folgenden Servicelevels und Servicegutschriften gelten für die Nutzung durch den Kunden von AKS-Clustern, bei denen Verfügbarkeitszonen in der Region aktiviert sind:</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E79C5" w:rsidRPr="00B44CF9" w14:paraId="46E32EF5" w14:textId="77777777" w:rsidTr="00E00804">
        <w:trPr>
          <w:tblHeader/>
        </w:trPr>
        <w:tc>
          <w:tcPr>
            <w:tcW w:w="5400" w:type="dxa"/>
            <w:shd w:val="clear" w:color="auto" w:fill="0072C6"/>
          </w:tcPr>
          <w:p w14:paraId="57139D2A" w14:textId="77777777" w:rsidR="00EE79C5" w:rsidRPr="00EF7CF9" w:rsidRDefault="00EE79C5" w:rsidP="00E0080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26813BE3" w14:textId="77777777" w:rsidR="00EE79C5" w:rsidRPr="00EF7CF9" w:rsidRDefault="00EE79C5" w:rsidP="00E00804">
            <w:pPr>
              <w:pStyle w:val="ProductList-OfferingBody"/>
              <w:jc w:val="center"/>
              <w:rPr>
                <w:color w:val="FFFFFF" w:themeColor="background1"/>
              </w:rPr>
            </w:pPr>
            <w:r>
              <w:rPr>
                <w:color w:val="FFFFFF" w:themeColor="background1"/>
              </w:rPr>
              <w:t>Servicegutschrift</w:t>
            </w:r>
          </w:p>
        </w:tc>
      </w:tr>
      <w:tr w:rsidR="00EE79C5" w:rsidRPr="00B44CF9" w14:paraId="7491CC00" w14:textId="77777777" w:rsidTr="00E00804">
        <w:tc>
          <w:tcPr>
            <w:tcW w:w="5400" w:type="dxa"/>
          </w:tcPr>
          <w:p w14:paraId="148D4F63" w14:textId="77777777" w:rsidR="00EE79C5" w:rsidRPr="00EF7CF9" w:rsidRDefault="00EE79C5" w:rsidP="00E00804">
            <w:pPr>
              <w:pStyle w:val="ProductList-OfferingBody"/>
              <w:jc w:val="center"/>
            </w:pPr>
            <w:r>
              <w:t>&lt; 99,95 %</w:t>
            </w:r>
          </w:p>
        </w:tc>
        <w:tc>
          <w:tcPr>
            <w:tcW w:w="5400" w:type="dxa"/>
          </w:tcPr>
          <w:p w14:paraId="0C2B4F67" w14:textId="77777777" w:rsidR="00EE79C5" w:rsidRPr="00EF7CF9" w:rsidRDefault="00EE79C5" w:rsidP="00E00804">
            <w:pPr>
              <w:pStyle w:val="ProductList-OfferingBody"/>
              <w:jc w:val="center"/>
            </w:pPr>
            <w:r>
              <w:t>10 %</w:t>
            </w:r>
          </w:p>
        </w:tc>
      </w:tr>
      <w:tr w:rsidR="00EE79C5" w:rsidRPr="00B44CF9" w14:paraId="608CB60C" w14:textId="77777777" w:rsidTr="00E00804">
        <w:tc>
          <w:tcPr>
            <w:tcW w:w="5400" w:type="dxa"/>
          </w:tcPr>
          <w:p w14:paraId="184C14F0" w14:textId="77777777" w:rsidR="00EE79C5" w:rsidRPr="00EF7CF9" w:rsidRDefault="00EE79C5" w:rsidP="00E00804">
            <w:pPr>
              <w:pStyle w:val="ProductList-OfferingBody"/>
              <w:jc w:val="center"/>
            </w:pPr>
            <w:r>
              <w:t>&lt; 99 %</w:t>
            </w:r>
          </w:p>
        </w:tc>
        <w:tc>
          <w:tcPr>
            <w:tcW w:w="5400" w:type="dxa"/>
          </w:tcPr>
          <w:p w14:paraId="39CBF542" w14:textId="77777777" w:rsidR="00EE79C5" w:rsidRPr="00EF7CF9" w:rsidRDefault="00EE79C5" w:rsidP="00E00804">
            <w:pPr>
              <w:pStyle w:val="ProductList-OfferingBody"/>
              <w:jc w:val="center"/>
            </w:pPr>
            <w:r>
              <w:t>25 %</w:t>
            </w:r>
          </w:p>
        </w:tc>
      </w:tr>
      <w:tr w:rsidR="00EE79C5" w:rsidRPr="00B44CF9" w14:paraId="3E6295F5" w14:textId="77777777" w:rsidTr="00E00804">
        <w:tc>
          <w:tcPr>
            <w:tcW w:w="5400" w:type="dxa"/>
          </w:tcPr>
          <w:p w14:paraId="1130D8BB" w14:textId="77777777" w:rsidR="00EE79C5" w:rsidRPr="00EF7CF9" w:rsidRDefault="00EE79C5" w:rsidP="00E00804">
            <w:pPr>
              <w:pStyle w:val="ProductList-OfferingBody"/>
              <w:jc w:val="center"/>
            </w:pPr>
            <w:r>
              <w:t>&lt; 95 %</w:t>
            </w:r>
          </w:p>
        </w:tc>
        <w:tc>
          <w:tcPr>
            <w:tcW w:w="5400" w:type="dxa"/>
          </w:tcPr>
          <w:p w14:paraId="19F746C4" w14:textId="77777777" w:rsidR="00EE79C5" w:rsidRPr="00EF7CF9" w:rsidRDefault="00EE79C5" w:rsidP="00E00804">
            <w:pPr>
              <w:pStyle w:val="ProductList-OfferingBody"/>
              <w:jc w:val="center"/>
            </w:pPr>
            <w:r>
              <w:t>100 %</w:t>
            </w:r>
          </w:p>
        </w:tc>
      </w:tr>
    </w:tbl>
    <w:p w14:paraId="671FC027" w14:textId="77777777" w:rsidR="00EE79C5" w:rsidRPr="007E7727" w:rsidRDefault="00EE79C5" w:rsidP="00AD5567">
      <w:pPr>
        <w:pStyle w:val="ProductList-Body"/>
        <w:spacing w:before="120"/>
        <w:rPr>
          <w:b/>
          <w:bCs/>
          <w:color w:val="00188F"/>
        </w:rPr>
      </w:pPr>
      <w:r>
        <w:rPr>
          <w:b/>
          <w:bCs/>
          <w:color w:val="00188F"/>
        </w:rPr>
        <w:t>Berechnung der Betriebszeit und Service-Levels für AKD-Cluster, die keine Verfügbarkeitszonen nutzen</w:t>
      </w:r>
    </w:p>
    <w:p w14:paraId="481B8470" w14:textId="77777777" w:rsidR="00EE79C5" w:rsidRDefault="00EE79C5" w:rsidP="00EE79C5">
      <w:pPr>
        <w:pStyle w:val="ProductList-Body"/>
      </w:pPr>
      <w:r>
        <w:t>„</w:t>
      </w:r>
      <w:r>
        <w:rPr>
          <w:b/>
          <w:bCs/>
          <w:color w:val="00188F"/>
        </w:rPr>
        <w:t>Maximal Verfügbare Minuten</w:t>
      </w:r>
      <w:r>
        <w:t>“ ist die Summe der kumulierten Minuten eines bereitgestellten AKD-Clusters bis zu dem Zeitpunkt, an dem der Kunde eine Aktion zum Stoppen oder Löschen des Clusters während eines Anwendbaren Zeitraums eingeleitet hat.</w:t>
      </w:r>
    </w:p>
    <w:p w14:paraId="62B4A895" w14:textId="77777777" w:rsidR="00EE79C5" w:rsidRDefault="00EE79C5" w:rsidP="00EE79C5">
      <w:pPr>
        <w:pStyle w:val="ProductList-Body"/>
      </w:pPr>
      <w:r>
        <w:t>„</w:t>
      </w:r>
      <w:r>
        <w:rPr>
          <w:b/>
          <w:bCs/>
          <w:color w:val="00188F"/>
        </w:rPr>
        <w:t>Ausfallzeit</w:t>
      </w:r>
      <w:r>
        <w:t>“ ist die Summe der kumulierten Minuten, die Teil der Maximal verfügbaren Minuten sind, in denen ein bereitgestellter AKD-Cluster keine Konnektivität zum Kubernetes-API Server hat.</w:t>
      </w:r>
    </w:p>
    <w:p w14:paraId="47B44B8C" w14:textId="77777777" w:rsidR="00EE79C5" w:rsidRDefault="00EE79C5" w:rsidP="00EE79C5">
      <w:pPr>
        <w:pStyle w:val="ProductList-Body"/>
      </w:pPr>
      <w:r>
        <w:t>Der „</w:t>
      </w:r>
      <w:r>
        <w:rPr>
          <w:b/>
          <w:bCs/>
          <w:color w:val="00188F"/>
        </w:rPr>
        <w:t>Betriebszeitprozentsatz</w:t>
      </w:r>
      <w:r>
        <w:t>“ errechnet sich aus den Maximal Verfügbaren Minuten abzüglich der Ausfallzeit, geteilt durch die Maximal Verfügbaren Minuten in einem Anwendbaren Zeitraum für ein bestimmtes Microsoft Azure-Abonnement. Der Betriebszeitprozentsatz wird durch die folgende Formel ermittelt:</w:t>
      </w:r>
    </w:p>
    <w:p w14:paraId="6AC31784" w14:textId="77777777" w:rsidR="00EE79C5" w:rsidRPr="007C7313" w:rsidRDefault="00000000" w:rsidP="00D07977">
      <w:pPr>
        <w:pStyle w:val="ListParagraph"/>
        <w:spacing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596A251A" w14:textId="77777777" w:rsidR="00EE79C5" w:rsidRPr="007E7727" w:rsidRDefault="00EE79C5" w:rsidP="00EE79C5">
      <w:pPr>
        <w:pStyle w:val="ProductList-Body"/>
        <w:rPr>
          <w:b/>
          <w:bCs/>
          <w:color w:val="00188F"/>
        </w:rPr>
      </w:pPr>
      <w:r>
        <w:rPr>
          <w:b/>
          <w:bCs/>
          <w:color w:val="00188F"/>
        </w:rPr>
        <w:t>Die folgenden Service-Levels und Servicegutschriften gelten für die Nutzung von AKS-Clustern durch den Kunden, bei denen keine Verfügbarkeitszonen aktiviert sind:</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E79C5" w:rsidRPr="00B44CF9" w14:paraId="306F50A8" w14:textId="77777777" w:rsidTr="00E00804">
        <w:trPr>
          <w:tblHeader/>
        </w:trPr>
        <w:tc>
          <w:tcPr>
            <w:tcW w:w="5400" w:type="dxa"/>
            <w:shd w:val="clear" w:color="auto" w:fill="0072C6"/>
          </w:tcPr>
          <w:p w14:paraId="581E43D7" w14:textId="77777777" w:rsidR="00EE79C5" w:rsidRPr="00EF7CF9" w:rsidRDefault="00EE79C5" w:rsidP="00E0080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1C1D7071" w14:textId="77777777" w:rsidR="00EE79C5" w:rsidRPr="00EF7CF9" w:rsidRDefault="00EE79C5" w:rsidP="00E00804">
            <w:pPr>
              <w:pStyle w:val="ProductList-OfferingBody"/>
              <w:jc w:val="center"/>
              <w:rPr>
                <w:color w:val="FFFFFF" w:themeColor="background1"/>
              </w:rPr>
            </w:pPr>
            <w:r>
              <w:rPr>
                <w:color w:val="FFFFFF" w:themeColor="background1"/>
              </w:rPr>
              <w:t>Servicegutschrift</w:t>
            </w:r>
          </w:p>
        </w:tc>
      </w:tr>
      <w:tr w:rsidR="00EE79C5" w:rsidRPr="00B44CF9" w14:paraId="47A47B2B" w14:textId="77777777" w:rsidTr="00E00804">
        <w:tc>
          <w:tcPr>
            <w:tcW w:w="5400" w:type="dxa"/>
          </w:tcPr>
          <w:p w14:paraId="3975F9F3" w14:textId="77777777" w:rsidR="00EE79C5" w:rsidRPr="00EF7CF9" w:rsidRDefault="00EE79C5" w:rsidP="00E00804">
            <w:pPr>
              <w:pStyle w:val="ProductList-OfferingBody"/>
              <w:jc w:val="center"/>
            </w:pPr>
            <w:r>
              <w:t>&lt; 99,9 %</w:t>
            </w:r>
          </w:p>
        </w:tc>
        <w:tc>
          <w:tcPr>
            <w:tcW w:w="5400" w:type="dxa"/>
          </w:tcPr>
          <w:p w14:paraId="7E02AC9A" w14:textId="77777777" w:rsidR="00EE79C5" w:rsidRPr="00EF7CF9" w:rsidRDefault="00EE79C5" w:rsidP="00E00804">
            <w:pPr>
              <w:pStyle w:val="ProductList-OfferingBody"/>
              <w:jc w:val="center"/>
            </w:pPr>
            <w:r>
              <w:t>10 %</w:t>
            </w:r>
          </w:p>
        </w:tc>
      </w:tr>
      <w:tr w:rsidR="00EE79C5" w:rsidRPr="00B44CF9" w14:paraId="37226D76" w14:textId="77777777" w:rsidTr="00E00804">
        <w:tc>
          <w:tcPr>
            <w:tcW w:w="5400" w:type="dxa"/>
          </w:tcPr>
          <w:p w14:paraId="0C15F7C4" w14:textId="77777777" w:rsidR="00EE79C5" w:rsidRPr="00EF7CF9" w:rsidRDefault="00EE79C5" w:rsidP="00E00804">
            <w:pPr>
              <w:pStyle w:val="ProductList-OfferingBody"/>
              <w:jc w:val="center"/>
            </w:pPr>
            <w:r>
              <w:t>&lt; 99 %</w:t>
            </w:r>
          </w:p>
        </w:tc>
        <w:tc>
          <w:tcPr>
            <w:tcW w:w="5400" w:type="dxa"/>
          </w:tcPr>
          <w:p w14:paraId="41CED732" w14:textId="77777777" w:rsidR="00EE79C5" w:rsidRPr="00EF7CF9" w:rsidRDefault="00EE79C5" w:rsidP="00E00804">
            <w:pPr>
              <w:pStyle w:val="ProductList-OfferingBody"/>
              <w:jc w:val="center"/>
            </w:pPr>
            <w:r>
              <w:t>25 %</w:t>
            </w:r>
          </w:p>
        </w:tc>
      </w:tr>
      <w:tr w:rsidR="00EE79C5" w:rsidRPr="00B44CF9" w14:paraId="3576139E" w14:textId="77777777" w:rsidTr="00E00804">
        <w:tc>
          <w:tcPr>
            <w:tcW w:w="5400" w:type="dxa"/>
          </w:tcPr>
          <w:p w14:paraId="3ECE089B" w14:textId="77777777" w:rsidR="00EE79C5" w:rsidRPr="00EF7CF9" w:rsidRDefault="00EE79C5" w:rsidP="00E00804">
            <w:pPr>
              <w:pStyle w:val="ProductList-OfferingBody"/>
              <w:jc w:val="center"/>
            </w:pPr>
            <w:r>
              <w:t>&lt; 95 %</w:t>
            </w:r>
          </w:p>
        </w:tc>
        <w:tc>
          <w:tcPr>
            <w:tcW w:w="5400" w:type="dxa"/>
          </w:tcPr>
          <w:p w14:paraId="012CF9C1" w14:textId="77777777" w:rsidR="00EE79C5" w:rsidRPr="00EF7CF9" w:rsidRDefault="00EE79C5" w:rsidP="00E00804">
            <w:pPr>
              <w:pStyle w:val="ProductList-OfferingBody"/>
              <w:jc w:val="center"/>
            </w:pPr>
            <w:r>
              <w:t>100 %</w:t>
            </w:r>
          </w:p>
        </w:tc>
      </w:tr>
    </w:tbl>
    <w:bookmarkStart w:id="402" w:name="_Toc5018197"/>
    <w:bookmarkStart w:id="403" w:name="_Toc52348933"/>
    <w:p w14:paraId="0DDB5837" w14:textId="77777777" w:rsidR="00EE79C5" w:rsidRPr="00D67F75" w:rsidRDefault="00EE79C5" w:rsidP="00EE79C5">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0A3E4959" w14:textId="77777777" w:rsidR="0003077D" w:rsidRPr="0003077D" w:rsidRDefault="0003077D" w:rsidP="0003077D">
      <w:pPr>
        <w:pStyle w:val="ProductList-Offering2Heading"/>
        <w:tabs>
          <w:tab w:val="clear" w:pos="360"/>
          <w:tab w:val="clear" w:pos="720"/>
          <w:tab w:val="clear" w:pos="1080"/>
        </w:tabs>
        <w:outlineLvl w:val="2"/>
      </w:pPr>
      <w:bookmarkStart w:id="404" w:name="_Toc237449023"/>
      <w:bookmarkStart w:id="405" w:name="_Toc195543164"/>
      <w:r w:rsidRPr="0003077D">
        <w:t>Automatische Cluster des Azure Kubernetes Service (AKS)</w:t>
      </w:r>
      <w:bookmarkEnd w:id="404"/>
    </w:p>
    <w:p w14:paraId="129080B9" w14:textId="77777777" w:rsidR="0003077D" w:rsidRPr="000F64F6" w:rsidRDefault="0003077D" w:rsidP="0003077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Zusätzliche Definitionen</w:t>
      </w:r>
      <w:r>
        <w:rPr>
          <w:rFonts w:ascii="Calibri" w:eastAsia="Calibri" w:hAnsi="Calibri" w:cs="Arial"/>
          <w:sz w:val="18"/>
        </w:rPr>
        <w:t>:</w:t>
      </w:r>
    </w:p>
    <w:p w14:paraId="7F00BB5C" w14:textId="77777777" w:rsidR="007011AA" w:rsidRPr="00BB7DD2" w:rsidRDefault="007011AA" w:rsidP="007011AA">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Automatische Cluster des Azure Kubernetes Service (AKS)</w:t>
      </w:r>
      <w:r>
        <w:rPr>
          <w:rFonts w:ascii="Calibri" w:eastAsia="Calibri" w:hAnsi="Calibri" w:cs="Calibri"/>
          <w:sz w:val="18"/>
          <w:szCs w:val="18"/>
        </w:rPr>
        <w:t>“ oder „Automatischer Cluster“ Ein Azure Kubernetes Service-Cluster vom Typ „Automatisch“, der Folgendes umfasst:</w:t>
      </w:r>
    </w:p>
    <w:p w14:paraId="5A20BC72" w14:textId="77777777" w:rsidR="007011AA" w:rsidRPr="00BB7DD2" w:rsidRDefault="007011AA" w:rsidP="007011AA">
      <w:pPr>
        <w:numPr>
          <w:ilvl w:val="0"/>
          <w:numId w:val="35"/>
        </w:numPr>
        <w:spacing w:after="0" w:line="279" w:lineRule="auto"/>
        <w:contextualSpacing/>
        <w:rPr>
          <w:rFonts w:ascii="Calibri" w:eastAsia="Calibri" w:hAnsi="Calibri" w:cs="Calibri"/>
          <w:sz w:val="18"/>
          <w:szCs w:val="18"/>
        </w:rPr>
      </w:pPr>
      <w:r>
        <w:rPr>
          <w:rFonts w:ascii="Calibri" w:eastAsia="Calibri" w:hAnsi="Calibri" w:cs="Calibri"/>
          <w:sz w:val="18"/>
          <w:szCs w:val="18"/>
        </w:rPr>
        <w:t>Steuerungsebeneknoten, die die grundlegenden Azure Kubernetes Services und die Orchestrierung der Anwendungsarbeitsauslastungen bereitstellen; und</w:t>
      </w:r>
    </w:p>
    <w:p w14:paraId="34EA3D5A" w14:textId="77777777" w:rsidR="007011AA" w:rsidRPr="00BB7DD2" w:rsidRDefault="007011AA" w:rsidP="007011AA">
      <w:pPr>
        <w:numPr>
          <w:ilvl w:val="0"/>
          <w:numId w:val="35"/>
        </w:numPr>
        <w:spacing w:after="0" w:line="279" w:lineRule="auto"/>
        <w:contextualSpacing/>
        <w:rPr>
          <w:rFonts w:ascii="Calibri" w:eastAsia="Calibri" w:hAnsi="Calibri" w:cs="Calibri"/>
          <w:sz w:val="18"/>
          <w:szCs w:val="18"/>
        </w:rPr>
      </w:pPr>
      <w:r>
        <w:rPr>
          <w:rFonts w:ascii="Calibri" w:eastAsia="Calibri" w:hAnsi="Calibri" w:cs="Calibri"/>
          <w:sz w:val="18"/>
          <w:szCs w:val="18"/>
        </w:rPr>
        <w:t>Dynamische Zuweisung von Infrastrukturressourcen basierend auf den Workloadanforderungen.</w:t>
      </w:r>
    </w:p>
    <w:p w14:paraId="19407AAB" w14:textId="77777777" w:rsidR="007011AA" w:rsidRDefault="007011AA" w:rsidP="007011AA">
      <w:pPr>
        <w:spacing w:after="0"/>
        <w:rPr>
          <w:rFonts w:ascii="Calibri" w:eastAsia="Calibri" w:hAnsi="Calibri" w:cs="Calibri"/>
          <w:sz w:val="18"/>
          <w:szCs w:val="18"/>
        </w:rPr>
      </w:pPr>
      <w:r>
        <w:rPr>
          <w:rFonts w:ascii="Calibri" w:eastAsia="Calibri" w:hAnsi="Calibri" w:cs="Calibri"/>
          <w:sz w:val="18"/>
          <w:szCs w:val="18"/>
        </w:rPr>
        <w:lastRenderedPageBreak/>
        <w:t>„</w:t>
      </w:r>
      <w:r>
        <w:rPr>
          <w:rFonts w:ascii="Calibri" w:eastAsia="Calibri" w:hAnsi="Calibri" w:cs="Calibri"/>
          <w:b/>
          <w:bCs/>
          <w:color w:val="00188F"/>
          <w:sz w:val="18"/>
          <w:szCs w:val="18"/>
        </w:rPr>
        <w:t>Kubernetes API Server</w:t>
      </w:r>
      <w:r>
        <w:rPr>
          <w:rFonts w:ascii="Calibri" w:eastAsia="Calibri" w:hAnsi="Calibri" w:cs="Calibri"/>
          <w:sz w:val="18"/>
          <w:szCs w:val="18"/>
        </w:rPr>
        <w:t>“ Wenn Sie einen Automatischen Cluster erstellen, wird automatisch eine Steuerungsebene erstellt und konfiguriert. Die Steuerungsebene enthält den API-Server, der die zugrunde liegende Kubernetes-API verfügbar macht.</w:t>
      </w:r>
    </w:p>
    <w:p w14:paraId="59AEA4D9" w14:textId="77777777" w:rsidR="007011AA" w:rsidRPr="00BB7DD2" w:rsidRDefault="007011AA" w:rsidP="007011AA">
      <w:pPr>
        <w:spacing w:after="0"/>
        <w:rPr>
          <w:rFonts w:ascii="Calibri" w:eastAsia="Calibri" w:hAnsi="Calibri" w:cs="Arial"/>
        </w:rPr>
      </w:pPr>
      <w:r>
        <w:rPr>
          <w:rFonts w:ascii="Calibri" w:eastAsia="Calibri" w:hAnsi="Calibri" w:cs="Calibri"/>
          <w:sz w:val="18"/>
          <w:szCs w:val="18"/>
        </w:rPr>
        <w:t>„</w:t>
      </w:r>
      <w:r>
        <w:rPr>
          <w:rFonts w:ascii="Calibri" w:eastAsia="Calibri" w:hAnsi="Calibri" w:cs="Calibri"/>
          <w:b/>
          <w:bCs/>
          <w:color w:val="00188F"/>
          <w:sz w:val="18"/>
          <w:szCs w:val="18"/>
        </w:rPr>
        <w:t>Verwaltete Systemkomponenten</w:t>
      </w:r>
      <w:r>
        <w:rPr>
          <w:rFonts w:ascii="Calibri" w:eastAsia="Calibri" w:hAnsi="Calibri" w:cs="Calibri"/>
          <w:sz w:val="18"/>
          <w:szCs w:val="18"/>
        </w:rPr>
        <w:t>“ Wenn Sie einen automatischen Cluster erstellen, wird automatisch ein Pool verwalteter Systemknoten erstellt und konfiguriert. Die Steuerungsebene enthält den API-Server, der die zugrunde liegende Kubernetes-API verfügbar macht.</w:t>
      </w:r>
    </w:p>
    <w:p w14:paraId="1BF6F18D" w14:textId="77777777" w:rsidR="007011AA" w:rsidRPr="00BB7DD2" w:rsidRDefault="007011AA" w:rsidP="007011AA">
      <w:pPr>
        <w:spacing w:after="0"/>
        <w:rPr>
          <w:rFonts w:ascii="Calibri" w:eastAsia="Calibri" w:hAnsi="Calibri" w:cs="Arial"/>
        </w:rPr>
      </w:pPr>
      <w:r>
        <w:rPr>
          <w:rFonts w:ascii="Calibri" w:eastAsia="Calibri" w:hAnsi="Calibri" w:cs="Calibri"/>
          <w:sz w:val="18"/>
          <w:szCs w:val="18"/>
        </w:rPr>
        <w:t>„</w:t>
      </w:r>
      <w:r>
        <w:rPr>
          <w:rFonts w:ascii="Calibri" w:eastAsia="Calibri" w:hAnsi="Calibri" w:cs="Calibri"/>
          <w:b/>
          <w:bCs/>
          <w:color w:val="00188F"/>
          <w:sz w:val="18"/>
          <w:szCs w:val="18"/>
        </w:rPr>
        <w:t>Verfügbarkeitszone</w:t>
      </w:r>
      <w:r>
        <w:rPr>
          <w:rFonts w:ascii="Calibri" w:eastAsia="Calibri" w:hAnsi="Calibri" w:cs="Calibri"/>
          <w:sz w:val="18"/>
          <w:szCs w:val="18"/>
        </w:rPr>
        <w:t>“ ist ein fehlerisolierter Bereich in einer Azure-Region, der redundante Stromversorgung, Kühlung und Vernetzung zur Verfügung stellt.</w:t>
      </w:r>
    </w:p>
    <w:p w14:paraId="6B9D6418" w14:textId="77777777" w:rsidR="007011AA" w:rsidRPr="00BB7DD2" w:rsidRDefault="007011AA" w:rsidP="007011AA">
      <w:pPr>
        <w:spacing w:after="0"/>
        <w:rPr>
          <w:rFonts w:ascii="Calibri" w:eastAsia="Calibri" w:hAnsi="Calibri" w:cs="Arial"/>
        </w:rPr>
      </w:pPr>
      <w:r>
        <w:rPr>
          <w:rFonts w:ascii="Calibri" w:eastAsia="Calibri" w:hAnsi="Calibri" w:cs="Calibri"/>
          <w:b/>
          <w:bCs/>
          <w:color w:val="00188F"/>
          <w:sz w:val="18"/>
          <w:szCs w:val="18"/>
        </w:rPr>
        <w:t>Berechnung der Betriebszeit und Servicelevels für Automatische Cluster, die Verfügbarkeitszonen nutzen</w:t>
      </w:r>
    </w:p>
    <w:p w14:paraId="1015DD90" w14:textId="77777777" w:rsidR="007011AA" w:rsidRPr="00BB7DD2" w:rsidRDefault="007011AA" w:rsidP="007011AA">
      <w:pPr>
        <w:spacing w:after="0"/>
        <w:rPr>
          <w:rFonts w:ascii="Calibri" w:eastAsia="Calibri" w:hAnsi="Calibri" w:cs="Arial"/>
        </w:rPr>
      </w:pPr>
      <w:r>
        <w:rPr>
          <w:rFonts w:ascii="Calibri" w:eastAsia="Calibri" w:hAnsi="Calibri" w:cs="Calibri"/>
          <w:sz w:val="18"/>
          <w:szCs w:val="18"/>
        </w:rPr>
        <w:t>„</w:t>
      </w:r>
      <w:r>
        <w:rPr>
          <w:rFonts w:ascii="Calibri" w:eastAsia="Calibri" w:hAnsi="Calibri" w:cs="Calibri"/>
          <w:b/>
          <w:bCs/>
          <w:color w:val="00188F"/>
          <w:sz w:val="18"/>
          <w:szCs w:val="18"/>
        </w:rPr>
        <w:t>Maximal Verfügbare Minuten</w:t>
      </w:r>
      <w:r>
        <w:rPr>
          <w:rFonts w:ascii="Calibri" w:eastAsia="Calibri" w:hAnsi="Calibri" w:cs="Calibri"/>
          <w:sz w:val="18"/>
          <w:szCs w:val="18"/>
        </w:rPr>
        <w:t>“ ist die Summe der kumulierten Minuten eines Automatischen Clusters in der aktivierten Verfügbarkeitszone bis zu dem Zeitpunkt, an dem der Kunde eine Aktion zum Stoppen oder Löschen des Clusters während eines Anwendbaren Zeitraums initiiert hat.</w:t>
      </w:r>
    </w:p>
    <w:p w14:paraId="31E1A612" w14:textId="77777777" w:rsidR="007011AA" w:rsidRDefault="007011AA" w:rsidP="007011AA">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Ausfallzeit (Kubernetes API Server)</w:t>
      </w:r>
      <w:r>
        <w:rPr>
          <w:rFonts w:ascii="Calibri" w:eastAsia="Calibri" w:hAnsi="Calibri" w:cs="Calibri"/>
          <w:sz w:val="18"/>
          <w:szCs w:val="18"/>
        </w:rPr>
        <w:t>“ ist die Gesamtzahl der angesammelten Minuten, die Teil der Maximal Verfügbaren Minuten ohne Konnektivität zum Kubernetes API Server in einer in der Region bereitgestellten Verfügbarkeitszone mit Automatischem Cluster sind.</w:t>
      </w:r>
    </w:p>
    <w:p w14:paraId="38ACC254" w14:textId="77777777" w:rsidR="007011AA" w:rsidRDefault="007011AA" w:rsidP="007011AA">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Ausfallzeit (Verwaltete Systemkomponenten)</w:t>
      </w:r>
      <w:r>
        <w:rPr>
          <w:rFonts w:ascii="Calibri" w:eastAsia="Calibri" w:hAnsi="Calibri" w:cs="Calibri"/>
          <w:sz w:val="18"/>
          <w:szCs w:val="18"/>
        </w:rPr>
        <w:t>“ ist die Summe der kumulierten Minuten, die Teil der maximal verfügbaren Minuten sind, wobei mindestens eine verwaltete Systemkomponente keinen laufenden System-Pod hat.</w:t>
      </w:r>
    </w:p>
    <w:p w14:paraId="56A7D66C" w14:textId="77777777" w:rsidR="007011AA" w:rsidRPr="00BB7DD2" w:rsidRDefault="007011AA" w:rsidP="007011AA">
      <w:pPr>
        <w:spacing w:after="0"/>
        <w:rPr>
          <w:rFonts w:ascii="Calibri" w:eastAsia="Calibri" w:hAnsi="Calibri" w:cs="Calibri"/>
          <w:sz w:val="18"/>
          <w:szCs w:val="18"/>
        </w:rPr>
      </w:pPr>
      <w:r w:rsidRPr="005C2F33">
        <w:rPr>
          <w:rFonts w:ascii="Calibri" w:eastAsia="Calibri" w:hAnsi="Calibri" w:cs="Calibri"/>
          <w:sz w:val="18"/>
          <w:szCs w:val="18"/>
        </w:rPr>
        <w:t xml:space="preserve">Ein </w:t>
      </w:r>
      <w:r>
        <w:rPr>
          <w:rFonts w:ascii="Calibri" w:eastAsia="Calibri" w:hAnsi="Calibri" w:cs="Calibri"/>
          <w:sz w:val="18"/>
          <w:szCs w:val="18"/>
        </w:rPr>
        <w:t>„</w:t>
      </w:r>
      <w:r>
        <w:rPr>
          <w:rFonts w:ascii="Calibri" w:eastAsia="Calibri" w:hAnsi="Calibri" w:cs="Calibri"/>
          <w:b/>
          <w:bCs/>
          <w:color w:val="00188F"/>
          <w:sz w:val="18"/>
          <w:szCs w:val="18"/>
        </w:rPr>
        <w:t>System-Pod</w:t>
      </w:r>
      <w:r>
        <w:rPr>
          <w:rFonts w:ascii="Calibri" w:eastAsia="Calibri" w:hAnsi="Calibri" w:cs="Calibri"/>
          <w:sz w:val="18"/>
          <w:szCs w:val="18"/>
        </w:rPr>
        <w:t>“ ist ein Pod, der im Rahmen einer Bereitstellung für eine Systemkomponente auf dem Pool der verwalteten Systemknoten ausgeführt wird.</w:t>
      </w:r>
    </w:p>
    <w:p w14:paraId="7FD9D921" w14:textId="77777777" w:rsidR="007011AA" w:rsidRDefault="007011AA" w:rsidP="007011AA">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Betriebszeitprozentsatz</w:t>
      </w:r>
      <w:r>
        <w:rPr>
          <w:rFonts w:ascii="Calibri" w:eastAsia="Calibri" w:hAnsi="Calibri" w:cs="Calibri"/>
          <w:sz w:val="18"/>
          <w:szCs w:val="18"/>
        </w:rPr>
        <w:t>“ für automatische Cluster in der aktivierten Verfügbarkeitszone wird berechnet als Maximal Verfügbare Minuten abzüglich Ausfallzeit, geteilt durch die Maximal Verfügbaren Minuten in einem Anwendbaren Zeitraum für ein bestimmtes Microsoft Azure-Abonnement. Der Betriebszeitprozentsatz wird durch die folgende Formel ermittelt:</w:t>
      </w:r>
    </w:p>
    <w:p w14:paraId="636BB668" w14:textId="77777777" w:rsidR="007011AA" w:rsidRPr="00BB7DD2" w:rsidRDefault="00000000" w:rsidP="007011AA">
      <w:pPr>
        <w:spacing w:before="120" w:after="120" w:line="240" w:lineRule="auto"/>
        <w:rPr>
          <w:rFonts w:ascii="Calibri" w:eastAsia="Calibri" w:hAnsi="Calibri" w:cs="Calibri"/>
          <w:sz w:val="18"/>
          <w:szCs w:val="18"/>
        </w:rPr>
      </w:pPr>
      <m:oMathPara>
        <m:oMath>
          <m:f>
            <m:fPr>
              <m:ctrlPr>
                <w:rPr>
                  <w:rFonts w:ascii="Cambria Math" w:eastAsia="Calibri" w:hAnsi="Cambria Math" w:cs="Calibri"/>
                  <w:i/>
                  <w:iCs/>
                  <w:sz w:val="18"/>
                  <w:szCs w:val="18"/>
                </w:rPr>
              </m:ctrlPr>
            </m:fPr>
            <m:num>
              <m:r>
                <m:rPr>
                  <m:nor/>
                </m:rPr>
                <w:rPr>
                  <w:rFonts w:ascii="Cambria Math" w:eastAsia="Calibri" w:hAnsi="Cambria Math" w:cs="Calibri"/>
                  <w:i/>
                  <w:iCs/>
                  <w:sz w:val="18"/>
                  <w:szCs w:val="18"/>
                </w:rPr>
                <m:t>Maximum Verfügbar Minuten - Ausfallzeiten (Kubernetes API Server)</m:t>
              </m:r>
            </m:num>
            <m:den>
              <m:r>
                <m:rPr>
                  <m:nor/>
                </m:rPr>
                <w:rPr>
                  <w:rFonts w:ascii="Cambria Math" w:eastAsia="Calibri" w:hAnsi="Cambria Math" w:cs="Calibri"/>
                  <w:i/>
                  <w:iCs/>
                  <w:sz w:val="18"/>
                  <w:szCs w:val="18"/>
                </w:rPr>
                <m:t>Maximum Verfügbar Minuten</m:t>
              </m:r>
            </m:den>
          </m:f>
          <m:r>
            <w:rPr>
              <w:rFonts w:ascii="Cambria Math" w:eastAsia="Calibri" w:hAnsi="Cambria Math" w:cs="Calibri"/>
              <w:sz w:val="18"/>
              <w:szCs w:val="18"/>
            </w:rPr>
            <m:t> x 100</m:t>
          </m:r>
          <m:r>
            <m:rPr>
              <m:sty m:val="p"/>
            </m:rPr>
            <w:rPr>
              <w:rFonts w:ascii="Cambria Math" w:eastAsia="Calibri" w:hAnsi="Cambria Math" w:cs="Calibri"/>
              <w:sz w:val="18"/>
              <w:szCs w:val="18"/>
            </w:rPr>
            <w:br/>
          </m:r>
        </m:oMath>
      </m:oMathPara>
    </w:p>
    <w:p w14:paraId="36419184" w14:textId="77777777" w:rsidR="007011AA" w:rsidRPr="00BB7DD2" w:rsidRDefault="00000000" w:rsidP="007011AA">
      <w:pPr>
        <w:spacing w:before="120" w:after="120" w:line="240" w:lineRule="auto"/>
        <w:rPr>
          <w:rFonts w:ascii="Calibri" w:eastAsia="Calibri" w:hAnsi="Calibri" w:cs="Calibri"/>
          <w:sz w:val="18"/>
          <w:szCs w:val="18"/>
        </w:rPr>
      </w:pPr>
      <m:oMathPara>
        <m:oMath>
          <m:f>
            <m:fPr>
              <m:ctrlPr>
                <w:rPr>
                  <w:rFonts w:ascii="Cambria Math" w:eastAsia="Calibri" w:hAnsi="Cambria Math" w:cs="Calibri"/>
                  <w:i/>
                  <w:iCs/>
                  <w:sz w:val="18"/>
                  <w:szCs w:val="18"/>
                </w:rPr>
              </m:ctrlPr>
            </m:fPr>
            <m:num>
              <m:r>
                <m:rPr>
                  <m:nor/>
                </m:rPr>
                <w:rPr>
                  <w:rFonts w:ascii="Cambria Math" w:eastAsia="Calibri" w:hAnsi="Cambria Math" w:cs="Calibri"/>
                  <w:i/>
                  <w:iCs/>
                  <w:sz w:val="18"/>
                  <w:szCs w:val="18"/>
                </w:rPr>
                <m:t>Maximum Verfügbar Minuten - Ausfallzeiten (Verwaltete System Komponenten)</m:t>
              </m:r>
            </m:num>
            <m:den>
              <m:r>
                <m:rPr>
                  <m:nor/>
                </m:rPr>
                <w:rPr>
                  <w:rFonts w:ascii="Cambria Math" w:eastAsia="Calibri" w:hAnsi="Cambria Math" w:cs="Calibri"/>
                  <w:i/>
                  <w:iCs/>
                  <w:sz w:val="18"/>
                  <w:szCs w:val="18"/>
                </w:rPr>
                <m:t>Maximum Verfügbar Minuten</m:t>
              </m:r>
            </m:den>
          </m:f>
          <m:r>
            <w:rPr>
              <w:rFonts w:ascii="Cambria Math" w:eastAsia="Calibri" w:hAnsi="Cambria Math" w:cs="Calibri"/>
              <w:sz w:val="18"/>
              <w:szCs w:val="18"/>
            </w:rPr>
            <m:t> x 100</m:t>
          </m:r>
        </m:oMath>
      </m:oMathPara>
    </w:p>
    <w:p w14:paraId="0C7857B6" w14:textId="77777777" w:rsidR="007011AA" w:rsidRPr="00BB7DD2" w:rsidRDefault="007011AA" w:rsidP="007011AA">
      <w:pPr>
        <w:spacing w:after="0"/>
        <w:rPr>
          <w:rFonts w:ascii="Calibri" w:eastAsia="Calibri" w:hAnsi="Calibri" w:cs="Calibri"/>
          <w:b/>
          <w:bCs/>
          <w:color w:val="00188F"/>
          <w:sz w:val="18"/>
          <w:szCs w:val="18"/>
        </w:rPr>
      </w:pPr>
      <w:r>
        <w:rPr>
          <w:rFonts w:ascii="Calibri" w:eastAsia="Calibri" w:hAnsi="Calibri" w:cs="Calibri"/>
          <w:b/>
          <w:bCs/>
          <w:color w:val="00188F"/>
          <w:sz w:val="18"/>
          <w:szCs w:val="18"/>
        </w:rPr>
        <w:t>Die folgenden Servicelevels und Servicegutschriften gelten für die Nutzung durch den Kunden von Automatischen Clustern, bei denen Verfügbarkeitszonen in der Region aktiviert sind: Betriebszeitprozentsatz von Kubernetes API Server; Servicegutschrift</w:t>
      </w:r>
    </w:p>
    <w:tbl>
      <w:tblPr>
        <w:tblW w:w="10790" w:type="dxa"/>
        <w:tblLayout w:type="fixed"/>
        <w:tblLook w:val="04A0" w:firstRow="1" w:lastRow="0" w:firstColumn="1" w:lastColumn="0" w:noHBand="0" w:noVBand="1"/>
      </w:tblPr>
      <w:tblGrid>
        <w:gridCol w:w="5390"/>
        <w:gridCol w:w="5400"/>
      </w:tblGrid>
      <w:tr w:rsidR="007011AA" w:rsidRPr="00BB7DD2" w14:paraId="0FDFA5B3" w14:textId="77777777" w:rsidTr="00B52DDF">
        <w:trPr>
          <w:trHeight w:val="258"/>
        </w:trPr>
        <w:tc>
          <w:tcPr>
            <w:tcW w:w="539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7FC9A406" w14:textId="77777777" w:rsidR="007011AA" w:rsidRPr="00BB7DD2" w:rsidRDefault="007011AA" w:rsidP="00B52DDF">
            <w:pPr>
              <w:spacing w:before="20" w:after="20"/>
              <w:ind w:left="-14" w:right="-101"/>
              <w:jc w:val="center"/>
              <w:rPr>
                <w:rFonts w:ascii="Calibri" w:eastAsia="Calibri" w:hAnsi="Calibri" w:cs="Arial"/>
              </w:rPr>
            </w:pPr>
            <w:r>
              <w:rPr>
                <w:rFonts w:ascii="Calibri" w:eastAsia="Calibri" w:hAnsi="Calibri" w:cs="Calibri"/>
                <w:color w:val="FFFFFF"/>
                <w:sz w:val="16"/>
                <w:szCs w:val="16"/>
              </w:rPr>
              <w:t>Betriebszeitprozentsatz</w:t>
            </w:r>
          </w:p>
        </w:tc>
        <w:tc>
          <w:tcPr>
            <w:tcW w:w="540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75A6823F" w14:textId="77777777" w:rsidR="007011AA" w:rsidRPr="00BB7DD2" w:rsidRDefault="007011AA" w:rsidP="00B52DDF">
            <w:pPr>
              <w:spacing w:before="20" w:after="20"/>
              <w:ind w:left="-14" w:right="-101"/>
              <w:jc w:val="center"/>
              <w:rPr>
                <w:rFonts w:ascii="Calibri" w:eastAsia="Calibri" w:hAnsi="Calibri" w:cs="Arial"/>
              </w:rPr>
            </w:pPr>
            <w:r>
              <w:rPr>
                <w:rFonts w:ascii="Calibri" w:eastAsia="Calibri" w:hAnsi="Calibri" w:cs="Calibri"/>
                <w:color w:val="FFFFFF"/>
                <w:sz w:val="16"/>
                <w:szCs w:val="16"/>
              </w:rPr>
              <w:t>Servicegutschrift</w:t>
            </w:r>
          </w:p>
        </w:tc>
      </w:tr>
      <w:tr w:rsidR="007011AA" w:rsidRPr="00BB7DD2" w14:paraId="7BFA6656" w14:textId="77777777" w:rsidTr="00B52DDF">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1E46C6B" w14:textId="77777777" w:rsidR="007011AA" w:rsidRPr="00BB7DD2" w:rsidRDefault="007011AA" w:rsidP="00B52DDF">
            <w:pPr>
              <w:spacing w:before="20" w:after="20"/>
              <w:ind w:left="-14" w:right="-101"/>
              <w:jc w:val="center"/>
              <w:rPr>
                <w:rFonts w:ascii="Calibri" w:eastAsia="Calibri" w:hAnsi="Calibri" w:cs="Arial"/>
              </w:rPr>
            </w:pPr>
            <w:r>
              <w:rPr>
                <w:rFonts w:ascii="Calibri" w:eastAsia="Calibri" w:hAnsi="Calibri" w:cs="Calibri"/>
                <w:sz w:val="16"/>
                <w:szCs w:val="16"/>
              </w:rPr>
              <w:t>&lt; 99,95 %</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31FF4AE" w14:textId="77777777" w:rsidR="007011AA" w:rsidRPr="00BB7DD2" w:rsidRDefault="007011AA" w:rsidP="00B52DDF">
            <w:pPr>
              <w:spacing w:before="20" w:after="20"/>
              <w:ind w:left="-14" w:right="-101"/>
              <w:jc w:val="center"/>
              <w:rPr>
                <w:rFonts w:ascii="Calibri" w:eastAsia="Calibri" w:hAnsi="Calibri" w:cs="Arial"/>
              </w:rPr>
            </w:pPr>
            <w:r>
              <w:rPr>
                <w:rFonts w:ascii="Calibri" w:eastAsia="Calibri" w:hAnsi="Calibri" w:cs="Calibri"/>
                <w:sz w:val="16"/>
                <w:szCs w:val="16"/>
              </w:rPr>
              <w:t>10 %</w:t>
            </w:r>
          </w:p>
        </w:tc>
      </w:tr>
      <w:tr w:rsidR="007011AA" w:rsidRPr="00BB7DD2" w14:paraId="58A5FD72" w14:textId="77777777" w:rsidTr="00B52DDF">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034FB1D" w14:textId="77777777" w:rsidR="007011AA" w:rsidRPr="00BB7DD2" w:rsidRDefault="007011AA" w:rsidP="00B52DDF">
            <w:pPr>
              <w:spacing w:before="20" w:after="20"/>
              <w:ind w:left="-14" w:right="-101"/>
              <w:jc w:val="center"/>
              <w:rPr>
                <w:rFonts w:ascii="Calibri" w:eastAsia="Calibri" w:hAnsi="Calibri" w:cs="Arial"/>
              </w:rPr>
            </w:pPr>
            <w:r>
              <w:rPr>
                <w:rFonts w:ascii="Calibri" w:eastAsia="Calibri" w:hAnsi="Calibri" w:cs="Calibri"/>
                <w:sz w:val="16"/>
                <w:szCs w:val="16"/>
              </w:rPr>
              <w:t>&lt; 99 %</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B925A7C" w14:textId="77777777" w:rsidR="007011AA" w:rsidRPr="00BB7DD2" w:rsidRDefault="007011AA" w:rsidP="00B52DDF">
            <w:pPr>
              <w:spacing w:before="20" w:after="20"/>
              <w:ind w:left="-14" w:right="-101"/>
              <w:jc w:val="center"/>
              <w:rPr>
                <w:rFonts w:ascii="Calibri" w:eastAsia="Calibri" w:hAnsi="Calibri" w:cs="Arial"/>
              </w:rPr>
            </w:pPr>
            <w:r>
              <w:rPr>
                <w:rFonts w:ascii="Calibri" w:eastAsia="Calibri" w:hAnsi="Calibri" w:cs="Calibri"/>
                <w:sz w:val="16"/>
                <w:szCs w:val="16"/>
              </w:rPr>
              <w:t>25 %</w:t>
            </w:r>
          </w:p>
        </w:tc>
      </w:tr>
      <w:tr w:rsidR="007011AA" w:rsidRPr="00BB7DD2" w14:paraId="02360821" w14:textId="77777777" w:rsidTr="00B52DDF">
        <w:trPr>
          <w:trHeight w:val="258"/>
        </w:trPr>
        <w:tc>
          <w:tcPr>
            <w:tcW w:w="539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72F8D34E" w14:textId="77777777" w:rsidR="007011AA" w:rsidRPr="00BB7DD2" w:rsidRDefault="007011AA" w:rsidP="00B52DDF">
            <w:pPr>
              <w:spacing w:before="20" w:after="20"/>
              <w:ind w:left="-14" w:right="-101"/>
              <w:jc w:val="center"/>
              <w:rPr>
                <w:rFonts w:ascii="Calibri" w:eastAsia="Calibri" w:hAnsi="Calibri" w:cs="Arial"/>
              </w:rPr>
            </w:pPr>
            <w:r>
              <w:rPr>
                <w:rFonts w:ascii="Calibri" w:eastAsia="Calibri" w:hAnsi="Calibri" w:cs="Calibri"/>
                <w:sz w:val="16"/>
                <w:szCs w:val="16"/>
              </w:rPr>
              <w:t>&lt; 95 %</w:t>
            </w:r>
          </w:p>
        </w:tc>
        <w:tc>
          <w:tcPr>
            <w:tcW w:w="540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4ECF4FD2" w14:textId="77777777" w:rsidR="007011AA" w:rsidRPr="00BB7DD2" w:rsidRDefault="007011AA" w:rsidP="00B52DDF">
            <w:pPr>
              <w:spacing w:before="20" w:after="20"/>
              <w:ind w:left="-14" w:right="-101"/>
              <w:jc w:val="center"/>
              <w:rPr>
                <w:rFonts w:ascii="Calibri" w:eastAsia="Calibri" w:hAnsi="Calibri" w:cs="Arial"/>
              </w:rPr>
            </w:pPr>
            <w:r>
              <w:rPr>
                <w:rFonts w:ascii="Calibri" w:eastAsia="Calibri" w:hAnsi="Calibri" w:cs="Calibri"/>
                <w:sz w:val="16"/>
                <w:szCs w:val="16"/>
              </w:rPr>
              <w:t>100 %</w:t>
            </w:r>
          </w:p>
        </w:tc>
      </w:tr>
    </w:tbl>
    <w:p w14:paraId="6DE28F7C" w14:textId="77777777" w:rsidR="007011AA" w:rsidRPr="00BB7DD2" w:rsidRDefault="007011AA" w:rsidP="007011AA">
      <w:pPr>
        <w:spacing w:before="120"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Die folgenden Servicelevels und Servicegutschriften gelten für die Nutzung durch den Kunden von Automatischen Clustern, bei denen Verfügbarkeitszonen in der Region aktiviert sind: Ausfallzeit verwalteter Systemkomponenten in Prozent, Dienstgutschrift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5"/>
        <w:gridCol w:w="5385"/>
      </w:tblGrid>
      <w:tr w:rsidR="007011AA" w:rsidRPr="00BB7DD2" w14:paraId="03B2E4B3" w14:textId="77777777" w:rsidTr="00B52DDF">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27A77C6A" w14:textId="77777777" w:rsidR="007011AA" w:rsidRPr="00AC39A0" w:rsidRDefault="007011AA" w:rsidP="00B52DDF">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Betriebszeitprozentsatz </w:t>
            </w:r>
          </w:p>
        </w:tc>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5F5CBC5B" w14:textId="77777777" w:rsidR="007011AA" w:rsidRPr="00AC39A0" w:rsidRDefault="007011AA" w:rsidP="00B52DDF">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Servicegutschrift </w:t>
            </w:r>
          </w:p>
        </w:tc>
      </w:tr>
      <w:tr w:rsidR="007011AA" w:rsidRPr="00BB7DD2" w14:paraId="3AC91352" w14:textId="77777777" w:rsidTr="00B52DDF">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00FC6140" w14:textId="77777777" w:rsidR="007011AA" w:rsidRPr="00AC39A0" w:rsidRDefault="007011AA" w:rsidP="00B52DDF">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99,9 %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6D2B8CE5" w14:textId="77777777" w:rsidR="007011AA" w:rsidRPr="00AC39A0" w:rsidRDefault="007011AA" w:rsidP="00B52DDF">
            <w:pPr>
              <w:spacing w:before="20" w:after="20"/>
              <w:ind w:left="-14" w:right="-101"/>
              <w:jc w:val="center"/>
              <w:rPr>
                <w:rFonts w:ascii="Calibri" w:eastAsia="Calibri" w:hAnsi="Calibri" w:cs="Calibri"/>
                <w:sz w:val="16"/>
                <w:szCs w:val="16"/>
              </w:rPr>
            </w:pPr>
            <w:r>
              <w:rPr>
                <w:rFonts w:ascii="Calibri" w:eastAsia="Calibri" w:hAnsi="Calibri" w:cs="Calibri"/>
                <w:sz w:val="16"/>
                <w:szCs w:val="16"/>
              </w:rPr>
              <w:t>10 % </w:t>
            </w:r>
          </w:p>
        </w:tc>
      </w:tr>
      <w:tr w:rsidR="007011AA" w:rsidRPr="00BB7DD2" w14:paraId="16B61D11" w14:textId="77777777" w:rsidTr="00B52DDF">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4EF705FB" w14:textId="77777777" w:rsidR="007011AA" w:rsidRPr="00AC39A0" w:rsidRDefault="007011AA" w:rsidP="00B52DDF">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99 %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75AD5C2D" w14:textId="77777777" w:rsidR="007011AA" w:rsidRPr="00AC39A0" w:rsidRDefault="007011AA" w:rsidP="00B52DDF">
            <w:pPr>
              <w:spacing w:before="20" w:after="20"/>
              <w:ind w:left="-14" w:right="-101"/>
              <w:jc w:val="center"/>
              <w:rPr>
                <w:rFonts w:ascii="Calibri" w:eastAsia="Calibri" w:hAnsi="Calibri" w:cs="Calibri"/>
                <w:sz w:val="16"/>
                <w:szCs w:val="16"/>
              </w:rPr>
            </w:pPr>
            <w:r>
              <w:rPr>
                <w:rFonts w:ascii="Calibri" w:eastAsia="Calibri" w:hAnsi="Calibri" w:cs="Calibri"/>
                <w:sz w:val="16"/>
                <w:szCs w:val="16"/>
              </w:rPr>
              <w:t>25 % </w:t>
            </w:r>
          </w:p>
        </w:tc>
      </w:tr>
      <w:tr w:rsidR="007011AA" w:rsidRPr="00BB7DD2" w14:paraId="63CF3DBF" w14:textId="77777777" w:rsidTr="00B52DDF">
        <w:trPr>
          <w:trHeight w:val="240"/>
        </w:trPr>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6385CC3F" w14:textId="77777777" w:rsidR="007011AA" w:rsidRPr="00AC39A0" w:rsidRDefault="007011AA" w:rsidP="00B52DDF">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95 % </w:t>
            </w:r>
          </w:p>
        </w:tc>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1EF97A22" w14:textId="77777777" w:rsidR="007011AA" w:rsidRPr="00AC39A0" w:rsidRDefault="007011AA" w:rsidP="00B52DDF">
            <w:pPr>
              <w:spacing w:before="20" w:after="20"/>
              <w:ind w:left="-14" w:right="-101"/>
              <w:jc w:val="center"/>
              <w:rPr>
                <w:rFonts w:ascii="Calibri" w:eastAsia="Calibri" w:hAnsi="Calibri" w:cs="Calibri"/>
                <w:sz w:val="16"/>
                <w:szCs w:val="16"/>
              </w:rPr>
            </w:pPr>
            <w:r>
              <w:rPr>
                <w:rFonts w:ascii="Calibri" w:eastAsia="Calibri" w:hAnsi="Calibri" w:cs="Calibri"/>
                <w:sz w:val="16"/>
                <w:szCs w:val="16"/>
              </w:rPr>
              <w:t>100 % </w:t>
            </w:r>
          </w:p>
        </w:tc>
      </w:tr>
    </w:tbl>
    <w:p w14:paraId="2080A899" w14:textId="77777777" w:rsidR="007011AA" w:rsidRPr="00BB7DD2" w:rsidRDefault="007011AA" w:rsidP="007011AA">
      <w:pPr>
        <w:spacing w:before="120"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Bereitschaftsberechnung und Servicelevel für Automatische Cluster</w:t>
      </w:r>
    </w:p>
    <w:p w14:paraId="02D0B1C1" w14:textId="77777777" w:rsidR="007011AA" w:rsidRPr="00BB7DD2" w:rsidRDefault="007011AA" w:rsidP="007011AA">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Anwendbare Servicegebühren</w:t>
      </w:r>
      <w:r>
        <w:rPr>
          <w:rFonts w:ascii="Calibri" w:eastAsia="Calibri" w:hAnsi="Calibri" w:cs="Calibri"/>
          <w:sz w:val="18"/>
          <w:szCs w:val="18"/>
        </w:rPr>
        <w:t>“ bezeichnet die Summe der zusätzlichen stündlichen Servicegebühren, die für virtuelle Maschinen im Automatischen Cluster während des Anwendbaren Zeitraums anfallen, für die eine Servicegutschrift anfällt, mit Ausnahme der Gebühren für die virtuellen Computer selbst.</w:t>
      </w:r>
    </w:p>
    <w:p w14:paraId="1B3FE71F" w14:textId="77777777" w:rsidR="007011AA" w:rsidRPr="00BB7DD2" w:rsidRDefault="007011AA" w:rsidP="007011AA">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Anwendbarer Pod</w:t>
      </w:r>
      <w:r>
        <w:rPr>
          <w:rFonts w:ascii="Calibri" w:eastAsia="Calibri" w:hAnsi="Calibri" w:cs="Calibri"/>
          <w:sz w:val="18"/>
          <w:szCs w:val="18"/>
        </w:rPr>
        <w:t>“ ist definiert als ein Pod, der keine Volumes mit anderen Quellen als Secrets, Config Maps, Downward APIs und emptyDir einbindet und keine Nodes benötigt, die Windows-, GPU-, Confidential- oder andere Spezial-SKUs umfassen.</w:t>
      </w:r>
    </w:p>
    <w:p w14:paraId="7D9257F8" w14:textId="77777777" w:rsidR="007011AA" w:rsidRPr="00BB7DD2" w:rsidRDefault="007011AA" w:rsidP="007011AA">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Ausgeschlossenes Fenster</w:t>
      </w:r>
      <w:r>
        <w:rPr>
          <w:rFonts w:ascii="Calibri" w:eastAsia="Calibri" w:hAnsi="Calibri" w:cs="Calibri"/>
          <w:sz w:val="18"/>
          <w:szCs w:val="18"/>
        </w:rPr>
        <w:t>“ ist definiert als ein 5-Minuten-Intervall, in dem mittelgroße bis große Operationen (mit mindestens 100 Knoten) initiiert werden oder Quoten-/Abonnementfehler im automatischen Cluster auftreten.</w:t>
      </w:r>
    </w:p>
    <w:p w14:paraId="7245AF6A" w14:textId="77777777" w:rsidR="007011AA" w:rsidRPr="00BB7DD2" w:rsidRDefault="007011AA" w:rsidP="007011AA">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Gesamtanzahl der Pod-Vorgänge</w:t>
      </w:r>
      <w:r>
        <w:rPr>
          <w:rFonts w:ascii="Calibri" w:eastAsia="Calibri" w:hAnsi="Calibri" w:cs="Calibri"/>
          <w:sz w:val="18"/>
          <w:szCs w:val="18"/>
        </w:rPr>
        <w:t>“ ist die Gesamtzahl der vom Kunden während eines Anwendbaren Zeitraums außerhalb der Ausgeschlossenen Fenster initiierten Erstellungsvorgänge für Anwendbare Pods.</w:t>
      </w:r>
    </w:p>
    <w:p w14:paraId="76676C1E" w14:textId="77777777" w:rsidR="007011AA" w:rsidRPr="00BB7DD2" w:rsidRDefault="007011AA" w:rsidP="007011AA">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Verzögerte Pod-Vorgänge</w:t>
      </w:r>
      <w:r>
        <w:rPr>
          <w:rFonts w:ascii="Calibri" w:eastAsia="Calibri" w:hAnsi="Calibri" w:cs="Calibri"/>
          <w:sz w:val="18"/>
          <w:szCs w:val="18"/>
        </w:rPr>
        <w:t>“ ist die Gesamtzahl der Erstellungsvorgänge für Anwendbare Pods, bei denen die Container eines Anwendbaren Pods nicht innerhalb von fünf Minuten als gestartet gemeldet werden, gemessen ab dem Zeitpunkt der Pod-Objekterstellung, ausschließlich der Zeit für Image-Pulls und die Container-Initialisierung.</w:t>
      </w:r>
    </w:p>
    <w:p w14:paraId="78ABA96A" w14:textId="77777777" w:rsidR="007011AA" w:rsidRDefault="007011AA" w:rsidP="007011AA">
      <w:pPr>
        <w:spacing w:after="0"/>
        <w:rPr>
          <w:rFonts w:ascii="Calibri" w:eastAsia="Calibri" w:hAnsi="Calibri" w:cs="Calibri"/>
          <w:sz w:val="18"/>
          <w:szCs w:val="18"/>
        </w:rPr>
      </w:pPr>
      <w:r w:rsidRPr="0069684B">
        <w:rPr>
          <w:rFonts w:ascii="Calibri" w:eastAsia="Calibri" w:hAnsi="Calibri" w:cs="Calibri"/>
          <w:sz w:val="18"/>
          <w:szCs w:val="18"/>
        </w:rPr>
        <w:lastRenderedPageBreak/>
        <w:t xml:space="preserve">Der </w:t>
      </w:r>
      <w:r>
        <w:rPr>
          <w:rFonts w:ascii="Calibri" w:eastAsia="Calibri" w:hAnsi="Calibri" w:cs="Calibri"/>
          <w:sz w:val="18"/>
          <w:szCs w:val="18"/>
        </w:rPr>
        <w:t>„</w:t>
      </w:r>
      <w:r>
        <w:rPr>
          <w:rFonts w:ascii="Calibri" w:eastAsia="Calibri" w:hAnsi="Calibri" w:cs="Calibri"/>
          <w:b/>
          <w:bCs/>
          <w:color w:val="00188F"/>
          <w:sz w:val="18"/>
          <w:szCs w:val="18"/>
        </w:rPr>
        <w:t>Bereitschaftsprozentsatz</w:t>
      </w:r>
      <w:r>
        <w:rPr>
          <w:rFonts w:ascii="Calibri" w:eastAsia="Calibri" w:hAnsi="Calibri" w:cs="Calibri"/>
          <w:sz w:val="18"/>
          <w:szCs w:val="18"/>
        </w:rPr>
        <w:t xml:space="preserve">“ für Automatische Cluster wird berechnet als die Gesamtzahl der Pod-Vorgänge </w:t>
      </w:r>
      <w:bookmarkStart w:id="406" w:name="_Int_ycDxSw3p"/>
      <w:r>
        <w:rPr>
          <w:rFonts w:ascii="Calibri" w:eastAsia="Calibri" w:hAnsi="Calibri" w:cs="Calibri"/>
          <w:sz w:val="18"/>
          <w:szCs w:val="18"/>
        </w:rPr>
        <w:t>abzüglich</w:t>
      </w:r>
      <w:bookmarkEnd w:id="406"/>
      <w:r>
        <w:rPr>
          <w:rFonts w:ascii="Calibri" w:eastAsia="Calibri" w:hAnsi="Calibri" w:cs="Calibri"/>
          <w:sz w:val="18"/>
          <w:szCs w:val="18"/>
        </w:rPr>
        <w:t xml:space="preserve"> der verzögerten Pod-Vorgänge, geteilt durch die Gesamtzahl der Pod-Vorgänge in einem Anwendbaren Zeitraum für ein bestimmtes Microsoft Azure-Abonnement. Der Bereitschaftsprozentsatz wird durch die folgende Formel ermittelt: </w:t>
      </w:r>
    </w:p>
    <w:p w14:paraId="6C8F44B6" w14:textId="77777777" w:rsidR="007011AA" w:rsidRPr="00BB7DD2" w:rsidRDefault="00000000" w:rsidP="007011AA">
      <w:pPr>
        <w:spacing w:before="120" w:after="0" w:line="240" w:lineRule="auto"/>
        <w:rPr>
          <w:rFonts w:ascii="Calibri" w:eastAsia="Calibri" w:hAnsi="Calibri" w:cs="Calibri"/>
          <w:sz w:val="18"/>
          <w:szCs w:val="18"/>
        </w:rPr>
      </w:pPr>
      <m:oMathPara>
        <m:oMath>
          <m:f>
            <m:fPr>
              <m:ctrlPr>
                <w:rPr>
                  <w:rFonts w:ascii="Cambria Math" w:eastAsia="Calibri" w:hAnsi="Cambria Math" w:cs="Calibri"/>
                  <w:sz w:val="18"/>
                  <w:szCs w:val="18"/>
                </w:rPr>
              </m:ctrlPr>
            </m:fPr>
            <m:num>
              <m:r>
                <m:rPr>
                  <m:nor/>
                </m:rPr>
                <w:rPr>
                  <w:rFonts w:ascii="Cambria Math" w:eastAsia="Calibri" w:hAnsi="Calibri" w:cs="Calibri"/>
                  <w:sz w:val="18"/>
                  <w:szCs w:val="18"/>
                </w:rPr>
                <m:t>Gesamtanzahl Pod-Vorg</m:t>
              </m:r>
              <m:r>
                <m:rPr>
                  <m:nor/>
                </m:rPr>
                <w:rPr>
                  <w:rFonts w:ascii="Cambria Math" w:eastAsia="Calibri" w:hAnsi="Calibri" w:cs="Calibri"/>
                  <w:sz w:val="18"/>
                  <w:szCs w:val="18"/>
                </w:rPr>
                <m:t>ä</m:t>
              </m:r>
              <m:r>
                <m:rPr>
                  <m:nor/>
                </m:rPr>
                <w:rPr>
                  <w:rFonts w:ascii="Cambria Math" w:eastAsia="Calibri" w:hAnsi="Calibri" w:cs="Calibri"/>
                  <w:sz w:val="18"/>
                  <w:szCs w:val="18"/>
                </w:rPr>
                <m:t xml:space="preserve">nge </m:t>
              </m:r>
              <m:r>
                <m:rPr>
                  <m:nor/>
                </m:rPr>
                <w:rPr>
                  <w:rFonts w:ascii="Calibri" w:eastAsia="Calibri" w:hAnsi="Calibri" w:cs="Calibri"/>
                  <w:sz w:val="18"/>
                  <w:szCs w:val="18"/>
                </w:rPr>
                <m:t>-</m:t>
              </m:r>
              <m:r>
                <m:rPr>
                  <m:nor/>
                </m:rPr>
                <w:rPr>
                  <w:rFonts w:ascii="Cambria Math" w:eastAsia="Calibri" w:hAnsi="Calibri" w:cs="Calibri"/>
                  <w:sz w:val="18"/>
                  <w:szCs w:val="18"/>
                </w:rPr>
                <m:t xml:space="preserve"> Verz</m:t>
              </m:r>
              <m:r>
                <m:rPr>
                  <m:nor/>
                </m:rPr>
                <w:rPr>
                  <w:rFonts w:ascii="Cambria Math" w:eastAsia="Calibri" w:hAnsi="Calibri" w:cs="Calibri"/>
                  <w:sz w:val="18"/>
                  <w:szCs w:val="18"/>
                </w:rPr>
                <m:t>ö</m:t>
              </m:r>
              <m:r>
                <m:rPr>
                  <m:nor/>
                </m:rPr>
                <w:rPr>
                  <w:rFonts w:ascii="Cambria Math" w:eastAsia="Calibri" w:hAnsi="Calibri" w:cs="Calibri"/>
                  <w:sz w:val="18"/>
                  <w:szCs w:val="18"/>
                </w:rPr>
                <m:t>gerte Pod-Vorg</m:t>
              </m:r>
              <m:r>
                <m:rPr>
                  <m:nor/>
                </m:rPr>
                <w:rPr>
                  <w:rFonts w:ascii="Cambria Math" w:eastAsia="Calibri" w:hAnsi="Calibri" w:cs="Calibri"/>
                  <w:sz w:val="18"/>
                  <w:szCs w:val="18"/>
                </w:rPr>
                <m:t>ä</m:t>
              </m:r>
              <m:r>
                <m:rPr>
                  <m:nor/>
                </m:rPr>
                <w:rPr>
                  <w:rFonts w:ascii="Cambria Math" w:eastAsia="Calibri" w:hAnsi="Calibri" w:cs="Calibri"/>
                  <w:sz w:val="18"/>
                  <w:szCs w:val="18"/>
                </w:rPr>
                <m:t>nge</m:t>
              </m:r>
            </m:num>
            <m:den>
              <m:r>
                <m:rPr>
                  <m:nor/>
                </m:rPr>
                <w:rPr>
                  <w:rFonts w:ascii="Cambria Math" w:eastAsia="Calibri" w:hAnsi="Calibri" w:cs="Calibri"/>
                  <w:sz w:val="18"/>
                  <w:szCs w:val="18"/>
                </w:rPr>
                <m:t>Gesamtanzahl Pod-Vorg</m:t>
              </m:r>
              <m:r>
                <m:rPr>
                  <m:nor/>
                </m:rPr>
                <w:rPr>
                  <w:rFonts w:ascii="Cambria Math" w:eastAsia="Calibri" w:hAnsi="Calibri" w:cs="Calibri"/>
                  <w:sz w:val="18"/>
                  <w:szCs w:val="18"/>
                </w:rPr>
                <m:t>ä</m:t>
              </m:r>
              <m:r>
                <m:rPr>
                  <m:nor/>
                </m:rPr>
                <w:rPr>
                  <w:rFonts w:ascii="Cambria Math" w:eastAsia="Calibri" w:hAnsi="Calibri" w:cs="Calibri"/>
                  <w:sz w:val="18"/>
                  <w:szCs w:val="18"/>
                </w:rPr>
                <m:t>nge</m:t>
              </m:r>
            </m:den>
          </m:f>
          <m:r>
            <w:rPr>
              <w:rFonts w:ascii="Cambria Math" w:eastAsia="Calibri" w:hAnsi="Cambria Math" w:cs="Calibri"/>
              <w:sz w:val="18"/>
              <w:szCs w:val="18"/>
            </w:rPr>
            <m:t> x 100</m:t>
          </m:r>
        </m:oMath>
      </m:oMathPara>
    </w:p>
    <w:p w14:paraId="4F4BE809" w14:textId="77777777" w:rsidR="007011AA" w:rsidRPr="00BB7DD2" w:rsidRDefault="007011AA" w:rsidP="007011AA">
      <w:pPr>
        <w:spacing w:after="0"/>
        <w:rPr>
          <w:rFonts w:ascii="Calibri" w:eastAsia="Calibri" w:hAnsi="Calibri" w:cs="Calibri"/>
          <w:b/>
          <w:bCs/>
          <w:color w:val="00188F"/>
          <w:sz w:val="18"/>
          <w:szCs w:val="18"/>
        </w:rPr>
      </w:pPr>
      <w:r>
        <w:rPr>
          <w:rFonts w:ascii="Calibri" w:eastAsia="Calibri" w:hAnsi="Calibri" w:cs="Calibri"/>
          <w:b/>
          <w:bCs/>
          <w:color w:val="00188F"/>
          <w:sz w:val="18"/>
          <w:szCs w:val="18"/>
        </w:rPr>
        <w:t>Bereitschaftsprozentsatz, Servicegutschrift</w:t>
      </w:r>
    </w:p>
    <w:tbl>
      <w:tblPr>
        <w:tblW w:w="10790" w:type="dxa"/>
        <w:tblLayout w:type="fixed"/>
        <w:tblLook w:val="04A0" w:firstRow="1" w:lastRow="0" w:firstColumn="1" w:lastColumn="0" w:noHBand="0" w:noVBand="1"/>
      </w:tblPr>
      <w:tblGrid>
        <w:gridCol w:w="5168"/>
        <w:gridCol w:w="5622"/>
      </w:tblGrid>
      <w:tr w:rsidR="007011AA" w:rsidRPr="00BB7DD2" w14:paraId="3159279E" w14:textId="77777777" w:rsidTr="00B52DDF">
        <w:trPr>
          <w:trHeight w:val="245"/>
        </w:trPr>
        <w:tc>
          <w:tcPr>
            <w:tcW w:w="5168"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2E118D18" w14:textId="77777777" w:rsidR="007011AA" w:rsidRPr="00AC39A0" w:rsidRDefault="007011AA" w:rsidP="00B52DDF">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Bereitschaftsprozentsatz</w:t>
            </w:r>
          </w:p>
        </w:tc>
        <w:tc>
          <w:tcPr>
            <w:tcW w:w="5622"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725E93CE" w14:textId="77777777" w:rsidR="007011AA" w:rsidRPr="00BB7DD2" w:rsidRDefault="007011AA" w:rsidP="00B52DDF">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Servicegutschrift</w:t>
            </w:r>
          </w:p>
        </w:tc>
      </w:tr>
      <w:tr w:rsidR="007011AA" w:rsidRPr="00BB7DD2" w14:paraId="7120A15C" w14:textId="77777777" w:rsidTr="00B52DDF">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451B3E3" w14:textId="77777777" w:rsidR="007011AA" w:rsidRPr="00AC39A0" w:rsidRDefault="007011AA" w:rsidP="00B52DDF">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99,9 %</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D6EDCFE" w14:textId="77777777" w:rsidR="007011AA" w:rsidRPr="00AC39A0" w:rsidRDefault="007011AA" w:rsidP="00B52DDF">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10 %</w:t>
            </w:r>
          </w:p>
        </w:tc>
      </w:tr>
      <w:tr w:rsidR="007011AA" w:rsidRPr="00BB7DD2" w14:paraId="77284328" w14:textId="77777777" w:rsidTr="00B52DDF">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BDB4342" w14:textId="77777777" w:rsidR="007011AA" w:rsidRPr="00AC39A0" w:rsidRDefault="007011AA" w:rsidP="00B52DDF">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99 %</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5AFDFC3" w14:textId="77777777" w:rsidR="007011AA" w:rsidRPr="00AC39A0" w:rsidRDefault="007011AA" w:rsidP="00B52DDF">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25 %</w:t>
            </w:r>
          </w:p>
        </w:tc>
      </w:tr>
      <w:tr w:rsidR="007011AA" w:rsidRPr="00BB7DD2" w14:paraId="2FD176BB" w14:textId="77777777" w:rsidTr="00B52DDF">
        <w:trPr>
          <w:trHeight w:val="245"/>
        </w:trPr>
        <w:tc>
          <w:tcPr>
            <w:tcW w:w="5168" w:type="dxa"/>
            <w:tcBorders>
              <w:top w:val="single" w:sz="8" w:space="0" w:color="000000"/>
              <w:left w:val="single" w:sz="8" w:space="0" w:color="000000"/>
              <w:bottom w:val="single" w:sz="8" w:space="0" w:color="auto"/>
              <w:right w:val="single" w:sz="8" w:space="0" w:color="000000"/>
            </w:tcBorders>
            <w:tcMar>
              <w:left w:w="108" w:type="dxa"/>
              <w:right w:w="108" w:type="dxa"/>
            </w:tcMar>
          </w:tcPr>
          <w:p w14:paraId="5EA55788" w14:textId="77777777" w:rsidR="007011AA" w:rsidRPr="00AC39A0" w:rsidRDefault="007011AA" w:rsidP="00B52DDF">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95 %</w:t>
            </w:r>
          </w:p>
        </w:tc>
        <w:tc>
          <w:tcPr>
            <w:tcW w:w="5622" w:type="dxa"/>
            <w:tcBorders>
              <w:top w:val="single" w:sz="8" w:space="0" w:color="000000"/>
              <w:left w:val="single" w:sz="8" w:space="0" w:color="000000"/>
              <w:bottom w:val="single" w:sz="8" w:space="0" w:color="auto"/>
              <w:right w:val="single" w:sz="8" w:space="0" w:color="000000"/>
            </w:tcBorders>
            <w:tcMar>
              <w:left w:w="108" w:type="dxa"/>
              <w:right w:w="108" w:type="dxa"/>
            </w:tcMar>
          </w:tcPr>
          <w:p w14:paraId="081BDBF2" w14:textId="77777777" w:rsidR="007011AA" w:rsidRPr="00AC39A0" w:rsidRDefault="007011AA" w:rsidP="00B52DDF">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50 %</w:t>
            </w:r>
          </w:p>
        </w:tc>
      </w:tr>
    </w:tbl>
    <w:p w14:paraId="46D1AEF4" w14:textId="77777777" w:rsidR="0003077D" w:rsidRPr="00D67F75" w:rsidRDefault="0003077D" w:rsidP="0003077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32D3DD52" w14:textId="6EAFEB03" w:rsidR="00EE79C5" w:rsidRPr="00EF7CF9" w:rsidRDefault="00EE79C5" w:rsidP="00EE79C5">
      <w:pPr>
        <w:pStyle w:val="ProductList-Offering2Heading"/>
        <w:tabs>
          <w:tab w:val="clear" w:pos="360"/>
          <w:tab w:val="clear" w:pos="720"/>
          <w:tab w:val="clear" w:pos="1080"/>
        </w:tabs>
        <w:outlineLvl w:val="2"/>
      </w:pPr>
      <w:bookmarkStart w:id="407" w:name="_Toc237449024"/>
      <w:r>
        <w:t>Azure Lab-Dienste</w:t>
      </w:r>
      <w:bookmarkEnd w:id="402"/>
      <w:bookmarkEnd w:id="403"/>
      <w:bookmarkEnd w:id="405"/>
      <w:bookmarkEnd w:id="407"/>
    </w:p>
    <w:p w14:paraId="04DE5421" w14:textId="77777777" w:rsidR="00EE79C5" w:rsidRPr="00620CAD" w:rsidRDefault="00EE79C5" w:rsidP="00EE79C5">
      <w:pPr>
        <w:pStyle w:val="ProductList-Body"/>
        <w:rPr>
          <w:szCs w:val="18"/>
        </w:rPr>
      </w:pPr>
      <w:r w:rsidRPr="00620CAD">
        <w:rPr>
          <w:b/>
          <w:color w:val="00188F"/>
          <w:szCs w:val="18"/>
        </w:rPr>
        <w:t>Zusätzliche Definitionen</w:t>
      </w:r>
      <w:r w:rsidRPr="00620CAD">
        <w:rPr>
          <w:b/>
          <w:bCs/>
          <w:color w:val="00188F"/>
          <w:szCs w:val="18"/>
        </w:rPr>
        <w:t>:</w:t>
      </w:r>
    </w:p>
    <w:p w14:paraId="604E3873" w14:textId="77777777" w:rsidR="00EE79C5" w:rsidRPr="00620CAD" w:rsidRDefault="00EE79C5" w:rsidP="00EE79C5">
      <w:pPr>
        <w:pStyle w:val="NormalWeb"/>
        <w:spacing w:before="0" w:beforeAutospacing="0" w:after="0" w:afterAutospacing="0"/>
        <w:rPr>
          <w:rFonts w:asciiTheme="minorHAnsi" w:eastAsiaTheme="minorHAnsi" w:hAnsiTheme="minorHAnsi" w:cstheme="minorBidi"/>
          <w:sz w:val="18"/>
          <w:szCs w:val="18"/>
        </w:rPr>
      </w:pPr>
      <w:r w:rsidRPr="00620CAD">
        <w:rPr>
          <w:rFonts w:asciiTheme="minorHAnsi" w:eastAsiaTheme="minorHAnsi" w:hAnsiTheme="minorHAnsi" w:cstheme="minorBidi"/>
          <w:sz w:val="18"/>
          <w:szCs w:val="18"/>
        </w:rPr>
        <w:t>„</w:t>
      </w:r>
      <w:r w:rsidRPr="00620CAD">
        <w:rPr>
          <w:rFonts w:asciiTheme="minorHAnsi" w:eastAsiaTheme="minorHAnsi" w:hAnsiTheme="minorHAnsi" w:cstheme="minorBidi"/>
          <w:b/>
          <w:color w:val="00188F"/>
          <w:sz w:val="18"/>
          <w:szCs w:val="18"/>
        </w:rPr>
        <w:t>Virtueller Computer (Lab)</w:t>
      </w:r>
      <w:r w:rsidRPr="00620CAD">
        <w:rPr>
          <w:rFonts w:asciiTheme="minorHAnsi" w:eastAsiaTheme="minorHAnsi" w:hAnsiTheme="minorHAnsi" w:cstheme="minorBidi"/>
          <w:sz w:val="18"/>
          <w:szCs w:val="18"/>
        </w:rPr>
        <w:t>“ ist definiert als jeder virtuelle Computer, die innerhalb eines Labors in Azure Lab-Diensten bereitgestellt wird.</w:t>
      </w:r>
    </w:p>
    <w:p w14:paraId="189F57BC" w14:textId="77777777" w:rsidR="00EE79C5" w:rsidRDefault="00EE79C5" w:rsidP="00EE79C5">
      <w:pPr>
        <w:pStyle w:val="NormalWeb"/>
        <w:spacing w:before="0" w:beforeAutospacing="0" w:after="0" w:afterAutospacing="0"/>
        <w:rPr>
          <w:rFonts w:asciiTheme="minorHAnsi" w:eastAsiaTheme="minorHAnsi" w:hAnsiTheme="minorHAnsi" w:cstheme="minorBidi"/>
          <w:sz w:val="18"/>
          <w:szCs w:val="18"/>
        </w:rPr>
      </w:pPr>
      <w:r w:rsidRPr="00620CAD">
        <w:rPr>
          <w:rFonts w:asciiTheme="minorHAnsi" w:eastAsiaTheme="minorHAnsi" w:hAnsiTheme="minorHAnsi" w:cstheme="minorBidi"/>
          <w:sz w:val="18"/>
          <w:szCs w:val="18"/>
        </w:rPr>
        <w:t>„</w:t>
      </w:r>
      <w:r w:rsidRPr="00620CAD">
        <w:rPr>
          <w:rFonts w:asciiTheme="minorHAnsi" w:eastAsiaTheme="minorHAnsi" w:hAnsiTheme="minorHAnsi" w:cstheme="minorBidi"/>
          <w:b/>
          <w:color w:val="00188F"/>
          <w:sz w:val="18"/>
          <w:szCs w:val="18"/>
        </w:rPr>
        <w:t>Virtueller Computer (Lab) in Konnektivität</w:t>
      </w:r>
      <w:r w:rsidRPr="00620CAD">
        <w:rPr>
          <w:rFonts w:asciiTheme="minorHAnsi" w:eastAsiaTheme="minorHAnsi" w:hAnsiTheme="minorHAnsi" w:cstheme="minorBidi"/>
          <w:sz w:val="18"/>
          <w:szCs w:val="18"/>
        </w:rPr>
        <w:t>“</w:t>
      </w:r>
      <w:r w:rsidRPr="00620CAD">
        <w:rPr>
          <w:color w:val="000000"/>
          <w:sz w:val="18"/>
          <w:szCs w:val="18"/>
        </w:rPr>
        <w:t xml:space="preserve"> </w:t>
      </w:r>
      <w:r w:rsidRPr="00620CAD">
        <w:rPr>
          <w:rFonts w:asciiTheme="minorHAnsi" w:eastAsiaTheme="minorHAnsi" w:hAnsiTheme="minorHAnsi" w:cstheme="minorBidi"/>
          <w:sz w:val="18"/>
          <w:szCs w:val="18"/>
        </w:rPr>
        <w:t>ist bidirektionaler Netzwerkverkehr zwischen dem Virtuellen Computer (Lab) und anderen IP-Adressen unter Verwendung von TCP- oder UDP-Netzwerkprotokollen, bei denen der Virtuelle Computer (Lab) für zulässigen Datenverkehr konfiguriert ist. Die IP-Adressen können IP-Adressen, die sich im selben virtuellen Netzwerk wie der Virtuelle Computer (Lab) befinden, oder öffentliche, routingfähige IP-Adressen sein.</w:t>
      </w:r>
    </w:p>
    <w:p w14:paraId="4708DE87" w14:textId="77777777" w:rsidR="00882CC6" w:rsidRPr="00620CAD" w:rsidRDefault="00882CC6" w:rsidP="00882CC6">
      <w:pPr>
        <w:keepNext/>
        <w:spacing w:after="0" w:line="240" w:lineRule="auto"/>
        <w:rPr>
          <w:b/>
          <w:bCs/>
          <w:color w:val="00188F"/>
          <w:sz w:val="18"/>
          <w:szCs w:val="18"/>
        </w:rPr>
      </w:pPr>
      <w:bookmarkStart w:id="408" w:name="_Toc510793664"/>
      <w:r w:rsidRPr="00620CAD">
        <w:rPr>
          <w:b/>
          <w:bCs/>
          <w:color w:val="00188F"/>
          <w:sz w:val="18"/>
          <w:szCs w:val="18"/>
        </w:rPr>
        <w:t>Berechnung der Betriebszeit und Service-Levels für Azure Lab-Dienste</w:t>
      </w:r>
    </w:p>
    <w:p w14:paraId="3A4DC5E6" w14:textId="77777777" w:rsidR="00882CC6" w:rsidRPr="00620CAD" w:rsidRDefault="00882CC6" w:rsidP="00882CC6">
      <w:pPr>
        <w:spacing w:after="0" w:line="240" w:lineRule="auto"/>
        <w:rPr>
          <w:sz w:val="18"/>
          <w:szCs w:val="18"/>
        </w:rPr>
      </w:pPr>
      <w:r w:rsidRPr="00620CAD">
        <w:rPr>
          <w:sz w:val="18"/>
          <w:szCs w:val="18"/>
        </w:rPr>
        <w:t>„</w:t>
      </w:r>
      <w:r w:rsidRPr="00620CAD">
        <w:rPr>
          <w:b/>
          <w:color w:val="00188F"/>
          <w:sz w:val="18"/>
          <w:szCs w:val="18"/>
        </w:rPr>
        <w:t>Minuten im Anwendbaren Zeitraum</w:t>
      </w:r>
      <w:r>
        <w:rPr>
          <w:sz w:val="18"/>
        </w:rPr>
        <w:t>“</w:t>
      </w:r>
      <w:r w:rsidRPr="00620CAD">
        <w:rPr>
          <w:sz w:val="18"/>
          <w:szCs w:val="18"/>
        </w:rPr>
        <w:t xml:space="preserve"> ist die Gesamtzahl der Minuten in einem bestimmten Anwendbaren Zeitraum.</w:t>
      </w:r>
    </w:p>
    <w:p w14:paraId="54ADDA3A" w14:textId="77777777" w:rsidR="00882CC6" w:rsidRPr="00620CAD" w:rsidRDefault="00882CC6" w:rsidP="00882CC6">
      <w:pPr>
        <w:spacing w:after="0" w:line="240" w:lineRule="auto"/>
        <w:rPr>
          <w:sz w:val="18"/>
          <w:szCs w:val="18"/>
        </w:rPr>
      </w:pPr>
      <w:r w:rsidRPr="00620CAD">
        <w:rPr>
          <w:sz w:val="18"/>
          <w:szCs w:val="18"/>
        </w:rPr>
        <w:t>„</w:t>
      </w:r>
      <w:r w:rsidRPr="00620CAD">
        <w:rPr>
          <w:b/>
          <w:color w:val="00188F"/>
          <w:sz w:val="18"/>
          <w:szCs w:val="18"/>
        </w:rPr>
        <w:t>Ausfallzeit</w:t>
      </w:r>
      <w:r w:rsidRPr="00620CAD">
        <w:rPr>
          <w:sz w:val="18"/>
          <w:szCs w:val="18"/>
        </w:rPr>
        <w:t>“ ist die Gesamtzahl der kumulierten Minuten, die Teil der Minuten im Anwendbaren Zeitraum sind, in denen keine Verbindung mit Virtuellen Computern (Lab) besteht.</w:t>
      </w:r>
    </w:p>
    <w:p w14:paraId="2C99BC76" w14:textId="77777777" w:rsidR="00882CC6" w:rsidRPr="00620CAD" w:rsidRDefault="00882CC6" w:rsidP="00882CC6">
      <w:pPr>
        <w:pStyle w:val="ProductList-Body"/>
        <w:rPr>
          <w:szCs w:val="18"/>
        </w:rPr>
      </w:pPr>
      <w:r w:rsidRPr="00620CAD">
        <w:rPr>
          <w:szCs w:val="18"/>
        </w:rPr>
        <w:t>Der „</w:t>
      </w:r>
      <w:r w:rsidRPr="00620CAD">
        <w:rPr>
          <w:b/>
          <w:color w:val="00188F"/>
          <w:szCs w:val="18"/>
        </w:rPr>
        <w:t>Betriebszeitprozentsatz</w:t>
      </w:r>
      <w:r w:rsidRPr="00620CAD">
        <w:rPr>
          <w:szCs w:val="18"/>
        </w:rPr>
        <w:t>“ wird durch den prozentualen Anteil der Minuten in einem Anwendbaren Zeitraum für ein bestimmtes Microsoft Azure-Abonnement berechnet, in denen ein beliebiger Virtueller Computer (Lab) eine Ausfallzeit hatte.</w:t>
      </w:r>
    </w:p>
    <w:p w14:paraId="20DFC918" w14:textId="77777777" w:rsidR="00882CC6" w:rsidRPr="00EF7CF9" w:rsidRDefault="00882CC6" w:rsidP="00882CC6">
      <w:pPr>
        <w:pStyle w:val="ProductList-Body"/>
        <w:keepNext/>
        <w:keepLines/>
      </w:pPr>
      <w:r>
        <w:t>Der Betriebszeitprozentsatz errechnet sich nach folgender Formel:</w:t>
      </w:r>
    </w:p>
    <w:p w14:paraId="5D0512EF" w14:textId="77777777" w:rsidR="00882CC6" w:rsidRPr="007E787D" w:rsidRDefault="00000000" w:rsidP="00D07977">
      <w:pPr>
        <w:pStyle w:val="ListParagraph"/>
        <w:keepNext/>
        <w:keepLines/>
        <w:spacing w:before="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Minuten im Anwendbaren Zeitraum abzüglich Ausfallzeit</m:t>
              </m:r>
            </m:num>
            <m:den>
              <m:r>
                <m:rPr>
                  <m:nor/>
                </m:rPr>
                <w:rPr>
                  <w:rFonts w:ascii="Cambria Math" w:hAnsi="Cambria Math" w:cs="Tahoma"/>
                  <w:i/>
                  <w:sz w:val="18"/>
                  <w:szCs w:val="18"/>
                </w:rPr>
                <m:t>Minuten im Anwendbaren Zeitraum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6B43BB5" w14:textId="688C54D1" w:rsidR="00882CC6" w:rsidRPr="00EF7CF9" w:rsidRDefault="00882CC6" w:rsidP="00882CC6">
      <w:pPr>
        <w:pStyle w:val="ProductList-Body"/>
      </w:pPr>
      <w:r>
        <w:rPr>
          <w:b/>
          <w:color w:val="00188F"/>
        </w:rPr>
        <w:t>Die folgenden Servicelevels und Servicegutschriften gelten für die Nutzung des Virtuellen Computers (Lab) durch den Kunden</w:t>
      </w:r>
      <w:r w:rsidRPr="0008262F">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82CC6" w:rsidRPr="00B44CF9" w14:paraId="76FA860D" w14:textId="77777777" w:rsidTr="00E00804">
        <w:trPr>
          <w:tblHeader/>
        </w:trPr>
        <w:tc>
          <w:tcPr>
            <w:tcW w:w="5400" w:type="dxa"/>
            <w:shd w:val="clear" w:color="auto" w:fill="0072C6"/>
          </w:tcPr>
          <w:p w14:paraId="6B636345" w14:textId="77777777" w:rsidR="00882CC6" w:rsidRPr="00EF7CF9" w:rsidRDefault="00882CC6" w:rsidP="00E0080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5EE44A12" w14:textId="77777777" w:rsidR="00882CC6" w:rsidRPr="00EF7CF9" w:rsidRDefault="00882CC6" w:rsidP="00E00804">
            <w:pPr>
              <w:pStyle w:val="ProductList-OfferingBody"/>
              <w:jc w:val="center"/>
              <w:rPr>
                <w:color w:val="FFFFFF" w:themeColor="background1"/>
              </w:rPr>
            </w:pPr>
            <w:r>
              <w:rPr>
                <w:color w:val="FFFFFF" w:themeColor="background1"/>
              </w:rPr>
              <w:t>Servicegutschrift</w:t>
            </w:r>
          </w:p>
        </w:tc>
      </w:tr>
      <w:tr w:rsidR="00882CC6" w:rsidRPr="00B44CF9" w14:paraId="6778EB4F" w14:textId="77777777" w:rsidTr="00E00804">
        <w:tc>
          <w:tcPr>
            <w:tcW w:w="5400" w:type="dxa"/>
          </w:tcPr>
          <w:p w14:paraId="03F5A80C" w14:textId="77777777" w:rsidR="00882CC6" w:rsidRPr="00EF7CF9" w:rsidRDefault="00882CC6" w:rsidP="00E00804">
            <w:pPr>
              <w:pStyle w:val="ProductList-OfferingBody"/>
              <w:jc w:val="center"/>
            </w:pPr>
            <w:r>
              <w:t>&lt; 99,9 %</w:t>
            </w:r>
          </w:p>
        </w:tc>
        <w:tc>
          <w:tcPr>
            <w:tcW w:w="5400" w:type="dxa"/>
          </w:tcPr>
          <w:p w14:paraId="023C89A3" w14:textId="77777777" w:rsidR="00882CC6" w:rsidRPr="00EF7CF9" w:rsidRDefault="00882CC6" w:rsidP="00E00804">
            <w:pPr>
              <w:pStyle w:val="ProductList-OfferingBody"/>
              <w:jc w:val="center"/>
            </w:pPr>
            <w:r>
              <w:t>10 %</w:t>
            </w:r>
          </w:p>
        </w:tc>
      </w:tr>
      <w:tr w:rsidR="00882CC6" w:rsidRPr="00B44CF9" w14:paraId="66ACF78F" w14:textId="77777777" w:rsidTr="00E00804">
        <w:tc>
          <w:tcPr>
            <w:tcW w:w="5400" w:type="dxa"/>
          </w:tcPr>
          <w:p w14:paraId="24E81F47" w14:textId="77777777" w:rsidR="00882CC6" w:rsidRPr="00EF7CF9" w:rsidRDefault="00882CC6" w:rsidP="00E00804">
            <w:pPr>
              <w:pStyle w:val="ProductList-OfferingBody"/>
              <w:jc w:val="center"/>
            </w:pPr>
            <w:r>
              <w:t>&lt; 99 %</w:t>
            </w:r>
          </w:p>
        </w:tc>
        <w:tc>
          <w:tcPr>
            <w:tcW w:w="5400" w:type="dxa"/>
          </w:tcPr>
          <w:p w14:paraId="7804AEA5" w14:textId="77777777" w:rsidR="00882CC6" w:rsidRPr="00EF7CF9" w:rsidRDefault="00882CC6" w:rsidP="00E00804">
            <w:pPr>
              <w:pStyle w:val="ProductList-OfferingBody"/>
              <w:jc w:val="center"/>
            </w:pPr>
            <w:r>
              <w:t>25 %</w:t>
            </w:r>
          </w:p>
        </w:tc>
      </w:tr>
    </w:tbl>
    <w:bookmarkStart w:id="409" w:name="_Toc52348934"/>
    <w:p w14:paraId="14A22076" w14:textId="77777777" w:rsidR="00882CC6" w:rsidRPr="00D67F75" w:rsidRDefault="00882CC6" w:rsidP="00882CC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2AC41DD8" w14:textId="77777777" w:rsidR="00882CC6" w:rsidRDefault="00882CC6" w:rsidP="00882CC6">
      <w:pPr>
        <w:pStyle w:val="ProductList-Offering2Heading"/>
        <w:tabs>
          <w:tab w:val="clear" w:pos="360"/>
          <w:tab w:val="clear" w:pos="720"/>
          <w:tab w:val="clear" w:pos="1080"/>
        </w:tabs>
        <w:outlineLvl w:val="2"/>
      </w:pPr>
      <w:bookmarkStart w:id="410" w:name="_Toc195543165"/>
      <w:bookmarkStart w:id="411" w:name="_Toc237449025"/>
      <w:r>
        <w:t>Azure Load Balancer</w:t>
      </w:r>
      <w:bookmarkEnd w:id="408"/>
      <w:bookmarkEnd w:id="409"/>
      <w:bookmarkEnd w:id="410"/>
      <w:bookmarkEnd w:id="411"/>
    </w:p>
    <w:p w14:paraId="40B9AC2E" w14:textId="77777777" w:rsidR="00882CC6" w:rsidRPr="00911548" w:rsidRDefault="00882CC6" w:rsidP="00882CC6">
      <w:pPr>
        <w:pStyle w:val="ProductList-Body"/>
      </w:pPr>
      <w:r>
        <w:rPr>
          <w:b/>
          <w:color w:val="00188F"/>
        </w:rPr>
        <w:t>Zusätzliche Definitionen</w:t>
      </w:r>
      <w:r w:rsidRPr="0008262F">
        <w:rPr>
          <w:b/>
          <w:bCs/>
          <w:color w:val="00188F"/>
        </w:rPr>
        <w:t>:</w:t>
      </w:r>
    </w:p>
    <w:p w14:paraId="2E0F29D8" w14:textId="77777777" w:rsidR="00882CC6" w:rsidRPr="00EB0868" w:rsidRDefault="00882CC6" w:rsidP="00882CC6">
      <w:pPr>
        <w:spacing w:after="0" w:line="240" w:lineRule="auto"/>
        <w:rPr>
          <w:sz w:val="18"/>
        </w:rPr>
      </w:pPr>
      <w:r>
        <w:rPr>
          <w:sz w:val="18"/>
        </w:rPr>
        <w:t>„</w:t>
      </w:r>
      <w:r>
        <w:rPr>
          <w:b/>
          <w:color w:val="00188F"/>
          <w:sz w:val="18"/>
        </w:rPr>
        <w:t>Endpunkt mit Lastenausgleich</w:t>
      </w:r>
      <w:r>
        <w:rPr>
          <w:sz w:val="18"/>
        </w:rPr>
        <w:t>“ ist eine Definition einer IP-Adresse und des zugehörigen IP-Transport-Ports.</w:t>
      </w:r>
    </w:p>
    <w:p w14:paraId="16C501BD" w14:textId="77777777" w:rsidR="00882CC6" w:rsidRPr="00EB0868" w:rsidRDefault="00882CC6" w:rsidP="00882CC6">
      <w:pPr>
        <w:spacing w:after="0" w:line="240" w:lineRule="auto"/>
        <w:rPr>
          <w:sz w:val="18"/>
        </w:rPr>
      </w:pPr>
      <w:r>
        <w:rPr>
          <w:sz w:val="18"/>
        </w:rPr>
        <w:t>„</w:t>
      </w:r>
      <w:r>
        <w:rPr>
          <w:b/>
          <w:color w:val="00188F"/>
          <w:sz w:val="18"/>
        </w:rPr>
        <w:t>Fehlerfreier Virtueller Computer</w:t>
      </w:r>
      <w:r>
        <w:rPr>
          <w:sz w:val="18"/>
        </w:rPr>
        <w:t>“ ist ein Virtueller Computer, der einen Erfolgscode für den vom Azure Standard Load Balancer gesendeten Integritätstest ausgibt. Der Virtuelle Computer muss Netzwerksicherheitsgruppenregeln befolgen, die die Kommunikation mit dem symmetrisch belasteten Port zulassen.</w:t>
      </w:r>
    </w:p>
    <w:p w14:paraId="1EE060F7" w14:textId="77777777" w:rsidR="00882CC6" w:rsidRPr="00EB0868" w:rsidRDefault="00882CC6" w:rsidP="00882CC6">
      <w:pPr>
        <w:spacing w:after="0" w:line="240" w:lineRule="auto"/>
        <w:rPr>
          <w:sz w:val="18"/>
        </w:rPr>
      </w:pPr>
      <w:r>
        <w:rPr>
          <w:sz w:val="18"/>
        </w:rPr>
        <w:t>„</w:t>
      </w:r>
      <w:r>
        <w:rPr>
          <w:b/>
          <w:color w:val="00188F"/>
          <w:sz w:val="18"/>
        </w:rPr>
        <w:t>Konnektivität</w:t>
      </w:r>
      <w:r>
        <w:rPr>
          <w:sz w:val="18"/>
        </w:rPr>
        <w:t>“ ist bidirektionaler Netzwerkverkehr über unterstützte IP-Transportprotokolle, der von jeder IP-Adresse, die so konfiguriert ist, dass Datenverkehr zugelassen wird, gesendet und empfangen werden kann.</w:t>
      </w:r>
    </w:p>
    <w:p w14:paraId="65563B86" w14:textId="77777777" w:rsidR="00882CC6" w:rsidRPr="00ED4527" w:rsidRDefault="00882CC6" w:rsidP="009062DF">
      <w:pPr>
        <w:spacing w:after="0" w:line="240" w:lineRule="auto"/>
        <w:rPr>
          <w:b/>
          <w:bCs/>
          <w:color w:val="00188F"/>
          <w:sz w:val="18"/>
        </w:rPr>
      </w:pPr>
      <w:r>
        <w:rPr>
          <w:b/>
          <w:bCs/>
          <w:color w:val="00188F"/>
          <w:sz w:val="18"/>
        </w:rPr>
        <w:t>Berechnung der Betriebszeit und Service-Levels für Azure Load Balancer</w:t>
      </w:r>
    </w:p>
    <w:p w14:paraId="38366D68" w14:textId="77777777" w:rsidR="00882CC6" w:rsidRPr="006C1AC0" w:rsidRDefault="00882CC6" w:rsidP="00882CC6">
      <w:pPr>
        <w:spacing w:after="0" w:line="240" w:lineRule="auto"/>
        <w:rPr>
          <w:sz w:val="18"/>
        </w:rPr>
      </w:pPr>
      <w:r>
        <w:rPr>
          <w:sz w:val="18"/>
        </w:rPr>
        <w:t>„</w:t>
      </w:r>
      <w:r>
        <w:rPr>
          <w:b/>
          <w:color w:val="00188F"/>
          <w:sz w:val="18"/>
        </w:rPr>
        <w:t>Maximal Verfügbare Minuten</w:t>
      </w:r>
      <w:r>
        <w:rPr>
          <w:sz w:val="18"/>
        </w:rPr>
        <w:t>“ ist die Gesamtzahl der Minuten, in denen ein bestimmter Azure Standard Load Balancer (der zwei oder mehr Fehlerfreie Virtuelle Computer bedient) vom Kunden in einem Microsoft Azure-Abonnement während eines Anwendbaren Zeitraums bereitgestellt wird.</w:t>
      </w:r>
    </w:p>
    <w:p w14:paraId="1B0FED93" w14:textId="77777777" w:rsidR="00882CC6" w:rsidRPr="006C1AC0" w:rsidRDefault="00882CC6" w:rsidP="00882CC6">
      <w:pPr>
        <w:spacing w:after="0" w:line="240" w:lineRule="auto"/>
        <w:rPr>
          <w:sz w:val="18"/>
        </w:rPr>
      </w:pPr>
      <w:r>
        <w:rPr>
          <w:sz w:val="18"/>
        </w:rPr>
        <w:t>„</w:t>
      </w:r>
      <w:r>
        <w:rPr>
          <w:b/>
          <w:color w:val="00188F"/>
          <w:sz w:val="18"/>
        </w:rPr>
        <w:t>Ausfallzeit</w:t>
      </w:r>
      <w:r>
        <w:rPr>
          <w:sz w:val="18"/>
        </w:rPr>
        <w:t>“ ist die Gesamtzahl der Minuten innerhalb der Maximal Verfügbaren Minuten, während denen ein Azure Standard Load Balancer nicht verfügbar ist. Eine Minute gilt als nicht verfügbar, wenn alle funktionierenden Virtuellen Computer keine Verbindung über den symmetrisch belasteten Endpunkt haben. Ausfallzeit umfasst keine Minuten, die aus SNAT-Portauslastungen resultieren.</w:t>
      </w:r>
    </w:p>
    <w:p w14:paraId="4D19DC1F" w14:textId="77777777" w:rsidR="00882CC6" w:rsidRPr="00ED4527" w:rsidRDefault="00882CC6" w:rsidP="00882CC6">
      <w:pPr>
        <w:pStyle w:val="ProductList-Body"/>
        <w:rPr>
          <w:color w:val="000000" w:themeColor="text1"/>
        </w:rPr>
      </w:pPr>
      <w:r>
        <w:t>Der „</w:t>
      </w:r>
      <w:r>
        <w:rPr>
          <w:b/>
          <w:bCs/>
          <w:color w:val="00188F"/>
        </w:rPr>
        <w:t>Betriebszeitprozentsatz</w:t>
      </w:r>
      <w:r w:rsidRPr="00620CAD">
        <w:t>“</w:t>
      </w:r>
      <w:r>
        <w:rPr>
          <w:color w:val="000000" w:themeColor="text1"/>
        </w:rPr>
        <w:t xml:space="preserve"> für den Azure Standard Load Balancer wird berechnet, indem die Ausfallzeit von der Maximal Verfügbaren Minutenzahl abgezogen, dieses Ergebnis durch die Maximal Verfügbare Minutenzahl dividiert und dann mit 100 multipliziert wird.</w:t>
      </w:r>
    </w:p>
    <w:p w14:paraId="741E622E" w14:textId="77777777" w:rsidR="00882CC6" w:rsidRDefault="00882CC6" w:rsidP="00882CC6">
      <w:pPr>
        <w:pStyle w:val="ProductList-Body"/>
      </w:pPr>
      <w:r>
        <w:rPr>
          <w:b/>
          <w:color w:val="00188F"/>
        </w:rPr>
        <w:t>Betriebszeitprozentsatz</w:t>
      </w:r>
      <w:r w:rsidRPr="0008262F">
        <w:rPr>
          <w:b/>
          <w:bCs/>
          <w:color w:val="00188F"/>
        </w:rPr>
        <w:t>:</w:t>
      </w:r>
      <w:r>
        <w:t xml:space="preserve"> Der Betriebszeitprozentsatz errechnet sich nach folgender Formel:</w:t>
      </w:r>
    </w:p>
    <w:p w14:paraId="1E739D60" w14:textId="77777777" w:rsidR="00882CC6" w:rsidRPr="007C7313" w:rsidRDefault="00000000" w:rsidP="009062DF">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54693AD9" w14:textId="77777777" w:rsidR="00882CC6" w:rsidRDefault="00882CC6" w:rsidP="00882CC6">
      <w:pPr>
        <w:pStyle w:val="ProductList-Body"/>
      </w:pPr>
      <w:r>
        <w:rPr>
          <w:b/>
          <w:color w:val="00188F"/>
        </w:rPr>
        <w:t>Die folgenden Servicelevels und Servicegutschriften gelten für die Nutzung von Azure Load Balancer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82CC6" w:rsidRPr="00B44CF9" w14:paraId="664E22C5" w14:textId="77777777" w:rsidTr="00E00804">
        <w:trPr>
          <w:tblHeader/>
        </w:trPr>
        <w:tc>
          <w:tcPr>
            <w:tcW w:w="5400" w:type="dxa"/>
            <w:shd w:val="clear" w:color="auto" w:fill="0072C6"/>
          </w:tcPr>
          <w:p w14:paraId="640381E7" w14:textId="77777777" w:rsidR="00882CC6" w:rsidRPr="001A0074" w:rsidRDefault="00882CC6" w:rsidP="00E0080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759B6A69" w14:textId="77777777" w:rsidR="00882CC6" w:rsidRPr="001A0074" w:rsidRDefault="00882CC6" w:rsidP="00E00804">
            <w:pPr>
              <w:pStyle w:val="ProductList-OfferingBody"/>
              <w:jc w:val="center"/>
              <w:rPr>
                <w:color w:val="FFFFFF" w:themeColor="background1"/>
              </w:rPr>
            </w:pPr>
            <w:r>
              <w:rPr>
                <w:color w:val="FFFFFF" w:themeColor="background1"/>
              </w:rPr>
              <w:t>Servicegutschrift</w:t>
            </w:r>
          </w:p>
        </w:tc>
      </w:tr>
      <w:tr w:rsidR="00882CC6" w:rsidRPr="00B44CF9" w14:paraId="36581A9D" w14:textId="77777777" w:rsidTr="00E00804">
        <w:tc>
          <w:tcPr>
            <w:tcW w:w="5400" w:type="dxa"/>
          </w:tcPr>
          <w:p w14:paraId="5E98DDAB" w14:textId="77777777" w:rsidR="00882CC6" w:rsidRPr="0076238C" w:rsidRDefault="00882CC6" w:rsidP="00E00804">
            <w:pPr>
              <w:pStyle w:val="ProductList-OfferingBody"/>
              <w:jc w:val="center"/>
            </w:pPr>
            <w:r>
              <w:t>&lt; 99,99 %</w:t>
            </w:r>
          </w:p>
        </w:tc>
        <w:tc>
          <w:tcPr>
            <w:tcW w:w="5400" w:type="dxa"/>
          </w:tcPr>
          <w:p w14:paraId="297CDDDC" w14:textId="77777777" w:rsidR="00882CC6" w:rsidRPr="0076238C" w:rsidRDefault="00882CC6" w:rsidP="00E00804">
            <w:pPr>
              <w:pStyle w:val="ProductList-OfferingBody"/>
              <w:jc w:val="center"/>
            </w:pPr>
            <w:r>
              <w:t>10 %</w:t>
            </w:r>
          </w:p>
        </w:tc>
      </w:tr>
      <w:tr w:rsidR="00882CC6" w:rsidRPr="00B44CF9" w14:paraId="66EE7913" w14:textId="77777777" w:rsidTr="00E00804">
        <w:tc>
          <w:tcPr>
            <w:tcW w:w="5400" w:type="dxa"/>
          </w:tcPr>
          <w:p w14:paraId="6D01BCC5" w14:textId="77777777" w:rsidR="00882CC6" w:rsidRPr="0076238C" w:rsidRDefault="00882CC6" w:rsidP="00E00804">
            <w:pPr>
              <w:pStyle w:val="ProductList-OfferingBody"/>
              <w:jc w:val="center"/>
            </w:pPr>
            <w:r>
              <w:t>&lt; 99,9 %</w:t>
            </w:r>
          </w:p>
        </w:tc>
        <w:tc>
          <w:tcPr>
            <w:tcW w:w="5400" w:type="dxa"/>
          </w:tcPr>
          <w:p w14:paraId="76B3B332" w14:textId="77777777" w:rsidR="00882CC6" w:rsidRPr="0076238C" w:rsidRDefault="00882CC6" w:rsidP="00E00804">
            <w:pPr>
              <w:pStyle w:val="ProductList-OfferingBody"/>
              <w:jc w:val="center"/>
            </w:pPr>
            <w:r>
              <w:t>25 %</w:t>
            </w:r>
          </w:p>
        </w:tc>
      </w:tr>
    </w:tbl>
    <w:p w14:paraId="65A7CE1A" w14:textId="77777777" w:rsidR="00882CC6" w:rsidRDefault="00882CC6" w:rsidP="00D950D8">
      <w:pPr>
        <w:pStyle w:val="ProductList-Body"/>
        <w:spacing w:before="120"/>
      </w:pPr>
      <w:r>
        <w:rPr>
          <w:b/>
          <w:color w:val="00188F"/>
        </w:rPr>
        <w:t>Servicelevel-Ausnahmen</w:t>
      </w:r>
      <w:r w:rsidRPr="0008262F">
        <w:rPr>
          <w:b/>
          <w:bCs/>
          <w:color w:val="00188F"/>
        </w:rPr>
        <w:t>:</w:t>
      </w:r>
      <w:r>
        <w:t xml:space="preserve"> Für Basic Load Balancer ist keine SLA vorgesehen.</w:t>
      </w:r>
    </w:p>
    <w:p w14:paraId="719AB37A" w14:textId="77777777" w:rsidR="00882CC6" w:rsidRPr="00D67F75" w:rsidRDefault="00882CC6" w:rsidP="00882CC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56E44F12" w14:textId="77777777" w:rsidR="00882CC6" w:rsidRDefault="00882CC6" w:rsidP="00882CC6">
      <w:pPr>
        <w:pStyle w:val="ProductList-Offering2Heading"/>
        <w:keepNext/>
        <w:tabs>
          <w:tab w:val="clear" w:pos="360"/>
        </w:tabs>
        <w:outlineLvl w:val="2"/>
      </w:pPr>
      <w:bookmarkStart w:id="412" w:name="_Toc195543166"/>
      <w:bookmarkStart w:id="413" w:name="_Toc237449026"/>
      <w:r>
        <w:t>Azure-Auslastungstests</w:t>
      </w:r>
      <w:bookmarkEnd w:id="412"/>
      <w:bookmarkEnd w:id="413"/>
    </w:p>
    <w:p w14:paraId="0FBA5A35" w14:textId="77777777" w:rsidR="00882CC6" w:rsidRPr="00620CAD" w:rsidRDefault="00882CC6" w:rsidP="00882CC6">
      <w:pPr>
        <w:pStyle w:val="ProductList-Body"/>
        <w:rPr>
          <w:rFonts w:cstheme="minorHAnsi"/>
          <w:b/>
          <w:color w:val="00188F"/>
          <w:szCs w:val="18"/>
        </w:rPr>
      </w:pPr>
      <w:r w:rsidRPr="00620CAD">
        <w:rPr>
          <w:rFonts w:cstheme="minorHAnsi"/>
          <w:b/>
          <w:color w:val="00188F"/>
          <w:szCs w:val="18"/>
        </w:rPr>
        <w:t>Zusätzliche Definitionen</w:t>
      </w:r>
    </w:p>
    <w:p w14:paraId="7B234F9C" w14:textId="77777777" w:rsidR="00882CC6" w:rsidRPr="00620CAD" w:rsidRDefault="00882CC6" w:rsidP="00882CC6">
      <w:pPr>
        <w:pStyle w:val="paragraph"/>
        <w:shd w:val="clear" w:color="auto" w:fill="FFFFFF"/>
        <w:spacing w:before="0" w:beforeAutospacing="0" w:after="0" w:afterAutospacing="0"/>
        <w:textAlignment w:val="baseline"/>
        <w:rPr>
          <w:rFonts w:asciiTheme="minorHAnsi" w:eastAsiaTheme="minorHAnsi" w:hAnsiTheme="minorHAnsi" w:cstheme="minorHAnsi"/>
          <w:sz w:val="18"/>
          <w:szCs w:val="18"/>
        </w:rPr>
      </w:pPr>
      <w:r w:rsidRPr="00620CAD">
        <w:rPr>
          <w:rFonts w:asciiTheme="minorHAnsi" w:hAnsiTheme="minorHAnsi" w:cstheme="minorHAnsi"/>
          <w:sz w:val="18"/>
          <w:szCs w:val="18"/>
        </w:rPr>
        <w:t>„</w:t>
      </w:r>
      <w:r w:rsidRPr="00620CAD">
        <w:rPr>
          <w:rFonts w:asciiTheme="minorHAnsi" w:eastAsiaTheme="minorHAnsi" w:hAnsiTheme="minorHAnsi" w:cstheme="minorHAnsi"/>
          <w:b/>
          <w:bCs/>
          <w:color w:val="00188F"/>
          <w:sz w:val="18"/>
          <w:szCs w:val="18"/>
        </w:rPr>
        <w:t>Bereitstellungsminuten</w:t>
      </w:r>
      <w:r w:rsidRPr="00620CAD">
        <w:rPr>
          <w:rFonts w:asciiTheme="minorHAnsi" w:eastAsiaTheme="minorHAnsi" w:hAnsiTheme="minorHAnsi" w:cstheme="minorBidi"/>
          <w:sz w:val="18"/>
          <w:szCs w:val="22"/>
        </w:rPr>
        <w:t>“</w:t>
      </w:r>
      <w:r w:rsidRPr="00620CAD">
        <w:rPr>
          <w:rFonts w:asciiTheme="minorHAnsi" w:eastAsiaTheme="minorHAnsi" w:hAnsiTheme="minorHAnsi" w:cstheme="minorHAnsi"/>
          <w:sz w:val="18"/>
          <w:szCs w:val="18"/>
        </w:rPr>
        <w:t xml:space="preserve"> ist die Gesamtzahl der Minuten, in denen ein bestimmter Azure-Auslastungstestdienst während eines Anwendbaren Zeitraums in Microsoft Azure bereitgestellt wird.  </w:t>
      </w:r>
    </w:p>
    <w:p w14:paraId="14B201E5" w14:textId="77777777" w:rsidR="00882CC6" w:rsidRPr="00620CAD" w:rsidRDefault="00882CC6" w:rsidP="00882CC6">
      <w:pPr>
        <w:pStyle w:val="paragraph"/>
        <w:shd w:val="clear" w:color="auto" w:fill="FFFFFF"/>
        <w:spacing w:before="0" w:beforeAutospacing="0" w:after="0" w:afterAutospacing="0"/>
        <w:textAlignment w:val="baseline"/>
        <w:rPr>
          <w:rFonts w:asciiTheme="minorHAnsi" w:eastAsiaTheme="minorHAnsi" w:hAnsiTheme="minorHAnsi" w:cstheme="minorHAnsi"/>
          <w:sz w:val="18"/>
          <w:szCs w:val="18"/>
        </w:rPr>
      </w:pPr>
      <w:r w:rsidRPr="00620CAD">
        <w:rPr>
          <w:rFonts w:asciiTheme="minorHAnsi" w:hAnsiTheme="minorHAnsi" w:cstheme="minorHAnsi"/>
          <w:sz w:val="18"/>
          <w:szCs w:val="18"/>
        </w:rPr>
        <w:t>„</w:t>
      </w:r>
      <w:r w:rsidRPr="00620CAD">
        <w:rPr>
          <w:rFonts w:asciiTheme="minorHAnsi" w:eastAsiaTheme="minorHAnsi" w:hAnsiTheme="minorHAnsi" w:cstheme="minorHAnsi"/>
          <w:b/>
          <w:bCs/>
          <w:color w:val="00188F"/>
          <w:sz w:val="18"/>
          <w:szCs w:val="18"/>
        </w:rPr>
        <w:t>Maximal Verfügbare Minuten</w:t>
      </w:r>
      <w:r w:rsidRPr="00620CAD">
        <w:rPr>
          <w:rFonts w:asciiTheme="minorHAnsi" w:eastAsiaTheme="minorHAnsi" w:hAnsiTheme="minorHAnsi" w:cstheme="minorBidi"/>
          <w:sz w:val="18"/>
          <w:szCs w:val="22"/>
        </w:rPr>
        <w:t>“</w:t>
      </w:r>
      <w:r w:rsidRPr="00620CAD">
        <w:rPr>
          <w:rFonts w:asciiTheme="minorHAnsi" w:eastAsiaTheme="minorHAnsi" w:hAnsiTheme="minorHAnsi" w:cstheme="minorHAnsi"/>
          <w:sz w:val="18"/>
          <w:szCs w:val="18"/>
        </w:rPr>
        <w:t xml:space="preserve"> ist die Summe der Bereitstellungsminuten aller Azure Auslastungstest-Dienstressourcen, die vom Kunden in einem bestimmten Microsoft Azure-Abonnement während eines Anwendbaren Zeitraums bereitgestellt werden.</w:t>
      </w:r>
    </w:p>
    <w:p w14:paraId="473E4EC6" w14:textId="77777777" w:rsidR="005611BD" w:rsidRPr="00620CAD" w:rsidRDefault="00882CC6" w:rsidP="005611BD">
      <w:pPr>
        <w:pStyle w:val="paragraph"/>
        <w:shd w:val="clear" w:color="auto" w:fill="FFFFFF"/>
        <w:spacing w:before="0" w:beforeAutospacing="0" w:after="0" w:afterAutospacing="0"/>
        <w:textAlignment w:val="baseline"/>
        <w:rPr>
          <w:rFonts w:asciiTheme="minorHAnsi" w:eastAsiaTheme="minorHAnsi" w:hAnsiTheme="minorHAnsi" w:cstheme="minorHAnsi"/>
          <w:sz w:val="18"/>
          <w:szCs w:val="18"/>
        </w:rPr>
      </w:pPr>
      <w:r w:rsidRPr="00620CAD">
        <w:rPr>
          <w:rFonts w:asciiTheme="minorHAnsi" w:hAnsiTheme="minorHAnsi" w:cstheme="minorHAnsi"/>
          <w:sz w:val="18"/>
          <w:szCs w:val="18"/>
        </w:rPr>
        <w:t>„</w:t>
      </w:r>
      <w:r w:rsidRPr="00620CAD">
        <w:rPr>
          <w:rFonts w:asciiTheme="minorHAnsi" w:eastAsiaTheme="minorHAnsi" w:hAnsiTheme="minorHAnsi" w:cstheme="minorHAnsi"/>
          <w:b/>
          <w:bCs/>
          <w:color w:val="00188F"/>
          <w:sz w:val="18"/>
          <w:szCs w:val="18"/>
        </w:rPr>
        <w:t>Ausfallzeit</w:t>
      </w:r>
      <w:r w:rsidRPr="00620CAD">
        <w:rPr>
          <w:rFonts w:asciiTheme="minorHAnsi" w:eastAsiaTheme="minorHAnsi" w:hAnsiTheme="minorHAnsi" w:cstheme="minorBidi"/>
          <w:sz w:val="18"/>
          <w:szCs w:val="22"/>
        </w:rPr>
        <w:t>“</w:t>
      </w:r>
      <w:r w:rsidRPr="00620CAD">
        <w:rPr>
          <w:rFonts w:asciiTheme="minorHAnsi" w:eastAsiaTheme="minorHAnsi" w:hAnsiTheme="minorHAnsi" w:cstheme="minorHAnsi"/>
          <w:sz w:val="18"/>
          <w:szCs w:val="18"/>
        </w:rPr>
        <w:t xml:space="preserve"> ist die Summe der Bereitstellungsminuten aller Azure Auslastungstest-Dienstressourcen, die vom Kunden in einem bestimmten Microsoft Azure-Abonnement während eines Anwendbaren Zeitraums, in dem die Auslastungstestressource nicht verfügbar ist, bereitgestellt</w:t>
      </w:r>
      <w:r w:rsidR="005611BD">
        <w:rPr>
          <w:rFonts w:asciiTheme="minorHAnsi" w:eastAsiaTheme="minorHAnsi" w:hAnsiTheme="minorHAnsi" w:cstheme="minorHAnsi"/>
          <w:sz w:val="18"/>
          <w:szCs w:val="18"/>
        </w:rPr>
        <w:t xml:space="preserve"> </w:t>
      </w:r>
      <w:bookmarkStart w:id="414" w:name="_Toc457806469"/>
      <w:bookmarkStart w:id="415" w:name="_Toc457821556"/>
      <w:bookmarkStart w:id="416" w:name="_Toc52348963"/>
      <w:r w:rsidR="005611BD" w:rsidRPr="00620CAD">
        <w:rPr>
          <w:rFonts w:asciiTheme="minorHAnsi" w:eastAsiaTheme="minorHAnsi" w:hAnsiTheme="minorHAnsi" w:cstheme="minorHAnsi"/>
          <w:sz w:val="18"/>
          <w:szCs w:val="18"/>
        </w:rPr>
        <w:t>werden. Eine Minute gilt als für einen bestimmten Dienst nicht verfügbar, wenn alle fortlaufenden HTTP-Anfragen zum Durchführen von während der Minute initiierten Vorgängen entweder einen Fehlercode ausgeben oder nicht innerhalb von 5 Minuten eine Antwort ausgeben.  </w:t>
      </w:r>
    </w:p>
    <w:p w14:paraId="3C60DDA4" w14:textId="77777777" w:rsidR="005611BD" w:rsidRPr="00620CAD" w:rsidRDefault="005611BD" w:rsidP="005611BD">
      <w:pPr>
        <w:pStyle w:val="ProductList-Body"/>
        <w:keepNext/>
        <w:keepLines/>
        <w:rPr>
          <w:rFonts w:cstheme="minorHAnsi"/>
          <w:szCs w:val="18"/>
        </w:rPr>
      </w:pPr>
      <w:r w:rsidRPr="00620CAD">
        <w:rPr>
          <w:rFonts w:cstheme="minorHAnsi"/>
          <w:szCs w:val="18"/>
        </w:rPr>
        <w:t>„</w:t>
      </w:r>
      <w:r w:rsidRPr="00620CAD">
        <w:rPr>
          <w:rFonts w:cstheme="minorHAnsi"/>
          <w:b/>
          <w:bCs/>
          <w:color w:val="00188F"/>
          <w:szCs w:val="18"/>
        </w:rPr>
        <w:t>Betriebszeitprozentsatz</w:t>
      </w:r>
      <w:r w:rsidRPr="00620CAD">
        <w:t>“</w:t>
      </w:r>
      <w:r w:rsidRPr="00620CAD">
        <w:rPr>
          <w:rFonts w:cstheme="minorHAnsi"/>
          <w:b/>
          <w:bCs/>
          <w:color w:val="00188F"/>
          <w:szCs w:val="18"/>
        </w:rPr>
        <w:t>:</w:t>
      </w:r>
      <w:r w:rsidRPr="00620CAD">
        <w:rPr>
          <w:rFonts w:cstheme="minorHAnsi"/>
          <w:szCs w:val="18"/>
        </w:rPr>
        <w:t xml:space="preserve"> Der Betriebszeitprozentsatz errechnet sich nach folgender Formel:</w:t>
      </w:r>
    </w:p>
    <w:p w14:paraId="55FCE2D1" w14:textId="77777777" w:rsidR="005611BD" w:rsidRPr="007C7313" w:rsidRDefault="00000000" w:rsidP="00B820B8">
      <w:pPr>
        <w:pStyle w:val="ListParagraph"/>
        <w:keepNext/>
        <w:keepLines/>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619643AA" w14:textId="77777777" w:rsidR="005611BD" w:rsidRDefault="005611BD" w:rsidP="005611BD">
      <w:pPr>
        <w:pStyle w:val="ProductList-Body"/>
        <w:keepNext/>
        <w:rPr>
          <w:b/>
          <w:bCs/>
          <w:color w:val="00188F"/>
        </w:rPr>
      </w:pPr>
      <w:r>
        <w:rPr>
          <w:b/>
          <w:bCs/>
          <w:color w:val="00188F"/>
        </w:rPr>
        <w:t>Die folgenden Servicelevels und Servicegutschriften gelten für die Nutzung von Azure-Auslastungstests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611BD" w14:paraId="78D0F2BF" w14:textId="77777777" w:rsidTr="00E00804">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CAEC57F" w14:textId="77777777" w:rsidR="005611BD" w:rsidRDefault="005611BD" w:rsidP="00E00804">
            <w:pPr>
              <w:pStyle w:val="ProductList-OfferingBody"/>
              <w:spacing w:line="254" w:lineRule="auto"/>
              <w:jc w:val="center"/>
              <w:rPr>
                <w:color w:val="FFFFFF" w:themeColor="background1"/>
              </w:rPr>
            </w:pPr>
            <w:r>
              <w:rPr>
                <w:color w:val="FFFFFF" w:themeColor="background1"/>
              </w:rPr>
              <w:t>Betriebszeitprozentsatz</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7DB72D4" w14:textId="77777777" w:rsidR="005611BD" w:rsidRDefault="005611BD" w:rsidP="00E00804">
            <w:pPr>
              <w:pStyle w:val="ProductList-OfferingBody"/>
              <w:spacing w:line="254" w:lineRule="auto"/>
              <w:jc w:val="center"/>
              <w:rPr>
                <w:color w:val="FFFFFF" w:themeColor="background1"/>
              </w:rPr>
            </w:pPr>
            <w:r>
              <w:rPr>
                <w:color w:val="FFFFFF" w:themeColor="background1"/>
              </w:rPr>
              <w:t>Servicegutschrift</w:t>
            </w:r>
          </w:p>
        </w:tc>
      </w:tr>
      <w:tr w:rsidR="005611BD" w14:paraId="44C0F3EF" w14:textId="77777777" w:rsidTr="00E00804">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FD9163" w14:textId="77777777" w:rsidR="005611BD" w:rsidRDefault="005611BD" w:rsidP="00E00804">
            <w:pPr>
              <w:pStyle w:val="ProductList-OfferingBody"/>
              <w:spacing w:line="254" w:lineRule="auto"/>
              <w:jc w:val="center"/>
            </w:pPr>
            <w: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BF2A27" w14:textId="77777777" w:rsidR="005611BD" w:rsidRDefault="005611BD" w:rsidP="00E00804">
            <w:pPr>
              <w:pStyle w:val="ProductList-OfferingBody"/>
              <w:spacing w:line="254" w:lineRule="auto"/>
              <w:jc w:val="center"/>
            </w:pPr>
            <w:r>
              <w:t>10 %</w:t>
            </w:r>
          </w:p>
        </w:tc>
      </w:tr>
      <w:tr w:rsidR="005611BD" w14:paraId="5D5E3BDE" w14:textId="77777777" w:rsidTr="00E00804">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5AF988" w14:textId="77777777" w:rsidR="005611BD" w:rsidRDefault="005611BD" w:rsidP="00E00804">
            <w:pPr>
              <w:pStyle w:val="ProductList-OfferingBody"/>
              <w:spacing w:line="254"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23AAD9" w14:textId="77777777" w:rsidR="005611BD" w:rsidRDefault="005611BD" w:rsidP="00E00804">
            <w:pPr>
              <w:pStyle w:val="ProductList-OfferingBody"/>
              <w:spacing w:line="254" w:lineRule="auto"/>
              <w:jc w:val="center"/>
            </w:pPr>
            <w:r>
              <w:t>25 %</w:t>
            </w:r>
          </w:p>
        </w:tc>
      </w:tr>
    </w:tbl>
    <w:bookmarkStart w:id="417" w:name="_Toc52348962"/>
    <w:p w14:paraId="032BA95D" w14:textId="77777777" w:rsidR="005611BD" w:rsidRPr="00D67F75" w:rsidRDefault="005611BD" w:rsidP="005611BD">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3D0D15F9" w14:textId="206BB39E" w:rsidR="005611BD" w:rsidRDefault="005611BD" w:rsidP="004136CB">
      <w:pPr>
        <w:pStyle w:val="ProductList-Offering2Heading"/>
        <w:tabs>
          <w:tab w:val="clear" w:pos="360"/>
        </w:tabs>
        <w:outlineLvl w:val="2"/>
      </w:pPr>
      <w:bookmarkStart w:id="418" w:name="_Toc195543167"/>
      <w:bookmarkStart w:id="419" w:name="_Toc237449027"/>
      <w:r>
        <w:t>Log Analytics (Abfrageverfügbarkeits-SLA)</w:t>
      </w:r>
      <w:bookmarkEnd w:id="417"/>
      <w:bookmarkEnd w:id="418"/>
      <w:bookmarkEnd w:id="419"/>
    </w:p>
    <w:p w14:paraId="3A10CC59" w14:textId="77777777" w:rsidR="005611BD" w:rsidRPr="00620CAD" w:rsidRDefault="005611BD" w:rsidP="005611BD">
      <w:pPr>
        <w:pStyle w:val="ProductList-Body"/>
        <w:rPr>
          <w:szCs w:val="18"/>
        </w:rPr>
      </w:pPr>
      <w:r w:rsidRPr="00620CAD">
        <w:rPr>
          <w:b/>
          <w:color w:val="00188F"/>
          <w:szCs w:val="18"/>
        </w:rPr>
        <w:t>Zusätzliche Definitionen</w:t>
      </w:r>
      <w:r w:rsidRPr="00620CAD">
        <w:rPr>
          <w:b/>
          <w:bCs/>
          <w:color w:val="00188F"/>
          <w:szCs w:val="18"/>
        </w:rPr>
        <w:t>:</w:t>
      </w:r>
    </w:p>
    <w:p w14:paraId="317C497A" w14:textId="77777777" w:rsidR="005611BD" w:rsidRPr="00620CAD" w:rsidRDefault="005611BD" w:rsidP="005611BD">
      <w:pPr>
        <w:pStyle w:val="ProductList-Body"/>
        <w:rPr>
          <w:szCs w:val="18"/>
        </w:rPr>
      </w:pPr>
      <w:r w:rsidRPr="00620CAD">
        <w:t>„</w:t>
      </w:r>
      <w:r w:rsidRPr="00620CAD">
        <w:rPr>
          <w:b/>
          <w:color w:val="00188F"/>
          <w:szCs w:val="18"/>
        </w:rPr>
        <w:t>Maximal Verfügbare Minuten</w:t>
      </w:r>
      <w:r w:rsidRPr="00620CAD">
        <w:t xml:space="preserve">“ </w:t>
      </w:r>
      <w:r w:rsidRPr="00620CAD">
        <w:rPr>
          <w:szCs w:val="18"/>
        </w:rPr>
        <w:t>ist die Gesamtzahl der Minuten, in denen ein bestimmter Log Analytics-Arbeitsbereich vom Kunden in einem Microsoft Azure-Abonnement während eines Anwendbaren Zeitraums bereitgestellt wird.</w:t>
      </w:r>
    </w:p>
    <w:p w14:paraId="081B8A51" w14:textId="77777777" w:rsidR="005611BD" w:rsidRPr="00620CAD" w:rsidRDefault="005611BD" w:rsidP="005611BD">
      <w:pPr>
        <w:pStyle w:val="ProductList-Body"/>
        <w:rPr>
          <w:szCs w:val="18"/>
        </w:rPr>
      </w:pPr>
      <w:r w:rsidRPr="00620CAD">
        <w:t>„</w:t>
      </w:r>
      <w:r w:rsidRPr="00620CAD">
        <w:rPr>
          <w:b/>
          <w:color w:val="00188F"/>
          <w:szCs w:val="18"/>
        </w:rPr>
        <w:t>Ausfallzeit</w:t>
      </w:r>
      <w:r w:rsidRPr="00620CAD">
        <w:t xml:space="preserve">“ </w:t>
      </w:r>
      <w:r w:rsidRPr="00620CAD">
        <w:rPr>
          <w:szCs w:val="18"/>
        </w:rPr>
        <w:t xml:space="preserve">ist die Gesamtzahl der Minuten innerhalb der Maximal Verfügbaren Minuten, in denen Daten in einem Arbeitsbereich Log Analytics Workspace nicht verfügbar sind. Eine Minute gilt für eine bestimmte Log Analytics-Arbeitsbereich als nicht erreichbar, während der keine HTTP-Vorgänge zu einem Erfolgscode geführt haben. </w:t>
      </w:r>
    </w:p>
    <w:p w14:paraId="2395F35C" w14:textId="77777777" w:rsidR="005611BD" w:rsidRPr="00620CAD" w:rsidRDefault="005611BD" w:rsidP="005611BD">
      <w:pPr>
        <w:pStyle w:val="ProductList-Body"/>
        <w:rPr>
          <w:szCs w:val="18"/>
        </w:rPr>
      </w:pPr>
      <w:r w:rsidRPr="00620CAD">
        <w:rPr>
          <w:szCs w:val="18"/>
        </w:rPr>
        <w:t xml:space="preserve">Der </w:t>
      </w:r>
      <w:r w:rsidRPr="00620CAD">
        <w:t>„</w:t>
      </w:r>
      <w:r w:rsidRPr="00620CAD">
        <w:rPr>
          <w:b/>
          <w:color w:val="00188F"/>
          <w:szCs w:val="18"/>
        </w:rPr>
        <w:t>Prozentsatz der Abfrageverfügbarkeit</w:t>
      </w:r>
      <w:r w:rsidRPr="00620CAD">
        <w:t xml:space="preserve">“ </w:t>
      </w:r>
      <w:r w:rsidRPr="00620CAD">
        <w:rPr>
          <w:szCs w:val="18"/>
        </w:rPr>
        <w:t>für einen bestimmten Log Analytics-Arbeitsbereich wird berechnet, indem die Ausfallzeit von der</w:t>
      </w:r>
      <w:r>
        <w:rPr>
          <w:szCs w:val="18"/>
        </w:rPr>
        <w:t> </w:t>
      </w:r>
      <w:r w:rsidRPr="00620CAD">
        <w:rPr>
          <w:szCs w:val="18"/>
        </w:rPr>
        <w:t>Maximal Verfügbaren Minutenzahl abgezogen, dieses Ergebnis durch die Maximal Verfügbare Minutenzahl dividiert und dann mit 100</w:t>
      </w:r>
      <w:r>
        <w:rPr>
          <w:szCs w:val="18"/>
        </w:rPr>
        <w:t> </w:t>
      </w:r>
      <w:r w:rsidRPr="00620CAD">
        <w:rPr>
          <w:szCs w:val="18"/>
        </w:rPr>
        <w:t>multipliziert wird.</w:t>
      </w:r>
    </w:p>
    <w:p w14:paraId="5655E956" w14:textId="77777777" w:rsidR="005611BD" w:rsidRDefault="005611BD" w:rsidP="005611BD">
      <w:pPr>
        <w:pStyle w:val="ProductList-Body"/>
      </w:pPr>
      <w:r>
        <w:rPr>
          <w:b/>
          <w:color w:val="00188F"/>
        </w:rPr>
        <w:t>Prozentsatz der Abfrageverfügbarkeit</w:t>
      </w:r>
      <w:r w:rsidRPr="0008262F">
        <w:rPr>
          <w:b/>
          <w:bCs/>
          <w:color w:val="00188F"/>
        </w:rPr>
        <w:t>:</w:t>
      </w:r>
      <w:r>
        <w:t xml:space="preserve"> Der Prozentsatz der Abfrageverfügbarkeit wird mithilfe der folgenden Formel berechnet:</w:t>
      </w:r>
    </w:p>
    <w:p w14:paraId="52CB32FB" w14:textId="77777777" w:rsidR="005611BD" w:rsidRDefault="00000000" w:rsidP="00B820B8">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586FAFC8" w14:textId="77777777" w:rsidR="005611BD" w:rsidRDefault="005611BD" w:rsidP="005611BD">
      <w:pPr>
        <w:pStyle w:val="ProductList-ClauseHeading"/>
        <w:keepNext/>
      </w:pPr>
      <w:r>
        <w:t>Dienstgutschrift</w:t>
      </w:r>
      <w:r w:rsidRPr="0008262F">
        <w:rPr>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611BD" w14:paraId="4FD3C8A9" w14:textId="77777777" w:rsidTr="00E00804">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FB77B60" w14:textId="77777777" w:rsidR="005611BD" w:rsidRDefault="005611BD" w:rsidP="00E00804">
            <w:pPr>
              <w:pStyle w:val="ProductList-OfferingBody"/>
              <w:spacing w:line="256" w:lineRule="auto"/>
              <w:jc w:val="center"/>
              <w:rPr>
                <w:color w:val="FFFFFF" w:themeColor="background1"/>
              </w:rPr>
            </w:pPr>
            <w:r>
              <w:rPr>
                <w:color w:val="FFFFFF" w:themeColor="background1"/>
              </w:rPr>
              <w:t>Prozentsatz der Abfrageverfügbarkeit</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D04E50C" w14:textId="77777777" w:rsidR="005611BD" w:rsidRDefault="005611BD" w:rsidP="00E00804">
            <w:pPr>
              <w:pStyle w:val="ProductList-OfferingBody"/>
              <w:spacing w:line="256" w:lineRule="auto"/>
              <w:jc w:val="center"/>
              <w:rPr>
                <w:color w:val="FFFFFF" w:themeColor="background1"/>
              </w:rPr>
            </w:pPr>
            <w:r>
              <w:rPr>
                <w:color w:val="FFFFFF" w:themeColor="background1"/>
              </w:rPr>
              <w:t>Servicegutschrift</w:t>
            </w:r>
          </w:p>
        </w:tc>
      </w:tr>
      <w:tr w:rsidR="005611BD" w14:paraId="28A48043" w14:textId="77777777" w:rsidTr="00E00804">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C5EA4B" w14:textId="77777777" w:rsidR="005611BD" w:rsidRDefault="005611BD" w:rsidP="00E00804">
            <w:pPr>
              <w:pStyle w:val="ProductList-OfferingBody"/>
              <w:spacing w:line="256" w:lineRule="auto"/>
              <w:jc w:val="center"/>
            </w:pPr>
            <w: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B9EC20" w14:textId="77777777" w:rsidR="005611BD" w:rsidRDefault="005611BD" w:rsidP="00E00804">
            <w:pPr>
              <w:pStyle w:val="ProductList-OfferingBody"/>
              <w:spacing w:line="256" w:lineRule="auto"/>
              <w:jc w:val="center"/>
            </w:pPr>
            <w:r>
              <w:t>10 %</w:t>
            </w:r>
          </w:p>
        </w:tc>
      </w:tr>
      <w:tr w:rsidR="005611BD" w14:paraId="4221DE43" w14:textId="77777777" w:rsidTr="00E00804">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D94EC0" w14:textId="77777777" w:rsidR="005611BD" w:rsidRDefault="005611BD" w:rsidP="00E00804">
            <w:pPr>
              <w:pStyle w:val="ProductList-OfferingBody"/>
              <w:spacing w:line="256"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AEEF5F" w14:textId="77777777" w:rsidR="005611BD" w:rsidRDefault="005611BD" w:rsidP="00E00804">
            <w:pPr>
              <w:pStyle w:val="ProductList-OfferingBody"/>
              <w:spacing w:line="256" w:lineRule="auto"/>
              <w:jc w:val="center"/>
            </w:pPr>
            <w:r>
              <w:t>25 %</w:t>
            </w:r>
          </w:p>
        </w:tc>
      </w:tr>
    </w:tbl>
    <w:p w14:paraId="28588682" w14:textId="77777777" w:rsidR="005611BD" w:rsidRPr="00D67F75" w:rsidRDefault="005611BD" w:rsidP="005611B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672CFEB8" w14:textId="77777777" w:rsidR="005611BD" w:rsidRPr="00EF7CF9" w:rsidRDefault="005611BD" w:rsidP="005611BD">
      <w:pPr>
        <w:pStyle w:val="ProductList-Offering2Heading"/>
        <w:keepNext/>
        <w:tabs>
          <w:tab w:val="clear" w:pos="360"/>
          <w:tab w:val="clear" w:pos="720"/>
          <w:tab w:val="clear" w:pos="1080"/>
        </w:tabs>
        <w:outlineLvl w:val="2"/>
      </w:pPr>
      <w:bookmarkStart w:id="420" w:name="_Toc195543168"/>
      <w:bookmarkStart w:id="421" w:name="_Toc237449028"/>
      <w:r>
        <w:lastRenderedPageBreak/>
        <w:t>Logik-Apps</w:t>
      </w:r>
      <w:bookmarkEnd w:id="414"/>
      <w:bookmarkEnd w:id="415"/>
      <w:bookmarkEnd w:id="416"/>
      <w:bookmarkEnd w:id="420"/>
      <w:bookmarkEnd w:id="421"/>
    </w:p>
    <w:p w14:paraId="4434BC59" w14:textId="77777777" w:rsidR="005611BD" w:rsidRPr="00EF7CF9" w:rsidRDefault="005611BD" w:rsidP="005611BD">
      <w:pPr>
        <w:pStyle w:val="ProductList-Body"/>
        <w:keepNext/>
      </w:pPr>
      <w:r>
        <w:rPr>
          <w:b/>
          <w:color w:val="00188F"/>
        </w:rPr>
        <w:t>Zusätzliche Definitionen</w:t>
      </w:r>
      <w:r w:rsidRPr="0008262F">
        <w:rPr>
          <w:b/>
          <w:bCs/>
          <w:color w:val="00188F"/>
        </w:rPr>
        <w:t>:</w:t>
      </w:r>
    </w:p>
    <w:p w14:paraId="362A8490" w14:textId="77777777" w:rsidR="005611BD" w:rsidRPr="00EF7CF9" w:rsidRDefault="005611BD" w:rsidP="005611BD">
      <w:pPr>
        <w:pStyle w:val="ProductList-Body"/>
      </w:pPr>
      <w:r>
        <w:t>„</w:t>
      </w:r>
      <w:r>
        <w:rPr>
          <w:b/>
          <w:color w:val="00188F"/>
        </w:rPr>
        <w:t>Bereitstellungsminuten</w:t>
      </w:r>
      <w:r>
        <w:t xml:space="preserve">“ ist die Gesamtzahl der Minuten, in denen eine bestimmte App während eines Anwendbaren Zeitraums in Microsoft Azure ausgeführt wird. Bereitstellungsminuten werden von dem Zeitpunkt, an dem die Logik-App erstellt wurde oder der Kunde eine Aktion initiiert hat, die zur Ausführung der Logik-App führt, bis zu dem Zeitpunkt gemessen, an dem der Kunde eine Aktion initiiert hat, die zum Anhalten oder Löschen der Logik-App führt. </w:t>
      </w:r>
    </w:p>
    <w:p w14:paraId="182C672D" w14:textId="77777777" w:rsidR="005611BD" w:rsidRPr="00EF7CF9" w:rsidRDefault="005611BD" w:rsidP="005611BD">
      <w:pPr>
        <w:spacing w:after="0" w:line="240" w:lineRule="auto"/>
        <w:rPr>
          <w:sz w:val="18"/>
        </w:rPr>
      </w:pPr>
      <w:r>
        <w:rPr>
          <w:sz w:val="18"/>
          <w:szCs w:val="18"/>
        </w:rPr>
        <w:t>„</w:t>
      </w:r>
      <w:r>
        <w:rPr>
          <w:b/>
          <w:color w:val="00188F"/>
          <w:sz w:val="18"/>
        </w:rPr>
        <w:t>Maximal Verfügbare Minuten</w:t>
      </w:r>
      <w:r w:rsidRPr="00620CAD">
        <w:rPr>
          <w:sz w:val="18"/>
        </w:rPr>
        <w:t>“</w:t>
      </w:r>
      <w:r>
        <w:rPr>
          <w:b/>
          <w:color w:val="00188F"/>
          <w:sz w:val="18"/>
          <w:szCs w:val="18"/>
        </w:rPr>
        <w:t xml:space="preserve"> </w:t>
      </w:r>
      <w:r>
        <w:rPr>
          <w:sz w:val="18"/>
        </w:rPr>
        <w:t>bezeichnet die Summe aller Bereitstellungsminuten für alle vom Kunden in einem bestimmten Microsoft Azure-Abonnement während eines Anwendbaren Zeitraums bereitgestellten Logic Apps.</w:t>
      </w:r>
    </w:p>
    <w:p w14:paraId="7A7EDB2C" w14:textId="77777777" w:rsidR="005611BD" w:rsidRPr="00EF7CF9" w:rsidRDefault="005611BD" w:rsidP="005611BD">
      <w:pPr>
        <w:pStyle w:val="ProductList-Body"/>
      </w:pPr>
      <w:r>
        <w:t>„</w:t>
      </w:r>
      <w:r>
        <w:rPr>
          <w:b/>
          <w:color w:val="00188F"/>
        </w:rPr>
        <w:t>Ausfallzeit</w:t>
      </w:r>
      <w:r>
        <w:t>“</w:t>
      </w:r>
      <w:r>
        <w:rPr>
          <w:b/>
          <w:color w:val="00188F"/>
        </w:rPr>
        <w:t xml:space="preserve"> </w:t>
      </w:r>
      <w:r>
        <w:t>Die Gesamtzahl der Bereitstellungsminuten aller Logik-Apps, die vom Kunden in einem bestimmten Microsoft Azure-Abonnement bereitgestellt werden, während derer die Logik-App nicht verfügbar ist. Eine Minute gilt für eine bestimmte Logik-App als nicht verfügbar, wenn keine Verbindung zwischen der Logik-App und dem Internetgateway von Microsoft besteht.</w:t>
      </w:r>
    </w:p>
    <w:p w14:paraId="6FAB1F2B" w14:textId="77777777" w:rsidR="005611BD" w:rsidRPr="00EF7CF9" w:rsidRDefault="005611BD" w:rsidP="005611BD">
      <w:pPr>
        <w:pStyle w:val="ProductList-Body"/>
      </w:pPr>
      <w:r>
        <w:rPr>
          <w:b/>
          <w:color w:val="00188F"/>
        </w:rPr>
        <w:t>Betriebszeitprozentsatz</w:t>
      </w:r>
      <w:r w:rsidRPr="0008262F">
        <w:rPr>
          <w:b/>
          <w:bCs/>
          <w:color w:val="00188F"/>
        </w:rPr>
        <w:t>:</w:t>
      </w:r>
      <w:r>
        <w:t xml:space="preserve"> Der Betriebszeitprozentsatz errechnet sich nach folgender Formel:</w:t>
      </w:r>
    </w:p>
    <w:p w14:paraId="74867F55" w14:textId="77777777" w:rsidR="005611BD" w:rsidRPr="00EF7CF9" w:rsidRDefault="00000000" w:rsidP="00B820B8">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0F4DEBCA" w14:textId="77777777" w:rsidR="00F03B9F" w:rsidRPr="00EF7CF9" w:rsidRDefault="00F03B9F" w:rsidP="00F03B9F">
      <w:pPr>
        <w:pStyle w:val="ProductList-Body"/>
        <w:keepNext/>
        <w:widowControl w:val="0"/>
        <w:rPr>
          <w:szCs w:val="18"/>
        </w:rPr>
      </w:pPr>
      <w:r>
        <w:rPr>
          <w:b/>
          <w:color w:val="00188F"/>
          <w:szCs w:val="18"/>
        </w:rPr>
        <w:t>Servicegutschrift</w:t>
      </w:r>
      <w:r w:rsidRPr="0008262F">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03B9F" w:rsidRPr="00B44CF9" w14:paraId="198B3933" w14:textId="77777777" w:rsidTr="00E00804">
        <w:trPr>
          <w:tblHeader/>
        </w:trPr>
        <w:tc>
          <w:tcPr>
            <w:tcW w:w="5400" w:type="dxa"/>
            <w:shd w:val="clear" w:color="auto" w:fill="0072C6"/>
          </w:tcPr>
          <w:p w14:paraId="3B5B6C04" w14:textId="77777777" w:rsidR="00F03B9F" w:rsidRPr="00EF7CF9" w:rsidRDefault="00F03B9F" w:rsidP="00E0080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3D4BA1CE" w14:textId="77777777" w:rsidR="00F03B9F" w:rsidRPr="00EF7CF9" w:rsidRDefault="00F03B9F" w:rsidP="00E00804">
            <w:pPr>
              <w:pStyle w:val="ProductList-OfferingBody"/>
              <w:jc w:val="center"/>
              <w:rPr>
                <w:color w:val="FFFFFF" w:themeColor="background1"/>
              </w:rPr>
            </w:pPr>
            <w:r>
              <w:rPr>
                <w:color w:val="FFFFFF" w:themeColor="background1"/>
              </w:rPr>
              <w:t>Servicegutschrift</w:t>
            </w:r>
          </w:p>
        </w:tc>
      </w:tr>
      <w:tr w:rsidR="00F03B9F" w:rsidRPr="00B44CF9" w14:paraId="0C6E2983" w14:textId="77777777" w:rsidTr="00E00804">
        <w:tc>
          <w:tcPr>
            <w:tcW w:w="5400" w:type="dxa"/>
          </w:tcPr>
          <w:p w14:paraId="0D1E1972" w14:textId="77777777" w:rsidR="00F03B9F" w:rsidRPr="00EF7CF9" w:rsidRDefault="00F03B9F" w:rsidP="00E00804">
            <w:pPr>
              <w:pStyle w:val="ProductList-OfferingBody"/>
              <w:jc w:val="center"/>
            </w:pPr>
            <w:r>
              <w:t>&lt; 99,9 %</w:t>
            </w:r>
          </w:p>
        </w:tc>
        <w:tc>
          <w:tcPr>
            <w:tcW w:w="5400" w:type="dxa"/>
          </w:tcPr>
          <w:p w14:paraId="56C2DB91" w14:textId="77777777" w:rsidR="00F03B9F" w:rsidRPr="00EF7CF9" w:rsidRDefault="00F03B9F" w:rsidP="00E00804">
            <w:pPr>
              <w:pStyle w:val="ProductList-OfferingBody"/>
              <w:jc w:val="center"/>
            </w:pPr>
            <w:r>
              <w:t>10 %</w:t>
            </w:r>
          </w:p>
        </w:tc>
      </w:tr>
      <w:tr w:rsidR="00F03B9F" w:rsidRPr="00B44CF9" w14:paraId="1DB81D7A" w14:textId="77777777" w:rsidTr="00E00804">
        <w:tc>
          <w:tcPr>
            <w:tcW w:w="5400" w:type="dxa"/>
          </w:tcPr>
          <w:p w14:paraId="793B4647" w14:textId="77777777" w:rsidR="00F03B9F" w:rsidRPr="00EF7CF9" w:rsidRDefault="00F03B9F" w:rsidP="00E00804">
            <w:pPr>
              <w:pStyle w:val="ProductList-OfferingBody"/>
              <w:jc w:val="center"/>
            </w:pPr>
            <w:r>
              <w:t>&lt; 99 %</w:t>
            </w:r>
          </w:p>
        </w:tc>
        <w:tc>
          <w:tcPr>
            <w:tcW w:w="5400" w:type="dxa"/>
          </w:tcPr>
          <w:p w14:paraId="7203FAC4" w14:textId="77777777" w:rsidR="00F03B9F" w:rsidRPr="00EF7CF9" w:rsidRDefault="00F03B9F" w:rsidP="00E00804">
            <w:pPr>
              <w:pStyle w:val="ProductList-OfferingBody"/>
              <w:jc w:val="center"/>
            </w:pPr>
            <w:r>
              <w:t>25 %</w:t>
            </w:r>
          </w:p>
        </w:tc>
      </w:tr>
    </w:tbl>
    <w:p w14:paraId="5177E55F" w14:textId="77777777" w:rsidR="00474C4E" w:rsidRDefault="00474C4E" w:rsidP="00346130">
      <w:pPr>
        <w:keepNext/>
        <w:spacing w:before="120"/>
        <w:rPr>
          <w:rFonts w:ascii="Calibri" w:hAnsi="Calibri" w:cs="Calibri"/>
          <w:sz w:val="18"/>
          <w:szCs w:val="18"/>
        </w:rPr>
      </w:pPr>
      <w:r>
        <w:rPr>
          <w:rFonts w:ascii="Calibri" w:hAnsi="Calibri" w:cs="Calibri"/>
          <w:sz w:val="18"/>
          <w:szCs w:val="18"/>
        </w:rPr>
        <w:t>Ab dem 1. September 2024 wird die Integrationsdienstumgebung (Integration Services Environment) nicht mehr als Dienstfunktion verwendet, und ihr Unterstützungszeitraum ist abgelaufen. In einer Integrationsdienstumgebung bereitgestellte Logik-Apps bieten keine Servicelevelgarantien und damit auch keine Servicegutschriften mehr für Leistungs- oder Verfügbarkeitsprobleme im Zusammenhang mit Logik-Apps, die in einer Integrationsdienstumgebung ausgeführt werden.</w:t>
      </w:r>
    </w:p>
    <w:p w14:paraId="1D000418" w14:textId="77777777" w:rsidR="00474C4E" w:rsidRPr="00D67F75" w:rsidRDefault="00474C4E" w:rsidP="00474C4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775DF87B" w14:textId="77777777" w:rsidR="00F03B9F" w:rsidRPr="00AD6527" w:rsidRDefault="00F03B9F" w:rsidP="00F03B9F">
      <w:pPr>
        <w:pStyle w:val="ProductList-Offering2Heading"/>
        <w:keepNext/>
        <w:tabs>
          <w:tab w:val="clear" w:pos="360"/>
          <w:tab w:val="clear" w:pos="720"/>
          <w:tab w:val="clear" w:pos="1080"/>
        </w:tabs>
        <w:outlineLvl w:val="2"/>
      </w:pPr>
      <w:bookmarkStart w:id="422" w:name="_Toc195543169"/>
      <w:bookmarkStart w:id="423" w:name="_Toc237449029"/>
      <w:r>
        <w:t>Azure – Maschinelles Lernen</w:t>
      </w:r>
      <w:bookmarkEnd w:id="422"/>
      <w:bookmarkEnd w:id="423"/>
    </w:p>
    <w:p w14:paraId="6B128695" w14:textId="77777777" w:rsidR="00F03B9F" w:rsidRPr="00AD6527" w:rsidRDefault="00F03B9F" w:rsidP="00F03B9F">
      <w:pPr>
        <w:pStyle w:val="ProductList-Body"/>
        <w:rPr>
          <w:b/>
          <w:bCs/>
          <w:color w:val="00188F"/>
        </w:rPr>
      </w:pPr>
      <w:r>
        <w:rPr>
          <w:b/>
          <w:bCs/>
          <w:color w:val="00188F"/>
        </w:rPr>
        <w:t>Berechnung der Betriebszeit und Service-Levels für die Echtzeitbewertung beim maschinellen Lernen</w:t>
      </w:r>
    </w:p>
    <w:p w14:paraId="40C204BB" w14:textId="77777777" w:rsidR="00F03B9F" w:rsidRDefault="00F03B9F" w:rsidP="00F03B9F">
      <w:pPr>
        <w:pStyle w:val="ProductList-Body"/>
      </w:pPr>
      <w:r>
        <w:t>„</w:t>
      </w:r>
      <w:r>
        <w:rPr>
          <w:b/>
          <w:bCs/>
          <w:color w:val="00188F"/>
        </w:rPr>
        <w:t>Gesamttransaktionsversuche</w:t>
      </w:r>
      <w:r>
        <w:t>“ bezeichnet die Gesamtzahl der API-Anforderungen des Kunden während eines Anwendbaren Zeitraums für ein bestimmtes Microsoft Azure-Abonnement.</w:t>
      </w:r>
    </w:p>
    <w:p w14:paraId="6E3C447C" w14:textId="77777777" w:rsidR="00F03B9F" w:rsidRDefault="00F03B9F" w:rsidP="00F03B9F">
      <w:pPr>
        <w:pStyle w:val="ProductList-Body"/>
      </w:pPr>
      <w:r>
        <w:t>„</w:t>
      </w:r>
      <w:r>
        <w:rPr>
          <w:b/>
          <w:bCs/>
          <w:color w:val="00188F"/>
        </w:rPr>
        <w:t>Fehlerhafte Transaktionen</w:t>
      </w:r>
      <w:r>
        <w:t>“ sind alle Anforderungen innerhalb der Gesamtzahl der Transaktionsversuche, die entweder einen Fehlercode oder einen HTTP 4xx-Statuscode zurückgeben bzw. die nicht innerhalb von 600 Sekunden einen Erfolgscode anzeigen.</w:t>
      </w:r>
    </w:p>
    <w:p w14:paraId="191C3EFD" w14:textId="77777777" w:rsidR="00F03B9F" w:rsidRDefault="00F03B9F" w:rsidP="00F03B9F">
      <w:pPr>
        <w:pStyle w:val="ProductList-Body"/>
      </w:pPr>
      <w:r>
        <w:t>Der „</w:t>
      </w:r>
      <w:r>
        <w:rPr>
          <w:b/>
          <w:bCs/>
          <w:color w:val="00188F"/>
        </w:rPr>
        <w:t>Betriebszeitprozentsatz</w:t>
      </w:r>
      <w:r>
        <w:t>“ wird berechnet als Gesamtzahl der Transaktionsversuche abzüglich der fehlgeschlagenen Transaktionen geteilt durch die Gesamtzahl der Transaktionsversuche in einem Anwendbaren Zeitraum für ein bestimmtes Microsoft Azure-Abonnement. Der Betriebszeitprozentsatz wird durch die folgende Formel ermittelt:</w:t>
      </w:r>
    </w:p>
    <w:p w14:paraId="523564D8" w14:textId="77777777" w:rsidR="00F03B9F" w:rsidRPr="00246AD4" w:rsidRDefault="00000000" w:rsidP="00B820B8">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Gesamtzahl der Transaktionsversuche abzüglich Fehlerhafte Transaktionen</m:t>
              </m:r>
            </m:num>
            <m:den>
              <m:r>
                <m:rPr>
                  <m:nor/>
                </m:rPr>
                <w:rPr>
                  <w:rFonts w:ascii="Cambria Math" w:hAnsi="Cambria Math" w:cs="Tahoma"/>
                  <w:i/>
                  <w:color w:val="000000" w:themeColor="text1"/>
                  <w:sz w:val="18"/>
                  <w:szCs w:val="18"/>
                </w:rPr>
                <m:t>Gesamtzahl der Transaktionsversuche</m:t>
              </m:r>
            </m:den>
          </m:f>
          <m:r>
            <w:rPr>
              <w:rFonts w:ascii="Cambria Math" w:hAnsi="Cambria Math" w:cs="Tahoma"/>
              <w:color w:val="000000" w:themeColor="text1"/>
              <w:sz w:val="18"/>
              <w:szCs w:val="18"/>
            </w:rPr>
            <m:t xml:space="preserve"> x 100</m:t>
          </m:r>
        </m:oMath>
      </m:oMathPara>
    </w:p>
    <w:p w14:paraId="656A9200" w14:textId="77777777" w:rsidR="00F03B9F" w:rsidRPr="00A63636" w:rsidRDefault="00F03B9F" w:rsidP="00F03B9F">
      <w:pPr>
        <w:pStyle w:val="ProductList-Body"/>
        <w:jc w:val="both"/>
        <w:rPr>
          <w:b/>
          <w:bCs/>
          <w:color w:val="00188F"/>
        </w:rPr>
      </w:pPr>
      <w:r>
        <w:rPr>
          <w:b/>
          <w:bCs/>
          <w:color w:val="00188F"/>
        </w:rPr>
        <w:t>Die folgenden Service-Levels und Servicegutschriften gelten für die Nutzung der Echtzeitbewertung beim maschinellen Lernen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03B9F" w:rsidRPr="00B44CF9" w14:paraId="62A4808D" w14:textId="77777777" w:rsidTr="00E00804">
        <w:trPr>
          <w:tblHeader/>
        </w:trPr>
        <w:tc>
          <w:tcPr>
            <w:tcW w:w="5400" w:type="dxa"/>
            <w:shd w:val="clear" w:color="auto" w:fill="0072C6"/>
          </w:tcPr>
          <w:p w14:paraId="446FFA8B" w14:textId="77777777" w:rsidR="00F03B9F" w:rsidRPr="00EF7CF9" w:rsidRDefault="00F03B9F" w:rsidP="00E0080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16EB7998" w14:textId="77777777" w:rsidR="00F03B9F" w:rsidRPr="00EF7CF9" w:rsidRDefault="00F03B9F" w:rsidP="00E00804">
            <w:pPr>
              <w:pStyle w:val="ProductList-OfferingBody"/>
              <w:jc w:val="center"/>
              <w:rPr>
                <w:color w:val="FFFFFF" w:themeColor="background1"/>
              </w:rPr>
            </w:pPr>
            <w:r>
              <w:rPr>
                <w:color w:val="FFFFFF" w:themeColor="background1"/>
              </w:rPr>
              <w:t>Servicegutschrift</w:t>
            </w:r>
          </w:p>
        </w:tc>
      </w:tr>
      <w:tr w:rsidR="00F03B9F" w:rsidRPr="00B44CF9" w14:paraId="086EF7B4" w14:textId="77777777" w:rsidTr="00E00804">
        <w:tc>
          <w:tcPr>
            <w:tcW w:w="5400" w:type="dxa"/>
          </w:tcPr>
          <w:p w14:paraId="5BE4943C" w14:textId="77777777" w:rsidR="00F03B9F" w:rsidRPr="00EF7CF9" w:rsidRDefault="00F03B9F" w:rsidP="00E00804">
            <w:pPr>
              <w:pStyle w:val="ProductList-OfferingBody"/>
              <w:jc w:val="center"/>
            </w:pPr>
            <w:r>
              <w:t>&lt; 99,9 %</w:t>
            </w:r>
          </w:p>
        </w:tc>
        <w:tc>
          <w:tcPr>
            <w:tcW w:w="5400" w:type="dxa"/>
          </w:tcPr>
          <w:p w14:paraId="6B17BB07" w14:textId="77777777" w:rsidR="00F03B9F" w:rsidRPr="00EF7CF9" w:rsidRDefault="00F03B9F" w:rsidP="00E00804">
            <w:pPr>
              <w:pStyle w:val="ProductList-OfferingBody"/>
              <w:jc w:val="center"/>
            </w:pPr>
            <w:r>
              <w:t>10 %</w:t>
            </w:r>
          </w:p>
        </w:tc>
      </w:tr>
      <w:tr w:rsidR="00F03B9F" w:rsidRPr="00B44CF9" w14:paraId="639FDD45" w14:textId="77777777" w:rsidTr="00E00804">
        <w:tc>
          <w:tcPr>
            <w:tcW w:w="5400" w:type="dxa"/>
          </w:tcPr>
          <w:p w14:paraId="2421671E" w14:textId="77777777" w:rsidR="00F03B9F" w:rsidRPr="00EF7CF9" w:rsidRDefault="00F03B9F" w:rsidP="00E00804">
            <w:pPr>
              <w:pStyle w:val="ProductList-OfferingBody"/>
              <w:jc w:val="center"/>
            </w:pPr>
            <w:r>
              <w:t>&lt; 99 %</w:t>
            </w:r>
          </w:p>
        </w:tc>
        <w:tc>
          <w:tcPr>
            <w:tcW w:w="5400" w:type="dxa"/>
          </w:tcPr>
          <w:p w14:paraId="307DC29D" w14:textId="77777777" w:rsidR="00F03B9F" w:rsidRPr="00EF7CF9" w:rsidRDefault="00F03B9F" w:rsidP="00E00804">
            <w:pPr>
              <w:pStyle w:val="ProductList-OfferingBody"/>
              <w:jc w:val="center"/>
            </w:pPr>
            <w:r>
              <w:t>25 %</w:t>
            </w:r>
          </w:p>
        </w:tc>
      </w:tr>
    </w:tbl>
    <w:p w14:paraId="06F890EA" w14:textId="77777777" w:rsidR="00F03B9F" w:rsidRPr="00A63636" w:rsidRDefault="00F03B9F" w:rsidP="00346130">
      <w:pPr>
        <w:pStyle w:val="ProductList-Body"/>
        <w:spacing w:before="120"/>
        <w:rPr>
          <w:b/>
          <w:bCs/>
          <w:color w:val="00188F"/>
        </w:rPr>
      </w:pPr>
      <w:r>
        <w:rPr>
          <w:b/>
          <w:bCs/>
          <w:color w:val="00188F"/>
        </w:rPr>
        <w:t>Berechnung der Betriebszeit und Service-Levels für Compute-Management beim maschinellen Lernen.</w:t>
      </w:r>
    </w:p>
    <w:p w14:paraId="08DC0341" w14:textId="77777777" w:rsidR="00F03B9F" w:rsidRDefault="00F03B9F" w:rsidP="00F03B9F">
      <w:pPr>
        <w:pStyle w:val="ProductList-Body"/>
      </w:pPr>
      <w:r>
        <w:t>„</w:t>
      </w:r>
      <w:r>
        <w:rPr>
          <w:b/>
          <w:bCs/>
          <w:color w:val="00188F"/>
        </w:rPr>
        <w:t>Gesamttransaktionsversuche</w:t>
      </w:r>
      <w:r>
        <w:t>“ bezeichnet die Gesamtzahl der API-Anforderungen des Kunden während eines Anwendbaren Zeitraums für ein bestimmtes Microsoft Azure-Abonnement.</w:t>
      </w:r>
    </w:p>
    <w:p w14:paraId="7B758876" w14:textId="77777777" w:rsidR="00F03B9F" w:rsidRDefault="00F03B9F" w:rsidP="00F03B9F">
      <w:pPr>
        <w:pStyle w:val="ProductList-Body"/>
      </w:pPr>
      <w:r>
        <w:t>„</w:t>
      </w:r>
      <w:r>
        <w:rPr>
          <w:b/>
          <w:bCs/>
          <w:color w:val="00188F"/>
        </w:rPr>
        <w:t>Fehlerhafte Transaktionen</w:t>
      </w:r>
      <w:r>
        <w:t>“ sind alle Anforderungen innerhalb der Gesamtzahl der Anforderungen, die entweder einen Fehlercode oder einen HTTP 408-Statuscode zurückgeben bzw. die nicht innerhalb von 30 Sekunden einen Erfolgscode anzeigen.</w:t>
      </w:r>
    </w:p>
    <w:p w14:paraId="67010B61" w14:textId="77777777" w:rsidR="00F03B9F" w:rsidRDefault="00F03B9F" w:rsidP="00F03B9F">
      <w:pPr>
        <w:pStyle w:val="ProductList-Body"/>
      </w:pPr>
      <w:r>
        <w:t>Der „</w:t>
      </w:r>
      <w:r>
        <w:rPr>
          <w:b/>
          <w:bCs/>
          <w:color w:val="00188F"/>
        </w:rPr>
        <w:t>Betriebszeitprozentsatz</w:t>
      </w:r>
      <w:r>
        <w:t>“ wird berechnet als Gesamtzahl der Transaktionsversuche abzüglich der fehlgeschlagenen Transaktionen geteilt durch die Gesamtzahl der Transaktionsversuche in einem Anwendbaren Zeitraum für ein bestimmtes Microsoft Azure-Abonnement. Der Betriebszeitprozentsatz wird durch die folgende Formel ermittelt:</w:t>
      </w:r>
    </w:p>
    <w:p w14:paraId="61404CEF" w14:textId="77777777" w:rsidR="00F03B9F" w:rsidRPr="00246AD4" w:rsidRDefault="00000000" w:rsidP="00B820B8">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Gesamtzahl der Transaktionsversuche abzüglich Fehlerhafte Transaktionen</m:t>
              </m:r>
            </m:num>
            <m:den>
              <m:r>
                <m:rPr>
                  <m:nor/>
                </m:rPr>
                <w:rPr>
                  <w:rFonts w:ascii="Cambria Math" w:hAnsi="Cambria Math" w:cs="Tahoma"/>
                  <w:i/>
                  <w:color w:val="000000" w:themeColor="text1"/>
                  <w:sz w:val="18"/>
                  <w:szCs w:val="18"/>
                </w:rPr>
                <m:t>Gesamtzahl der Transaktionsversuche</m:t>
              </m:r>
            </m:den>
          </m:f>
          <m:r>
            <w:rPr>
              <w:rFonts w:ascii="Cambria Math" w:hAnsi="Cambria Math" w:cs="Tahoma"/>
              <w:color w:val="000000" w:themeColor="text1"/>
              <w:sz w:val="18"/>
              <w:szCs w:val="18"/>
            </w:rPr>
            <m:t xml:space="preserve"> x 100</m:t>
          </m:r>
        </m:oMath>
      </m:oMathPara>
    </w:p>
    <w:p w14:paraId="7AD44935" w14:textId="77777777" w:rsidR="00F03B9F" w:rsidRPr="00A63636" w:rsidRDefault="00F03B9F" w:rsidP="00F03B9F">
      <w:pPr>
        <w:pStyle w:val="ProductList-Body"/>
        <w:rPr>
          <w:b/>
          <w:bCs/>
          <w:color w:val="00188F"/>
        </w:rPr>
      </w:pPr>
      <w:r>
        <w:rPr>
          <w:b/>
          <w:bCs/>
          <w:color w:val="00188F"/>
        </w:rPr>
        <w:t>Die folgenden Service-Levels und Servicegutschriften gelten für die Nutzung der Vorgänge auf Managementebene für Maschinelles Lernen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03B9F" w:rsidRPr="00B44CF9" w14:paraId="39C813D1" w14:textId="77777777" w:rsidTr="00E00804">
        <w:trPr>
          <w:tblHeader/>
        </w:trPr>
        <w:tc>
          <w:tcPr>
            <w:tcW w:w="5400" w:type="dxa"/>
            <w:shd w:val="clear" w:color="auto" w:fill="0072C6"/>
          </w:tcPr>
          <w:p w14:paraId="3D097508" w14:textId="77777777" w:rsidR="00F03B9F" w:rsidRPr="00EF7CF9" w:rsidRDefault="00F03B9F" w:rsidP="00E00804">
            <w:pPr>
              <w:pStyle w:val="ProductList-OfferingBody"/>
              <w:jc w:val="center"/>
              <w:rPr>
                <w:color w:val="FFFFFF" w:themeColor="background1"/>
              </w:rPr>
            </w:pPr>
            <w:r>
              <w:rPr>
                <w:color w:val="FFFFFF" w:themeColor="background1"/>
              </w:rPr>
              <w:lastRenderedPageBreak/>
              <w:t>Betriebszeitprozentsatz</w:t>
            </w:r>
          </w:p>
        </w:tc>
        <w:tc>
          <w:tcPr>
            <w:tcW w:w="5400" w:type="dxa"/>
            <w:shd w:val="clear" w:color="auto" w:fill="0072C6"/>
          </w:tcPr>
          <w:p w14:paraId="2EDB9AA2" w14:textId="77777777" w:rsidR="00F03B9F" w:rsidRPr="00EF7CF9" w:rsidRDefault="00F03B9F" w:rsidP="00E00804">
            <w:pPr>
              <w:pStyle w:val="ProductList-OfferingBody"/>
              <w:jc w:val="center"/>
              <w:rPr>
                <w:color w:val="FFFFFF" w:themeColor="background1"/>
              </w:rPr>
            </w:pPr>
            <w:r>
              <w:rPr>
                <w:color w:val="FFFFFF" w:themeColor="background1"/>
              </w:rPr>
              <w:t>Servicegutschrift</w:t>
            </w:r>
          </w:p>
        </w:tc>
      </w:tr>
      <w:tr w:rsidR="00F03B9F" w:rsidRPr="00B44CF9" w14:paraId="2B0B941A" w14:textId="77777777" w:rsidTr="00E00804">
        <w:tc>
          <w:tcPr>
            <w:tcW w:w="5400" w:type="dxa"/>
          </w:tcPr>
          <w:p w14:paraId="4BAD0008" w14:textId="77777777" w:rsidR="00F03B9F" w:rsidRPr="00EF7CF9" w:rsidRDefault="00F03B9F" w:rsidP="00E00804">
            <w:pPr>
              <w:pStyle w:val="ProductList-OfferingBody"/>
              <w:jc w:val="center"/>
            </w:pPr>
            <w:r>
              <w:t>&lt; 99,9 %</w:t>
            </w:r>
          </w:p>
        </w:tc>
        <w:tc>
          <w:tcPr>
            <w:tcW w:w="5400" w:type="dxa"/>
          </w:tcPr>
          <w:p w14:paraId="46E71B35" w14:textId="77777777" w:rsidR="00F03B9F" w:rsidRPr="00EF7CF9" w:rsidRDefault="00F03B9F" w:rsidP="00E00804">
            <w:pPr>
              <w:pStyle w:val="ProductList-OfferingBody"/>
              <w:jc w:val="center"/>
            </w:pPr>
            <w:r>
              <w:t>10 %</w:t>
            </w:r>
          </w:p>
        </w:tc>
      </w:tr>
      <w:tr w:rsidR="00F03B9F" w:rsidRPr="00B44CF9" w14:paraId="57B8EDEC" w14:textId="77777777" w:rsidTr="00E00804">
        <w:tc>
          <w:tcPr>
            <w:tcW w:w="5400" w:type="dxa"/>
          </w:tcPr>
          <w:p w14:paraId="763D66BC" w14:textId="77777777" w:rsidR="00F03B9F" w:rsidRPr="00EF7CF9" w:rsidRDefault="00F03B9F" w:rsidP="00E00804">
            <w:pPr>
              <w:pStyle w:val="ProductList-OfferingBody"/>
              <w:jc w:val="center"/>
            </w:pPr>
            <w:r>
              <w:t>&lt; 99 %</w:t>
            </w:r>
          </w:p>
        </w:tc>
        <w:tc>
          <w:tcPr>
            <w:tcW w:w="5400" w:type="dxa"/>
          </w:tcPr>
          <w:p w14:paraId="2C9B2A77" w14:textId="77777777" w:rsidR="00F03B9F" w:rsidRPr="00EF7CF9" w:rsidRDefault="00F03B9F" w:rsidP="00E00804">
            <w:pPr>
              <w:pStyle w:val="ProductList-OfferingBody"/>
              <w:jc w:val="center"/>
            </w:pPr>
            <w:r>
              <w:t>25 %</w:t>
            </w:r>
          </w:p>
        </w:tc>
      </w:tr>
    </w:tbl>
    <w:bookmarkStart w:id="424" w:name="_Toc412532194"/>
    <w:bookmarkStart w:id="425" w:name="_Toc457821557"/>
    <w:bookmarkStart w:id="426" w:name="_Toc52348964"/>
    <w:bookmarkStart w:id="427" w:name="MachineLearningStudio_BES"/>
    <w:p w14:paraId="6C8C56A4" w14:textId="77777777" w:rsidR="00F03B9F" w:rsidRPr="00D67F75" w:rsidRDefault="00F03B9F" w:rsidP="00F03B9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71FC0E0D" w14:textId="08F3CFFA" w:rsidR="00DB0CA7" w:rsidRDefault="00DB0CA7" w:rsidP="007D5D75">
      <w:pPr>
        <w:pStyle w:val="ProductList-Offering2Heading"/>
        <w:keepNext/>
        <w:tabs>
          <w:tab w:val="clear" w:pos="360"/>
        </w:tabs>
        <w:outlineLvl w:val="2"/>
      </w:pPr>
      <w:bookmarkStart w:id="428" w:name="_Toc195543170"/>
      <w:bookmarkStart w:id="429" w:name="_Toc237449030"/>
      <w:bookmarkStart w:id="430" w:name="_Toc136456117"/>
      <w:bookmarkEnd w:id="394"/>
      <w:bookmarkEnd w:id="395"/>
      <w:bookmarkEnd w:id="424"/>
      <w:bookmarkEnd w:id="425"/>
      <w:bookmarkEnd w:id="426"/>
      <w:bookmarkEnd w:id="427"/>
      <w:r>
        <w:t>Azure Managed Grafana</w:t>
      </w:r>
      <w:bookmarkEnd w:id="428"/>
      <w:bookmarkEnd w:id="429"/>
    </w:p>
    <w:p w14:paraId="496BFC2C" w14:textId="77777777" w:rsidR="00724E33" w:rsidRPr="009F364A" w:rsidRDefault="00724E33" w:rsidP="00724E3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Zusätzliche Definitionen</w:t>
      </w:r>
      <w:r w:rsidRPr="00864635">
        <w:rPr>
          <w:rFonts w:ascii="Calibri" w:eastAsia="Calibri" w:hAnsi="Calibri" w:cs="Arial"/>
          <w:b/>
          <w:bCs/>
          <w:sz w:val="18"/>
        </w:rPr>
        <w:t>:</w:t>
      </w:r>
    </w:p>
    <w:p w14:paraId="4EB5FA9A" w14:textId="77777777" w:rsidR="00724E33" w:rsidRPr="009F364A" w:rsidRDefault="00724E33" w:rsidP="00724E3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Arbeitsbereich</w:t>
      </w:r>
      <w:r>
        <w:rPr>
          <w:rFonts w:ascii="Calibri" w:eastAsia="Calibri" w:hAnsi="Calibri" w:cs="Arial"/>
          <w:sz w:val="18"/>
        </w:rPr>
        <w:t>“ ist eine Bereitstellung eines oder mehrerer Grafana-Server.</w:t>
      </w:r>
    </w:p>
    <w:p w14:paraId="365BBEE3" w14:textId="77777777" w:rsidR="00724E33" w:rsidRPr="009F364A" w:rsidRDefault="00724E33" w:rsidP="00724E3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Berechnung der monatlichen Betriebszeit und Servicelevel für Azure Managed Grafana</w:t>
      </w:r>
    </w:p>
    <w:p w14:paraId="78B6D53D" w14:textId="77777777" w:rsidR="00724E33" w:rsidRPr="009F364A" w:rsidRDefault="00724E33" w:rsidP="00724E3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Bereitstellungsminuten</w:t>
      </w:r>
      <w:r>
        <w:rPr>
          <w:rFonts w:ascii="Calibri" w:eastAsia="Calibri" w:hAnsi="Calibri" w:cs="Arial"/>
          <w:sz w:val="18"/>
        </w:rPr>
        <w:t>“ ist die Gesamtzahl der Minuten, in denen ein bestimmter Arbeitsbereich in Microsoft Azure im Verlauf eines Abrechnungsmonats ausgeführt wurde.</w:t>
      </w:r>
    </w:p>
    <w:p w14:paraId="191F9001" w14:textId="77777777" w:rsidR="00724E33" w:rsidRPr="009F364A" w:rsidRDefault="00724E33" w:rsidP="00724E3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Maximal verfügbare Minuten</w:t>
      </w:r>
      <w:r>
        <w:rPr>
          <w:rFonts w:ascii="Calibri" w:eastAsia="Calibri" w:hAnsi="Calibri" w:cs="Arial"/>
          <w:sz w:val="18"/>
        </w:rPr>
        <w:t>“ bezieht sich auf die Summe der Bereitstellungsminuten aller Arbeitsbereiche, die vom Kunden in einem bestimmten Microsoft Azure-Abonnement während eines Abrechnungsmonats bereitgestellt werden.</w:t>
      </w:r>
    </w:p>
    <w:p w14:paraId="6AE4402A" w14:textId="77777777" w:rsidR="00724E33" w:rsidRPr="009F364A" w:rsidRDefault="00724E33" w:rsidP="00724E3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Ausfallzeit</w:t>
      </w:r>
      <w:r>
        <w:rPr>
          <w:rFonts w:ascii="Calibri" w:eastAsia="Calibri" w:hAnsi="Calibri" w:cs="Arial"/>
          <w:sz w:val="18"/>
        </w:rPr>
        <w:t>“ ist die Summe der Bereitstellungsminuten aller Arbeitsbereiche, die vom Kunden in einem bestimmten Microsoft Azure-Abonnement im Verlauf eines Abrechnungsmonats, in dem der Arbeitsbereich nicht verfügbar ist, bereitgestellt werden. Eine Minute gilt als für einen bestimmten Arbeitsbereich nicht verfügbar, wenn alle fortlaufenden HTTP-Anfragen zum Durchführen von während der Minute initiierten Vorgängen entweder einen Fehlercode ausgeben oder keine Antwort ausgeben.</w:t>
      </w:r>
    </w:p>
    <w:p w14:paraId="517E883D" w14:textId="77777777" w:rsidR="00724E33" w:rsidRPr="009F364A" w:rsidRDefault="00724E33" w:rsidP="00724E3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Der „</w:t>
      </w:r>
      <w:r>
        <w:rPr>
          <w:rFonts w:ascii="Calibri" w:eastAsia="Calibri" w:hAnsi="Calibri" w:cs="Arial"/>
          <w:b/>
          <w:color w:val="00188F"/>
          <w:sz w:val="18"/>
        </w:rPr>
        <w:t>Prozentsatz der monatlichen Betriebszeit</w:t>
      </w:r>
      <w:r>
        <w:rPr>
          <w:rFonts w:ascii="Calibri" w:eastAsia="Calibri" w:hAnsi="Calibri" w:cs="Arial"/>
          <w:sz w:val="18"/>
        </w:rPr>
        <w:t>“ für Azure Managed Grafana wird als die maximal verfügbaren Minuten abzüglich der Ausfallzeit geteilt durch die maximal verfügbaren Minuten berechnet. Der Prozentsatz der monatlichen Betriebszeit wird mithilfe der folgenden Formel berechnet:</w:t>
      </w:r>
    </w:p>
    <w:p w14:paraId="145C613A" w14:textId="77777777" w:rsidR="00724E33" w:rsidRPr="009F364A" w:rsidRDefault="00000000" w:rsidP="00B820B8">
      <w:pPr>
        <w:spacing w:after="120" w:line="240" w:lineRule="auto"/>
        <w:ind w:left="720"/>
        <w:rPr>
          <w:rFonts w:ascii="Cambria Math" w:eastAsia="Calibri" w:hAnsi="Cambria Math" w:cs="Tahoma"/>
          <w:i/>
          <w:sz w:val="12"/>
          <w:szCs w:val="12"/>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Maximal verfügbare Minuten - Ausfallzeit</m:t>
              </m:r>
            </m:num>
            <m:den>
              <m:r>
                <m:rPr>
                  <m:nor/>
                </m:rPr>
                <w:rPr>
                  <w:rFonts w:ascii="Cambria Math" w:eastAsia="Calibri" w:hAnsi="Cambria Math" w:cs="Tahoma"/>
                  <w:i/>
                  <w:sz w:val="18"/>
                  <w:szCs w:val="18"/>
                </w:rPr>
                <m:t>Maximal verfügbare Minuten</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2F8236E9" w14:textId="77777777" w:rsidR="00724E33" w:rsidRPr="00D45E29" w:rsidRDefault="00724E33" w:rsidP="00724E33">
      <w:pPr>
        <w:tabs>
          <w:tab w:val="left" w:pos="360"/>
          <w:tab w:val="left" w:pos="720"/>
          <w:tab w:val="left" w:pos="1080"/>
        </w:tabs>
        <w:spacing w:after="0" w:line="240" w:lineRule="auto"/>
        <w:rPr>
          <w:b/>
          <w:color w:val="00188F"/>
          <w:sz w:val="18"/>
        </w:rPr>
      </w:pPr>
      <w:r w:rsidRPr="00D45E29">
        <w:rPr>
          <w:b/>
          <w:color w:val="00188F"/>
          <w:sz w:val="18"/>
        </w:rPr>
        <w:t>Folgende Servicelevels und Dienstgutschriften gelten für die Nutzung von Azure Managed Grafana durch den Kunden: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5"/>
        <w:gridCol w:w="5395"/>
      </w:tblGrid>
      <w:tr w:rsidR="00724E33" w:rsidRPr="009F364A" w14:paraId="28FAAB22" w14:textId="77777777" w:rsidTr="00E00804">
        <w:trPr>
          <w:tblHeader/>
        </w:trPr>
        <w:tc>
          <w:tcPr>
            <w:tcW w:w="2500" w:type="pct"/>
            <w:shd w:val="clear" w:color="auto" w:fill="0072C6"/>
          </w:tcPr>
          <w:p w14:paraId="3181500D" w14:textId="77777777" w:rsidR="00724E33" w:rsidRPr="009F364A" w:rsidRDefault="00724E33" w:rsidP="00E00804">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Prozentsatz der monatlichen Betriebszeit</w:t>
            </w:r>
          </w:p>
        </w:tc>
        <w:tc>
          <w:tcPr>
            <w:tcW w:w="2500" w:type="pct"/>
            <w:shd w:val="clear" w:color="auto" w:fill="0072C6"/>
          </w:tcPr>
          <w:p w14:paraId="48E8E088" w14:textId="77777777" w:rsidR="00724E33" w:rsidRPr="009F364A" w:rsidRDefault="00724E33" w:rsidP="00E00804">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Servicegutschrift</w:t>
            </w:r>
          </w:p>
        </w:tc>
      </w:tr>
      <w:tr w:rsidR="00724E33" w:rsidRPr="009F364A" w14:paraId="107AE6D2" w14:textId="77777777" w:rsidTr="00E00804">
        <w:tc>
          <w:tcPr>
            <w:tcW w:w="2500" w:type="pct"/>
          </w:tcPr>
          <w:p w14:paraId="3383F624" w14:textId="77777777" w:rsidR="00724E33" w:rsidRPr="009F364A" w:rsidRDefault="00724E33" w:rsidP="00E00804">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2500" w:type="pct"/>
          </w:tcPr>
          <w:p w14:paraId="6886A528" w14:textId="77777777" w:rsidR="00724E33" w:rsidRPr="009F364A" w:rsidRDefault="00724E33" w:rsidP="00E00804">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724E33" w:rsidRPr="009F364A" w14:paraId="13598225" w14:textId="77777777" w:rsidTr="00E00804">
        <w:tc>
          <w:tcPr>
            <w:tcW w:w="2500" w:type="pct"/>
          </w:tcPr>
          <w:p w14:paraId="55F5C05C" w14:textId="77777777" w:rsidR="00724E33" w:rsidRPr="009F364A" w:rsidRDefault="00724E33" w:rsidP="00E00804">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2500" w:type="pct"/>
          </w:tcPr>
          <w:p w14:paraId="4FE15A7E" w14:textId="77777777" w:rsidR="00724E33" w:rsidRPr="009F364A" w:rsidRDefault="00724E33" w:rsidP="00E00804">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1258B66E" w14:textId="77777777" w:rsidR="00724E33" w:rsidRPr="00D67F75" w:rsidRDefault="00724E33" w:rsidP="00724E3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740CF6F3" w14:textId="690E12BB" w:rsidR="00F03B9F" w:rsidRDefault="00F03B9F" w:rsidP="00D45E29">
      <w:pPr>
        <w:pStyle w:val="ProductList-Offering2Heading"/>
        <w:keepNext/>
        <w:tabs>
          <w:tab w:val="clear" w:pos="360"/>
        </w:tabs>
        <w:outlineLvl w:val="2"/>
      </w:pPr>
      <w:bookmarkStart w:id="431" w:name="_Toc195543171"/>
      <w:bookmarkStart w:id="432" w:name="_Toc237449031"/>
      <w:r>
        <w:t>Verwaltete Azure-Instanz für Apache Cassandra</w:t>
      </w:r>
      <w:bookmarkEnd w:id="430"/>
      <w:bookmarkEnd w:id="431"/>
      <w:bookmarkEnd w:id="432"/>
    </w:p>
    <w:p w14:paraId="306ABD64" w14:textId="77777777" w:rsidR="00F03B9F" w:rsidRDefault="00F03B9F" w:rsidP="00F03B9F">
      <w:pPr>
        <w:pStyle w:val="ProductList-Body"/>
      </w:pPr>
      <w:r>
        <w:rPr>
          <w:b/>
          <w:color w:val="00188F"/>
        </w:rPr>
        <w:t>Zusätzliche Definitionen</w:t>
      </w:r>
      <w:r w:rsidRPr="0008262F">
        <w:rPr>
          <w:b/>
          <w:bCs/>
          <w:color w:val="00188F"/>
        </w:rPr>
        <w:t>:</w:t>
      </w:r>
    </w:p>
    <w:p w14:paraId="09F07B93" w14:textId="77777777" w:rsidR="00F03B9F" w:rsidRDefault="00F03B9F" w:rsidP="00F03B9F">
      <w:pPr>
        <w:pStyle w:val="ProductList-Body"/>
      </w:pPr>
      <w:r>
        <w:t>„</w:t>
      </w:r>
      <w:r>
        <w:rPr>
          <w:b/>
          <w:color w:val="00188F"/>
        </w:rPr>
        <w:t>Verfügbarkeitszone</w:t>
      </w:r>
      <w:r>
        <w:t>“ ist ein fehlerisolierter Bereich in einer Azure-Region, der redundante Stromversorgung, Kühlung und Vernetzung zur Verfügung stellt.</w:t>
      </w:r>
    </w:p>
    <w:p w14:paraId="69C16C80" w14:textId="77777777" w:rsidR="00F03B9F" w:rsidRDefault="00F03B9F" w:rsidP="00F03B9F">
      <w:pPr>
        <w:pStyle w:val="ProductList-Body"/>
      </w:pPr>
      <w:r>
        <w:t>„</w:t>
      </w:r>
      <w:r>
        <w:rPr>
          <w:b/>
          <w:color w:val="00188F"/>
        </w:rPr>
        <w:t>Cassandra-Rechenzentrum</w:t>
      </w:r>
      <w:r>
        <w:t>“ bezieht sich auf drei oder mehr Knoten, die in einer Region mit Verwalteter Azure-Instanz für Apache Cassandra mit einer gemeinsamen Konfiguration und einem Cassandra-Rechenzentrumsnamen bereitgestellt werden.</w:t>
      </w:r>
    </w:p>
    <w:p w14:paraId="3C6C49E2" w14:textId="77777777" w:rsidR="00F03B9F" w:rsidRDefault="00F03B9F" w:rsidP="00F03B9F">
      <w:pPr>
        <w:pStyle w:val="ProductList-Body"/>
      </w:pPr>
      <w:r>
        <w:t>„</w:t>
      </w:r>
      <w:r>
        <w:rPr>
          <w:b/>
          <w:color w:val="00188F"/>
        </w:rPr>
        <w:t>Knoten</w:t>
      </w:r>
      <w:r>
        <w:t>“ bezieht sich auf einen einzelnen virtuellen Computer, die in einer Region mit Verwalteter Azure-Instanz für Apache Cassandra bereitgestellt wird.</w:t>
      </w:r>
    </w:p>
    <w:p w14:paraId="215B45B6" w14:textId="77777777" w:rsidR="00F03B9F" w:rsidRDefault="00F03B9F" w:rsidP="00F03B9F">
      <w:pPr>
        <w:pStyle w:val="ProductList-Body"/>
      </w:pPr>
      <w:r>
        <w:t>„</w:t>
      </w:r>
      <w:r>
        <w:rPr>
          <w:b/>
          <w:color w:val="00188F"/>
        </w:rPr>
        <w:t>Konforme Netzwerkkonfiguration</w:t>
      </w:r>
      <w:r>
        <w:t>“ bezeichnet den vollständigen Satz erforderlicher Konfigurationen des virtuellen Microsoft Azure-Netzwerks, in dem das Cassandra-Rechenzentrum untergebracht ist, einschließlich der eingehenden Sicherheitsregeln der Microsoft Azure-Netzwerksicherheitsgruppe und der obligatorischen, benutzerdefinierten Microsoft Azure-Routen des Virtuellen Microsoft Azure-Netzwerk-Subnetzes, in dem das Cassandra-Rechenzentrum untergebracht ist, die einen ununterbrochenen Fluss des Verwaltungsdatenverkehrs ermöglichen und den Datenverkehr zum dedizierten Gateway im Virtuellen Microsoft Azure-Netzwerk-Subnetz zulassen, in dem das Cassandra-Rechenzentrum untergebracht ist.</w:t>
      </w:r>
    </w:p>
    <w:p w14:paraId="7572B84D" w14:textId="77777777" w:rsidR="00F03B9F" w:rsidRPr="00FC0DFA" w:rsidRDefault="00F03B9F" w:rsidP="00B820B8">
      <w:pPr>
        <w:pStyle w:val="ProductList-Body"/>
        <w:spacing w:before="60"/>
        <w:rPr>
          <w:b/>
          <w:color w:val="00188F"/>
        </w:rPr>
      </w:pPr>
      <w:r>
        <w:rPr>
          <w:b/>
          <w:color w:val="00188F"/>
        </w:rPr>
        <w:t>Berechnung der Betriebszeit und Service-Levels für verwaltete Azure-Instanzen für Cassandra-Rechenzentren</w:t>
      </w:r>
    </w:p>
    <w:p w14:paraId="4D155C08" w14:textId="77777777" w:rsidR="00F03B9F" w:rsidRDefault="00F03B9F" w:rsidP="00F03B9F">
      <w:pPr>
        <w:pStyle w:val="ProductList-Body"/>
      </w:pPr>
      <w:r>
        <w:t>„</w:t>
      </w:r>
      <w:r>
        <w:rPr>
          <w:b/>
          <w:color w:val="00188F"/>
        </w:rPr>
        <w:t>Maximal verfügbare Minuten</w:t>
      </w:r>
      <w:r>
        <w:t>“ sind die gesamten aufgelaufenen Minuten während eines Abrechnungsmonats für alle Cassandra-Rechenzentren, die drei oder mehr Knoten bereitgestellt haben. Die maximal verfügbaren Minuten werden von dem Zeitpunkt an gemessen, an dem mindestens drei Knoten in demselben Cassandra-Rechenzentrum infolge einer vom Kunden initiierten Aktion gestartet wurden, bis zu dem Zeitpunkt, an dem der Kunde eine Aktion initiiert hat, die zum Stoppen oder Löschen des Cassandra-Rechenzentrums führen würde.</w:t>
      </w:r>
    </w:p>
    <w:p w14:paraId="477874B3" w14:textId="77777777" w:rsidR="00F03B9F" w:rsidRDefault="00F03B9F" w:rsidP="00F03B9F">
      <w:pPr>
        <w:pStyle w:val="ProductList-Body"/>
      </w:pPr>
      <w:r>
        <w:t>„</w:t>
      </w:r>
      <w:r>
        <w:rPr>
          <w:b/>
          <w:color w:val="00188F"/>
        </w:rPr>
        <w:t>Ausfallzeit</w:t>
      </w:r>
      <w:r>
        <w:t>“ ist die Summe der aufgelaufenen Minuten, die Teil der maximal verfügbaren Minuten sind, in denen kontinuierlich keine Konnektivität zu einem Quorum von Knoten im Cassandra-Rechenzentrum in einer Region besteht.</w:t>
      </w:r>
    </w:p>
    <w:p w14:paraId="7321D00A" w14:textId="77777777" w:rsidR="00F03B9F" w:rsidRDefault="00F03B9F" w:rsidP="00F03B9F">
      <w:pPr>
        <w:pStyle w:val="ProductList-Body"/>
      </w:pPr>
      <w:r>
        <w:t>Der „</w:t>
      </w:r>
      <w:r>
        <w:rPr>
          <w:b/>
          <w:color w:val="00188F"/>
        </w:rPr>
        <w:t>Betriebszeitprozentsatz</w:t>
      </w:r>
      <w:r>
        <w:t>“ für Cassandra-Rechenzentren wird berechnet als Maximal Verfügbare Minuten abzüglich Ausfallzeit geteilt durch die Maximal Verfügbaren Minuten in einem Anwendbaren Zeitraum für ein bestimmtes Microsoft Azure-Abonnement. Der Betriebszeitprozentsatz wird durch die folgende Formel ermittelt:</w:t>
      </w:r>
    </w:p>
    <w:p w14:paraId="733707BD" w14:textId="77777777" w:rsidR="00F03B9F" w:rsidRPr="007C7313" w:rsidRDefault="00000000" w:rsidP="0003077D">
      <w:pPr>
        <w:pStyle w:val="ListParagraph"/>
        <w:spacing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2130E475" w14:textId="77777777" w:rsidR="00F03B9F" w:rsidRPr="00FC0DFA" w:rsidRDefault="00F03B9F" w:rsidP="00F03B9F">
      <w:pPr>
        <w:pStyle w:val="ProductList-Body"/>
        <w:keepNext/>
        <w:rPr>
          <w:b/>
          <w:color w:val="00188F"/>
        </w:rPr>
      </w:pPr>
      <w:r>
        <w:rPr>
          <w:b/>
          <w:color w:val="00188F"/>
        </w:rPr>
        <w:lastRenderedPageBreak/>
        <w:t>Die folgenden Servicelevels und Servicegutschriften gelten für die Nutzung durch den Kunden eines Cassandra-Rechenzentrums mit konformer Netzwerkkonfiguration</w:t>
      </w:r>
      <w:r w:rsidRPr="0008262F">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03B9F" w:rsidRPr="00B44CF9" w14:paraId="731F34CC" w14:textId="77777777" w:rsidTr="00E00804">
        <w:trPr>
          <w:tblHeader/>
        </w:trPr>
        <w:tc>
          <w:tcPr>
            <w:tcW w:w="5400" w:type="dxa"/>
            <w:shd w:val="clear" w:color="auto" w:fill="0072C6"/>
          </w:tcPr>
          <w:p w14:paraId="6BB92DA6" w14:textId="77777777" w:rsidR="00F03B9F" w:rsidRPr="00EF7CF9" w:rsidRDefault="00F03B9F" w:rsidP="00E0080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3A192EA5" w14:textId="77777777" w:rsidR="00F03B9F" w:rsidRPr="00EF7CF9" w:rsidRDefault="00F03B9F" w:rsidP="00E00804">
            <w:pPr>
              <w:pStyle w:val="ProductList-OfferingBody"/>
              <w:jc w:val="center"/>
              <w:rPr>
                <w:color w:val="FFFFFF" w:themeColor="background1"/>
              </w:rPr>
            </w:pPr>
            <w:r>
              <w:rPr>
                <w:color w:val="FFFFFF" w:themeColor="background1"/>
              </w:rPr>
              <w:t>Servicegutschrift</w:t>
            </w:r>
          </w:p>
        </w:tc>
      </w:tr>
      <w:tr w:rsidR="00F03B9F" w:rsidRPr="00B44CF9" w14:paraId="1BD3F37A" w14:textId="77777777" w:rsidTr="00E00804">
        <w:tc>
          <w:tcPr>
            <w:tcW w:w="5400" w:type="dxa"/>
          </w:tcPr>
          <w:p w14:paraId="0F39738B" w14:textId="77777777" w:rsidR="00F03B9F" w:rsidRPr="00EF7CF9" w:rsidRDefault="00F03B9F" w:rsidP="00E00804">
            <w:pPr>
              <w:pStyle w:val="ProductList-OfferingBody"/>
              <w:jc w:val="center"/>
            </w:pPr>
            <w:r>
              <w:t>&lt; 99,95 %</w:t>
            </w:r>
          </w:p>
        </w:tc>
        <w:tc>
          <w:tcPr>
            <w:tcW w:w="5400" w:type="dxa"/>
          </w:tcPr>
          <w:p w14:paraId="2A1251AC" w14:textId="77777777" w:rsidR="00F03B9F" w:rsidRPr="00EF7CF9" w:rsidRDefault="00F03B9F" w:rsidP="00E00804">
            <w:pPr>
              <w:pStyle w:val="ProductList-OfferingBody"/>
              <w:jc w:val="center"/>
            </w:pPr>
            <w:r>
              <w:t>10 %</w:t>
            </w:r>
          </w:p>
        </w:tc>
      </w:tr>
      <w:tr w:rsidR="00F03B9F" w:rsidRPr="00B44CF9" w14:paraId="794B4043" w14:textId="77777777" w:rsidTr="00E00804">
        <w:tc>
          <w:tcPr>
            <w:tcW w:w="5400" w:type="dxa"/>
          </w:tcPr>
          <w:p w14:paraId="2D304771" w14:textId="77777777" w:rsidR="00F03B9F" w:rsidRPr="00EF7CF9" w:rsidRDefault="00F03B9F" w:rsidP="00E00804">
            <w:pPr>
              <w:pStyle w:val="ProductList-OfferingBody"/>
              <w:jc w:val="center"/>
            </w:pPr>
            <w:r>
              <w:t>&lt; 99 %</w:t>
            </w:r>
          </w:p>
        </w:tc>
        <w:tc>
          <w:tcPr>
            <w:tcW w:w="5400" w:type="dxa"/>
          </w:tcPr>
          <w:p w14:paraId="303195C4" w14:textId="77777777" w:rsidR="00F03B9F" w:rsidRPr="00EF7CF9" w:rsidRDefault="00F03B9F" w:rsidP="00E00804">
            <w:pPr>
              <w:pStyle w:val="ProductList-OfferingBody"/>
              <w:jc w:val="center"/>
            </w:pPr>
            <w:r>
              <w:t>25 %</w:t>
            </w:r>
          </w:p>
        </w:tc>
      </w:tr>
    </w:tbl>
    <w:p w14:paraId="6A0F1445" w14:textId="77777777" w:rsidR="00F03B9F" w:rsidRDefault="00F03B9F" w:rsidP="00472E37">
      <w:pPr>
        <w:pStyle w:val="ProductList-Body"/>
        <w:spacing w:before="120"/>
        <w:rPr>
          <w:b/>
          <w:color w:val="00188F"/>
        </w:rPr>
      </w:pPr>
      <w:r>
        <w:rPr>
          <w:b/>
          <w:color w:val="00188F"/>
        </w:rPr>
        <w:t>Für ein Casandra-Rechenzentrum, das mit aktivierter Verfügbarkeitszonenunterstützung in einer Azure-Region bereitgestellt wird, die Verfügbarkeitszonen unterstützt, gelten die folgenden Servicelevels und Servicegutschriften für die Nutzung durch den Kunden eines Cassandra-Rechenzentrums mit konformer Netzwerkkonfiguration: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24E33" w:rsidRPr="00B44CF9" w14:paraId="66AF8445" w14:textId="77777777" w:rsidTr="00E00804">
        <w:trPr>
          <w:tblHeader/>
        </w:trPr>
        <w:tc>
          <w:tcPr>
            <w:tcW w:w="5400" w:type="dxa"/>
            <w:shd w:val="clear" w:color="auto" w:fill="0072C6"/>
          </w:tcPr>
          <w:p w14:paraId="1A972B43" w14:textId="77777777" w:rsidR="00724E33" w:rsidRPr="00EF7CF9" w:rsidRDefault="00724E33" w:rsidP="00E0080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346375EB" w14:textId="77777777" w:rsidR="00724E33" w:rsidRPr="00EF7CF9" w:rsidRDefault="00724E33" w:rsidP="00E00804">
            <w:pPr>
              <w:pStyle w:val="ProductList-OfferingBody"/>
              <w:jc w:val="center"/>
              <w:rPr>
                <w:color w:val="FFFFFF" w:themeColor="background1"/>
              </w:rPr>
            </w:pPr>
            <w:r>
              <w:rPr>
                <w:color w:val="FFFFFF" w:themeColor="background1"/>
              </w:rPr>
              <w:t>Servicegutschrift</w:t>
            </w:r>
          </w:p>
        </w:tc>
      </w:tr>
      <w:tr w:rsidR="00724E33" w:rsidRPr="00B44CF9" w14:paraId="26E50104" w14:textId="77777777" w:rsidTr="00E00804">
        <w:tc>
          <w:tcPr>
            <w:tcW w:w="5400" w:type="dxa"/>
          </w:tcPr>
          <w:p w14:paraId="76724B57" w14:textId="77777777" w:rsidR="00724E33" w:rsidRPr="00EF7CF9" w:rsidRDefault="00724E33" w:rsidP="00E00804">
            <w:pPr>
              <w:pStyle w:val="ProductList-OfferingBody"/>
              <w:jc w:val="center"/>
            </w:pPr>
            <w:r>
              <w:t>&lt; 99,99 %</w:t>
            </w:r>
          </w:p>
        </w:tc>
        <w:tc>
          <w:tcPr>
            <w:tcW w:w="5400" w:type="dxa"/>
          </w:tcPr>
          <w:p w14:paraId="19C1479D" w14:textId="77777777" w:rsidR="00724E33" w:rsidRPr="00EF7CF9" w:rsidRDefault="00724E33" w:rsidP="00E00804">
            <w:pPr>
              <w:pStyle w:val="ProductList-OfferingBody"/>
              <w:jc w:val="center"/>
            </w:pPr>
            <w:r>
              <w:t>10 %</w:t>
            </w:r>
          </w:p>
        </w:tc>
      </w:tr>
      <w:tr w:rsidR="00724E33" w:rsidRPr="00B44CF9" w14:paraId="6E0AE2FE" w14:textId="77777777" w:rsidTr="00E00804">
        <w:tc>
          <w:tcPr>
            <w:tcW w:w="5400" w:type="dxa"/>
          </w:tcPr>
          <w:p w14:paraId="3A64CC06" w14:textId="77777777" w:rsidR="00724E33" w:rsidRPr="00EF7CF9" w:rsidRDefault="00724E33" w:rsidP="00E00804">
            <w:pPr>
              <w:pStyle w:val="ProductList-OfferingBody"/>
              <w:jc w:val="center"/>
            </w:pPr>
            <w:r>
              <w:t>&lt; 99 %</w:t>
            </w:r>
          </w:p>
        </w:tc>
        <w:tc>
          <w:tcPr>
            <w:tcW w:w="5400" w:type="dxa"/>
          </w:tcPr>
          <w:p w14:paraId="47F3C64A" w14:textId="77777777" w:rsidR="00724E33" w:rsidRPr="00EF7CF9" w:rsidRDefault="00724E33" w:rsidP="00E00804">
            <w:pPr>
              <w:pStyle w:val="ProductList-OfferingBody"/>
              <w:jc w:val="center"/>
            </w:pPr>
            <w:r>
              <w:t>25 %</w:t>
            </w:r>
          </w:p>
        </w:tc>
      </w:tr>
    </w:tbl>
    <w:p w14:paraId="24F7F674" w14:textId="0275A29B" w:rsidR="00584113" w:rsidRPr="009A3360" w:rsidRDefault="00584113" w:rsidP="00472E37">
      <w:pPr>
        <w:pStyle w:val="ProductList-Body"/>
        <w:spacing w:before="120"/>
        <w:rPr>
          <w:rFonts w:ascii="Calibri" w:hAnsi="Calibri" w:cs="Calibri"/>
          <w:b/>
          <w:bCs/>
          <w:color w:val="00188F"/>
        </w:rPr>
      </w:pPr>
      <w:r>
        <w:rPr>
          <w:rFonts w:ascii="Calibri" w:hAnsi="Calibri" w:cs="Calibri"/>
          <w:b/>
          <w:bCs/>
          <w:color w:val="00188F"/>
        </w:rPr>
        <w:t>Für einen Cassandra-Cluster, der mit Rechenzentren in mehreren Regionen und aktivierter Verfügbarkeitszonenunterstützung in einer Azure-Region bereitgestellt wird, die Verfügbarkeitszonen unterstützt, gelten die folgenden Servicelevels und Servicegutschriften für die Nutzung durch den Kunden eines Cassandra-Rechenzentrums mit konformer Netzwerkkonfiguration: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34"/>
        <w:gridCol w:w="5566"/>
      </w:tblGrid>
      <w:tr w:rsidR="00584113" w:rsidRPr="006B307B" w14:paraId="43853086" w14:textId="77777777" w:rsidTr="009B7CCF">
        <w:trPr>
          <w:trHeight w:val="265"/>
          <w:tblHeader/>
        </w:trPr>
        <w:tc>
          <w:tcPr>
            <w:tcW w:w="5234" w:type="dxa"/>
            <w:shd w:val="clear" w:color="auto" w:fill="0072C6"/>
          </w:tcPr>
          <w:p w14:paraId="57B6915D" w14:textId="77777777" w:rsidR="00584113" w:rsidRPr="00762BE9" w:rsidRDefault="00584113" w:rsidP="009B7CCF">
            <w:pPr>
              <w:pStyle w:val="ProductList-OfferingBody"/>
              <w:jc w:val="center"/>
              <w:rPr>
                <w:rFonts w:ascii="Calibri" w:hAnsi="Calibri" w:cs="Calibri"/>
                <w:color w:val="FFFFFF" w:themeColor="background1"/>
              </w:rPr>
            </w:pPr>
            <w:r>
              <w:rPr>
                <w:rFonts w:ascii="Calibri" w:hAnsi="Calibri" w:cs="Calibri"/>
                <w:color w:val="FFFFFF" w:themeColor="background1"/>
              </w:rPr>
              <w:t>Prozentsatz der Verfügbarkeit mehrerer Schreiborte</w:t>
            </w:r>
          </w:p>
        </w:tc>
        <w:tc>
          <w:tcPr>
            <w:tcW w:w="5566" w:type="dxa"/>
            <w:shd w:val="clear" w:color="auto" w:fill="0072C6"/>
          </w:tcPr>
          <w:p w14:paraId="11F372BB" w14:textId="77777777" w:rsidR="00584113" w:rsidRPr="00762BE9" w:rsidRDefault="00584113" w:rsidP="009B7CCF">
            <w:pPr>
              <w:pStyle w:val="ProductList-OfferingBody"/>
              <w:jc w:val="center"/>
              <w:rPr>
                <w:rFonts w:ascii="Calibri" w:hAnsi="Calibri" w:cs="Calibri"/>
                <w:color w:val="FFFFFF" w:themeColor="background1"/>
              </w:rPr>
            </w:pPr>
            <w:r>
              <w:rPr>
                <w:rFonts w:ascii="Calibri" w:hAnsi="Calibri" w:cs="Calibri"/>
                <w:color w:val="FFFFFF" w:themeColor="background1"/>
              </w:rPr>
              <w:t>Servicegutschrift</w:t>
            </w:r>
          </w:p>
        </w:tc>
      </w:tr>
      <w:tr w:rsidR="00584113" w:rsidRPr="006B307B" w14:paraId="0826C824" w14:textId="77777777" w:rsidTr="009B7CCF">
        <w:trPr>
          <w:trHeight w:val="284"/>
        </w:trPr>
        <w:tc>
          <w:tcPr>
            <w:tcW w:w="5234" w:type="dxa"/>
          </w:tcPr>
          <w:p w14:paraId="67A34E2F" w14:textId="77777777" w:rsidR="00584113" w:rsidRPr="00762BE9" w:rsidRDefault="00584113" w:rsidP="009B7CCF">
            <w:pPr>
              <w:pStyle w:val="ProductList-OfferingBody"/>
              <w:jc w:val="center"/>
              <w:rPr>
                <w:rFonts w:ascii="Calibri" w:hAnsi="Calibri" w:cs="Calibri"/>
              </w:rPr>
            </w:pPr>
            <w:r>
              <w:rPr>
                <w:rFonts w:ascii="Calibri" w:hAnsi="Calibri" w:cs="Calibri"/>
              </w:rPr>
              <w:t>&lt; 99,999 %</w:t>
            </w:r>
          </w:p>
        </w:tc>
        <w:tc>
          <w:tcPr>
            <w:tcW w:w="5566" w:type="dxa"/>
          </w:tcPr>
          <w:p w14:paraId="7EFB422E" w14:textId="77777777" w:rsidR="00584113" w:rsidRPr="00762BE9" w:rsidRDefault="00584113" w:rsidP="009B7CCF">
            <w:pPr>
              <w:pStyle w:val="ProductList-OfferingBody"/>
              <w:jc w:val="center"/>
              <w:rPr>
                <w:rFonts w:ascii="Calibri" w:hAnsi="Calibri" w:cs="Calibri"/>
              </w:rPr>
            </w:pPr>
            <w:r>
              <w:rPr>
                <w:rFonts w:ascii="Calibri" w:hAnsi="Calibri" w:cs="Calibri"/>
              </w:rPr>
              <w:t>10 %</w:t>
            </w:r>
          </w:p>
        </w:tc>
      </w:tr>
      <w:tr w:rsidR="00584113" w:rsidRPr="006B307B" w14:paraId="139B926C" w14:textId="77777777" w:rsidTr="009B7CCF">
        <w:trPr>
          <w:trHeight w:val="265"/>
        </w:trPr>
        <w:tc>
          <w:tcPr>
            <w:tcW w:w="5234" w:type="dxa"/>
          </w:tcPr>
          <w:p w14:paraId="52D8B012" w14:textId="77777777" w:rsidR="00584113" w:rsidRPr="00762BE9" w:rsidRDefault="00584113" w:rsidP="009B7CCF">
            <w:pPr>
              <w:pStyle w:val="ProductList-OfferingBody"/>
              <w:jc w:val="center"/>
              <w:rPr>
                <w:rFonts w:ascii="Calibri" w:hAnsi="Calibri" w:cs="Calibri"/>
              </w:rPr>
            </w:pPr>
            <w:r>
              <w:rPr>
                <w:rFonts w:ascii="Calibri" w:hAnsi="Calibri" w:cs="Calibri"/>
              </w:rPr>
              <w:t>&lt; 99 %</w:t>
            </w:r>
          </w:p>
        </w:tc>
        <w:tc>
          <w:tcPr>
            <w:tcW w:w="5566" w:type="dxa"/>
          </w:tcPr>
          <w:p w14:paraId="5DE775B5" w14:textId="77777777" w:rsidR="00584113" w:rsidRPr="00762BE9" w:rsidRDefault="00584113" w:rsidP="009B7CCF">
            <w:pPr>
              <w:pStyle w:val="ProductList-OfferingBody"/>
              <w:jc w:val="center"/>
              <w:rPr>
                <w:rFonts w:ascii="Calibri" w:hAnsi="Calibri" w:cs="Calibri"/>
              </w:rPr>
            </w:pPr>
            <w:r>
              <w:rPr>
                <w:rFonts w:ascii="Calibri" w:hAnsi="Calibri" w:cs="Calibri"/>
              </w:rPr>
              <w:t>25 %</w:t>
            </w:r>
          </w:p>
        </w:tc>
      </w:tr>
    </w:tbl>
    <w:p w14:paraId="6F498F72" w14:textId="77777777" w:rsidR="00584113" w:rsidRPr="009A3360" w:rsidRDefault="00584113" w:rsidP="00472E37">
      <w:pPr>
        <w:pStyle w:val="ProductList-Body"/>
        <w:keepNext/>
        <w:spacing w:before="120"/>
        <w:rPr>
          <w:rFonts w:ascii="Calibri" w:hAnsi="Calibri" w:cs="Calibri"/>
          <w:color w:val="0072C6"/>
        </w:rPr>
      </w:pPr>
      <w:r>
        <w:rPr>
          <w:rFonts w:ascii="Calibri" w:hAnsi="Calibri" w:cs="Calibri"/>
          <w:b/>
          <w:color w:val="00188F"/>
        </w:rPr>
        <w:t>Für ein Cassandra-Rechenzentrum, das mit einer einzelnen Region und NICHT aktivierter Verfügbarkeitszone bereitgestellt wird</w:t>
      </w:r>
      <w:r>
        <w:rPr>
          <w:rFonts w:ascii="Calibri" w:hAnsi="Calibri" w:cs="Calibri"/>
          <w:b/>
          <w:color w:val="0072C6"/>
        </w:rPr>
        <w:t xml:space="preserve"> </w:t>
      </w:r>
    </w:p>
    <w:tbl>
      <w:tblPr>
        <w:tblW w:w="10799" w:type="dxa"/>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79"/>
      </w:tblGrid>
      <w:tr w:rsidR="00584113" w:rsidRPr="006B307B" w14:paraId="0CB0EFCB" w14:textId="77777777" w:rsidTr="009B7CCF">
        <w:trPr>
          <w:tblHeader/>
        </w:trPr>
        <w:tc>
          <w:tcPr>
            <w:tcW w:w="5220" w:type="dxa"/>
            <w:shd w:val="clear" w:color="auto" w:fill="0072C6"/>
          </w:tcPr>
          <w:p w14:paraId="7411010C" w14:textId="77777777" w:rsidR="00584113" w:rsidRPr="00762BE9" w:rsidRDefault="00584113" w:rsidP="009B7CCF">
            <w:pPr>
              <w:pStyle w:val="ProductList-OfferingBody"/>
              <w:jc w:val="center"/>
              <w:rPr>
                <w:rFonts w:ascii="Calibri" w:hAnsi="Calibri" w:cs="Calibri"/>
                <w:color w:val="FFFFFF" w:themeColor="background1"/>
              </w:rPr>
            </w:pPr>
            <w:r>
              <w:rPr>
                <w:rFonts w:ascii="Calibri" w:hAnsi="Calibri" w:cs="Calibri"/>
                <w:color w:val="FFFFFF" w:themeColor="background1"/>
              </w:rPr>
              <w:t>Prozentsatz der Verfügbarkeit</w:t>
            </w:r>
          </w:p>
        </w:tc>
        <w:tc>
          <w:tcPr>
            <w:tcW w:w="5579" w:type="dxa"/>
            <w:shd w:val="clear" w:color="auto" w:fill="0072C6"/>
          </w:tcPr>
          <w:p w14:paraId="4B621448" w14:textId="77777777" w:rsidR="00584113" w:rsidRPr="00762BE9" w:rsidRDefault="00584113" w:rsidP="009B7CCF">
            <w:pPr>
              <w:pStyle w:val="ProductList-OfferingBody"/>
              <w:jc w:val="center"/>
              <w:rPr>
                <w:rFonts w:ascii="Calibri" w:hAnsi="Calibri" w:cs="Calibri"/>
                <w:color w:val="FFFFFF" w:themeColor="background1"/>
              </w:rPr>
            </w:pPr>
            <w:r>
              <w:rPr>
                <w:rFonts w:ascii="Calibri" w:hAnsi="Calibri" w:cs="Calibri"/>
                <w:color w:val="FFFFFF" w:themeColor="background1"/>
              </w:rPr>
              <w:t>Servicegutschrift</w:t>
            </w:r>
          </w:p>
        </w:tc>
      </w:tr>
      <w:tr w:rsidR="00584113" w:rsidRPr="006B307B" w14:paraId="4D0E90BE" w14:textId="77777777" w:rsidTr="009B7CCF">
        <w:tc>
          <w:tcPr>
            <w:tcW w:w="5220" w:type="dxa"/>
          </w:tcPr>
          <w:p w14:paraId="7AEBE5DB" w14:textId="77777777" w:rsidR="00584113" w:rsidRPr="00762BE9" w:rsidRDefault="00584113" w:rsidP="009B7CCF">
            <w:pPr>
              <w:pStyle w:val="ProductList-OfferingBody"/>
              <w:jc w:val="center"/>
              <w:rPr>
                <w:rFonts w:ascii="Calibri" w:hAnsi="Calibri" w:cs="Calibri"/>
              </w:rPr>
            </w:pPr>
            <w:r>
              <w:rPr>
                <w:rFonts w:ascii="Calibri" w:hAnsi="Calibri" w:cs="Calibri"/>
              </w:rPr>
              <w:t>&lt; 99,995 %</w:t>
            </w:r>
          </w:p>
        </w:tc>
        <w:tc>
          <w:tcPr>
            <w:tcW w:w="5579" w:type="dxa"/>
          </w:tcPr>
          <w:p w14:paraId="46DDFBB8" w14:textId="77777777" w:rsidR="00584113" w:rsidRPr="00762BE9" w:rsidRDefault="00584113" w:rsidP="009B7CCF">
            <w:pPr>
              <w:pStyle w:val="ProductList-OfferingBody"/>
              <w:jc w:val="center"/>
              <w:rPr>
                <w:rFonts w:ascii="Calibri" w:hAnsi="Calibri" w:cs="Calibri"/>
              </w:rPr>
            </w:pPr>
            <w:r>
              <w:rPr>
                <w:rFonts w:ascii="Calibri" w:hAnsi="Calibri" w:cs="Calibri"/>
              </w:rPr>
              <w:t>10 %</w:t>
            </w:r>
          </w:p>
        </w:tc>
      </w:tr>
      <w:tr w:rsidR="00584113" w:rsidRPr="006B307B" w14:paraId="64CE406A" w14:textId="77777777" w:rsidTr="009B7CCF">
        <w:tc>
          <w:tcPr>
            <w:tcW w:w="5220" w:type="dxa"/>
          </w:tcPr>
          <w:p w14:paraId="42D3AD21" w14:textId="77777777" w:rsidR="00584113" w:rsidRPr="00762BE9" w:rsidRDefault="00584113" w:rsidP="009B7CCF">
            <w:pPr>
              <w:pStyle w:val="ProductList-OfferingBody"/>
              <w:jc w:val="center"/>
              <w:rPr>
                <w:rFonts w:ascii="Calibri" w:hAnsi="Calibri" w:cs="Calibri"/>
              </w:rPr>
            </w:pPr>
            <w:r>
              <w:rPr>
                <w:rFonts w:ascii="Calibri" w:hAnsi="Calibri" w:cs="Calibri"/>
              </w:rPr>
              <w:t>&lt; 99 %</w:t>
            </w:r>
          </w:p>
        </w:tc>
        <w:tc>
          <w:tcPr>
            <w:tcW w:w="5579" w:type="dxa"/>
          </w:tcPr>
          <w:p w14:paraId="4DA5983D" w14:textId="77777777" w:rsidR="00584113" w:rsidRPr="00762BE9" w:rsidRDefault="00584113" w:rsidP="009B7CCF">
            <w:pPr>
              <w:pStyle w:val="ProductList-OfferingBody"/>
              <w:jc w:val="center"/>
              <w:rPr>
                <w:rFonts w:ascii="Calibri" w:hAnsi="Calibri" w:cs="Calibri"/>
              </w:rPr>
            </w:pPr>
            <w:r>
              <w:rPr>
                <w:rFonts w:ascii="Calibri" w:hAnsi="Calibri" w:cs="Calibri"/>
              </w:rPr>
              <w:t>25 %</w:t>
            </w:r>
          </w:p>
        </w:tc>
      </w:tr>
    </w:tbl>
    <w:p w14:paraId="63D671AD" w14:textId="77777777" w:rsidR="00584113" w:rsidRPr="00762BE9" w:rsidRDefault="00584113" w:rsidP="00472E37">
      <w:pPr>
        <w:pStyle w:val="ProductList-Body"/>
        <w:keepNext/>
        <w:spacing w:before="120"/>
        <w:rPr>
          <w:rFonts w:ascii="Calibri" w:hAnsi="Calibri" w:cs="Calibri"/>
          <w:color w:val="0072C6"/>
        </w:rPr>
      </w:pPr>
      <w:r>
        <w:rPr>
          <w:rFonts w:ascii="Calibri" w:hAnsi="Calibri" w:cs="Calibri"/>
          <w:b/>
          <w:color w:val="00188F"/>
        </w:rPr>
        <w:t xml:space="preserve">Für ein Cassandra-Rechenzentrum, das in einer einzelnen Region mit aktivierter Verfügbarkeitszone bereitgestellt wird </w:t>
      </w:r>
    </w:p>
    <w:tbl>
      <w:tblPr>
        <w:tblW w:w="10799" w:type="dxa"/>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79"/>
      </w:tblGrid>
      <w:tr w:rsidR="00584113" w:rsidRPr="006B307B" w14:paraId="23724701" w14:textId="77777777" w:rsidTr="009B7CCF">
        <w:trPr>
          <w:tblHeader/>
        </w:trPr>
        <w:tc>
          <w:tcPr>
            <w:tcW w:w="5220" w:type="dxa"/>
            <w:shd w:val="clear" w:color="auto" w:fill="0072C6"/>
          </w:tcPr>
          <w:p w14:paraId="34D3D5C9" w14:textId="77777777" w:rsidR="00584113" w:rsidRPr="00762BE9" w:rsidRDefault="00584113" w:rsidP="009B7CCF">
            <w:pPr>
              <w:pStyle w:val="ProductList-OfferingBody"/>
              <w:jc w:val="center"/>
              <w:rPr>
                <w:rFonts w:ascii="Calibri" w:hAnsi="Calibri" w:cs="Calibri"/>
                <w:color w:val="FFFFFF" w:themeColor="background1"/>
              </w:rPr>
            </w:pPr>
            <w:r>
              <w:rPr>
                <w:rFonts w:ascii="Calibri" w:hAnsi="Calibri" w:cs="Calibri"/>
                <w:color w:val="FFFFFF" w:themeColor="background1"/>
              </w:rPr>
              <w:t>Verfügbarkeitsprozentsatz (SR-AZ)</w:t>
            </w:r>
          </w:p>
        </w:tc>
        <w:tc>
          <w:tcPr>
            <w:tcW w:w="5579" w:type="dxa"/>
            <w:shd w:val="clear" w:color="auto" w:fill="0072C6"/>
          </w:tcPr>
          <w:p w14:paraId="3DBD54FD" w14:textId="77777777" w:rsidR="00584113" w:rsidRPr="00762BE9" w:rsidRDefault="00584113" w:rsidP="009B7CCF">
            <w:pPr>
              <w:pStyle w:val="ProductList-OfferingBody"/>
              <w:jc w:val="center"/>
              <w:rPr>
                <w:rFonts w:ascii="Calibri" w:hAnsi="Calibri" w:cs="Calibri"/>
                <w:color w:val="FFFFFF" w:themeColor="background1"/>
              </w:rPr>
            </w:pPr>
            <w:r>
              <w:rPr>
                <w:rFonts w:ascii="Calibri" w:hAnsi="Calibri" w:cs="Calibri"/>
                <w:color w:val="FFFFFF" w:themeColor="background1"/>
              </w:rPr>
              <w:t>Servicegutschrift</w:t>
            </w:r>
          </w:p>
        </w:tc>
      </w:tr>
      <w:tr w:rsidR="00584113" w:rsidRPr="006B307B" w14:paraId="51BB8066" w14:textId="77777777" w:rsidTr="009B7CCF">
        <w:tc>
          <w:tcPr>
            <w:tcW w:w="5220" w:type="dxa"/>
          </w:tcPr>
          <w:p w14:paraId="721AA3B6" w14:textId="77777777" w:rsidR="00584113" w:rsidRPr="00762BE9" w:rsidRDefault="00584113" w:rsidP="009B7CCF">
            <w:pPr>
              <w:pStyle w:val="ProductList-OfferingBody"/>
              <w:jc w:val="center"/>
              <w:rPr>
                <w:rFonts w:ascii="Calibri" w:hAnsi="Calibri" w:cs="Calibri"/>
              </w:rPr>
            </w:pPr>
            <w:r>
              <w:rPr>
                <w:rFonts w:ascii="Calibri" w:hAnsi="Calibri" w:cs="Calibri"/>
              </w:rPr>
              <w:t>&lt; 99,995 %</w:t>
            </w:r>
          </w:p>
        </w:tc>
        <w:tc>
          <w:tcPr>
            <w:tcW w:w="5579" w:type="dxa"/>
          </w:tcPr>
          <w:p w14:paraId="03077FB9" w14:textId="77777777" w:rsidR="00584113" w:rsidRPr="00762BE9" w:rsidRDefault="00584113" w:rsidP="009B7CCF">
            <w:pPr>
              <w:pStyle w:val="ProductList-OfferingBody"/>
              <w:jc w:val="center"/>
              <w:rPr>
                <w:rFonts w:ascii="Calibri" w:hAnsi="Calibri" w:cs="Calibri"/>
              </w:rPr>
            </w:pPr>
            <w:r>
              <w:rPr>
                <w:rFonts w:ascii="Calibri" w:hAnsi="Calibri" w:cs="Calibri"/>
              </w:rPr>
              <w:t>10 %</w:t>
            </w:r>
          </w:p>
        </w:tc>
      </w:tr>
      <w:tr w:rsidR="00584113" w:rsidRPr="00B44CF9" w14:paraId="7AF750F3" w14:textId="77777777" w:rsidTr="009B7CCF">
        <w:tc>
          <w:tcPr>
            <w:tcW w:w="5220" w:type="dxa"/>
          </w:tcPr>
          <w:p w14:paraId="213998A2" w14:textId="77777777" w:rsidR="00584113" w:rsidRPr="00762BE9" w:rsidRDefault="00584113" w:rsidP="009B7CCF">
            <w:pPr>
              <w:pStyle w:val="ProductList-OfferingBody"/>
              <w:jc w:val="center"/>
              <w:rPr>
                <w:rFonts w:ascii="Calibri" w:hAnsi="Calibri" w:cs="Calibri"/>
              </w:rPr>
            </w:pPr>
            <w:r>
              <w:rPr>
                <w:rFonts w:ascii="Calibri" w:hAnsi="Calibri" w:cs="Calibri"/>
              </w:rPr>
              <w:t>&lt; 99 %</w:t>
            </w:r>
          </w:p>
        </w:tc>
        <w:tc>
          <w:tcPr>
            <w:tcW w:w="5579" w:type="dxa"/>
          </w:tcPr>
          <w:p w14:paraId="39A14596" w14:textId="77777777" w:rsidR="00584113" w:rsidRPr="00762BE9" w:rsidRDefault="00584113" w:rsidP="009B7CCF">
            <w:pPr>
              <w:pStyle w:val="ProductList-OfferingBody"/>
              <w:jc w:val="center"/>
              <w:rPr>
                <w:rFonts w:ascii="Calibri" w:hAnsi="Calibri" w:cs="Calibri"/>
              </w:rPr>
            </w:pPr>
            <w:r>
              <w:rPr>
                <w:rFonts w:ascii="Calibri" w:hAnsi="Calibri" w:cs="Calibri"/>
              </w:rPr>
              <w:t>25 %</w:t>
            </w:r>
          </w:p>
        </w:tc>
      </w:tr>
    </w:tbl>
    <w:p w14:paraId="32B30982" w14:textId="77777777" w:rsidR="00724E33" w:rsidRPr="00D67F75" w:rsidRDefault="00724E33" w:rsidP="00724E3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198094F9" w14:textId="77777777" w:rsidR="00724E33" w:rsidRDefault="00724E33" w:rsidP="00C42DFA">
      <w:pPr>
        <w:pStyle w:val="ProductList-Offering2Heading"/>
        <w:tabs>
          <w:tab w:val="clear" w:pos="360"/>
          <w:tab w:val="clear" w:pos="720"/>
          <w:tab w:val="clear" w:pos="1080"/>
        </w:tabs>
        <w:outlineLvl w:val="2"/>
      </w:pPr>
      <w:bookmarkStart w:id="433" w:name="_Toc195543172"/>
      <w:bookmarkStart w:id="434" w:name="_Toc237449032"/>
      <w:r>
        <w:t>Azure Maps</w:t>
      </w:r>
      <w:bookmarkEnd w:id="433"/>
      <w:bookmarkEnd w:id="434"/>
    </w:p>
    <w:p w14:paraId="74DFD8A4" w14:textId="77777777" w:rsidR="00724E33" w:rsidRPr="00DA6241" w:rsidRDefault="00724E33" w:rsidP="00724E33">
      <w:pPr>
        <w:pStyle w:val="ProductList-Body"/>
      </w:pPr>
      <w:r>
        <w:rPr>
          <w:b/>
          <w:color w:val="00188F"/>
        </w:rPr>
        <w:t>Zusätzliche Definitionen</w:t>
      </w:r>
      <w:r w:rsidRPr="0008262F">
        <w:rPr>
          <w:b/>
          <w:bCs/>
          <w:color w:val="00188F"/>
        </w:rPr>
        <w:t>:</w:t>
      </w:r>
    </w:p>
    <w:p w14:paraId="4A86F0A8" w14:textId="77777777" w:rsidR="00724E33" w:rsidRDefault="00724E33" w:rsidP="00724E33">
      <w:pPr>
        <w:spacing w:after="0" w:line="240" w:lineRule="auto"/>
        <w:rPr>
          <w:sz w:val="18"/>
        </w:rPr>
      </w:pPr>
      <w:r>
        <w:rPr>
          <w:sz w:val="18"/>
        </w:rPr>
        <w:t>„</w:t>
      </w:r>
      <w:r>
        <w:rPr>
          <w:b/>
          <w:color w:val="00188F"/>
          <w:sz w:val="18"/>
        </w:rPr>
        <w:t>Gesamttransaktionsversuche</w:t>
      </w:r>
      <w:r>
        <w:rPr>
          <w:sz w:val="18"/>
        </w:rPr>
        <w:t>“</w:t>
      </w:r>
      <w:r>
        <w:rPr>
          <w:rFonts w:eastAsiaTheme="minorEastAsia"/>
          <w:sz w:val="18"/>
          <w:szCs w:val="18"/>
        </w:rPr>
        <w:t xml:space="preserve"> </w:t>
      </w:r>
      <w:r>
        <w:rPr>
          <w:sz w:val="18"/>
        </w:rPr>
        <w:t>bezeichnet die Gesamtzahl der authentifizierten API-Anforderungen, die vom Kunden für eine bestimmte Azure Map API während eines Anwendbaren Zeitraums in einem bestimmten Microsoft Azure-Abonnement gestellt wurden. Die Gesamtzahl der Transaktionsversuche umfasst nicht die API-Anforderungen, die einen Fehlercode zurückgeben und innerhalb eines Fünf-Minuten-Fensters nach Erhalt des ersten Fehlercodes kontinuierlich wiederholt werden.</w:t>
      </w:r>
    </w:p>
    <w:p w14:paraId="35CB3838" w14:textId="77777777" w:rsidR="00724E33" w:rsidRPr="001E2554" w:rsidRDefault="00724E33" w:rsidP="00724E33">
      <w:pPr>
        <w:spacing w:after="0" w:line="240" w:lineRule="auto"/>
        <w:rPr>
          <w:sz w:val="18"/>
        </w:rPr>
      </w:pPr>
      <w:r>
        <w:rPr>
          <w:sz w:val="18"/>
        </w:rPr>
        <w:t>„</w:t>
      </w:r>
      <w:r>
        <w:rPr>
          <w:b/>
          <w:color w:val="00188F"/>
          <w:sz w:val="18"/>
        </w:rPr>
        <w:t>Fehlerhafte Transaktionen</w:t>
      </w:r>
      <w:r>
        <w:rPr>
          <w:sz w:val="18"/>
        </w:rPr>
        <w:t>“</w:t>
      </w:r>
      <w:r>
        <w:rPr>
          <w:rFonts w:eastAsiaTheme="minorEastAsia"/>
          <w:sz w:val="18"/>
          <w:szCs w:val="18"/>
        </w:rPr>
        <w:t xml:space="preserve"> </w:t>
      </w:r>
      <w:r>
        <w:rPr>
          <w:sz w:val="18"/>
        </w:rPr>
        <w:t>ist die Menge aller Anforderungen innerhalb der Gesamtzahl der Transaktionsversuche, die zu einem Fehlercode führen oder anderweitig nicht innerhalb von 60 Sekunden nach dem Empfang durch den Dienst einen Erfolgscode zurückgeben.</w:t>
      </w:r>
    </w:p>
    <w:p w14:paraId="5038985B" w14:textId="77777777" w:rsidR="00724E33" w:rsidRDefault="00724E33" w:rsidP="00724E33">
      <w:pPr>
        <w:pStyle w:val="ProductList-Body"/>
      </w:pPr>
      <w:r>
        <w:t>„</w:t>
      </w:r>
      <w:r>
        <w:rPr>
          <w:b/>
          <w:color w:val="00188F"/>
        </w:rPr>
        <w:t>Betriebszeitprozentsatz</w:t>
      </w:r>
      <w:r>
        <w:t>“ für eine bestimmte Azure Map API wird berechnet als Gesamtzahl der Transaktionsversuche abzüglich der fehlerhaften Transaktionen geteilt durch die Gesamtzahl der Transaktionsversuche multipliziert mit 100.</w:t>
      </w:r>
    </w:p>
    <w:p w14:paraId="2639B6FF" w14:textId="77777777" w:rsidR="00724E33" w:rsidRDefault="00724E33" w:rsidP="00724E33">
      <w:pPr>
        <w:pStyle w:val="ProductList-Body"/>
      </w:pPr>
      <w:r>
        <w:t>Der Betriebszeitprozentsatz errechnet sich nach folgender Formel:</w:t>
      </w:r>
    </w:p>
    <w:p w14:paraId="78FEF865" w14:textId="77777777" w:rsidR="00724E33" w:rsidRPr="00246AD4" w:rsidRDefault="00000000" w:rsidP="009062DF">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Gesamtzahl der Transaktionsversuche abzüglich Fehlerhafte Transaktionen</m:t>
              </m:r>
            </m:num>
            <m:den>
              <m:r>
                <m:rPr>
                  <m:nor/>
                </m:rPr>
                <w:rPr>
                  <w:rFonts w:ascii="Cambria Math" w:hAnsi="Cambria Math" w:cs="Tahoma"/>
                  <w:i/>
                  <w:color w:val="000000" w:themeColor="text1"/>
                  <w:sz w:val="18"/>
                  <w:szCs w:val="18"/>
                </w:rPr>
                <m:t>Gesamtzahl der Transaktionsversuche</m:t>
              </m:r>
            </m:den>
          </m:f>
          <m:r>
            <w:rPr>
              <w:rFonts w:ascii="Cambria Math" w:hAnsi="Cambria Math" w:cs="Tahoma"/>
              <w:color w:val="000000" w:themeColor="text1"/>
              <w:sz w:val="18"/>
              <w:szCs w:val="18"/>
            </w:rPr>
            <m:t xml:space="preserve"> x 100</m:t>
          </m:r>
        </m:oMath>
      </m:oMathPara>
    </w:p>
    <w:p w14:paraId="688C39C5" w14:textId="77777777" w:rsidR="00724E33" w:rsidRDefault="00724E33" w:rsidP="00724E33">
      <w:pPr>
        <w:pStyle w:val="ProductList-Body"/>
        <w:keepNext/>
      </w:pPr>
      <w:r>
        <w:rPr>
          <w:b/>
          <w:color w:val="00188F"/>
        </w:rPr>
        <w:t>Die folgenden Servicelevels und Servicegutschriften gelten für die Nutzung von Azure Maps API durch den Kunden</w:t>
      </w:r>
      <w:r w:rsidRPr="0008262F">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24E33" w:rsidRPr="00B44CF9" w14:paraId="04339709" w14:textId="77777777" w:rsidTr="00E00804">
        <w:trPr>
          <w:tblHeader/>
        </w:trPr>
        <w:tc>
          <w:tcPr>
            <w:tcW w:w="5400" w:type="dxa"/>
            <w:shd w:val="clear" w:color="auto" w:fill="0072C6"/>
          </w:tcPr>
          <w:p w14:paraId="669116CD" w14:textId="77777777" w:rsidR="00724E33" w:rsidRPr="001A0074" w:rsidRDefault="00724E33" w:rsidP="00E00804">
            <w:pPr>
              <w:pStyle w:val="ProductList-OfferingBody"/>
              <w:keepNext/>
              <w:jc w:val="center"/>
              <w:rPr>
                <w:color w:val="FFFFFF" w:themeColor="background1"/>
              </w:rPr>
            </w:pPr>
            <w:r>
              <w:rPr>
                <w:color w:val="FFFFFF" w:themeColor="background1"/>
              </w:rPr>
              <w:t>Betriebszeitprozentsatz</w:t>
            </w:r>
          </w:p>
        </w:tc>
        <w:tc>
          <w:tcPr>
            <w:tcW w:w="5400" w:type="dxa"/>
            <w:shd w:val="clear" w:color="auto" w:fill="0072C6"/>
          </w:tcPr>
          <w:p w14:paraId="6724A750" w14:textId="77777777" w:rsidR="00724E33" w:rsidRPr="001A0074" w:rsidRDefault="00724E33" w:rsidP="00E00804">
            <w:pPr>
              <w:pStyle w:val="ProductList-OfferingBody"/>
              <w:keepNext/>
              <w:jc w:val="center"/>
              <w:rPr>
                <w:color w:val="FFFFFF" w:themeColor="background1"/>
              </w:rPr>
            </w:pPr>
            <w:r>
              <w:rPr>
                <w:color w:val="FFFFFF" w:themeColor="background1"/>
              </w:rPr>
              <w:t>Servicegutschrift</w:t>
            </w:r>
          </w:p>
        </w:tc>
      </w:tr>
      <w:tr w:rsidR="00724E33" w:rsidRPr="00B44CF9" w14:paraId="3020964B" w14:textId="77777777" w:rsidTr="00E00804">
        <w:tc>
          <w:tcPr>
            <w:tcW w:w="5400" w:type="dxa"/>
          </w:tcPr>
          <w:p w14:paraId="4A35E81F" w14:textId="77777777" w:rsidR="00724E33" w:rsidRPr="0076238C" w:rsidRDefault="00724E33" w:rsidP="00E00804">
            <w:pPr>
              <w:pStyle w:val="ProductList-OfferingBody"/>
              <w:keepNext/>
              <w:jc w:val="center"/>
            </w:pPr>
            <w:r>
              <w:t>&lt; 99,9 %</w:t>
            </w:r>
          </w:p>
        </w:tc>
        <w:tc>
          <w:tcPr>
            <w:tcW w:w="5400" w:type="dxa"/>
          </w:tcPr>
          <w:p w14:paraId="1116BB6A" w14:textId="77777777" w:rsidR="00724E33" w:rsidRPr="0076238C" w:rsidRDefault="00724E33" w:rsidP="00E00804">
            <w:pPr>
              <w:pStyle w:val="ProductList-OfferingBody"/>
              <w:keepNext/>
              <w:jc w:val="center"/>
            </w:pPr>
            <w:r>
              <w:t>10 %</w:t>
            </w:r>
          </w:p>
        </w:tc>
      </w:tr>
      <w:tr w:rsidR="00724E33" w:rsidRPr="00B44CF9" w14:paraId="1445135D" w14:textId="77777777" w:rsidTr="00E00804">
        <w:tc>
          <w:tcPr>
            <w:tcW w:w="5400" w:type="dxa"/>
          </w:tcPr>
          <w:p w14:paraId="6D328B58" w14:textId="77777777" w:rsidR="00724E33" w:rsidRPr="0076238C" w:rsidRDefault="00724E33" w:rsidP="00E00804">
            <w:pPr>
              <w:pStyle w:val="ProductList-OfferingBody"/>
              <w:keepNext/>
              <w:jc w:val="center"/>
            </w:pPr>
            <w:r>
              <w:t>&lt; 99 %</w:t>
            </w:r>
          </w:p>
        </w:tc>
        <w:tc>
          <w:tcPr>
            <w:tcW w:w="5400" w:type="dxa"/>
          </w:tcPr>
          <w:p w14:paraId="47188F7A" w14:textId="77777777" w:rsidR="00724E33" w:rsidRPr="0076238C" w:rsidRDefault="00724E33" w:rsidP="00E00804">
            <w:pPr>
              <w:pStyle w:val="ProductList-OfferingBody"/>
              <w:keepNext/>
              <w:jc w:val="center"/>
            </w:pPr>
            <w:r>
              <w:t>25 %</w:t>
            </w:r>
          </w:p>
        </w:tc>
      </w:tr>
    </w:tbl>
    <w:p w14:paraId="39049AAC" w14:textId="77777777" w:rsidR="00724E33" w:rsidRPr="00D67F75" w:rsidRDefault="00724E33" w:rsidP="00724E3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0D125996" w14:textId="77777777" w:rsidR="0005465C" w:rsidRPr="00EF7CF9" w:rsidRDefault="0005465C" w:rsidP="0030005B">
      <w:pPr>
        <w:pStyle w:val="ProductList-Offering2Heading"/>
        <w:keepNext/>
        <w:pageBreakBefore/>
        <w:tabs>
          <w:tab w:val="clear" w:pos="360"/>
          <w:tab w:val="clear" w:pos="720"/>
          <w:tab w:val="clear" w:pos="1080"/>
        </w:tabs>
        <w:outlineLvl w:val="2"/>
      </w:pPr>
      <w:bookmarkStart w:id="435" w:name="_Toc457821559"/>
      <w:bookmarkStart w:id="436" w:name="_Toc52348966"/>
      <w:bookmarkStart w:id="437" w:name="_Toc195543173"/>
      <w:bookmarkStart w:id="438" w:name="_Toc237449033"/>
      <w:bookmarkStart w:id="439" w:name="_Toc484160665"/>
      <w:bookmarkStart w:id="440" w:name="_Toc52348936"/>
      <w:bookmarkEnd w:id="363"/>
      <w:r>
        <w:lastRenderedPageBreak/>
        <w:t>Mediendienste</w:t>
      </w:r>
      <w:bookmarkEnd w:id="435"/>
      <w:bookmarkEnd w:id="436"/>
      <w:bookmarkEnd w:id="437"/>
      <w:bookmarkEnd w:id="438"/>
    </w:p>
    <w:p w14:paraId="14038FDC" w14:textId="77777777" w:rsidR="0005465C" w:rsidRPr="00EF7CF9" w:rsidRDefault="0005465C" w:rsidP="0005465C">
      <w:pPr>
        <w:pStyle w:val="ProductList-Body"/>
      </w:pPr>
      <w:r>
        <w:rPr>
          <w:b/>
          <w:color w:val="00188F"/>
        </w:rPr>
        <w:t>Zusätzliche Definitionen</w:t>
      </w:r>
      <w:r w:rsidRPr="0008262F">
        <w:rPr>
          <w:b/>
          <w:bCs/>
          <w:color w:val="00188F"/>
        </w:rPr>
        <w:t>:</w:t>
      </w:r>
    </w:p>
    <w:p w14:paraId="67B29F85" w14:textId="77777777" w:rsidR="0005465C" w:rsidRPr="00ED4527" w:rsidRDefault="0005465C" w:rsidP="0005465C">
      <w:pPr>
        <w:pStyle w:val="ProductList-Body"/>
        <w:rPr>
          <w:color w:val="000000" w:themeColor="text1"/>
        </w:rPr>
      </w:pPr>
      <w:r>
        <w:rPr>
          <w:color w:val="000000" w:themeColor="text1"/>
        </w:rPr>
        <w:t>„</w:t>
      </w:r>
      <w:r>
        <w:rPr>
          <w:b/>
          <w:bCs/>
          <w:color w:val="00188F"/>
        </w:rPr>
        <w:t>Zugeteilte Ausgangsbandbreite</w:t>
      </w:r>
      <w:r>
        <w:rPr>
          <w:color w:val="000000" w:themeColor="text1"/>
        </w:rPr>
        <w:t>“ ist die vom Kunden im Verwaltungsportal für einen Mediendienst konfigurierte Bandbreitenmenge. Zugeteilte Ausgangsbandbreite kann im Verwaltungsportal mit „Streamingeinheiten“ oder einem ähnlichen Namen bezeichnet werden.</w:t>
      </w:r>
    </w:p>
    <w:p w14:paraId="4A9E9EC9" w14:textId="43A92E78" w:rsidR="0005465C" w:rsidRPr="00EF7CF9" w:rsidRDefault="0005465C" w:rsidP="0005465C">
      <w:pPr>
        <w:pStyle w:val="ProductList-Body"/>
      </w:pPr>
      <w:r>
        <w:t>„</w:t>
      </w:r>
      <w:r>
        <w:rPr>
          <w:b/>
          <w:color w:val="00188F"/>
        </w:rPr>
        <w:t>Kanal</w:t>
      </w:r>
      <w:r>
        <w:t>“ bezieht sich auf einen Endpunkt in einem Mediendienst, der für den Empfang von Mediendaten konfiguriert ist.</w:t>
      </w:r>
    </w:p>
    <w:p w14:paraId="423E6D52" w14:textId="77777777" w:rsidR="0005465C" w:rsidRPr="00EF7CF9" w:rsidRDefault="0005465C" w:rsidP="0005465C">
      <w:pPr>
        <w:pStyle w:val="ProductList-Body"/>
      </w:pPr>
      <w:r>
        <w:t>„</w:t>
      </w:r>
      <w:r>
        <w:rPr>
          <w:b/>
          <w:color w:val="00188F"/>
        </w:rPr>
        <w:t>Codierung</w:t>
      </w:r>
      <w:r>
        <w:t>“ bezeichnet die Verarbeitung von Mediendateien pro Abonnement, wie in den Mediendienstaufgaben konfiguriert.</w:t>
      </w:r>
    </w:p>
    <w:p w14:paraId="6FF4B6A2" w14:textId="77777777" w:rsidR="0005465C" w:rsidRDefault="0005465C" w:rsidP="0005465C">
      <w:pPr>
        <w:pStyle w:val="ProductList-Body"/>
      </w:pPr>
      <w:r w:rsidRPr="00620CAD">
        <w:t>„</w:t>
      </w:r>
      <w:r>
        <w:rPr>
          <w:b/>
          <w:color w:val="00188F"/>
        </w:rPr>
        <w:t>Indexer-Aufgabe</w:t>
      </w:r>
      <w:r w:rsidRPr="00620CAD">
        <w:t>“</w:t>
      </w:r>
      <w:r>
        <w:t xml:space="preserve"> bezeichnet eine Mediendienste-Aufgabe, die so konfiguriert ist, dass sie den Sprachinhalt aus einer MP3-Eingabedatei mit einer Mindestdauer von fünf Minuten extrahiert.</w:t>
      </w:r>
    </w:p>
    <w:p w14:paraId="1A0F4882" w14:textId="77777777" w:rsidR="0005465C" w:rsidRDefault="0005465C" w:rsidP="0005465C">
      <w:pPr>
        <w:pStyle w:val="ProductList-Body"/>
      </w:pPr>
      <w:r w:rsidRPr="00620CAD">
        <w:t>„</w:t>
      </w:r>
      <w:r>
        <w:rPr>
          <w:b/>
          <w:bCs/>
          <w:color w:val="00188F"/>
        </w:rPr>
        <w:t>Eine für Medien reservierte Einheit</w:t>
      </w:r>
      <w:r w:rsidRPr="00620CAD">
        <w:t xml:space="preserve">“ </w:t>
      </w:r>
      <w:r>
        <w:t>bedeutet reservierte Einheiten, die vom Kunden im Rahmen eines Azure-Mediendienste-Kontos gekauft wurden.</w:t>
      </w:r>
    </w:p>
    <w:p w14:paraId="575D6D2E" w14:textId="2A6433CA" w:rsidR="0005465C" w:rsidRPr="00EF7CF9" w:rsidRDefault="0005465C" w:rsidP="0005465C">
      <w:pPr>
        <w:pStyle w:val="ProductList-Body"/>
      </w:pPr>
      <w:r>
        <w:t>„</w:t>
      </w:r>
      <w:r>
        <w:rPr>
          <w:b/>
          <w:color w:val="00188F"/>
        </w:rPr>
        <w:t>Mediendienst</w:t>
      </w:r>
      <w:r>
        <w:t>“ bezeichnet ein Azure Mediendienste-Konto, das im Verwaltungsportal erstellt wird und mit dem Microsoft Azure-Abonnement des</w:t>
      </w:r>
      <w:r w:rsidR="000146C1">
        <w:t> </w:t>
      </w:r>
      <w:r>
        <w:t>Kunden verbunden ist. Jedes Microsoft Azure-Abonnement kann mehr als einen zugeordneten Mediendienst haben.</w:t>
      </w:r>
    </w:p>
    <w:p w14:paraId="36326244" w14:textId="77777777" w:rsidR="0005465C" w:rsidRPr="00EF7CF9" w:rsidRDefault="0005465C" w:rsidP="0005465C">
      <w:pPr>
        <w:pStyle w:val="ProductList-Body"/>
      </w:pPr>
      <w:r>
        <w:t>„</w:t>
      </w:r>
      <w:r>
        <w:rPr>
          <w:b/>
          <w:color w:val="00188F"/>
        </w:rPr>
        <w:t>Mediendienstanforderung</w:t>
      </w:r>
      <w:r>
        <w:t>“ bezeichnet eine an den Mediendienst des Kunden ausgegebene Anforderung.</w:t>
      </w:r>
    </w:p>
    <w:p w14:paraId="45F09B67" w14:textId="77777777" w:rsidR="0005465C" w:rsidRPr="00EF7CF9" w:rsidRDefault="0005465C" w:rsidP="0005465C">
      <w:pPr>
        <w:pStyle w:val="ProductList-Body"/>
      </w:pPr>
      <w:r>
        <w:t>„</w:t>
      </w:r>
      <w:r>
        <w:rPr>
          <w:b/>
          <w:color w:val="00188F"/>
        </w:rPr>
        <w:t>Mediendienstaufgabe</w:t>
      </w:r>
      <w:r>
        <w:t>“ bezeichnet einen einzelnen Vorgang der Medienverarbeitung, wie vom Kunden konfiguriert. Medienverarbeitungsvorgänge umfassen die Codierung und Konvertierung von Mediendateien.</w:t>
      </w:r>
    </w:p>
    <w:p w14:paraId="3A8689F2" w14:textId="77777777" w:rsidR="0005465C" w:rsidRPr="00EF7CF9" w:rsidRDefault="0005465C" w:rsidP="0005465C">
      <w:pPr>
        <w:pStyle w:val="ProductList-Body"/>
      </w:pPr>
      <w:r>
        <w:t>„</w:t>
      </w:r>
      <w:r>
        <w:rPr>
          <w:b/>
          <w:color w:val="00188F"/>
        </w:rPr>
        <w:t>Streamingeinheit</w:t>
      </w:r>
      <w:r>
        <w:t>“ bezeichnet eine Einheit der reservierten Ausgangskapazität, die vom Kunden für einen Mediendienst erworben wurde.</w:t>
      </w:r>
    </w:p>
    <w:p w14:paraId="5666E659" w14:textId="77777777" w:rsidR="0005465C" w:rsidRPr="00EF7CF9" w:rsidRDefault="0005465C" w:rsidP="0005465C">
      <w:pPr>
        <w:pStyle w:val="ProductList-Body"/>
      </w:pPr>
      <w:r>
        <w:rPr>
          <w:iCs/>
        </w:rPr>
        <w:t>„</w:t>
      </w:r>
      <w:r>
        <w:rPr>
          <w:b/>
          <w:iCs/>
          <w:color w:val="00188F"/>
        </w:rPr>
        <w:t>Anforderungen eines gültigen Schlüssels</w:t>
      </w:r>
      <w:r>
        <w:rPr>
          <w:iCs/>
        </w:rPr>
        <w:t>“</w:t>
      </w:r>
      <w:r>
        <w:t xml:space="preserve"> sind alle an den Inhaltsschutzdienst gerichteten Anforderungen für vorhandene Inhaltsschlüssel im Mediendienst eines Kunden.</w:t>
      </w:r>
    </w:p>
    <w:p w14:paraId="449FD194" w14:textId="77777777" w:rsidR="0005465C" w:rsidRPr="00EF7CF9" w:rsidRDefault="0005465C" w:rsidP="0005465C">
      <w:pPr>
        <w:pStyle w:val="ProductList-Body"/>
      </w:pPr>
      <w:r>
        <w:t>„</w:t>
      </w:r>
      <w:r>
        <w:rPr>
          <w:b/>
          <w:color w:val="00188F"/>
        </w:rPr>
        <w:t>Gültige Mediendienstanforderungen</w:t>
      </w:r>
      <w:r>
        <w:t>“ sind alle qualifizierten Mediendienstanforderungen für vorhandene Medieninhalte im Azure-Speicherkonto eines Kunden, die mit seinem Mediendienst verbunden sind, wenn mindestens eine Streamingeinheit erworben und diesem Mediendienst zugewiesen wurde. Gültige Mediendienstanforderungen umfassen keine Mediendienstanforderungen, deren Gesamtdurchsatz 80 % der Zugewiesenen Bandbreite überschreitet.</w:t>
      </w:r>
    </w:p>
    <w:p w14:paraId="4237EE29" w14:textId="67B66F65" w:rsidR="0005465C" w:rsidRPr="00ED4527" w:rsidRDefault="00EE6E3C" w:rsidP="0005465C">
      <w:pPr>
        <w:pStyle w:val="ProductList-Body"/>
        <w:spacing w:before="120"/>
        <w:rPr>
          <w:b/>
          <w:bCs/>
          <w:color w:val="00188F"/>
        </w:rPr>
      </w:pPr>
      <w:r>
        <w:rPr>
          <w:b/>
          <w:bCs/>
          <w:color w:val="00188F"/>
        </w:rPr>
        <w:t>Berechnung der Betriebszeit und Service-Levels für den Codierungsdienst</w:t>
      </w:r>
    </w:p>
    <w:p w14:paraId="76B87B19" w14:textId="5CDC54A0" w:rsidR="0005465C" w:rsidRPr="00EF7CF9" w:rsidRDefault="0005465C" w:rsidP="0005465C">
      <w:pPr>
        <w:pStyle w:val="ProductList-Body"/>
      </w:pPr>
      <w:r>
        <w:t>„</w:t>
      </w:r>
      <w:r>
        <w:rPr>
          <w:b/>
          <w:color w:val="00188F"/>
        </w:rPr>
        <w:t>Gesamtzahl der Transaktionsversuche</w:t>
      </w:r>
      <w:r>
        <w:t>“ ist die Gesamtzahl der authentifizierten REST API-Anforderungen in Bezug auf einen Mediendienst, die der Kunde während eines Anwendbaren Zeitraums für ein Abonnement gestellt hat. Zur Gesamtzahl der Transaktionsversuche zählen keine REST API-Anforderungen, die einen Fehlercode zurückgeben und in einem 5-Minuten-Zeitraum nach Erhalt des ersten Fehlercodes fortlaufend wiederholt werden.</w:t>
      </w:r>
    </w:p>
    <w:p w14:paraId="1E5776FA" w14:textId="77777777" w:rsidR="0005465C" w:rsidRPr="00EF7CF9" w:rsidRDefault="0005465C" w:rsidP="0005465C">
      <w:pPr>
        <w:pStyle w:val="ProductList-Body"/>
      </w:pPr>
      <w:r>
        <w:t>„</w:t>
      </w:r>
      <w:r>
        <w:rPr>
          <w:b/>
          <w:color w:val="00188F"/>
        </w:rPr>
        <w:t>Fehlerhafte Transaktionen</w:t>
      </w:r>
      <w:r>
        <w:t>“ ist die Menge aller Anforderungen innerhalb der Gesamtzahl der Transaktionsversuche, die nicht innerhalb von 30 Sekunden nach Eingang der Anforderung bei Microsoft einen Erfolgscode zurückgeben.</w:t>
      </w:r>
    </w:p>
    <w:p w14:paraId="1C7C2944" w14:textId="2EB28739" w:rsidR="0005465C" w:rsidRPr="00ED4527" w:rsidRDefault="0005465C" w:rsidP="0005465C">
      <w:pPr>
        <w:pStyle w:val="ProductList-Body"/>
        <w:rPr>
          <w:color w:val="000000" w:themeColor="text1"/>
        </w:rPr>
      </w:pPr>
      <w:r>
        <w:t>Der „</w:t>
      </w:r>
      <w:r>
        <w:rPr>
          <w:b/>
          <w:color w:val="00188F"/>
        </w:rPr>
        <w:t>Betriebszeitprozentsatz</w:t>
      </w:r>
      <w:r>
        <w:t xml:space="preserve">“ </w:t>
      </w:r>
      <w:r>
        <w:rPr>
          <w:color w:val="000000" w:themeColor="text1"/>
        </w:rPr>
        <w:t>für den Azure Media Services Encoding-Dienst wird berechnet als Gesamtzahl der Transaktionsversuche abzüglich der fehlgeschlagenen Transaktionen geteilt durch die Gesamtzahl der Transaktionsversuche in einem Anwendbaren Zeitraum für ein bestimmtes Microsoft Azure-Abonnement.</w:t>
      </w:r>
    </w:p>
    <w:p w14:paraId="6247E460" w14:textId="4BEA29D2" w:rsidR="0005465C" w:rsidRPr="00EF7CF9" w:rsidRDefault="0005465C" w:rsidP="0005465C">
      <w:pPr>
        <w:pStyle w:val="ProductList-Body"/>
      </w:pPr>
      <w:r>
        <w:t>Der Betriebszeitprozentsatz errechnet sich nach folgender Formel:</w:t>
      </w:r>
    </w:p>
    <w:p w14:paraId="5CE29E4D" w14:textId="59007F78" w:rsidR="0005465C" w:rsidRPr="00EF7CF9" w:rsidRDefault="00000000" w:rsidP="00F80B59">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Gesamtzahl der Transaktionsversuche abzüglich Fehlerhafte Transaktionen</m:t>
              </m:r>
            </m:num>
            <m:den>
              <m:r>
                <m:rPr>
                  <m:nor/>
                </m:rPr>
                <w:rPr>
                  <w:rFonts w:ascii="Cambria Math" w:hAnsi="Cambria Math" w:cs="Tahoma"/>
                  <w:i/>
                  <w:color w:val="000000" w:themeColor="text1"/>
                  <w:sz w:val="18"/>
                  <w:szCs w:val="18"/>
                </w:rPr>
                <m:t>Gesamtzahl der Transaktionsversuche</m:t>
              </m:r>
            </m:den>
          </m:f>
          <m:r>
            <w:rPr>
              <w:rFonts w:ascii="Cambria Math" w:hAnsi="Cambria Math" w:cs="Tahoma"/>
              <w:color w:val="000000" w:themeColor="text1"/>
              <w:sz w:val="18"/>
              <w:szCs w:val="18"/>
            </w:rPr>
            <m:t xml:space="preserve"> x 100</m:t>
          </m:r>
        </m:oMath>
      </m:oMathPara>
    </w:p>
    <w:p w14:paraId="7CDFD319" w14:textId="77777777" w:rsidR="0005465C" w:rsidRPr="00EF7CF9" w:rsidRDefault="0005465C" w:rsidP="007E787D">
      <w:pPr>
        <w:keepNext/>
        <w:spacing w:after="0"/>
        <w:jc w:val="both"/>
      </w:pPr>
      <w:r>
        <w:rPr>
          <w:b/>
          <w:color w:val="00188F"/>
          <w:sz w:val="18"/>
        </w:rPr>
        <w:t>Die folgenden Service-Levels und Servicegutschriften gelten für die Nutzung des Codierungsdienstes der Azure Media Services durch den Kunden:</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4BA3458C" w14:textId="77777777" w:rsidTr="00277097">
        <w:trPr>
          <w:tblHeader/>
        </w:trPr>
        <w:tc>
          <w:tcPr>
            <w:tcW w:w="5400" w:type="dxa"/>
            <w:shd w:val="clear" w:color="auto" w:fill="0072C6"/>
          </w:tcPr>
          <w:p w14:paraId="31B27233" w14:textId="71533B8C" w:rsidR="0005465C"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25D3DBC8" w14:textId="77777777" w:rsidR="0005465C" w:rsidRPr="00EF7CF9" w:rsidRDefault="0005465C" w:rsidP="000F31B4">
            <w:pPr>
              <w:pStyle w:val="ProductList-OfferingBody"/>
              <w:jc w:val="center"/>
              <w:rPr>
                <w:color w:val="FFFFFF" w:themeColor="background1"/>
              </w:rPr>
            </w:pPr>
            <w:r>
              <w:rPr>
                <w:color w:val="FFFFFF" w:themeColor="background1"/>
              </w:rPr>
              <w:t>Servicegutschrift</w:t>
            </w:r>
          </w:p>
        </w:tc>
      </w:tr>
      <w:tr w:rsidR="0005465C" w:rsidRPr="00B44CF9" w14:paraId="76057F72" w14:textId="77777777" w:rsidTr="00277097">
        <w:tc>
          <w:tcPr>
            <w:tcW w:w="5400" w:type="dxa"/>
          </w:tcPr>
          <w:p w14:paraId="51AFE70C" w14:textId="77777777" w:rsidR="0005465C" w:rsidRPr="00EF7CF9" w:rsidRDefault="0005465C" w:rsidP="000F31B4">
            <w:pPr>
              <w:pStyle w:val="ProductList-OfferingBody"/>
              <w:jc w:val="center"/>
            </w:pPr>
            <w:r>
              <w:t>&lt; 99,9 %</w:t>
            </w:r>
          </w:p>
        </w:tc>
        <w:tc>
          <w:tcPr>
            <w:tcW w:w="5400" w:type="dxa"/>
          </w:tcPr>
          <w:p w14:paraId="643F935F" w14:textId="77777777" w:rsidR="0005465C" w:rsidRPr="00EF7CF9" w:rsidRDefault="0005465C" w:rsidP="000F31B4">
            <w:pPr>
              <w:pStyle w:val="ProductList-OfferingBody"/>
              <w:jc w:val="center"/>
            </w:pPr>
            <w:r>
              <w:t>10 %</w:t>
            </w:r>
          </w:p>
        </w:tc>
      </w:tr>
      <w:tr w:rsidR="0005465C" w:rsidRPr="00B44CF9" w14:paraId="53C383C7" w14:textId="77777777" w:rsidTr="00277097">
        <w:tc>
          <w:tcPr>
            <w:tcW w:w="5400" w:type="dxa"/>
          </w:tcPr>
          <w:p w14:paraId="4BF733BF" w14:textId="77777777" w:rsidR="0005465C" w:rsidRPr="00EF7CF9" w:rsidRDefault="0005465C" w:rsidP="000F31B4">
            <w:pPr>
              <w:pStyle w:val="ProductList-OfferingBody"/>
              <w:jc w:val="center"/>
            </w:pPr>
            <w:r>
              <w:t>&lt; 99 %</w:t>
            </w:r>
          </w:p>
        </w:tc>
        <w:tc>
          <w:tcPr>
            <w:tcW w:w="5400" w:type="dxa"/>
          </w:tcPr>
          <w:p w14:paraId="6588FFA0" w14:textId="77777777" w:rsidR="0005465C" w:rsidRPr="00EF7CF9" w:rsidRDefault="0005465C" w:rsidP="000F31B4">
            <w:pPr>
              <w:pStyle w:val="ProductList-OfferingBody"/>
              <w:jc w:val="center"/>
            </w:pPr>
            <w:r>
              <w:t>25 %</w:t>
            </w:r>
          </w:p>
        </w:tc>
      </w:tr>
    </w:tbl>
    <w:p w14:paraId="0EA33D4A" w14:textId="21205708" w:rsidR="0005465C" w:rsidRDefault="00EE6E3C" w:rsidP="0005465C">
      <w:pPr>
        <w:pStyle w:val="ProductList-Body"/>
        <w:keepNext/>
        <w:spacing w:before="120"/>
        <w:rPr>
          <w:b/>
          <w:bCs/>
          <w:color w:val="00188F"/>
        </w:rPr>
      </w:pPr>
      <w:r>
        <w:rPr>
          <w:b/>
          <w:bCs/>
          <w:color w:val="00188F"/>
        </w:rPr>
        <w:t>Berechnung der Betriebszeit und Service-Levels für Media Indexer</w:t>
      </w:r>
    </w:p>
    <w:p w14:paraId="27730B1D" w14:textId="77777777" w:rsidR="0005465C" w:rsidRPr="00ED4527" w:rsidRDefault="0005465C" w:rsidP="0005465C">
      <w:pPr>
        <w:pStyle w:val="ProductList-Body"/>
        <w:rPr>
          <w:b/>
          <w:bCs/>
          <w:color w:val="00188F"/>
        </w:rPr>
      </w:pPr>
      <w:r>
        <w:rPr>
          <w:b/>
          <w:bCs/>
          <w:color w:val="00188F"/>
        </w:rPr>
        <w:t>Zusätzliche Definitionen:</w:t>
      </w:r>
    </w:p>
    <w:p w14:paraId="037E191A" w14:textId="70B79A68" w:rsidR="0005465C" w:rsidRDefault="0005465C" w:rsidP="0005465C">
      <w:pPr>
        <w:pStyle w:val="ProductList-Body"/>
      </w:pPr>
      <w:r>
        <w:t>„</w:t>
      </w:r>
      <w:r>
        <w:rPr>
          <w:b/>
          <w:color w:val="00188F"/>
        </w:rPr>
        <w:t>Gesamttransaktionsversuche</w:t>
      </w:r>
      <w:r>
        <w:t>“ bezeichnet die Gesamtzahl der Indexer-Aufgaben, deren Ausführung unter Nutzung einer verfügbaren, für Medien reservierten Einheit durch den Kunden während eines Anwendbaren Zeitraums für ein Abonnement versucht wird.</w:t>
      </w:r>
    </w:p>
    <w:p w14:paraId="1795AB74" w14:textId="77777777" w:rsidR="0005465C" w:rsidRDefault="0005465C" w:rsidP="0005465C">
      <w:pPr>
        <w:pStyle w:val="ProductList-Body"/>
      </w:pPr>
      <w:r>
        <w:t>„</w:t>
      </w:r>
      <w:r>
        <w:rPr>
          <w:b/>
          <w:color w:val="00188F"/>
        </w:rPr>
        <w:t>Fehlerhafte Transaktionen</w:t>
      </w:r>
      <w:r>
        <w:t xml:space="preserve">“ ist die Gesamtheit von Indexer-Aufgaben innerhalb von Gesamttransaktionsversuchen, die entweder a) nicht innerhalb eines Zeitraums abgeschlossen werden, der das Dreifache des zeitlichen Umfangs der Eingabedatei beträgt, oder b) mit der Arbeit nicht innerhalb der 5 Minuten beginnen, in denen eine für Medien reservierte Einheit für die Nutzung durch die Indexer-Aufgabe verfügbar wird. </w:t>
      </w:r>
    </w:p>
    <w:p w14:paraId="63DF2CAC" w14:textId="702DF63C" w:rsidR="0005465C" w:rsidRPr="00ED4527" w:rsidRDefault="0005465C" w:rsidP="0005465C">
      <w:pPr>
        <w:pStyle w:val="ProductList-Body"/>
        <w:rPr>
          <w:color w:val="000000" w:themeColor="text1"/>
        </w:rPr>
      </w:pPr>
      <w:r>
        <w:t>Der „</w:t>
      </w:r>
      <w:r>
        <w:rPr>
          <w:b/>
          <w:color w:val="00188F"/>
        </w:rPr>
        <w:t>Betriebszeitprozentsatz</w:t>
      </w:r>
      <w:r>
        <w:t xml:space="preserve">“ </w:t>
      </w:r>
      <w:r>
        <w:rPr>
          <w:color w:val="000000" w:themeColor="text1"/>
        </w:rPr>
        <w:t xml:space="preserve">für den Media Indexer wird berechnet als Gesamtzahl der Transaktionsversuche abzüglich der fehlgeschlagenen Transaktionen geteilt durch die Gesamtzahl der Transaktionsversuche in einem Anwendbaren Zeitraum für ein bestimmtes Microsoft Azure-Abonnement. </w:t>
      </w:r>
    </w:p>
    <w:p w14:paraId="03C1B0C8" w14:textId="2E4C5AF4" w:rsidR="0005465C" w:rsidRPr="00EF7CF9" w:rsidRDefault="0005465C" w:rsidP="0005465C">
      <w:pPr>
        <w:pStyle w:val="ProductList-Body"/>
      </w:pPr>
      <w:r>
        <w:t>Der Betriebszeitprozentsatz errechnet sich nach folgender Formel:</w:t>
      </w:r>
    </w:p>
    <w:p w14:paraId="13457D32" w14:textId="03271356" w:rsidR="0005465C" w:rsidRPr="00EF7CF9" w:rsidRDefault="00000000" w:rsidP="00F80B59">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Gesamtzahl der Transaktionsversuche abzüglich Fehlerhafte Transaktionen</m:t>
              </m:r>
            </m:num>
            <m:den>
              <m:r>
                <m:rPr>
                  <m:nor/>
                </m:rPr>
                <w:rPr>
                  <w:rFonts w:ascii="Cambria Math" w:hAnsi="Cambria Math" w:cs="Tahoma"/>
                  <w:i/>
                  <w:color w:val="000000" w:themeColor="text1"/>
                  <w:sz w:val="18"/>
                  <w:szCs w:val="18"/>
                </w:rPr>
                <m:t>Gesamtzahl der Transaktionsversuche</m:t>
              </m:r>
            </m:den>
          </m:f>
          <m:r>
            <w:rPr>
              <w:rFonts w:ascii="Cambria Math" w:hAnsi="Cambria Math" w:cs="Tahoma"/>
              <w:color w:val="000000" w:themeColor="text1"/>
              <w:sz w:val="18"/>
              <w:szCs w:val="18"/>
            </w:rPr>
            <m:t xml:space="preserve"> x 100</m:t>
          </m:r>
        </m:oMath>
      </m:oMathPara>
    </w:p>
    <w:p w14:paraId="6BE0A893" w14:textId="2E57DF11" w:rsidR="0005465C" w:rsidRPr="00EF7CF9" w:rsidRDefault="0005465C" w:rsidP="0005465C">
      <w:pPr>
        <w:pStyle w:val="ProductList-Body"/>
      </w:pPr>
      <w:r>
        <w:rPr>
          <w:b/>
          <w:color w:val="00188F"/>
        </w:rPr>
        <w:t>Die folgenden Servicelevels und Servicegutschriften gelten für die Nutzung von Media Indexer durch den Kunden</w:t>
      </w:r>
      <w:r w:rsidRPr="0008262F">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74FEA684" w14:textId="77777777" w:rsidTr="00277097">
        <w:trPr>
          <w:tblHeader/>
        </w:trPr>
        <w:tc>
          <w:tcPr>
            <w:tcW w:w="5400" w:type="dxa"/>
            <w:shd w:val="clear" w:color="auto" w:fill="0072C6"/>
          </w:tcPr>
          <w:p w14:paraId="24AFFF33" w14:textId="2BDDDE47" w:rsidR="0005465C" w:rsidRPr="00EF7CF9" w:rsidRDefault="00AC48A7" w:rsidP="000F31B4">
            <w:pPr>
              <w:pStyle w:val="ProductList-OfferingBody"/>
              <w:jc w:val="center"/>
              <w:rPr>
                <w:color w:val="FFFFFF" w:themeColor="background1"/>
              </w:rPr>
            </w:pPr>
            <w:r>
              <w:rPr>
                <w:color w:val="FFFFFF" w:themeColor="background1"/>
              </w:rPr>
              <w:lastRenderedPageBreak/>
              <w:t>Betriebszeitprozentsatz</w:t>
            </w:r>
          </w:p>
        </w:tc>
        <w:tc>
          <w:tcPr>
            <w:tcW w:w="5400" w:type="dxa"/>
            <w:shd w:val="clear" w:color="auto" w:fill="0072C6"/>
          </w:tcPr>
          <w:p w14:paraId="0EDDFB4E" w14:textId="77777777" w:rsidR="0005465C" w:rsidRPr="00EF7CF9" w:rsidRDefault="0005465C" w:rsidP="000F31B4">
            <w:pPr>
              <w:pStyle w:val="ProductList-OfferingBody"/>
              <w:jc w:val="center"/>
              <w:rPr>
                <w:color w:val="FFFFFF" w:themeColor="background1"/>
              </w:rPr>
            </w:pPr>
            <w:r>
              <w:rPr>
                <w:color w:val="FFFFFF" w:themeColor="background1"/>
              </w:rPr>
              <w:t>Servicegutschrift</w:t>
            </w:r>
          </w:p>
        </w:tc>
      </w:tr>
      <w:tr w:rsidR="0005465C" w:rsidRPr="00B44CF9" w14:paraId="26B1DEDD" w14:textId="77777777" w:rsidTr="00277097">
        <w:tc>
          <w:tcPr>
            <w:tcW w:w="5400" w:type="dxa"/>
          </w:tcPr>
          <w:p w14:paraId="68470538" w14:textId="77777777" w:rsidR="0005465C" w:rsidRPr="00EF7CF9" w:rsidRDefault="0005465C" w:rsidP="000F31B4">
            <w:pPr>
              <w:pStyle w:val="ProductList-OfferingBody"/>
              <w:jc w:val="center"/>
            </w:pPr>
            <w:r>
              <w:t>&lt; 99,9 %</w:t>
            </w:r>
          </w:p>
        </w:tc>
        <w:tc>
          <w:tcPr>
            <w:tcW w:w="5400" w:type="dxa"/>
          </w:tcPr>
          <w:p w14:paraId="07A02B82" w14:textId="77777777" w:rsidR="0005465C" w:rsidRPr="00EF7CF9" w:rsidRDefault="0005465C" w:rsidP="000F31B4">
            <w:pPr>
              <w:pStyle w:val="ProductList-OfferingBody"/>
              <w:jc w:val="center"/>
            </w:pPr>
            <w:r>
              <w:t>10 %</w:t>
            </w:r>
          </w:p>
        </w:tc>
      </w:tr>
      <w:tr w:rsidR="0005465C" w:rsidRPr="00B44CF9" w14:paraId="6EFA9E8C" w14:textId="77777777" w:rsidTr="00277097">
        <w:tc>
          <w:tcPr>
            <w:tcW w:w="5400" w:type="dxa"/>
          </w:tcPr>
          <w:p w14:paraId="10BF8673" w14:textId="77777777" w:rsidR="0005465C" w:rsidRPr="00EF7CF9" w:rsidRDefault="0005465C" w:rsidP="000F31B4">
            <w:pPr>
              <w:pStyle w:val="ProductList-OfferingBody"/>
              <w:jc w:val="center"/>
            </w:pPr>
            <w:r>
              <w:t>&lt; 99 %</w:t>
            </w:r>
          </w:p>
        </w:tc>
        <w:tc>
          <w:tcPr>
            <w:tcW w:w="5400" w:type="dxa"/>
          </w:tcPr>
          <w:p w14:paraId="1E95AC2B" w14:textId="77777777" w:rsidR="0005465C" w:rsidRPr="00EF7CF9" w:rsidRDefault="0005465C" w:rsidP="000F31B4">
            <w:pPr>
              <w:pStyle w:val="ProductList-OfferingBody"/>
              <w:jc w:val="center"/>
            </w:pPr>
            <w:r>
              <w:t>25 %</w:t>
            </w:r>
          </w:p>
        </w:tc>
      </w:tr>
    </w:tbl>
    <w:p w14:paraId="1FA15227" w14:textId="79A50EA6" w:rsidR="0005465C" w:rsidRDefault="00EE6E3C" w:rsidP="00274201">
      <w:pPr>
        <w:pStyle w:val="ProductList-Body"/>
        <w:spacing w:before="120"/>
        <w:rPr>
          <w:b/>
          <w:bCs/>
          <w:color w:val="00188F"/>
        </w:rPr>
      </w:pPr>
      <w:r>
        <w:rPr>
          <w:b/>
          <w:bCs/>
          <w:color w:val="00188F"/>
        </w:rPr>
        <w:t>Berechnung der Betriebszeit und Service-Levels für den Streamingdienst</w:t>
      </w:r>
    </w:p>
    <w:p w14:paraId="0AD96E39" w14:textId="77777777" w:rsidR="0005465C" w:rsidRDefault="0005465C" w:rsidP="0005465C">
      <w:pPr>
        <w:pStyle w:val="ProductList-Body"/>
        <w:rPr>
          <w:b/>
          <w:bCs/>
          <w:color w:val="00188F"/>
        </w:rPr>
      </w:pPr>
      <w:r>
        <w:rPr>
          <w:b/>
          <w:bCs/>
          <w:color w:val="00188F"/>
        </w:rPr>
        <w:t>Zusätzliche Definitionen:</w:t>
      </w:r>
    </w:p>
    <w:p w14:paraId="52664232" w14:textId="4C2FF3BC" w:rsidR="0005465C" w:rsidRPr="00EF7CF9" w:rsidRDefault="0005465C" w:rsidP="0005465C">
      <w:pPr>
        <w:pStyle w:val="ProductList-Body"/>
      </w:pPr>
      <w:r>
        <w:t>„</w:t>
      </w:r>
      <w:r>
        <w:rPr>
          <w:b/>
          <w:color w:val="00188F"/>
        </w:rPr>
        <w:t>Bereitstellungsminuten</w:t>
      </w:r>
      <w:r>
        <w:t>“ ist die Gesamtzahl der Minuten, die eine bestimmte Streaming-Einheit erworben und einem Mediendienst während eines Anwendbaren Zeitraums zugewiesen wurde.</w:t>
      </w:r>
    </w:p>
    <w:p w14:paraId="38064890" w14:textId="66A64FD5" w:rsidR="0005465C" w:rsidRPr="00EF7CF9" w:rsidRDefault="0005465C" w:rsidP="0005465C">
      <w:pPr>
        <w:pStyle w:val="ProductList-Body"/>
      </w:pPr>
      <w:r>
        <w:t>„</w:t>
      </w:r>
      <w:r>
        <w:rPr>
          <w:b/>
          <w:color w:val="00188F"/>
        </w:rPr>
        <w:t>Maximal Verfügbare Minuten</w:t>
      </w:r>
      <w:r>
        <w:t>“ ist die Summe aller Bereitstellungsminuten für alle Streaming-Einheiten, die während eines Anwendbaren Zeitraums erworben und einem Mediendienst zugewiesen wurden.</w:t>
      </w:r>
    </w:p>
    <w:p w14:paraId="641A9254" w14:textId="77777777" w:rsidR="0005465C" w:rsidRPr="00EF7CF9" w:rsidRDefault="0005465C" w:rsidP="0005465C">
      <w:pPr>
        <w:pStyle w:val="ProductList-Body"/>
      </w:pPr>
      <w:r>
        <w:rPr>
          <w:b/>
          <w:color w:val="00188F"/>
        </w:rPr>
        <w:t>Ausfallzeit</w:t>
      </w:r>
      <w:r w:rsidRPr="0008262F">
        <w:rPr>
          <w:b/>
          <w:bCs/>
          <w:color w:val="00188F"/>
        </w:rPr>
        <w:t>:</w:t>
      </w:r>
      <w:r>
        <w:t xml:space="preserve"> Summe der kumulierten Bereitstellungsminuten, wenn der Streamingdienst nicht verfügbar ist. Eine Minute gilt für eine bestimmte Streaming-Einheit als nicht verfügbar, wenn alle fortlaufenden gültigen Mediendienstanforderungen an die Streaming-Einheit im Laufe einer Minute einen Fehlercode zurückgeben.</w:t>
      </w:r>
    </w:p>
    <w:p w14:paraId="6A6C8E6F" w14:textId="735DD86A" w:rsidR="0005465C" w:rsidRDefault="0005465C" w:rsidP="0005465C">
      <w:pPr>
        <w:pStyle w:val="ProductList-Body"/>
      </w:pPr>
      <w:r>
        <w:t>Der „</w:t>
      </w:r>
      <w:r>
        <w:rPr>
          <w:b/>
          <w:color w:val="00188F"/>
        </w:rPr>
        <w:t>Betriebszeitprozentsatz</w:t>
      </w:r>
      <w:r>
        <w:t>“ für den Azure Media Services Streaming Service wird berechnet als Maximal Verfügbare Minuten abzüglich der Ausfallzeit geteilt durch die Maximal Verfügbaren Minuten in einem Anwendbaren Zeitraum für ein bestimmtes Microsoft Azure-Abonnement.</w:t>
      </w:r>
    </w:p>
    <w:p w14:paraId="61A12412" w14:textId="72445C95" w:rsidR="0005465C" w:rsidRPr="00EF7CF9" w:rsidRDefault="0005465C" w:rsidP="0005465C">
      <w:pPr>
        <w:pStyle w:val="ProductList-Body"/>
      </w:pPr>
      <w:r>
        <w:t>Der Betriebszeitprozentsatz errechnet sich nach folgender Formel:</w:t>
      </w:r>
    </w:p>
    <w:p w14:paraId="3AC7ADB8" w14:textId="0D1D7D92" w:rsidR="0005465C" w:rsidRPr="00EF7CF9" w:rsidRDefault="00000000" w:rsidP="00F80B59">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196046E2" w14:textId="77777777" w:rsidR="0005465C" w:rsidRPr="00EF7CF9" w:rsidRDefault="0005465C" w:rsidP="0005465C">
      <w:pPr>
        <w:pStyle w:val="ProductList-Body"/>
      </w:pPr>
      <w:r>
        <w:rPr>
          <w:b/>
          <w:color w:val="00188F"/>
        </w:rPr>
        <w:t>Die folgenden Servicelevels und Servicegutschriften gelten für die Nutzung des bedarfsgesteuerten Streamingdienstes der Azure-Mediendienste durch den Kunden</w:t>
      </w:r>
      <w:r w:rsidRPr="0008262F">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63815343" w14:textId="77777777" w:rsidTr="00277097">
        <w:trPr>
          <w:tblHeader/>
        </w:trPr>
        <w:tc>
          <w:tcPr>
            <w:tcW w:w="5400" w:type="dxa"/>
            <w:shd w:val="clear" w:color="auto" w:fill="0072C6"/>
          </w:tcPr>
          <w:p w14:paraId="1D8C1A2E" w14:textId="43A0A68E" w:rsidR="0005465C"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22D51487" w14:textId="77777777" w:rsidR="0005465C" w:rsidRPr="00EF7CF9" w:rsidRDefault="0005465C" w:rsidP="000F31B4">
            <w:pPr>
              <w:pStyle w:val="ProductList-OfferingBody"/>
              <w:jc w:val="center"/>
              <w:rPr>
                <w:color w:val="FFFFFF" w:themeColor="background1"/>
              </w:rPr>
            </w:pPr>
            <w:r>
              <w:rPr>
                <w:color w:val="FFFFFF" w:themeColor="background1"/>
              </w:rPr>
              <w:t>Servicegutschrift</w:t>
            </w:r>
          </w:p>
        </w:tc>
      </w:tr>
      <w:tr w:rsidR="0005465C" w:rsidRPr="00B44CF9" w14:paraId="380F08F5" w14:textId="77777777" w:rsidTr="00277097">
        <w:tc>
          <w:tcPr>
            <w:tcW w:w="5400" w:type="dxa"/>
          </w:tcPr>
          <w:p w14:paraId="73641178" w14:textId="77777777" w:rsidR="0005465C" w:rsidRPr="00EF7CF9" w:rsidRDefault="0005465C" w:rsidP="000F31B4">
            <w:pPr>
              <w:pStyle w:val="ProductList-OfferingBody"/>
              <w:jc w:val="center"/>
            </w:pPr>
            <w:r>
              <w:t>&lt; 99,9 %</w:t>
            </w:r>
          </w:p>
        </w:tc>
        <w:tc>
          <w:tcPr>
            <w:tcW w:w="5400" w:type="dxa"/>
          </w:tcPr>
          <w:p w14:paraId="60FF2A85" w14:textId="77777777" w:rsidR="0005465C" w:rsidRPr="00EF7CF9" w:rsidRDefault="0005465C" w:rsidP="000F31B4">
            <w:pPr>
              <w:pStyle w:val="ProductList-OfferingBody"/>
              <w:jc w:val="center"/>
            </w:pPr>
            <w:r>
              <w:t>10 %</w:t>
            </w:r>
          </w:p>
        </w:tc>
      </w:tr>
      <w:tr w:rsidR="0005465C" w:rsidRPr="00B44CF9" w14:paraId="389AAB23" w14:textId="77777777" w:rsidTr="00277097">
        <w:tc>
          <w:tcPr>
            <w:tcW w:w="5400" w:type="dxa"/>
          </w:tcPr>
          <w:p w14:paraId="33D77446" w14:textId="77777777" w:rsidR="0005465C" w:rsidRPr="00EF7CF9" w:rsidRDefault="0005465C" w:rsidP="000F31B4">
            <w:pPr>
              <w:pStyle w:val="ProductList-OfferingBody"/>
              <w:jc w:val="center"/>
            </w:pPr>
            <w:r>
              <w:t>&lt; 99 %</w:t>
            </w:r>
          </w:p>
        </w:tc>
        <w:tc>
          <w:tcPr>
            <w:tcW w:w="5400" w:type="dxa"/>
          </w:tcPr>
          <w:p w14:paraId="6B947007" w14:textId="77777777" w:rsidR="0005465C" w:rsidRPr="00EF7CF9" w:rsidRDefault="0005465C" w:rsidP="000F31B4">
            <w:pPr>
              <w:pStyle w:val="ProductList-OfferingBody"/>
              <w:jc w:val="center"/>
            </w:pPr>
            <w:r>
              <w:t>25 %</w:t>
            </w:r>
          </w:p>
        </w:tc>
      </w:tr>
    </w:tbl>
    <w:p w14:paraId="20A43B74" w14:textId="05227B1E" w:rsidR="0005465C" w:rsidRPr="00ED4527" w:rsidRDefault="00EE6E3C" w:rsidP="002A70D4">
      <w:pPr>
        <w:pStyle w:val="ProductList-Body"/>
        <w:spacing w:before="120"/>
        <w:rPr>
          <w:b/>
          <w:bCs/>
          <w:color w:val="00188F"/>
        </w:rPr>
      </w:pPr>
      <w:r>
        <w:rPr>
          <w:b/>
          <w:bCs/>
          <w:color w:val="00188F"/>
        </w:rPr>
        <w:t>Berechnung der Betriebszeit und Service-Levels für Video Indexer-Dienst</w:t>
      </w:r>
    </w:p>
    <w:p w14:paraId="57898D88" w14:textId="77777777" w:rsidR="0005465C" w:rsidRPr="00ED4527" w:rsidRDefault="0005465C" w:rsidP="0005465C">
      <w:pPr>
        <w:pStyle w:val="ProductList-Body"/>
        <w:rPr>
          <w:b/>
          <w:bCs/>
          <w:color w:val="00188F"/>
        </w:rPr>
      </w:pPr>
      <w:r>
        <w:rPr>
          <w:b/>
          <w:bCs/>
          <w:color w:val="00188F"/>
        </w:rPr>
        <w:t>Zusätzliche Definitionen:</w:t>
      </w:r>
    </w:p>
    <w:p w14:paraId="530783AE" w14:textId="16D9E619" w:rsidR="0005465C" w:rsidRPr="00EF7CF9" w:rsidRDefault="0005465C" w:rsidP="0005465C">
      <w:pPr>
        <w:pStyle w:val="ProductList-Body"/>
      </w:pPr>
      <w:r>
        <w:t>„</w:t>
      </w:r>
      <w:r>
        <w:rPr>
          <w:b/>
          <w:color w:val="00188F"/>
        </w:rPr>
        <w:t>Gesamtzahl der Transaktionsversuche</w:t>
      </w:r>
      <w:r>
        <w:t>“ ist die Gesamtzahl der authentifizierten Video Indexer API-Anforderungen des Kunden während eines Anwendbaren Zeitraums für ein bestimmtes Abonnement. Die Gesamtzahl der Transaktionsversuche umfasst keine Video-Indexer-API-Anforderungen, die einen Fehlercode zurückgeben und innerhalb eines Zeitfensters von fünf Minuten nach Erhalt des ersten Fehlercodes wiederholt werden, oder Upload-POST-Anforderungen, die die Datei als Byte-Array-Inhalt senden.</w:t>
      </w:r>
    </w:p>
    <w:p w14:paraId="62538BEA" w14:textId="77777777" w:rsidR="0005465C" w:rsidRPr="00EF7CF9" w:rsidRDefault="0005465C" w:rsidP="0005465C">
      <w:pPr>
        <w:pStyle w:val="ProductList-Body"/>
      </w:pPr>
      <w:r>
        <w:t>„</w:t>
      </w:r>
      <w:r>
        <w:rPr>
          <w:b/>
          <w:color w:val="00188F"/>
        </w:rPr>
        <w:t>Fehlerhafte Transaktionen</w:t>
      </w:r>
      <w:r>
        <w:t>“ bezeichnet die Menge aller Anforderungen innerhalb der Gesamtzahl der Transaktionsversuche, die einen Fehlercode ausgeben oder anderweitig innerhalb von 360 Sekunden nach Abschluss der Anforderungssendung durch den Kunden keine Antwort senden.</w:t>
      </w:r>
    </w:p>
    <w:p w14:paraId="3A2B8AD1" w14:textId="4C3E705C" w:rsidR="0005465C" w:rsidRDefault="0005465C" w:rsidP="0005465C">
      <w:pPr>
        <w:pStyle w:val="ProductList-Body"/>
      </w:pPr>
      <w:r>
        <w:t>Der „</w:t>
      </w:r>
      <w:r>
        <w:rPr>
          <w:b/>
          <w:color w:val="00188F"/>
        </w:rPr>
        <w:t>Betriebszeitprozentsatz</w:t>
      </w:r>
      <w:r>
        <w:t xml:space="preserve">“ für den Video Indexer-Dienst wird berechnet als Gesamtzahl der Transaktionsversuche abzüglich der fehlgeschlagenen Transaktionen geteilt durch die Gesamtzahl der Transaktionsversuche in einem Anwendbaren Zeitraum für ein bestimmtes Microsoft Azure-Abonnement. </w:t>
      </w:r>
    </w:p>
    <w:p w14:paraId="3379429A" w14:textId="12695F41" w:rsidR="0005465C" w:rsidRPr="00EF7CF9" w:rsidRDefault="0005465C" w:rsidP="0005465C">
      <w:pPr>
        <w:pStyle w:val="ProductList-Body"/>
      </w:pPr>
      <w:r>
        <w:t>Der Betriebszeitprozentsatz errechnet sich nach folgender Formel:</w:t>
      </w:r>
    </w:p>
    <w:p w14:paraId="78BCAE0D" w14:textId="3F030EEC" w:rsidR="0005465C" w:rsidRPr="00EF7CF9" w:rsidRDefault="00000000" w:rsidP="00F80B59">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Gesamtzahl der Transaktionsversuche abzüglich Fehlerhafte Transaktionen</m:t>
              </m:r>
            </m:num>
            <m:den>
              <m:r>
                <m:rPr>
                  <m:nor/>
                </m:rPr>
                <w:rPr>
                  <w:rFonts w:ascii="Cambria Math" w:hAnsi="Cambria Math" w:cs="Tahoma"/>
                  <w:i/>
                  <w:color w:val="000000" w:themeColor="text1"/>
                  <w:sz w:val="18"/>
                  <w:szCs w:val="18"/>
                </w:rPr>
                <m:t>Gesamtzahl der Transaktionsversuche</m:t>
              </m:r>
            </m:den>
          </m:f>
          <m:r>
            <w:rPr>
              <w:rFonts w:ascii="Cambria Math" w:hAnsi="Cambria Math" w:cs="Tahoma"/>
              <w:color w:val="000000" w:themeColor="text1"/>
              <w:sz w:val="18"/>
              <w:szCs w:val="18"/>
            </w:rPr>
            <m:t xml:space="preserve"> x 100</m:t>
          </m:r>
        </m:oMath>
      </m:oMathPara>
    </w:p>
    <w:p w14:paraId="796E3237" w14:textId="77777777" w:rsidR="0005465C" w:rsidRPr="00EF7CF9" w:rsidRDefault="0005465C" w:rsidP="0005465C">
      <w:pPr>
        <w:pStyle w:val="ProductList-Body"/>
      </w:pPr>
      <w:r>
        <w:rPr>
          <w:b/>
          <w:color w:val="00188F"/>
        </w:rPr>
        <w:t>Folgende Servicelevels und Servicegutschriften gelten für die Nutzung des Azure Video Indexer-Dienstes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23E45323" w14:textId="77777777" w:rsidTr="00277097">
        <w:trPr>
          <w:tblHeader/>
        </w:trPr>
        <w:tc>
          <w:tcPr>
            <w:tcW w:w="5400" w:type="dxa"/>
            <w:shd w:val="clear" w:color="auto" w:fill="0072C6"/>
          </w:tcPr>
          <w:p w14:paraId="13894DD0" w14:textId="6F77EE51" w:rsidR="0005465C" w:rsidRPr="005A3C16"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157AD259" w14:textId="77777777" w:rsidR="0005465C" w:rsidRPr="005A3C16" w:rsidRDefault="0005465C" w:rsidP="000F31B4">
            <w:pPr>
              <w:pStyle w:val="ProductList-OfferingBody"/>
              <w:jc w:val="center"/>
              <w:rPr>
                <w:color w:val="FFFFFF" w:themeColor="background1"/>
              </w:rPr>
            </w:pPr>
            <w:r>
              <w:rPr>
                <w:color w:val="FFFFFF" w:themeColor="background1"/>
              </w:rPr>
              <w:t>Servicegutschrift</w:t>
            </w:r>
          </w:p>
        </w:tc>
      </w:tr>
      <w:tr w:rsidR="0005465C" w:rsidRPr="00B44CF9" w14:paraId="150AC4D2" w14:textId="77777777" w:rsidTr="00277097">
        <w:tc>
          <w:tcPr>
            <w:tcW w:w="5400" w:type="dxa"/>
          </w:tcPr>
          <w:p w14:paraId="09561F0A" w14:textId="77777777" w:rsidR="0005465C" w:rsidRPr="005A3C16" w:rsidRDefault="0005465C" w:rsidP="000F31B4">
            <w:pPr>
              <w:pStyle w:val="ProductList-OfferingBody"/>
              <w:jc w:val="center"/>
            </w:pPr>
            <w:r>
              <w:t>&lt; 99,9 %</w:t>
            </w:r>
          </w:p>
        </w:tc>
        <w:tc>
          <w:tcPr>
            <w:tcW w:w="5400" w:type="dxa"/>
          </w:tcPr>
          <w:p w14:paraId="47F17463" w14:textId="77777777" w:rsidR="0005465C" w:rsidRPr="005A3C16" w:rsidRDefault="0005465C" w:rsidP="000F31B4">
            <w:pPr>
              <w:pStyle w:val="ProductList-OfferingBody"/>
              <w:jc w:val="center"/>
            </w:pPr>
            <w:r>
              <w:t>10 %</w:t>
            </w:r>
          </w:p>
        </w:tc>
      </w:tr>
      <w:tr w:rsidR="0005465C" w:rsidRPr="00B44CF9" w14:paraId="5C07A612" w14:textId="77777777" w:rsidTr="00277097">
        <w:tc>
          <w:tcPr>
            <w:tcW w:w="5400" w:type="dxa"/>
          </w:tcPr>
          <w:p w14:paraId="592D715F" w14:textId="77777777" w:rsidR="0005465C" w:rsidRPr="005A3C16" w:rsidRDefault="0005465C" w:rsidP="000F31B4">
            <w:pPr>
              <w:pStyle w:val="ProductList-OfferingBody"/>
              <w:jc w:val="center"/>
            </w:pPr>
            <w:r>
              <w:t>&lt; 99 %</w:t>
            </w:r>
          </w:p>
        </w:tc>
        <w:tc>
          <w:tcPr>
            <w:tcW w:w="5400" w:type="dxa"/>
          </w:tcPr>
          <w:p w14:paraId="3F63357C" w14:textId="77777777" w:rsidR="0005465C" w:rsidRPr="005A3C16" w:rsidRDefault="0005465C" w:rsidP="000F31B4">
            <w:pPr>
              <w:pStyle w:val="ProductList-OfferingBody"/>
              <w:jc w:val="center"/>
            </w:pPr>
            <w:r>
              <w:t>25 %</w:t>
            </w:r>
          </w:p>
        </w:tc>
      </w:tr>
    </w:tbl>
    <w:p w14:paraId="2C7ADA14" w14:textId="66FE91FC" w:rsidR="0005465C" w:rsidRDefault="00EE6E3C" w:rsidP="002A70D4">
      <w:pPr>
        <w:pStyle w:val="ProductList-Body"/>
        <w:spacing w:before="120"/>
        <w:rPr>
          <w:b/>
          <w:bCs/>
          <w:color w:val="00188F"/>
        </w:rPr>
      </w:pPr>
      <w:r>
        <w:rPr>
          <w:b/>
          <w:bCs/>
          <w:color w:val="00188F"/>
        </w:rPr>
        <w:t>Berechnung der Betriebszeit und Service-Levels für Livekanäle</w:t>
      </w:r>
    </w:p>
    <w:p w14:paraId="000D0D6F" w14:textId="77777777" w:rsidR="0005465C" w:rsidRPr="00ED4527" w:rsidRDefault="0005465C" w:rsidP="0005465C">
      <w:pPr>
        <w:pStyle w:val="ProductList-Body"/>
        <w:rPr>
          <w:b/>
          <w:bCs/>
          <w:color w:val="00188F"/>
        </w:rPr>
      </w:pPr>
      <w:r>
        <w:rPr>
          <w:b/>
          <w:bCs/>
          <w:color w:val="00188F"/>
        </w:rPr>
        <w:t>Zusätzliche Definitionen:</w:t>
      </w:r>
    </w:p>
    <w:p w14:paraId="0FC8F879" w14:textId="4F33546D" w:rsidR="0005465C" w:rsidRPr="00EF7CF9" w:rsidRDefault="0005465C" w:rsidP="0005465C">
      <w:pPr>
        <w:pStyle w:val="ProductList-Body"/>
      </w:pPr>
      <w:r>
        <w:t>„</w:t>
      </w:r>
      <w:r>
        <w:rPr>
          <w:b/>
          <w:color w:val="00188F"/>
        </w:rPr>
        <w:t>Bereitstellungsminuten</w:t>
      </w:r>
      <w:r>
        <w:t>“ bezeichnet die Gesamtzahl der Minuten, für die während eines Anwendbaren Zeitraums ein bestimmter Kanal erworben und einem Mediendienst bereitgestellt wurde, der sich in einem ausgeführten Zustand befindet.</w:t>
      </w:r>
    </w:p>
    <w:p w14:paraId="2BF106B0" w14:textId="7F3AB84E" w:rsidR="0005465C" w:rsidRPr="00EF7CF9" w:rsidRDefault="0005465C" w:rsidP="0005465C">
      <w:pPr>
        <w:pStyle w:val="ProductList-Body"/>
      </w:pPr>
      <w:r>
        <w:t>„</w:t>
      </w:r>
      <w:r>
        <w:rPr>
          <w:b/>
          <w:color w:val="00188F"/>
        </w:rPr>
        <w:t>Maximal Verfügbare Minuten</w:t>
      </w:r>
      <w:r>
        <w:t>“ ist die Summe aller Bereitstellungsminuten für alle Kanäle, die erworben und einem Mediendienst während eines Anwendbaren Zeitraums bereitgestellt wurden.</w:t>
      </w:r>
    </w:p>
    <w:p w14:paraId="589A4F11" w14:textId="77777777" w:rsidR="0005465C" w:rsidRPr="00EF7CF9" w:rsidRDefault="0005465C" w:rsidP="0005465C">
      <w:pPr>
        <w:pStyle w:val="ProductList-Body"/>
      </w:pPr>
      <w:r>
        <w:rPr>
          <w:b/>
          <w:color w:val="00188F"/>
        </w:rPr>
        <w:t>Ausfallzeit</w:t>
      </w:r>
      <w:r w:rsidRPr="0008262F">
        <w:rPr>
          <w:b/>
          <w:bCs/>
          <w:color w:val="00188F"/>
        </w:rPr>
        <w:t>:</w:t>
      </w:r>
      <w:r>
        <w:t xml:space="preserve"> Gesamte kumulierte Bereitstellungsminuten, wenn der Livekanaldienst nicht verfügbar ist. Eine Minute gilt für einen bestimmten Kanal als nicht verfügbar, wenn der Kanal während dieser Minute über keine Externe Verbindung verfügt.</w:t>
      </w:r>
    </w:p>
    <w:p w14:paraId="32D83198" w14:textId="21D602C8" w:rsidR="0005465C" w:rsidRDefault="0005465C" w:rsidP="0005465C">
      <w:pPr>
        <w:pStyle w:val="ProductList-Body"/>
      </w:pPr>
      <w:r>
        <w:t>Der „</w:t>
      </w:r>
      <w:r>
        <w:rPr>
          <w:b/>
          <w:color w:val="00188F"/>
        </w:rPr>
        <w:t>Betriebszeitprozentsatz</w:t>
      </w:r>
      <w:r>
        <w:t>“ für den Live-Kanaldienst wird berechnet als Maximal Verfügbare Minuten abzüglich der Ausfallzeit geteilt durch die Maximal Verfügbaren Minuten in einem Anwendbaren Zeitraum für ein bestimmtes Azure-Abonnement.</w:t>
      </w:r>
    </w:p>
    <w:p w14:paraId="2AF355B5" w14:textId="2A3579D7" w:rsidR="0005465C" w:rsidRPr="00EF7CF9" w:rsidRDefault="0005465C" w:rsidP="0005465C">
      <w:pPr>
        <w:pStyle w:val="ProductList-Body"/>
      </w:pPr>
      <w:r>
        <w:t>Der Betriebszeitprozentsatz errechnet sich nach folgender Formel:</w:t>
      </w:r>
    </w:p>
    <w:p w14:paraId="30039B30" w14:textId="73604614" w:rsidR="0005465C" w:rsidRPr="007C7313" w:rsidRDefault="00000000" w:rsidP="0052593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156547FF" w14:textId="77777777" w:rsidR="0005465C" w:rsidRPr="00EF7CF9" w:rsidRDefault="0005465C" w:rsidP="0005465C">
      <w:pPr>
        <w:pStyle w:val="ProductList-Body"/>
      </w:pPr>
      <w:r>
        <w:rPr>
          <w:b/>
          <w:color w:val="00188F"/>
        </w:rPr>
        <w:lastRenderedPageBreak/>
        <w:t>Die folgenden Service-Levels und Servicegutschriften gelten für die Nutzung des Livekanaldienstes der Azure Media Services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07780584" w14:textId="77777777" w:rsidTr="00277097">
        <w:trPr>
          <w:tblHeader/>
        </w:trPr>
        <w:tc>
          <w:tcPr>
            <w:tcW w:w="5400" w:type="dxa"/>
            <w:shd w:val="clear" w:color="auto" w:fill="0072C6"/>
          </w:tcPr>
          <w:p w14:paraId="6987C705" w14:textId="608FF602" w:rsidR="0005465C"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18EAEC4D" w14:textId="77777777" w:rsidR="0005465C" w:rsidRPr="00EF7CF9" w:rsidRDefault="0005465C" w:rsidP="000F31B4">
            <w:pPr>
              <w:pStyle w:val="ProductList-OfferingBody"/>
              <w:jc w:val="center"/>
              <w:rPr>
                <w:color w:val="FFFFFF" w:themeColor="background1"/>
              </w:rPr>
            </w:pPr>
            <w:r>
              <w:rPr>
                <w:color w:val="FFFFFF" w:themeColor="background1"/>
              </w:rPr>
              <w:t>Servicegutschrift</w:t>
            </w:r>
          </w:p>
        </w:tc>
      </w:tr>
      <w:tr w:rsidR="0005465C" w:rsidRPr="00B44CF9" w14:paraId="472E637E" w14:textId="77777777" w:rsidTr="00277097">
        <w:tc>
          <w:tcPr>
            <w:tcW w:w="5400" w:type="dxa"/>
          </w:tcPr>
          <w:p w14:paraId="22784DA1" w14:textId="77777777" w:rsidR="0005465C" w:rsidRPr="00EF7CF9" w:rsidRDefault="0005465C" w:rsidP="000F31B4">
            <w:pPr>
              <w:pStyle w:val="ProductList-OfferingBody"/>
              <w:jc w:val="center"/>
            </w:pPr>
            <w:r>
              <w:t>&lt; 99,9 %</w:t>
            </w:r>
          </w:p>
        </w:tc>
        <w:tc>
          <w:tcPr>
            <w:tcW w:w="5400" w:type="dxa"/>
          </w:tcPr>
          <w:p w14:paraId="7C46E78F" w14:textId="77777777" w:rsidR="0005465C" w:rsidRPr="00EF7CF9" w:rsidRDefault="0005465C" w:rsidP="000F31B4">
            <w:pPr>
              <w:pStyle w:val="ProductList-OfferingBody"/>
              <w:jc w:val="center"/>
            </w:pPr>
            <w:r>
              <w:t>10 %</w:t>
            </w:r>
          </w:p>
        </w:tc>
      </w:tr>
      <w:tr w:rsidR="0005465C" w:rsidRPr="00B44CF9" w14:paraId="744A173B" w14:textId="77777777" w:rsidTr="00277097">
        <w:tc>
          <w:tcPr>
            <w:tcW w:w="5400" w:type="dxa"/>
          </w:tcPr>
          <w:p w14:paraId="59ABAD11" w14:textId="77777777" w:rsidR="0005465C" w:rsidRPr="00EF7CF9" w:rsidRDefault="0005465C" w:rsidP="000F31B4">
            <w:pPr>
              <w:pStyle w:val="ProductList-OfferingBody"/>
              <w:jc w:val="center"/>
            </w:pPr>
            <w:r>
              <w:t>&lt; 99 %</w:t>
            </w:r>
          </w:p>
        </w:tc>
        <w:tc>
          <w:tcPr>
            <w:tcW w:w="5400" w:type="dxa"/>
          </w:tcPr>
          <w:p w14:paraId="2A1B4C47" w14:textId="77777777" w:rsidR="0005465C" w:rsidRPr="00EF7CF9" w:rsidRDefault="0005465C" w:rsidP="000F31B4">
            <w:pPr>
              <w:pStyle w:val="ProductList-OfferingBody"/>
              <w:jc w:val="center"/>
            </w:pPr>
            <w:r>
              <w:t>25 %</w:t>
            </w:r>
          </w:p>
        </w:tc>
      </w:tr>
    </w:tbl>
    <w:p w14:paraId="596A31A9" w14:textId="0DDDA0D1" w:rsidR="0005465C" w:rsidRPr="00623706" w:rsidRDefault="00EE6E3C" w:rsidP="002A70D4">
      <w:pPr>
        <w:pStyle w:val="ProductList-Body"/>
        <w:spacing w:before="120"/>
        <w:rPr>
          <w:b/>
          <w:bCs/>
          <w:color w:val="00188F"/>
        </w:rPr>
      </w:pPr>
      <w:r>
        <w:rPr>
          <w:b/>
          <w:bCs/>
          <w:color w:val="00188F"/>
        </w:rPr>
        <w:t>Berechnung der Betriebszeit und Service-Levels für den Inhaltsschutzdienst</w:t>
      </w:r>
    </w:p>
    <w:p w14:paraId="5A000AB7" w14:textId="77777777" w:rsidR="0005465C" w:rsidRPr="00ED4527" w:rsidRDefault="0005465C" w:rsidP="0005465C">
      <w:pPr>
        <w:pStyle w:val="ProductList-Body"/>
        <w:rPr>
          <w:b/>
          <w:bCs/>
          <w:color w:val="00188F"/>
        </w:rPr>
      </w:pPr>
      <w:r>
        <w:rPr>
          <w:b/>
          <w:bCs/>
          <w:color w:val="00188F"/>
        </w:rPr>
        <w:t>Zusätzliche Definitionen</w:t>
      </w:r>
    </w:p>
    <w:p w14:paraId="4EA80504" w14:textId="0A6F2F98" w:rsidR="0005465C" w:rsidRPr="00EF7CF9" w:rsidRDefault="0005465C" w:rsidP="0005465C">
      <w:pPr>
        <w:pStyle w:val="ProductList-Body"/>
      </w:pPr>
      <w:r>
        <w:t>„</w:t>
      </w:r>
      <w:r>
        <w:rPr>
          <w:b/>
          <w:color w:val="00188F"/>
        </w:rPr>
        <w:t>Gesamtzahl der Transaktionsversuche</w:t>
      </w:r>
      <w:r>
        <w:t>“ sind alle gültigen Schlüsselanforderungen, die Sie während eines Anwendbaren Zeitraums für ein bestimmtes Azure-Abonnement stellen.</w:t>
      </w:r>
    </w:p>
    <w:p w14:paraId="1ED551EE" w14:textId="77777777" w:rsidR="0005465C" w:rsidRPr="00EF7CF9" w:rsidRDefault="0005465C" w:rsidP="0005465C">
      <w:pPr>
        <w:pStyle w:val="ProductList-Body"/>
      </w:pPr>
      <w:r>
        <w:t>„</w:t>
      </w:r>
      <w:r>
        <w:rPr>
          <w:b/>
          <w:color w:val="00188F"/>
        </w:rPr>
        <w:t>Fehlerhafte Transaktionen</w:t>
      </w:r>
      <w:r>
        <w:t>“ sind alle in der Gesamtzahl der Transaktionsversuche enthaltenen gültigen Schlüsselanforderungen, die zu einem Fehlercode führen oder anderweitig nicht innerhalb von 30 Sekunden nach dem Empfang durch den Inhaltsschutzdienst einen Erfolgscode zurückgeben.</w:t>
      </w:r>
    </w:p>
    <w:p w14:paraId="78B4EB61" w14:textId="15F736E1" w:rsidR="0005465C" w:rsidRDefault="0005465C" w:rsidP="0005465C">
      <w:pPr>
        <w:pStyle w:val="ProductList-Body"/>
      </w:pPr>
      <w:r>
        <w:t>Der „</w:t>
      </w:r>
      <w:r>
        <w:rPr>
          <w:b/>
          <w:color w:val="00188F"/>
        </w:rPr>
        <w:t>Betriebszeitprozentsatz</w:t>
      </w:r>
      <w:r>
        <w:t>“ für Azure Media Services wird berechnet als Gesamtzahl der Transaktionsversuche abzüglich der fehlgeschlagenen Transaktionen geteilt durch die Gesamtzahl der Transaktionsversuche in einem Anwendbaren Zeitraum für ein bestimmtes Microsoft Azure-Abonnement.</w:t>
      </w:r>
    </w:p>
    <w:p w14:paraId="4FB6D2DC" w14:textId="48010A30" w:rsidR="0005465C" w:rsidRPr="00EF7CF9" w:rsidRDefault="0005465C" w:rsidP="00715436">
      <w:pPr>
        <w:pStyle w:val="ProductList-Body"/>
        <w:keepNext/>
      </w:pPr>
      <w:r>
        <w:t>Der Betriebszeitprozentsatz errechnet sich nach folgender Formel:</w:t>
      </w:r>
    </w:p>
    <w:p w14:paraId="082739F6" w14:textId="4F6D5F02" w:rsidR="0005465C" w:rsidRPr="00EF7CF9" w:rsidRDefault="00000000" w:rsidP="00D07977">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Gesamtzahl der Transaktionsversuche abzüglich Fehlerhafte Transaktionen</m:t>
              </m:r>
            </m:num>
            <m:den>
              <m:r>
                <m:rPr>
                  <m:nor/>
                </m:rPr>
                <w:rPr>
                  <w:rFonts w:ascii="Cambria Math" w:hAnsi="Cambria Math" w:cs="Tahoma"/>
                  <w:i/>
                  <w:color w:val="000000" w:themeColor="text1"/>
                  <w:sz w:val="18"/>
                  <w:szCs w:val="18"/>
                </w:rPr>
                <m:t>Gesamtzahl der Transaktionsversuche</m:t>
              </m:r>
            </m:den>
          </m:f>
          <m:r>
            <w:rPr>
              <w:rFonts w:ascii="Cambria Math" w:hAnsi="Cambria Math" w:cs="Tahoma"/>
              <w:color w:val="000000" w:themeColor="text1"/>
              <w:sz w:val="18"/>
              <w:szCs w:val="18"/>
            </w:rPr>
            <m:t xml:space="preserve"> x 100</m:t>
          </m:r>
        </m:oMath>
      </m:oMathPara>
    </w:p>
    <w:p w14:paraId="63E73D4D" w14:textId="6D8AD3ED" w:rsidR="0005465C" w:rsidRPr="00EF7CF9" w:rsidRDefault="0005465C" w:rsidP="007E787D">
      <w:pPr>
        <w:pStyle w:val="ProductList-Body"/>
        <w:keepNext/>
        <w:keepLines/>
      </w:pPr>
      <w:r>
        <w:rPr>
          <w:b/>
          <w:color w:val="00188F"/>
        </w:rPr>
        <w:t>Die folgenden Service-Levels und Servicegutschriften gelten für die Nutzung des Inhaltsschutzdienstes der Azure Media Services durch den</w:t>
      </w:r>
      <w:r w:rsidR="007E787D">
        <w:rPr>
          <w:b/>
          <w:color w:val="00188F"/>
        </w:rPr>
        <w:t> </w:t>
      </w:r>
      <w:r>
        <w:rPr>
          <w:b/>
          <w:color w:val="00188F"/>
        </w:rPr>
        <w:t>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314EA1B4" w14:textId="77777777" w:rsidTr="00277097">
        <w:trPr>
          <w:tblHeader/>
        </w:trPr>
        <w:tc>
          <w:tcPr>
            <w:tcW w:w="5400" w:type="dxa"/>
            <w:shd w:val="clear" w:color="auto" w:fill="0072C6"/>
          </w:tcPr>
          <w:p w14:paraId="39278FE2" w14:textId="6AF0B2F8" w:rsidR="0005465C" w:rsidRPr="00EF7CF9" w:rsidRDefault="00AC48A7" w:rsidP="007E787D">
            <w:pPr>
              <w:pStyle w:val="ProductList-OfferingBody"/>
              <w:keepNext/>
              <w:keepLines/>
              <w:jc w:val="center"/>
              <w:rPr>
                <w:color w:val="FFFFFF" w:themeColor="background1"/>
              </w:rPr>
            </w:pPr>
            <w:r>
              <w:rPr>
                <w:color w:val="FFFFFF" w:themeColor="background1"/>
              </w:rPr>
              <w:t>Betriebszeitprozentsatz</w:t>
            </w:r>
          </w:p>
        </w:tc>
        <w:tc>
          <w:tcPr>
            <w:tcW w:w="5400" w:type="dxa"/>
            <w:shd w:val="clear" w:color="auto" w:fill="0072C6"/>
          </w:tcPr>
          <w:p w14:paraId="3DC7B3EF" w14:textId="77777777" w:rsidR="0005465C" w:rsidRPr="00EF7CF9" w:rsidRDefault="0005465C" w:rsidP="007E787D">
            <w:pPr>
              <w:pStyle w:val="ProductList-OfferingBody"/>
              <w:keepNext/>
              <w:keepLines/>
              <w:jc w:val="center"/>
              <w:rPr>
                <w:color w:val="FFFFFF" w:themeColor="background1"/>
              </w:rPr>
            </w:pPr>
            <w:r>
              <w:rPr>
                <w:color w:val="FFFFFF" w:themeColor="background1"/>
              </w:rPr>
              <w:t>Servicegutschrift</w:t>
            </w:r>
          </w:p>
        </w:tc>
      </w:tr>
      <w:tr w:rsidR="0005465C" w:rsidRPr="00B44CF9" w14:paraId="7022C8BB" w14:textId="77777777" w:rsidTr="00277097">
        <w:tc>
          <w:tcPr>
            <w:tcW w:w="5400" w:type="dxa"/>
          </w:tcPr>
          <w:p w14:paraId="309E53FA" w14:textId="77777777" w:rsidR="0005465C" w:rsidRPr="00EF7CF9" w:rsidRDefault="0005465C" w:rsidP="007E787D">
            <w:pPr>
              <w:pStyle w:val="ProductList-OfferingBody"/>
              <w:keepNext/>
              <w:keepLines/>
              <w:jc w:val="center"/>
            </w:pPr>
            <w:r>
              <w:t>&lt; 99,9 %</w:t>
            </w:r>
          </w:p>
        </w:tc>
        <w:tc>
          <w:tcPr>
            <w:tcW w:w="5400" w:type="dxa"/>
          </w:tcPr>
          <w:p w14:paraId="450872A4" w14:textId="77777777" w:rsidR="0005465C" w:rsidRPr="00EF7CF9" w:rsidRDefault="0005465C" w:rsidP="007E787D">
            <w:pPr>
              <w:pStyle w:val="ProductList-OfferingBody"/>
              <w:keepNext/>
              <w:keepLines/>
              <w:jc w:val="center"/>
            </w:pPr>
            <w:r>
              <w:t>10 %</w:t>
            </w:r>
          </w:p>
        </w:tc>
      </w:tr>
      <w:tr w:rsidR="0005465C" w:rsidRPr="00B44CF9" w14:paraId="49F060B1" w14:textId="77777777" w:rsidTr="00277097">
        <w:tc>
          <w:tcPr>
            <w:tcW w:w="5400" w:type="dxa"/>
          </w:tcPr>
          <w:p w14:paraId="017B8EE5" w14:textId="77777777" w:rsidR="0005465C" w:rsidRPr="00EF7CF9" w:rsidRDefault="0005465C" w:rsidP="000F31B4">
            <w:pPr>
              <w:pStyle w:val="ProductList-OfferingBody"/>
              <w:jc w:val="center"/>
            </w:pPr>
            <w:r>
              <w:t>&lt; 99 %</w:t>
            </w:r>
          </w:p>
        </w:tc>
        <w:tc>
          <w:tcPr>
            <w:tcW w:w="5400" w:type="dxa"/>
          </w:tcPr>
          <w:p w14:paraId="7C259C76" w14:textId="77777777" w:rsidR="0005465C" w:rsidRPr="00EF7CF9" w:rsidRDefault="0005465C" w:rsidP="000F31B4">
            <w:pPr>
              <w:pStyle w:val="ProductList-OfferingBody"/>
              <w:jc w:val="center"/>
            </w:pPr>
            <w:r>
              <w:t>25 %</w:t>
            </w:r>
          </w:p>
        </w:tc>
      </w:tr>
    </w:tbl>
    <w:p w14:paraId="24E7BA96" w14:textId="29DB5867"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2A19FC05" w14:textId="77777777" w:rsidR="009C6082" w:rsidRPr="00E53123" w:rsidRDefault="009C6082" w:rsidP="00C42DFA">
      <w:pPr>
        <w:pStyle w:val="ProductList-Offering2Heading"/>
        <w:keepNext/>
        <w:tabs>
          <w:tab w:val="clear" w:pos="360"/>
          <w:tab w:val="clear" w:pos="720"/>
          <w:tab w:val="clear" w:pos="1080"/>
        </w:tabs>
        <w:outlineLvl w:val="2"/>
      </w:pPr>
      <w:bookmarkStart w:id="441" w:name="_Toc195543174"/>
      <w:bookmarkStart w:id="442" w:name="_Toc237449034"/>
      <w:r>
        <w:t>MedTech-Dienst</w:t>
      </w:r>
      <w:bookmarkEnd w:id="441"/>
      <w:bookmarkEnd w:id="442"/>
    </w:p>
    <w:p w14:paraId="41E626DB" w14:textId="77777777" w:rsidR="009C6082" w:rsidRDefault="009C6082" w:rsidP="009C6082">
      <w:pPr>
        <w:shd w:val="clear" w:color="auto" w:fill="FFFFFF"/>
        <w:spacing w:after="0" w:line="240" w:lineRule="auto"/>
        <w:rPr>
          <w:sz w:val="18"/>
        </w:rPr>
      </w:pPr>
      <w:r>
        <w:rPr>
          <w:sz w:val="18"/>
        </w:rPr>
        <w:t>Ein MedTech-Dienst gilt innerhalb eines Ein-Minuten-Fensters als verfügbar, wenn er erfolgreich aus der konfigurierten Datenquelle gelesen wird oder nach ordnungsgemäßer Konfiguration zum Lesen aus einer Datenquelle verfügbar ist.</w:t>
      </w:r>
    </w:p>
    <w:p w14:paraId="4213C408" w14:textId="2F0EC4A3" w:rsidR="009C6082" w:rsidRPr="00E53123" w:rsidRDefault="00EE6E3C" w:rsidP="009C6082">
      <w:pPr>
        <w:pStyle w:val="ProductList-Body"/>
        <w:rPr>
          <w:b/>
          <w:color w:val="00188F"/>
        </w:rPr>
      </w:pPr>
      <w:r>
        <w:rPr>
          <w:b/>
          <w:color w:val="00188F"/>
        </w:rPr>
        <w:t>Berechnung der Betriebszeit</w:t>
      </w:r>
    </w:p>
    <w:p w14:paraId="0B543B21" w14:textId="1472A524" w:rsidR="009C6082" w:rsidRDefault="009C6082" w:rsidP="009C6082">
      <w:pPr>
        <w:pStyle w:val="ProductList-Body"/>
      </w:pPr>
      <w:r>
        <w:t>Der „</w:t>
      </w:r>
      <w:r>
        <w:rPr>
          <w:b/>
          <w:color w:val="00188F"/>
        </w:rPr>
        <w:t>Betriebszeitprozentsatz</w:t>
      </w:r>
      <w:r>
        <w:t>“ für den MedTech-Dienst wird berechnet als Gesamtzahl der verfügbaren Minuten abzüglich der nicht verfügbaren Minuten geteilt durch die Gesamtzahl der Minuten, in denen der MedTech-Dienst aktiv war. Der Betriebszeitprozentsatz wird durch die folgende Formel ermittelt:</w:t>
      </w:r>
    </w:p>
    <w:p w14:paraId="29A8600A" w14:textId="57A1F3EE" w:rsidR="009C6082" w:rsidRPr="00EF7CF9" w:rsidRDefault="00000000" w:rsidP="009C6082">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Verfügbare Gesamtminuten – Fehlerhafte Minuten</m:t>
              </m:r>
            </m:num>
            <m:den>
              <m:r>
                <m:rPr>
                  <m:nor/>
                </m:rPr>
                <w:rPr>
                  <w:rFonts w:ascii="Cambria Math" w:hAnsi="Cambria Math" w:cs="Calibri"/>
                  <w:i/>
                  <w:sz w:val="18"/>
                  <w:szCs w:val="18"/>
                </w:rPr>
                <m:t>Gesamtminuten</m:t>
              </m:r>
            </m:den>
          </m:f>
          <m:r>
            <w:rPr>
              <w:rFonts w:ascii="Cambria Math" w:hAnsi="Cambria Math" w:cs="Calibri"/>
              <w:sz w:val="18"/>
              <w:szCs w:val="18"/>
            </w:rPr>
            <m:t xml:space="preserve"> x 100</m:t>
          </m:r>
        </m:oMath>
      </m:oMathPara>
    </w:p>
    <w:p w14:paraId="3B793820" w14:textId="77777777" w:rsidR="009C6082" w:rsidRDefault="009C6082" w:rsidP="009C6082">
      <w:pPr>
        <w:pStyle w:val="ProductList-Body"/>
      </w:pPr>
      <w:r>
        <w:t>Die folgenden Servicelevels und Servicegutschriften gelten für den MedTech-Dienst:</w:t>
      </w:r>
    </w:p>
    <w:p w14:paraId="04C48FDA" w14:textId="77777777" w:rsidR="009C6082" w:rsidRPr="00EF7CF9" w:rsidRDefault="009C6082" w:rsidP="00BC5957">
      <w:pPr>
        <w:pStyle w:val="ProductList-Body"/>
        <w:keepNext/>
      </w:pPr>
      <w:r>
        <w:rPr>
          <w:b/>
          <w:color w:val="00188F"/>
        </w:rPr>
        <w:t>Servicegutschrift</w:t>
      </w:r>
      <w:r w:rsidRPr="0008262F">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C6082" w:rsidRPr="00B44CF9" w14:paraId="24D851B6" w14:textId="77777777" w:rsidTr="000F31B4">
        <w:trPr>
          <w:tblHeader/>
        </w:trPr>
        <w:tc>
          <w:tcPr>
            <w:tcW w:w="5400" w:type="dxa"/>
            <w:shd w:val="clear" w:color="auto" w:fill="0072C6"/>
          </w:tcPr>
          <w:p w14:paraId="03CF3F51" w14:textId="0D361A7E" w:rsidR="009C6082"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40BCC4D7" w14:textId="77777777" w:rsidR="009C6082" w:rsidRPr="00EF7CF9" w:rsidRDefault="009C6082" w:rsidP="000F31B4">
            <w:pPr>
              <w:pStyle w:val="ProductList-OfferingBody"/>
              <w:jc w:val="center"/>
              <w:rPr>
                <w:color w:val="FFFFFF" w:themeColor="background1"/>
              </w:rPr>
            </w:pPr>
            <w:r>
              <w:rPr>
                <w:color w:val="FFFFFF" w:themeColor="background1"/>
              </w:rPr>
              <w:t>Servicegutschrift</w:t>
            </w:r>
          </w:p>
        </w:tc>
      </w:tr>
      <w:tr w:rsidR="009C6082" w:rsidRPr="00B44CF9" w14:paraId="094ED92A" w14:textId="77777777" w:rsidTr="000F31B4">
        <w:tc>
          <w:tcPr>
            <w:tcW w:w="5400" w:type="dxa"/>
          </w:tcPr>
          <w:p w14:paraId="19C37249" w14:textId="77777777" w:rsidR="009C6082" w:rsidRPr="00EF7CF9" w:rsidRDefault="009C6082" w:rsidP="000F31B4">
            <w:pPr>
              <w:pStyle w:val="ProductList-OfferingBody"/>
              <w:jc w:val="center"/>
            </w:pPr>
            <w:r>
              <w:t>&lt; 99,9 %</w:t>
            </w:r>
          </w:p>
        </w:tc>
        <w:tc>
          <w:tcPr>
            <w:tcW w:w="5400" w:type="dxa"/>
          </w:tcPr>
          <w:p w14:paraId="7A0412B6" w14:textId="77777777" w:rsidR="009C6082" w:rsidRPr="00EF7CF9" w:rsidRDefault="009C6082" w:rsidP="000F31B4">
            <w:pPr>
              <w:pStyle w:val="ProductList-OfferingBody"/>
              <w:jc w:val="center"/>
            </w:pPr>
            <w:r>
              <w:t>10 %</w:t>
            </w:r>
          </w:p>
        </w:tc>
      </w:tr>
      <w:tr w:rsidR="009C6082" w:rsidRPr="00B44CF9" w14:paraId="1680BF06" w14:textId="77777777" w:rsidTr="000F31B4">
        <w:tc>
          <w:tcPr>
            <w:tcW w:w="5400" w:type="dxa"/>
          </w:tcPr>
          <w:p w14:paraId="30EDDC47" w14:textId="77777777" w:rsidR="009C6082" w:rsidRPr="00EF7CF9" w:rsidRDefault="009C6082" w:rsidP="000F31B4">
            <w:pPr>
              <w:pStyle w:val="ProductList-OfferingBody"/>
              <w:jc w:val="center"/>
            </w:pPr>
            <w:r>
              <w:t>&lt; 99 %</w:t>
            </w:r>
          </w:p>
        </w:tc>
        <w:tc>
          <w:tcPr>
            <w:tcW w:w="5400" w:type="dxa"/>
          </w:tcPr>
          <w:p w14:paraId="3028563A" w14:textId="77777777" w:rsidR="009C6082" w:rsidRPr="00EF7CF9" w:rsidRDefault="009C6082" w:rsidP="000F31B4">
            <w:pPr>
              <w:pStyle w:val="ProductList-OfferingBody"/>
              <w:jc w:val="center"/>
            </w:pPr>
            <w:r>
              <w:t>25 %</w:t>
            </w:r>
          </w:p>
        </w:tc>
      </w:tr>
    </w:tbl>
    <w:p w14:paraId="33412F5F" w14:textId="45C0EA2D"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2BD907A7" w14:textId="77777777" w:rsidR="00AE1389" w:rsidRPr="00D72018" w:rsidRDefault="00AE1389" w:rsidP="00AE1389">
      <w:pPr>
        <w:pStyle w:val="ProductList-Offering2Heading"/>
        <w:keepNext/>
        <w:tabs>
          <w:tab w:val="clear" w:pos="360"/>
          <w:tab w:val="clear" w:pos="720"/>
          <w:tab w:val="clear" w:pos="1080"/>
        </w:tabs>
        <w:outlineLvl w:val="2"/>
        <w:rPr>
          <w:rFonts w:ascii="Calibri Light" w:hAnsi="Calibri Light" w:cs="Calibri Light"/>
        </w:rPr>
      </w:pPr>
      <w:bookmarkStart w:id="443" w:name="_Toc237449035"/>
      <w:bookmarkStart w:id="444" w:name="_Toc195543175"/>
      <w:bookmarkStart w:id="445" w:name="_Toc52348973"/>
      <w:bookmarkStart w:id="446" w:name="_Toc457821565"/>
      <w:r>
        <w:rPr>
          <w:rFonts w:ascii="Calibri Light" w:hAnsi="Calibri Light" w:cs="Calibri Light"/>
        </w:rPr>
        <w:t>Microsoft Discovery-Dienst</w:t>
      </w:r>
      <w:bookmarkEnd w:id="443"/>
    </w:p>
    <w:p w14:paraId="40074A8A" w14:textId="77777777" w:rsidR="00AE1389" w:rsidRPr="00D72018" w:rsidRDefault="00AE1389" w:rsidP="00AE1389">
      <w:pPr>
        <w:shd w:val="clear" w:color="auto" w:fill="FFFFFF"/>
        <w:spacing w:after="0" w:line="240" w:lineRule="auto"/>
        <w:rPr>
          <w:rFonts w:ascii="Calibri" w:hAnsi="Calibri" w:cs="Calibri"/>
          <w:b/>
          <w:color w:val="00188F"/>
          <w:sz w:val="18"/>
        </w:rPr>
      </w:pPr>
      <w:r>
        <w:rPr>
          <w:rFonts w:ascii="Calibri" w:hAnsi="Calibri" w:cs="Calibri"/>
          <w:b/>
          <w:color w:val="00188F"/>
          <w:sz w:val="18"/>
        </w:rPr>
        <w:t>Zusätzliche Definitionen:</w:t>
      </w:r>
    </w:p>
    <w:p w14:paraId="72C364CD" w14:textId="77777777" w:rsidR="00AE1389" w:rsidRPr="00F122EA" w:rsidRDefault="00AE1389" w:rsidP="00AE1389">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b/>
          <w:bCs/>
          <w:color w:val="242424"/>
          <w:sz w:val="18"/>
          <w:szCs w:val="18"/>
          <w:bdr w:val="none" w:sz="0" w:space="0" w:color="auto" w:frame="1"/>
        </w:rPr>
        <w:t>„</w:t>
      </w:r>
      <w:r>
        <w:rPr>
          <w:rFonts w:ascii="Calibri" w:hAnsi="Calibri" w:cs="Calibri"/>
          <w:b/>
          <w:color w:val="00188F"/>
          <w:sz w:val="18"/>
        </w:rPr>
        <w:t>Gesamtzahl der Nutzernachrichtenanforderungen</w:t>
      </w:r>
      <w:r>
        <w:rPr>
          <w:rFonts w:ascii="Calibri" w:eastAsia="Times New Roman" w:hAnsi="Calibri" w:cs="Calibri"/>
          <w:b/>
          <w:bCs/>
          <w:color w:val="242424"/>
          <w:sz w:val="18"/>
          <w:szCs w:val="18"/>
          <w:bdr w:val="none" w:sz="0" w:space="0" w:color="auto" w:frame="1"/>
        </w:rPr>
        <w:t>“ </w:t>
      </w:r>
      <w:r>
        <w:rPr>
          <w:rFonts w:ascii="Calibri" w:eastAsia="Times New Roman" w:hAnsi="Calibri" w:cs="Calibri"/>
          <w:color w:val="242424"/>
          <w:sz w:val="18"/>
          <w:szCs w:val="18"/>
          <w:bdr w:val="none" w:sz="0" w:space="0" w:color="auto" w:frame="1"/>
        </w:rPr>
        <w:t>ist die Gesamtzahl der Anforderungen, die ein Endbenutzer während eines Anwendbaren Zeitraums an Microsoft Discovery stellt. Die Gesamtzahl der Nutzernachrichtenanforderungen umfasst keine Anforderungen, die eine Antwort auf eine Erfolglose Nutzernachrichtenanforderung zurückgeben und nach dem Empfang der ersten diesbezüglichen Antwort innerhalb eines Fünf-Minuten-Fensters fortlaufend wiederholt werden. </w:t>
      </w:r>
    </w:p>
    <w:p w14:paraId="4CFEF00D" w14:textId="77777777" w:rsidR="00AE1389" w:rsidRPr="00F122EA" w:rsidRDefault="00AE1389" w:rsidP="00AE1389">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b/>
          <w:bCs/>
          <w:color w:val="242424"/>
          <w:sz w:val="18"/>
          <w:szCs w:val="18"/>
          <w:bdr w:val="none" w:sz="0" w:space="0" w:color="auto" w:frame="1"/>
        </w:rPr>
        <w:t>„</w:t>
      </w:r>
      <w:r>
        <w:rPr>
          <w:rFonts w:ascii="Calibri" w:hAnsi="Calibri" w:cs="Calibri"/>
          <w:b/>
          <w:color w:val="00188F"/>
          <w:sz w:val="18"/>
        </w:rPr>
        <w:t>Erfolglose Nutzernachrichtenanforderungen</w:t>
      </w:r>
      <w:r>
        <w:rPr>
          <w:rFonts w:ascii="Calibri" w:eastAsia="Times New Roman" w:hAnsi="Calibri" w:cs="Calibri"/>
          <w:b/>
          <w:bCs/>
          <w:color w:val="242424"/>
          <w:sz w:val="18"/>
          <w:szCs w:val="18"/>
          <w:bdr w:val="none" w:sz="0" w:space="0" w:color="auto" w:frame="1"/>
        </w:rPr>
        <w:t>“</w:t>
      </w:r>
      <w:r>
        <w:rPr>
          <w:rFonts w:ascii="Calibri" w:eastAsia="Times New Roman" w:hAnsi="Calibri" w:cs="Calibri"/>
          <w:color w:val="242424"/>
          <w:sz w:val="18"/>
          <w:szCs w:val="18"/>
          <w:bdr w:val="none" w:sz="0" w:space="0" w:color="auto" w:frame="1"/>
        </w:rPr>
        <w:t> bezeichnet die Gesamtzahl der Anforderungen innerhalb der Gesamtzahl der Nutzernachrichtenanforderungen, auf die Microsoft Discovery aufgrund eines Systemfehlers in Microsoft Discovery keine Antwort zurückgeben kann.</w:t>
      </w:r>
    </w:p>
    <w:p w14:paraId="6B4C0BFF" w14:textId="77777777" w:rsidR="00AE1389" w:rsidRPr="00F122EA" w:rsidRDefault="00AE1389" w:rsidP="00AE1389">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Fehler, die verursacht werden durch:</w:t>
      </w:r>
    </w:p>
    <w:p w14:paraId="5F751757" w14:textId="77777777" w:rsidR="00AE1389" w:rsidRPr="00F122EA" w:rsidRDefault="00AE1389" w:rsidP="00AE1389">
      <w:pPr>
        <w:numPr>
          <w:ilvl w:val="0"/>
          <w:numId w:val="36"/>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Fehlkonfiguration des Clients</w:t>
      </w:r>
    </w:p>
    <w:p w14:paraId="2A0D5F6A" w14:textId="77777777" w:rsidR="00AE1389" w:rsidRPr="00F122EA" w:rsidRDefault="00AE1389" w:rsidP="00AE1389">
      <w:pPr>
        <w:numPr>
          <w:ilvl w:val="0"/>
          <w:numId w:val="37"/>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Ungültige Eingaben</w:t>
      </w:r>
    </w:p>
    <w:p w14:paraId="5E12342E" w14:textId="77777777" w:rsidR="00AE1389" w:rsidRPr="00F122EA" w:rsidRDefault="00AE1389" w:rsidP="00AE1389">
      <w:pPr>
        <w:numPr>
          <w:ilvl w:val="0"/>
          <w:numId w:val="38"/>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lastRenderedPageBreak/>
        <w:t>Netzwerkprobleme außerhalb von Microsoft Discovery</w:t>
      </w:r>
    </w:p>
    <w:p w14:paraId="7B68BE45" w14:textId="77777777" w:rsidR="00AE1389" w:rsidRPr="00F122EA" w:rsidRDefault="00AE1389" w:rsidP="00AE1389">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werden nicht als Erfolglose Nutzernachrichtenanforderungen gezählt.</w:t>
      </w:r>
    </w:p>
    <w:p w14:paraId="7C585D0A" w14:textId="77777777" w:rsidR="00AE1389" w:rsidRDefault="00AE1389" w:rsidP="00AE1389">
      <w:pPr>
        <w:shd w:val="clear" w:color="auto" w:fill="FFFFFF"/>
        <w:spacing w:before="120" w:after="0" w:line="240" w:lineRule="auto"/>
        <w:rPr>
          <w:rFonts w:ascii="Calibri" w:eastAsia="Times New Roman" w:hAnsi="Calibri" w:cs="Calibri"/>
          <w:color w:val="242424"/>
          <w:sz w:val="18"/>
          <w:szCs w:val="18"/>
          <w:bdr w:val="none" w:sz="0" w:space="0" w:color="auto" w:frame="1"/>
        </w:rPr>
      </w:pPr>
      <w:r>
        <w:rPr>
          <w:rFonts w:ascii="Calibri" w:hAnsi="Calibri" w:cs="Calibri"/>
          <w:b/>
          <w:color w:val="00188F"/>
          <w:sz w:val="18"/>
        </w:rPr>
        <w:t>Betriebszeitprozentsatz:</w:t>
      </w:r>
      <w:r>
        <w:rPr>
          <w:rFonts w:ascii="Calibri" w:eastAsia="Times New Roman" w:hAnsi="Calibri" w:cs="Calibri"/>
          <w:color w:val="242424"/>
          <w:sz w:val="18"/>
          <w:szCs w:val="18"/>
          <w:bdr w:val="none" w:sz="0" w:space="0" w:color="auto" w:frame="1"/>
        </w:rPr>
        <w:t xml:space="preserve"> Der Betriebszeitprozentsatz errechnet sich nach folgender Formel:</w:t>
      </w:r>
    </w:p>
    <w:p w14:paraId="64F65220" w14:textId="77777777" w:rsidR="00AE1389" w:rsidRDefault="00000000" w:rsidP="00AE1389">
      <w:pPr>
        <w:shd w:val="clear" w:color="auto" w:fill="FFFFFF"/>
        <w:spacing w:before="120" w:after="0" w:line="240" w:lineRule="auto"/>
        <w:rPr>
          <w:rFonts w:ascii="Calibri" w:eastAsia="Times New Roman" w:hAnsi="Calibri" w:cs="Calibri"/>
          <w:color w:val="242424"/>
          <w:sz w:val="18"/>
          <w:szCs w:val="18"/>
          <w:bdr w:val="none" w:sz="0" w:space="0" w:color="auto" w:frame="1"/>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Gesamtzahl der Nutzernachrichtenanforderungen - Erfolglose Nutzernachrichtenanforderungen </m:t>
              </m:r>
            </m:num>
            <m:den>
              <m:r>
                <m:rPr>
                  <m:nor/>
                </m:rPr>
                <w:rPr>
                  <w:rFonts w:ascii="Cambria Math" w:hAnsi="Cambria Math" w:cs="Tahoma"/>
                  <w:i/>
                  <w:sz w:val="18"/>
                  <w:szCs w:val="18"/>
                </w:rPr>
                <m:t>Gesamtzahl der Nutzernachrichtenanforderungen</m:t>
              </m:r>
            </m:den>
          </m:f>
          <m:r>
            <w:rPr>
              <w:rFonts w:ascii="Cambria Math" w:hAnsi="Cambria Math" w:cs="Tahoma"/>
              <w:sz w:val="18"/>
              <w:szCs w:val="18"/>
            </w:rPr>
            <m:t xml:space="preserve"> </m:t>
          </m:r>
        </m:oMath>
      </m:oMathPara>
    </w:p>
    <w:p w14:paraId="58B97B74" w14:textId="77777777" w:rsidR="00AE1389" w:rsidRPr="001B395F" w:rsidRDefault="00AE1389" w:rsidP="00AE1389">
      <w:pPr>
        <w:pStyle w:val="ProductList-Body"/>
        <w:rPr>
          <w:rFonts w:ascii="Calibri" w:hAnsi="Calibri" w:cs="Calibri"/>
        </w:rPr>
      </w:pPr>
      <w:r>
        <w:rPr>
          <w:rFonts w:ascii="Calibri" w:hAnsi="Calibri" w:cs="Calibri"/>
          <w:b/>
          <w:color w:val="00188F"/>
        </w:rPr>
        <w:t>Servicegutschrift: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E1389" w:rsidRPr="00B44CF9" w14:paraId="73A8815D" w14:textId="77777777" w:rsidTr="00CF65C4">
        <w:trPr>
          <w:tblHeader/>
        </w:trPr>
        <w:tc>
          <w:tcPr>
            <w:tcW w:w="5400" w:type="dxa"/>
            <w:shd w:val="clear" w:color="auto" w:fill="0072C6"/>
          </w:tcPr>
          <w:p w14:paraId="5EC1E535" w14:textId="77777777" w:rsidR="00AE1389" w:rsidRPr="001B395F" w:rsidRDefault="00AE1389" w:rsidP="00CF65C4">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Betriebszeitprozentsatz</w:t>
            </w:r>
          </w:p>
        </w:tc>
        <w:tc>
          <w:tcPr>
            <w:tcW w:w="5400" w:type="dxa"/>
            <w:shd w:val="clear" w:color="auto" w:fill="0072C6"/>
          </w:tcPr>
          <w:p w14:paraId="4F831AD0" w14:textId="77777777" w:rsidR="00AE1389" w:rsidRPr="001B395F" w:rsidRDefault="00AE1389" w:rsidP="00CF65C4">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Servicegutschrift</w:t>
            </w:r>
          </w:p>
        </w:tc>
      </w:tr>
      <w:tr w:rsidR="00AE1389" w:rsidRPr="00B44CF9" w14:paraId="2A4D9374" w14:textId="77777777" w:rsidTr="00CF65C4">
        <w:tc>
          <w:tcPr>
            <w:tcW w:w="5400" w:type="dxa"/>
          </w:tcPr>
          <w:p w14:paraId="2277CAE4" w14:textId="77777777" w:rsidR="00AE1389" w:rsidRPr="001B395F" w:rsidRDefault="00AE1389" w:rsidP="00CF65C4">
            <w:pPr>
              <w:pStyle w:val="ProductList-OfferingBody"/>
              <w:jc w:val="center"/>
              <w:rPr>
                <w:rFonts w:ascii="Calibri" w:hAnsi="Calibri" w:cs="Calibri"/>
                <w:szCs w:val="16"/>
              </w:rPr>
            </w:pPr>
            <w:r>
              <w:rPr>
                <w:rFonts w:ascii="Calibri" w:hAnsi="Calibri" w:cs="Calibri"/>
                <w:szCs w:val="16"/>
              </w:rPr>
              <w:t>&lt; 99,9 %</w:t>
            </w:r>
          </w:p>
        </w:tc>
        <w:tc>
          <w:tcPr>
            <w:tcW w:w="5400" w:type="dxa"/>
          </w:tcPr>
          <w:p w14:paraId="68AF5B47" w14:textId="77777777" w:rsidR="00AE1389" w:rsidRPr="001B395F" w:rsidRDefault="00AE1389" w:rsidP="00CF65C4">
            <w:pPr>
              <w:pStyle w:val="ProductList-OfferingBody"/>
              <w:jc w:val="center"/>
              <w:rPr>
                <w:rFonts w:ascii="Calibri" w:hAnsi="Calibri" w:cs="Calibri"/>
                <w:szCs w:val="16"/>
              </w:rPr>
            </w:pPr>
            <w:r>
              <w:rPr>
                <w:rFonts w:ascii="Calibri" w:hAnsi="Calibri" w:cs="Calibri"/>
                <w:szCs w:val="16"/>
              </w:rPr>
              <w:t>10 %</w:t>
            </w:r>
          </w:p>
        </w:tc>
      </w:tr>
    </w:tbl>
    <w:p w14:paraId="7D1E88C0" w14:textId="77777777" w:rsidR="00AE1389" w:rsidRPr="001B46BF" w:rsidRDefault="00AE1389" w:rsidP="00AE1389">
      <w:pPr>
        <w:shd w:val="clear" w:color="auto" w:fill="FFFFFF"/>
        <w:spacing w:before="120"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Anforderungen, die abgelehnt werden, weil der Kunde ein dokumentiertes Kontingent, ein dokumentiertes Ratenlimit oder einen dokumentierten Drosselungsschwellenwert überschritten hat, sowie Anforderungen, die aufgrund von Authentifizierungs- oder Autorisierungsfehlern des Kunden verweigert werden, sind sowohl von der Gesamtzahl der Nutzernachrichtenanforderungen als auch</w:t>
      </w:r>
    </w:p>
    <w:p w14:paraId="1771361F" w14:textId="77777777" w:rsidR="00AE1389" w:rsidRPr="001B46BF" w:rsidRDefault="00AE1389" w:rsidP="00AE1389">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von den Erfolglosen Nutzernachrichtenanforderungen ausgeschlossen.</w:t>
      </w:r>
    </w:p>
    <w:p w14:paraId="6D360D37" w14:textId="77777777" w:rsidR="00AE1389" w:rsidRDefault="00AE1389" w:rsidP="00AE1389">
      <w:pPr>
        <w:shd w:val="clear" w:color="auto" w:fill="FFFFFF"/>
        <w:spacing w:before="120" w:after="120" w:line="240" w:lineRule="auto"/>
        <w:rPr>
          <w:rFonts w:ascii="Calibri" w:eastAsia="Times New Roman" w:hAnsi="Calibri" w:cs="Calibri"/>
          <w:color w:val="242424"/>
          <w:sz w:val="18"/>
          <w:szCs w:val="18"/>
          <w:bdr w:val="none" w:sz="0" w:space="0" w:color="auto" w:frame="1"/>
        </w:rPr>
      </w:pPr>
      <w:r>
        <w:rPr>
          <w:rFonts w:ascii="Calibri" w:eastAsia="Times New Roman" w:hAnsi="Calibri" w:cs="Calibri"/>
          <w:color w:val="242424"/>
          <w:sz w:val="18"/>
          <w:szCs w:val="18"/>
          <w:bdr w:val="none" w:sz="0" w:space="0" w:color="auto" w:frame="1"/>
        </w:rPr>
        <w:t>Ausfallzeiten oder Störungen, die auf vorgelagerte Microsoft-Dienste mit eigener Vereinbarung zum Servicelevel zurückzuführen sind (u. a. Azure OpenAI Service, Azure KI-Suche und Azure Machine Learning), tragen nicht zur Microsoft Discovery-Betriebszeit bei. Die verbindlichen Servicelevel-Zusagen für diese Dienste werden durch die für jeden dieser Dienste geltenden SLAs geregelt. Zeiträume, in denen der Kunde gemäß dem geltenden Rahmenwerk für Eingeschränkten Zugriff nicht zugelassen ist oder in denen Microsoft den Zugriff des Kunden aus wichtigem Grund gesperrt oder widerrufen hat, sind für die Zwecke des SLA vom Anwendbaren Zeitraum ausgeschlossen.</w:t>
      </w:r>
    </w:p>
    <w:p w14:paraId="1662CB61" w14:textId="77777777" w:rsidR="00AE1389" w:rsidRPr="00D67F75" w:rsidRDefault="00AE1389" w:rsidP="00AE138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4A73E83A" w14:textId="10543E84" w:rsidR="004C3AB8" w:rsidRDefault="004C3AB8" w:rsidP="004C3AB8">
      <w:pPr>
        <w:pStyle w:val="ProductList-Offering2Heading"/>
        <w:tabs>
          <w:tab w:val="clear" w:pos="360"/>
          <w:tab w:val="clear" w:pos="720"/>
          <w:tab w:val="clear" w:pos="1080"/>
        </w:tabs>
        <w:outlineLvl w:val="2"/>
      </w:pPr>
      <w:bookmarkStart w:id="447" w:name="_Toc237449036"/>
      <w:r>
        <w:t>Microsoft Fabric</w:t>
      </w:r>
      <w:bookmarkEnd w:id="444"/>
      <w:bookmarkEnd w:id="447"/>
    </w:p>
    <w:p w14:paraId="5BA0D9BA" w14:textId="77777777" w:rsidR="004C3AB8" w:rsidRPr="00917E39" w:rsidRDefault="004C3AB8" w:rsidP="004C3AB8">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Zusätzliche Definitionen</w:t>
      </w:r>
    </w:p>
    <w:p w14:paraId="44CD9A8C" w14:textId="77777777" w:rsidR="004C3AB8" w:rsidRPr="00917E39" w:rsidRDefault="004C3AB8" w:rsidP="004C3AB8">
      <w:pPr>
        <w:pStyle w:val="ProductList-Body"/>
        <w:rPr>
          <w:rFonts w:ascii="Calibri" w:hAnsi="Calibri" w:cs="Calibri"/>
          <w:color w:val="000000" w:themeColor="text1"/>
        </w:rPr>
      </w:pPr>
      <w:r>
        <w:rPr>
          <w:rFonts w:ascii="Calibri" w:hAnsi="Calibri" w:cs="Calibri"/>
          <w:b/>
          <w:bCs/>
          <w:color w:val="00188F"/>
        </w:rPr>
        <w:t>Kapazität</w:t>
      </w:r>
      <w:r w:rsidRPr="007C7FA5">
        <w:rPr>
          <w:rFonts w:ascii="Calibri" w:hAnsi="Calibri" w:cs="Calibri"/>
          <w:b/>
          <w:bCs/>
          <w:color w:val="00188F"/>
        </w:rPr>
        <w:t>:</w:t>
      </w:r>
      <w:r>
        <w:rPr>
          <w:rFonts w:ascii="Calibri" w:hAnsi="Calibri" w:cs="Calibri"/>
          <w:color w:val="000000" w:themeColor="text1"/>
        </w:rPr>
        <w:t xml:space="preserve"> Kapazität ist ein dedizierter Satz von Ressourcen, die zu einem bestimmten Zeitpunkt zur Nutzung verfügbar sind. Kapazität definiert die Fähigkeit einer Ressource, eine Aktivität auszuführen oder eine Ausgabe („Output“) zu erzeugen. Verschiedene Elemente nutzen zu einem bestimmten Zeitpunkt eine unterschiedliche Kapazität aus. Fabric offeriert Kapazität über die Fabric-SKU und Testversionen. Weitere Informationen finden Sie unter </w:t>
      </w:r>
      <w:hyperlink r:id="rId22" w:anchor="capacity" w:history="1">
        <w:r>
          <w:rPr>
            <w:rStyle w:val="Hyperlink"/>
            <w:rFonts w:ascii="Calibri" w:hAnsi="Calibri" w:cs="Calibri"/>
          </w:rPr>
          <w:t>Was ist Kapazität?</w:t>
        </w:r>
      </w:hyperlink>
      <w:r>
        <w:rPr>
          <w:rStyle w:val="Hyperlink"/>
          <w:rFonts w:ascii="Calibri" w:hAnsi="Calibri" w:cs="Calibri"/>
        </w:rPr>
        <w:t xml:space="preserve"> (</w:t>
      </w:r>
      <w:hyperlink r:id="rId23" w:anchor="capacity" w:history="1">
        <w:r>
          <w:rPr>
            <w:rStyle w:val="Hyperlink"/>
            <w:rFonts w:ascii="Calibri" w:hAnsi="Calibri" w:cs="Calibri"/>
          </w:rPr>
          <w:t>https://learn.microsoft.com/fabric/enterprise/licenses#capacity</w:t>
        </w:r>
      </w:hyperlink>
      <w:r>
        <w:rPr>
          <w:rStyle w:val="Hyperlink"/>
          <w:rFonts w:ascii="Calibri" w:hAnsi="Calibri" w:cs="Calibri"/>
        </w:rPr>
        <w:t>)</w:t>
      </w:r>
      <w:r>
        <w:rPr>
          <w:rFonts w:ascii="Calibri" w:hAnsi="Calibri" w:cs="Calibri"/>
          <w:color w:val="000000" w:themeColor="text1"/>
        </w:rPr>
        <w:t>?</w:t>
      </w:r>
    </w:p>
    <w:p w14:paraId="1EAECEDE" w14:textId="77777777" w:rsidR="004C3AB8" w:rsidRPr="00917E39" w:rsidRDefault="004C3AB8" w:rsidP="004C3AB8">
      <w:pPr>
        <w:pStyle w:val="ProductList-Body"/>
        <w:rPr>
          <w:rFonts w:ascii="Calibri" w:hAnsi="Calibri" w:cs="Calibri"/>
          <w:color w:val="000000" w:themeColor="text1"/>
        </w:rPr>
      </w:pPr>
      <w:r>
        <w:rPr>
          <w:rFonts w:ascii="Calibri" w:hAnsi="Calibri" w:cs="Calibri"/>
          <w:b/>
          <w:bCs/>
          <w:color w:val="00188F"/>
        </w:rPr>
        <w:t>Maximal verfügbare Minuten</w:t>
      </w:r>
      <w:r w:rsidRPr="007C7FA5">
        <w:rPr>
          <w:rFonts w:ascii="Calibri" w:hAnsi="Calibri" w:cs="Calibri"/>
          <w:b/>
          <w:bCs/>
          <w:color w:val="00188F"/>
        </w:rPr>
        <w:t>:</w:t>
      </w:r>
      <w:r>
        <w:rPr>
          <w:rFonts w:ascii="Calibri" w:hAnsi="Calibri" w:cs="Calibri"/>
          <w:color w:val="000000" w:themeColor="text1"/>
        </w:rPr>
        <w:t xml:space="preserve"> Die Summe aller Minuten, in denen eine bestimmte Einzelkapazität während eines anwendbaren Zeitraums („Applicable Period“) für einen bestimmten Mandanten instanziiert wurde.</w:t>
      </w:r>
    </w:p>
    <w:p w14:paraId="3342E49B" w14:textId="77777777" w:rsidR="004C3AB8" w:rsidRPr="00917E39" w:rsidRDefault="004C3AB8" w:rsidP="004C3AB8">
      <w:pPr>
        <w:pStyle w:val="ProductList-Body"/>
        <w:rPr>
          <w:rFonts w:ascii="Calibri" w:hAnsi="Calibri" w:cs="Calibri"/>
          <w:color w:val="000000" w:themeColor="text1"/>
        </w:rPr>
      </w:pPr>
      <w:r>
        <w:rPr>
          <w:rFonts w:ascii="Calibri" w:hAnsi="Calibri" w:cs="Calibri"/>
          <w:b/>
          <w:bCs/>
          <w:color w:val="00188F"/>
        </w:rPr>
        <w:t>Ausfallzeitminuten*</w:t>
      </w:r>
      <w:r w:rsidRPr="007C7FA5">
        <w:rPr>
          <w:rFonts w:ascii="Calibri" w:hAnsi="Calibri" w:cs="Calibri"/>
          <w:b/>
          <w:bCs/>
          <w:color w:val="00188F"/>
        </w:rPr>
        <w:t>:</w:t>
      </w:r>
      <w:r>
        <w:rPr>
          <w:rFonts w:ascii="Calibri" w:hAnsi="Calibri" w:cs="Calibri"/>
          <w:color w:val="000000" w:themeColor="text1"/>
        </w:rPr>
        <w:t xml:space="preserve"> Die gesamten akkumulierten Minuten in einem Anwendbaren Zeitraum für eine bestimmte Kapazität nach ihrer Erstellung oder vor ihrer Ausnutzung, wenn die Kapazität nicht in allen anwendbaren Fabric-Funktionen genutzt werden kann, wie weiter unten aufgeführt:</w:t>
      </w:r>
    </w:p>
    <w:p w14:paraId="2848CC80" w14:textId="77777777" w:rsidR="004C3AB8" w:rsidRPr="00917E39" w:rsidRDefault="004C3AB8" w:rsidP="004C3AB8">
      <w:pPr>
        <w:pStyle w:val="ProductList-Body"/>
        <w:rPr>
          <w:rFonts w:ascii="Calibri" w:hAnsi="Calibri" w:cs="Calibri"/>
          <w:b/>
          <w:bCs/>
          <w:color w:val="00188F"/>
        </w:rPr>
      </w:pPr>
      <w:r>
        <w:rPr>
          <w:rFonts w:ascii="Calibri" w:hAnsi="Calibri" w:cs="Calibri"/>
          <w:b/>
          <w:bCs/>
          <w:color w:val="00188F"/>
        </w:rPr>
        <w:t>Power BI – Weiterleitung zum Power BI-Bereich</w:t>
      </w:r>
    </w:p>
    <w:p w14:paraId="0BDA1B34" w14:textId="77777777" w:rsidR="004C3AB8" w:rsidRPr="00917E39" w:rsidRDefault="004C3AB8" w:rsidP="004C3AB8">
      <w:pPr>
        <w:pStyle w:val="ProductList-Body"/>
        <w:ind w:left="187"/>
        <w:rPr>
          <w:rFonts w:ascii="Calibri" w:hAnsi="Calibri" w:cs="Calibri"/>
          <w:szCs w:val="18"/>
        </w:rPr>
      </w:pPr>
      <w:r>
        <w:rPr>
          <w:rFonts w:ascii="Calibri" w:hAnsi="Calibri" w:cs="Calibri"/>
          <w:b/>
          <w:color w:val="00188F"/>
        </w:rPr>
        <w:t>Ansicht:</w:t>
      </w:r>
      <w:r>
        <w:rPr>
          <w:rFonts w:ascii="Calibri" w:hAnsi="Calibri" w:cs="Calibri"/>
          <w:szCs w:val="18"/>
        </w:rPr>
        <w:t xml:space="preserve"> Ansicht von Power BI-Dashboards, -Berichten und -Apps im Dienst.</w:t>
      </w:r>
    </w:p>
    <w:p w14:paraId="49523F0E" w14:textId="77777777" w:rsidR="004C3AB8" w:rsidRPr="00917E39" w:rsidRDefault="004C3AB8" w:rsidP="004C3AB8">
      <w:pPr>
        <w:pStyle w:val="ProductList-Body"/>
        <w:ind w:left="187"/>
        <w:rPr>
          <w:rFonts w:ascii="Calibri" w:hAnsi="Calibri" w:cs="Calibri"/>
          <w:szCs w:val="18"/>
        </w:rPr>
      </w:pPr>
      <w:r>
        <w:rPr>
          <w:rFonts w:ascii="Calibri" w:hAnsi="Calibri" w:cs="Calibri"/>
          <w:b/>
          <w:color w:val="00188F"/>
        </w:rPr>
        <w:t>Dataset-Aktualisierung:</w:t>
      </w:r>
      <w:r>
        <w:rPr>
          <w:rFonts w:ascii="Calibri" w:hAnsi="Calibri" w:cs="Calibri"/>
          <w:szCs w:val="18"/>
        </w:rPr>
        <w:t xml:space="preserve"> Aktualisierungsvorgänge planen oder manuell auslösen und erwarten, dass diese Vorgänge innerhalb der voraussichtlichen Zeitrahmen abgeschlossen werden, unter Berücksichtigung aller Bedingungen, die sich auf die Aktualisierungsgeschwindigkeiten auswirken könnten (z. B. Größe des Datensatzes).</w:t>
      </w:r>
    </w:p>
    <w:p w14:paraId="7349D985" w14:textId="77777777" w:rsidR="004C3AB8" w:rsidRPr="00917E39" w:rsidRDefault="004C3AB8" w:rsidP="004C3AB8">
      <w:pPr>
        <w:pStyle w:val="ProductList-Body"/>
        <w:ind w:left="180"/>
        <w:rPr>
          <w:rFonts w:ascii="Calibri" w:hAnsi="Calibri" w:cs="Calibri"/>
          <w:szCs w:val="18"/>
        </w:rPr>
      </w:pPr>
      <w:r>
        <w:rPr>
          <w:rFonts w:ascii="Calibri" w:hAnsi="Calibri" w:cs="Calibri"/>
          <w:b/>
          <w:color w:val="00188F"/>
        </w:rPr>
        <w:t>Auf Power BI Portal zugreifen:</w:t>
      </w:r>
      <w:r>
        <w:rPr>
          <w:rFonts w:ascii="Calibri" w:hAnsi="Calibri" w:cs="Calibri"/>
          <w:szCs w:val="18"/>
        </w:rPr>
        <w:t xml:space="preserve"> Auf Power BI Portal zugreifen und es nutzen innerhalb der voraussichtlichen Zeitrahmen unter Berücksichtigung der Netzwerkbedingungen und -einschränkungen in der Kundenumgebung oder außerhalb von Microsoft.</w:t>
      </w:r>
    </w:p>
    <w:p w14:paraId="732AB08F" w14:textId="77777777" w:rsidR="004C3AB8" w:rsidRPr="00917E39" w:rsidRDefault="004C3AB8" w:rsidP="004C3AB8">
      <w:pPr>
        <w:pStyle w:val="ProductList-Body"/>
        <w:rPr>
          <w:rFonts w:ascii="Calibri" w:hAnsi="Calibri" w:cs="Calibri"/>
          <w:b/>
          <w:bCs/>
          <w:color w:val="00188F"/>
        </w:rPr>
      </w:pPr>
      <w:r>
        <w:rPr>
          <w:rFonts w:ascii="Calibri" w:hAnsi="Calibri" w:cs="Calibri"/>
          <w:b/>
          <w:bCs/>
          <w:color w:val="00188F"/>
        </w:rPr>
        <w:t>Data Factory</w:t>
      </w:r>
    </w:p>
    <w:p w14:paraId="47C457DB" w14:textId="77777777" w:rsidR="004C3AB8" w:rsidRPr="00917E39" w:rsidRDefault="004C3AB8" w:rsidP="004C3AB8">
      <w:pPr>
        <w:pStyle w:val="ProductList-Body"/>
        <w:ind w:left="187"/>
        <w:rPr>
          <w:rFonts w:ascii="Calibri" w:hAnsi="Calibri" w:cs="Calibri"/>
          <w:szCs w:val="18"/>
        </w:rPr>
      </w:pPr>
      <w:r>
        <w:rPr>
          <w:rFonts w:ascii="Calibri" w:hAnsi="Calibri" w:cs="Calibri"/>
          <w:b/>
          <w:color w:val="00188F"/>
        </w:rPr>
        <w:t>Dataflow Gen2-Aktualisierung:</w:t>
      </w:r>
      <w:r>
        <w:rPr>
          <w:rFonts w:ascii="Calibri" w:hAnsi="Calibri" w:cs="Calibri"/>
          <w:szCs w:val="18"/>
        </w:rPr>
        <w:t xml:space="preserve"> Planen Sie den Aktualisierungsvorgang oder lösen Sie ihn manuell aus und erwarten Sie den Abschluss dieser Vorgänge.</w:t>
      </w:r>
    </w:p>
    <w:p w14:paraId="526B5AC7" w14:textId="77777777" w:rsidR="004C3AB8" w:rsidRPr="00917E39" w:rsidRDefault="004C3AB8" w:rsidP="004C3AB8">
      <w:pPr>
        <w:pStyle w:val="ProductList-Body"/>
        <w:ind w:left="187"/>
        <w:rPr>
          <w:rFonts w:ascii="Calibri" w:hAnsi="Calibri" w:cs="Calibri"/>
          <w:szCs w:val="18"/>
        </w:rPr>
      </w:pPr>
      <w:r>
        <w:rPr>
          <w:rFonts w:ascii="Calibri" w:hAnsi="Calibri" w:cs="Calibri"/>
          <w:b/>
          <w:color w:val="00188F"/>
        </w:rPr>
        <w:t>Pipeline öffnen:</w:t>
      </w:r>
      <w:r>
        <w:rPr>
          <w:rFonts w:ascii="Calibri" w:hAnsi="Calibri" w:cs="Calibri"/>
          <w:szCs w:val="18"/>
        </w:rPr>
        <w:t xml:space="preserve"> Pipelines im Service öffnen.</w:t>
      </w:r>
    </w:p>
    <w:p w14:paraId="7B86658C" w14:textId="77777777" w:rsidR="004C3AB8" w:rsidRPr="00917E39" w:rsidRDefault="004C3AB8" w:rsidP="004C3AB8">
      <w:pPr>
        <w:pStyle w:val="ProductList-Body"/>
        <w:rPr>
          <w:rFonts w:ascii="Calibri" w:hAnsi="Calibri" w:cs="Calibri"/>
          <w:b/>
          <w:bCs/>
          <w:color w:val="00188F"/>
        </w:rPr>
      </w:pPr>
      <w:r>
        <w:rPr>
          <w:rFonts w:ascii="Calibri" w:hAnsi="Calibri" w:cs="Calibri"/>
          <w:b/>
          <w:bCs/>
          <w:color w:val="00188F"/>
        </w:rPr>
        <w:t>Aufbau von Systemen zur Erfassung und Nutzung von Daten („Data Engineering“)</w:t>
      </w:r>
    </w:p>
    <w:p w14:paraId="6DF2A338" w14:textId="77777777" w:rsidR="004C3AB8" w:rsidRPr="00917E39" w:rsidRDefault="004C3AB8" w:rsidP="004C3AB8">
      <w:pPr>
        <w:pStyle w:val="ProductList-Body"/>
        <w:ind w:left="187"/>
        <w:rPr>
          <w:rFonts w:ascii="Calibri" w:hAnsi="Calibri" w:cs="Calibri"/>
          <w:szCs w:val="18"/>
        </w:rPr>
      </w:pPr>
      <w:r>
        <w:rPr>
          <w:rFonts w:ascii="Calibri" w:hAnsi="Calibri" w:cs="Calibri"/>
          <w:b/>
          <w:color w:val="00188F"/>
        </w:rPr>
        <w:t>„ Lakehouse“ (hybride Datenmanagement-Architektur) öffnen:</w:t>
      </w:r>
      <w:r>
        <w:rPr>
          <w:rFonts w:ascii="Calibri" w:hAnsi="Calibri" w:cs="Calibri"/>
          <w:szCs w:val="18"/>
        </w:rPr>
        <w:t xml:space="preserve"> „Lakehouse“ im Service öffnen und anzeigen.</w:t>
      </w:r>
    </w:p>
    <w:p w14:paraId="106C82D3" w14:textId="77777777" w:rsidR="004C3AB8" w:rsidRPr="00917E39" w:rsidRDefault="004C3AB8" w:rsidP="004C3AB8">
      <w:pPr>
        <w:pStyle w:val="ProductList-Body"/>
        <w:ind w:left="187"/>
        <w:rPr>
          <w:rFonts w:ascii="Calibri" w:hAnsi="Calibri" w:cs="Calibri"/>
          <w:szCs w:val="18"/>
        </w:rPr>
      </w:pPr>
      <w:r>
        <w:rPr>
          <w:rFonts w:ascii="Calibri" w:hAnsi="Calibri" w:cs="Calibri"/>
          <w:b/>
          <w:color w:val="00188F"/>
        </w:rPr>
        <w:t>Notizbuch öffnen:</w:t>
      </w:r>
      <w:r>
        <w:rPr>
          <w:rFonts w:ascii="Calibri" w:hAnsi="Calibri" w:cs="Calibri"/>
          <w:szCs w:val="18"/>
        </w:rPr>
        <w:t xml:space="preserve"> Notizbuch im Service öffnen und anzeigen.</w:t>
      </w:r>
    </w:p>
    <w:p w14:paraId="2DE38649" w14:textId="77777777" w:rsidR="004C3AB8" w:rsidRDefault="004C3AB8" w:rsidP="004C3AB8">
      <w:pPr>
        <w:pStyle w:val="ProductList-Body"/>
        <w:ind w:left="187"/>
        <w:rPr>
          <w:rFonts w:ascii="Calibri" w:hAnsi="Calibri" w:cs="Calibri"/>
          <w:szCs w:val="18"/>
        </w:rPr>
      </w:pPr>
      <w:r>
        <w:rPr>
          <w:rFonts w:ascii="Calibri" w:hAnsi="Calibri" w:cs="Calibri"/>
          <w:b/>
          <w:color w:val="00188F"/>
        </w:rPr>
        <w:t>„Spark Job“-Definition öffnen:</w:t>
      </w:r>
      <w:r>
        <w:rPr>
          <w:rFonts w:ascii="Calibri" w:hAnsi="Calibri" w:cs="Calibri"/>
          <w:szCs w:val="18"/>
        </w:rPr>
        <w:t xml:space="preserve"> „Spark Job“-Definition im Dienst öffnen und anzeigen.</w:t>
      </w:r>
    </w:p>
    <w:p w14:paraId="4E8DD94A" w14:textId="75DDB8D0" w:rsidR="006F5FE6" w:rsidRPr="006F5FE6" w:rsidRDefault="006F5FE6" w:rsidP="006F5FE6">
      <w:pPr>
        <w:tabs>
          <w:tab w:val="left" w:pos="360"/>
          <w:tab w:val="left" w:pos="720"/>
          <w:tab w:val="left" w:pos="1080"/>
        </w:tabs>
        <w:spacing w:after="0" w:line="240" w:lineRule="auto"/>
        <w:ind w:left="187"/>
        <w:rPr>
          <w:rFonts w:ascii="Calibri" w:eastAsia="Calibri" w:hAnsi="Calibri" w:cs="Arial"/>
          <w:sz w:val="18"/>
          <w:szCs w:val="18"/>
        </w:rPr>
      </w:pPr>
      <w:r>
        <w:rPr>
          <w:rFonts w:ascii="Calibri" w:eastAsia="Calibri" w:hAnsi="Calibri" w:cs="Arial"/>
          <w:b/>
          <w:color w:val="00188F"/>
          <w:sz w:val="18"/>
        </w:rPr>
        <w:t>Open API für GraphQL:</w:t>
      </w:r>
      <w:r>
        <w:rPr>
          <w:rFonts w:ascii="Calibri" w:eastAsia="Calibri" w:hAnsi="Calibri" w:cs="Arial"/>
          <w:sz w:val="18"/>
          <w:szCs w:val="18"/>
        </w:rPr>
        <w:t xml:space="preserve"> GraphQL API im Service öffnen und anzeigen.</w:t>
      </w:r>
    </w:p>
    <w:p w14:paraId="0CA369C0" w14:textId="77777777" w:rsidR="004C3AB8" w:rsidRPr="00917E39" w:rsidRDefault="004C3AB8" w:rsidP="004C3AB8">
      <w:pPr>
        <w:pStyle w:val="ProductList-Body"/>
        <w:rPr>
          <w:rFonts w:ascii="Calibri" w:hAnsi="Calibri" w:cs="Calibri"/>
          <w:b/>
          <w:bCs/>
          <w:color w:val="00188F"/>
        </w:rPr>
      </w:pPr>
      <w:r>
        <w:rPr>
          <w:rFonts w:ascii="Calibri" w:hAnsi="Calibri" w:cs="Calibri"/>
          <w:b/>
          <w:bCs/>
          <w:color w:val="00188F"/>
        </w:rPr>
        <w:t>Datenwissenschaft</w:t>
      </w:r>
    </w:p>
    <w:p w14:paraId="741CAC4F" w14:textId="77777777" w:rsidR="004C3AB8" w:rsidRPr="00917E39" w:rsidRDefault="004C3AB8" w:rsidP="004C3AB8">
      <w:pPr>
        <w:pStyle w:val="ProductList-Body"/>
        <w:ind w:left="187"/>
        <w:rPr>
          <w:rFonts w:ascii="Calibri" w:hAnsi="Calibri" w:cs="Calibri"/>
          <w:szCs w:val="18"/>
        </w:rPr>
      </w:pPr>
      <w:r>
        <w:rPr>
          <w:rFonts w:ascii="Calibri" w:hAnsi="Calibri" w:cs="Calibri"/>
          <w:b/>
          <w:color w:val="00188F"/>
        </w:rPr>
        <w:t>ML-Model öffnen:</w:t>
      </w:r>
      <w:r>
        <w:rPr>
          <w:rFonts w:ascii="Calibri" w:hAnsi="Calibri" w:cs="Calibri"/>
          <w:szCs w:val="18"/>
        </w:rPr>
        <w:t xml:space="preserve"> ML-Model im Service öffnen und anzeigen.</w:t>
      </w:r>
    </w:p>
    <w:p w14:paraId="0B0B506F" w14:textId="77777777" w:rsidR="004C3AB8" w:rsidRPr="00917E39" w:rsidRDefault="004C3AB8" w:rsidP="004C3AB8">
      <w:pPr>
        <w:pStyle w:val="ProductList-Body"/>
        <w:ind w:left="187"/>
        <w:rPr>
          <w:rFonts w:ascii="Calibri" w:hAnsi="Calibri" w:cs="Calibri"/>
          <w:szCs w:val="18"/>
        </w:rPr>
      </w:pPr>
      <w:r>
        <w:rPr>
          <w:rFonts w:ascii="Calibri" w:hAnsi="Calibri" w:cs="Calibri"/>
          <w:b/>
          <w:color w:val="00188F"/>
        </w:rPr>
        <w:t>Experiment öffnen:</w:t>
      </w:r>
      <w:r>
        <w:rPr>
          <w:rFonts w:ascii="Calibri" w:hAnsi="Calibri" w:cs="Calibri"/>
          <w:szCs w:val="18"/>
        </w:rPr>
        <w:t xml:space="preserve"> Experimente im Service öffnen und anzeigen.</w:t>
      </w:r>
    </w:p>
    <w:p w14:paraId="4C195E02" w14:textId="77777777" w:rsidR="004C3AB8" w:rsidRPr="00917E39" w:rsidRDefault="004C3AB8" w:rsidP="004C3AB8">
      <w:pPr>
        <w:pStyle w:val="ProductList-Body"/>
        <w:rPr>
          <w:rFonts w:ascii="Calibri" w:hAnsi="Calibri" w:cs="Calibri"/>
          <w:b/>
          <w:bCs/>
          <w:color w:val="00188F"/>
        </w:rPr>
      </w:pPr>
      <w:r>
        <w:rPr>
          <w:rFonts w:ascii="Calibri" w:hAnsi="Calibri" w:cs="Calibri"/>
          <w:b/>
          <w:bCs/>
          <w:color w:val="00188F"/>
        </w:rPr>
        <w:t>Datenlager („Data Warehouse“)</w:t>
      </w:r>
    </w:p>
    <w:p w14:paraId="04384899" w14:textId="77777777" w:rsidR="004C3AB8" w:rsidRPr="00917E39" w:rsidRDefault="004C3AB8" w:rsidP="004C3AB8">
      <w:pPr>
        <w:pStyle w:val="ProductList-Body"/>
        <w:ind w:left="187"/>
        <w:rPr>
          <w:rFonts w:ascii="Calibri" w:hAnsi="Calibri" w:cs="Calibri"/>
          <w:szCs w:val="18"/>
        </w:rPr>
      </w:pPr>
      <w:r>
        <w:rPr>
          <w:rFonts w:ascii="Calibri" w:hAnsi="Calibri" w:cs="Calibri"/>
          <w:b/>
          <w:color w:val="00188F"/>
        </w:rPr>
        <w:t>Datenbank öffnen:</w:t>
      </w:r>
      <w:r>
        <w:rPr>
          <w:rFonts w:ascii="Calibri" w:hAnsi="Calibri" w:cs="Calibri"/>
          <w:szCs w:val="18"/>
        </w:rPr>
        <w:t xml:space="preserve"> Datenlager/Datenbank im Dienst öffnen und anzeigen.</w:t>
      </w:r>
    </w:p>
    <w:p w14:paraId="7E45CF33" w14:textId="77777777" w:rsidR="004C3AB8" w:rsidRPr="00917E39" w:rsidRDefault="004C3AB8" w:rsidP="004C3AB8">
      <w:pPr>
        <w:pStyle w:val="ProductList-Body"/>
        <w:rPr>
          <w:rFonts w:ascii="Calibri" w:hAnsi="Calibri" w:cs="Calibri"/>
          <w:b/>
          <w:bCs/>
          <w:color w:val="00188F"/>
        </w:rPr>
      </w:pPr>
      <w:r>
        <w:rPr>
          <w:rFonts w:ascii="Calibri" w:hAnsi="Calibri" w:cs="Calibri"/>
          <w:b/>
          <w:bCs/>
          <w:color w:val="00188F"/>
        </w:rPr>
        <w:t>Echtzeitanalysen</w:t>
      </w:r>
    </w:p>
    <w:p w14:paraId="572ACB84" w14:textId="77777777" w:rsidR="004C3AB8" w:rsidRPr="00917E39" w:rsidRDefault="004C3AB8" w:rsidP="004C3AB8">
      <w:pPr>
        <w:pStyle w:val="ProductList-Body"/>
        <w:ind w:left="187"/>
        <w:rPr>
          <w:rFonts w:ascii="Calibri" w:hAnsi="Calibri" w:cs="Calibri"/>
          <w:szCs w:val="18"/>
        </w:rPr>
      </w:pPr>
      <w:r>
        <w:rPr>
          <w:rFonts w:ascii="Calibri" w:hAnsi="Calibri" w:cs="Calibri"/>
          <w:b/>
          <w:color w:val="00188F"/>
        </w:rPr>
        <w:t>Event-Stream öffnen:</w:t>
      </w:r>
      <w:r>
        <w:rPr>
          <w:rFonts w:ascii="Calibri" w:hAnsi="Calibri" w:cs="Calibri"/>
          <w:szCs w:val="18"/>
        </w:rPr>
        <w:t xml:space="preserve"> Event-Streams im Service öffnen und anzeigen.</w:t>
      </w:r>
    </w:p>
    <w:p w14:paraId="1FCE67B0" w14:textId="77777777" w:rsidR="004C3AB8" w:rsidRPr="00917E39" w:rsidRDefault="004C3AB8" w:rsidP="004C3AB8">
      <w:pPr>
        <w:pStyle w:val="ProductList-Body"/>
        <w:ind w:left="187"/>
        <w:rPr>
          <w:rFonts w:ascii="Calibri" w:hAnsi="Calibri" w:cs="Calibri"/>
          <w:szCs w:val="18"/>
        </w:rPr>
      </w:pPr>
      <w:r>
        <w:rPr>
          <w:rFonts w:ascii="Calibri" w:hAnsi="Calibri" w:cs="Calibri"/>
          <w:b/>
          <w:bCs/>
          <w:color w:val="00188F"/>
        </w:rPr>
        <w:t>KQL-Datenbank öffnen:</w:t>
      </w:r>
      <w:r>
        <w:rPr>
          <w:rFonts w:ascii="Calibri" w:hAnsi="Calibri" w:cs="Calibri"/>
        </w:rPr>
        <w:t xml:space="preserve"> KQL-Datenbank im Service öffnen und anzeigen.</w:t>
      </w:r>
    </w:p>
    <w:p w14:paraId="73110BE8" w14:textId="77777777" w:rsidR="00567AA6" w:rsidRPr="00A115EE" w:rsidRDefault="00567AA6" w:rsidP="00567AA6">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SQL-Datenbank</w:t>
      </w:r>
    </w:p>
    <w:p w14:paraId="7002C62E" w14:textId="77777777" w:rsidR="00567AA6" w:rsidRDefault="00567AA6" w:rsidP="00567AA6">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lastRenderedPageBreak/>
        <w:t xml:space="preserve">„SQL-Datenbank“ </w:t>
      </w:r>
      <w:r>
        <w:rPr>
          <w:rFonts w:ascii="Calibri" w:eastAsia="Times New Roman" w:hAnsi="Calibri" w:cs="Calibri"/>
          <w:sz w:val="18"/>
          <w:szCs w:val="18"/>
        </w:rPr>
        <w:t>bezeichnet jede SQL-Datenbank, die im Microsoft Fabric-Arbeitsbereich erstellt wurde.</w:t>
      </w:r>
    </w:p>
    <w:p w14:paraId="3579B924" w14:textId="77777777" w:rsidR="00567AA6" w:rsidRPr="007572A7" w:rsidRDefault="00567AA6" w:rsidP="00567AA6">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Datenbank öffnen</w:t>
      </w:r>
      <w:r>
        <w:rPr>
          <w:rFonts w:ascii="Calibri" w:eastAsia="Times New Roman" w:hAnsi="Calibri" w:cs="Calibri"/>
          <w:sz w:val="18"/>
          <w:szCs w:val="18"/>
        </w:rPr>
        <w:t>: SQL-Datenbank im Service öffnen und anzeigen.</w:t>
      </w:r>
    </w:p>
    <w:p w14:paraId="19C0593F" w14:textId="77777777" w:rsidR="00567AA6" w:rsidRPr="00A115EE" w:rsidRDefault="00567AA6" w:rsidP="00567AA6">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Cosmos DB</w:t>
      </w:r>
    </w:p>
    <w:p w14:paraId="032C7E16" w14:textId="77777777" w:rsidR="00567AA6" w:rsidRDefault="00567AA6" w:rsidP="00567AA6">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 xml:space="preserve">„Cosmos DB Container“ </w:t>
      </w:r>
      <w:r>
        <w:rPr>
          <w:rFonts w:ascii="Calibri" w:eastAsia="Times New Roman" w:hAnsi="Calibri" w:cs="Calibri"/>
          <w:sz w:val="18"/>
          <w:szCs w:val="18"/>
        </w:rPr>
        <w:t>bezeichnet jeden Cosmos DB-Container, der im Microsoft Fabric-Arbeitsbereich erstellt wurde.</w:t>
      </w:r>
    </w:p>
    <w:p w14:paraId="5CEDCE4F" w14:textId="77777777" w:rsidR="00567AA6" w:rsidRPr="007572A7" w:rsidRDefault="00567AA6" w:rsidP="00567AA6">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Container öffnen</w:t>
      </w:r>
      <w:r>
        <w:rPr>
          <w:rFonts w:ascii="Calibri" w:eastAsia="Times New Roman" w:hAnsi="Calibri" w:cs="Calibri"/>
          <w:sz w:val="18"/>
          <w:szCs w:val="18"/>
        </w:rPr>
        <w:t>: Cosmos DB-Container im Service öffnen und anzeigen.</w:t>
      </w:r>
    </w:p>
    <w:p w14:paraId="4C6C9185" w14:textId="3E1ED35D" w:rsidR="004C3AB8" w:rsidRPr="00917E39" w:rsidRDefault="004C3AB8" w:rsidP="004C3AB8">
      <w:pPr>
        <w:pStyle w:val="ProductList-Body"/>
        <w:rPr>
          <w:rFonts w:ascii="Calibri" w:hAnsi="Calibri" w:cs="Calibri"/>
          <w:b/>
          <w:bCs/>
          <w:color w:val="00188F"/>
        </w:rPr>
      </w:pPr>
      <w:r>
        <w:rPr>
          <w:rFonts w:ascii="Calibri" w:hAnsi="Calibri" w:cs="Calibri"/>
          <w:b/>
          <w:bCs/>
          <w:color w:val="00188F"/>
        </w:rPr>
        <w:t>OneLake</w:t>
      </w:r>
    </w:p>
    <w:p w14:paraId="7C177933" w14:textId="77777777" w:rsidR="004C3AB8" w:rsidRPr="00917E39" w:rsidRDefault="004C3AB8" w:rsidP="004C3AB8">
      <w:pPr>
        <w:pStyle w:val="ProductList-Body"/>
        <w:ind w:left="187"/>
        <w:rPr>
          <w:rFonts w:ascii="Calibri" w:hAnsi="Calibri" w:cs="Calibri"/>
          <w:szCs w:val="18"/>
        </w:rPr>
      </w:pPr>
      <w:r>
        <w:rPr>
          <w:rFonts w:ascii="Calibri" w:hAnsi="Calibri" w:cs="Calibri"/>
          <w:b/>
          <w:bCs/>
          <w:color w:val="00188F"/>
        </w:rPr>
        <w:t xml:space="preserve">OneLake-Lesetransaktionen: </w:t>
      </w:r>
      <w:r>
        <w:rPr>
          <w:rFonts w:ascii="Calibri" w:hAnsi="Calibri" w:cs="Calibri"/>
        </w:rPr>
        <w:t>Alle Lesevorgänge auf OneLake DFS-APIs</w:t>
      </w:r>
      <w:r>
        <w:rPr>
          <w:rFonts w:ascii="Calibri" w:hAnsi="Calibri" w:cs="Calibri"/>
          <w:color w:val="00188F"/>
        </w:rPr>
        <w:t>.</w:t>
      </w:r>
    </w:p>
    <w:p w14:paraId="2B918A39" w14:textId="77777777" w:rsidR="004C3AB8" w:rsidRPr="00917E39" w:rsidRDefault="004C3AB8" w:rsidP="004C3AB8">
      <w:pPr>
        <w:pStyle w:val="ProductList-Body"/>
        <w:rPr>
          <w:rFonts w:ascii="Calibri" w:hAnsi="Calibri" w:cs="Calibri"/>
        </w:rPr>
      </w:pPr>
      <w:r>
        <w:rPr>
          <w:rFonts w:ascii="Calibri" w:hAnsi="Calibri" w:cs="Calibri"/>
          <w:b/>
          <w:bCs/>
          <w:color w:val="00188F"/>
        </w:rPr>
        <w:t>Betriebszeitprozentsatz</w:t>
      </w:r>
      <w:r w:rsidRPr="007C7FA5">
        <w:rPr>
          <w:rFonts w:ascii="Calibri" w:hAnsi="Calibri" w:cs="Calibri"/>
          <w:b/>
          <w:bCs/>
          <w:color w:val="00188F"/>
        </w:rPr>
        <w:t>:</w:t>
      </w:r>
      <w:r>
        <w:rPr>
          <w:rFonts w:ascii="Calibri" w:hAnsi="Calibri" w:cs="Calibri"/>
          <w:color w:val="000000" w:themeColor="text1"/>
        </w:rPr>
        <w:t xml:space="preserve"> Der Betriebszeitprozentsatz errechnet sich nach folgender Formel:</w:t>
      </w:r>
    </w:p>
    <w:p w14:paraId="09706761" w14:textId="77777777" w:rsidR="004C3AB8" w:rsidRPr="00EF7CF9" w:rsidRDefault="00000000" w:rsidP="004C3AB8">
      <w:pPr>
        <w:pStyle w:val="ListParagraph"/>
        <w:spacing w:before="120"/>
        <w:jc w:val="center"/>
        <w:rPr>
          <w:rFonts w:ascii="Cambria Math" w:hAnsi="Cambria Math" w:cs="Tahoma"/>
          <w:i/>
          <w:iCs/>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Maximal-verfügbare-Minuten-Ausfallzeit</m:t>
              </m:r>
            </m:num>
            <m:den>
              <m:r>
                <m:rPr>
                  <m:nor/>
                </m:rPr>
                <w:rPr>
                  <w:rFonts w:ascii="Cambria Math" w:hAnsi="Cambria Math" w:cs="Tahoma"/>
                  <w:i/>
                  <w:sz w:val="18"/>
                  <w:szCs w:val="18"/>
                </w:rPr>
                <m:t>Maximal Verfügbare Minuten</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83AB055" w14:textId="77777777" w:rsidR="004C3AB8" w:rsidRPr="006D4D6A" w:rsidRDefault="004C3AB8" w:rsidP="004C3AB8">
      <w:pPr>
        <w:pStyle w:val="ProductList-Body"/>
        <w:rPr>
          <w:rFonts w:ascii="Calibri" w:hAnsi="Calibri" w:cs="Calibri"/>
        </w:rPr>
      </w:pPr>
      <w:r>
        <w:rPr>
          <w:rFonts w:ascii="Calibri" w:hAnsi="Calibri" w:cs="Calibri"/>
          <w:b/>
          <w:bCs/>
          <w:color w:val="00188F"/>
        </w:rPr>
        <w:t>*</w:t>
      </w:r>
      <w:r>
        <w:rPr>
          <w:rFonts w:ascii="Calibri" w:hAnsi="Calibri" w:cs="Calibri"/>
        </w:rPr>
        <w:t>Ausfallzeitminuten umfassen keinen Zeitraum, in dem die Unfähigkeit, Fabric-Funktionen innerhalb einer bestimmten Kapazität zu nutzen, auf die Microsoft Fabric-Drosselungsrichtlinie zurückzuführen ist.</w:t>
      </w:r>
    </w:p>
    <w:p w14:paraId="07DEE7FD" w14:textId="77777777" w:rsidR="004C3AB8" w:rsidRPr="00917E39" w:rsidRDefault="004C3AB8" w:rsidP="004C3AB8">
      <w:pPr>
        <w:pStyle w:val="ProductList-Body"/>
        <w:rPr>
          <w:rFonts w:ascii="Calibri" w:hAnsi="Calibri" w:cs="Calibri"/>
          <w:b/>
        </w:rPr>
      </w:pPr>
      <w:r>
        <w:rPr>
          <w:rFonts w:ascii="Calibri" w:hAnsi="Calibri" w:cs="Calibri"/>
          <w:b/>
          <w:color w:val="00188F"/>
        </w:rPr>
        <w:t>Servicegutschrift</w:t>
      </w:r>
      <w:r w:rsidRPr="007C7FA5">
        <w:rPr>
          <w:rFonts w:ascii="Calibri" w:hAnsi="Calibri" w:cs="Calibr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C3AB8" w14:paraId="7A25ABA9" w14:textId="77777777" w:rsidTr="00710B68">
        <w:trPr>
          <w:trHeight w:val="246"/>
          <w:tblHeader/>
        </w:trPr>
        <w:tc>
          <w:tcPr>
            <w:tcW w:w="5400" w:type="dxa"/>
            <w:shd w:val="clear" w:color="auto" w:fill="0072C6"/>
          </w:tcPr>
          <w:p w14:paraId="0D76817F" w14:textId="77777777" w:rsidR="004C3AB8" w:rsidRPr="006863DA" w:rsidRDefault="004C3AB8" w:rsidP="00710B68">
            <w:pPr>
              <w:pStyle w:val="ProductList-OfferingBody"/>
              <w:jc w:val="center"/>
              <w:rPr>
                <w:rFonts w:ascii="Calibri" w:hAnsi="Calibri" w:cs="Calibri"/>
                <w:color w:val="FFFFFF" w:themeColor="background1"/>
              </w:rPr>
            </w:pPr>
            <w:r>
              <w:rPr>
                <w:rFonts w:ascii="Calibri" w:hAnsi="Calibri" w:cs="Calibri"/>
                <w:color w:val="FFFFFF" w:themeColor="background1"/>
              </w:rPr>
              <w:t>Betriebszeitprozentsatz</w:t>
            </w:r>
          </w:p>
        </w:tc>
        <w:tc>
          <w:tcPr>
            <w:tcW w:w="5400" w:type="dxa"/>
            <w:shd w:val="clear" w:color="auto" w:fill="0072C6"/>
          </w:tcPr>
          <w:p w14:paraId="16529B8A" w14:textId="77777777" w:rsidR="004C3AB8" w:rsidRPr="006863DA" w:rsidRDefault="004C3AB8" w:rsidP="00710B68">
            <w:pPr>
              <w:pStyle w:val="ProductList-OfferingBody"/>
              <w:jc w:val="center"/>
              <w:rPr>
                <w:rFonts w:ascii="Calibri" w:hAnsi="Calibri" w:cs="Calibri"/>
                <w:color w:val="FFFFFF" w:themeColor="background1"/>
              </w:rPr>
            </w:pPr>
            <w:r>
              <w:rPr>
                <w:rFonts w:ascii="Calibri" w:hAnsi="Calibri" w:cs="Calibri"/>
                <w:color w:val="FFFFFF" w:themeColor="background1"/>
              </w:rPr>
              <w:t>Servicegutschrift</w:t>
            </w:r>
          </w:p>
        </w:tc>
      </w:tr>
      <w:tr w:rsidR="004C3AB8" w14:paraId="31CAE144" w14:textId="77777777" w:rsidTr="00710B68">
        <w:trPr>
          <w:trHeight w:val="242"/>
        </w:trPr>
        <w:tc>
          <w:tcPr>
            <w:tcW w:w="5400" w:type="dxa"/>
          </w:tcPr>
          <w:p w14:paraId="12376AE2" w14:textId="77777777" w:rsidR="004C3AB8" w:rsidRPr="006863DA" w:rsidRDefault="004C3AB8" w:rsidP="00710B68">
            <w:pPr>
              <w:pStyle w:val="ProductList-OfferingBody"/>
              <w:jc w:val="center"/>
              <w:rPr>
                <w:rFonts w:ascii="Calibri" w:hAnsi="Calibri" w:cs="Calibri"/>
              </w:rPr>
            </w:pPr>
            <w:r>
              <w:rPr>
                <w:rFonts w:ascii="Calibri" w:hAnsi="Calibri" w:cs="Calibri"/>
              </w:rPr>
              <w:t>&lt; 99,9 %</w:t>
            </w:r>
          </w:p>
        </w:tc>
        <w:tc>
          <w:tcPr>
            <w:tcW w:w="5400" w:type="dxa"/>
          </w:tcPr>
          <w:p w14:paraId="730C1692" w14:textId="77777777" w:rsidR="004C3AB8" w:rsidRPr="006863DA" w:rsidRDefault="004C3AB8" w:rsidP="00710B68">
            <w:pPr>
              <w:pStyle w:val="ProductList-OfferingBody"/>
              <w:jc w:val="center"/>
              <w:rPr>
                <w:rFonts w:ascii="Calibri" w:hAnsi="Calibri" w:cs="Calibri"/>
              </w:rPr>
            </w:pPr>
            <w:r>
              <w:rPr>
                <w:rFonts w:ascii="Calibri" w:hAnsi="Calibri" w:cs="Calibri"/>
              </w:rPr>
              <w:t>10 %</w:t>
            </w:r>
          </w:p>
        </w:tc>
      </w:tr>
      <w:tr w:rsidR="004C3AB8" w14:paraId="6B3F5111" w14:textId="77777777" w:rsidTr="00710B68">
        <w:trPr>
          <w:trHeight w:val="242"/>
        </w:trPr>
        <w:tc>
          <w:tcPr>
            <w:tcW w:w="5400" w:type="dxa"/>
          </w:tcPr>
          <w:p w14:paraId="4F30BBDA" w14:textId="77777777" w:rsidR="004C3AB8" w:rsidRPr="006863DA" w:rsidRDefault="004C3AB8" w:rsidP="00710B68">
            <w:pPr>
              <w:pStyle w:val="ProductList-OfferingBody"/>
              <w:jc w:val="center"/>
              <w:rPr>
                <w:rFonts w:ascii="Calibri" w:hAnsi="Calibri" w:cs="Calibri"/>
              </w:rPr>
            </w:pPr>
            <w:r>
              <w:rPr>
                <w:rFonts w:ascii="Calibri" w:hAnsi="Calibri" w:cs="Calibri"/>
              </w:rPr>
              <w:t>&lt; 99 %</w:t>
            </w:r>
          </w:p>
        </w:tc>
        <w:tc>
          <w:tcPr>
            <w:tcW w:w="5400" w:type="dxa"/>
          </w:tcPr>
          <w:p w14:paraId="1BA38558" w14:textId="77777777" w:rsidR="004C3AB8" w:rsidRPr="006863DA" w:rsidRDefault="004C3AB8" w:rsidP="00710B68">
            <w:pPr>
              <w:pStyle w:val="ProductList-OfferingBody"/>
              <w:jc w:val="center"/>
              <w:rPr>
                <w:rFonts w:ascii="Calibri" w:hAnsi="Calibri" w:cs="Calibri"/>
              </w:rPr>
            </w:pPr>
            <w:r>
              <w:rPr>
                <w:rFonts w:ascii="Calibri" w:hAnsi="Calibri" w:cs="Calibri"/>
              </w:rPr>
              <w:t>25 %</w:t>
            </w:r>
          </w:p>
        </w:tc>
      </w:tr>
    </w:tbl>
    <w:p w14:paraId="7715D9AE" w14:textId="77777777" w:rsidR="004C3AB8" w:rsidRPr="00D67F75" w:rsidRDefault="004C3AB8" w:rsidP="004C3AB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4739C090" w14:textId="6E033349" w:rsidR="00CA66E5" w:rsidRPr="00EF7CF9" w:rsidRDefault="00CA66E5" w:rsidP="00715436">
      <w:pPr>
        <w:pStyle w:val="ProductList-Offering2Heading"/>
        <w:keepNext/>
        <w:tabs>
          <w:tab w:val="clear" w:pos="360"/>
          <w:tab w:val="clear" w:pos="720"/>
          <w:tab w:val="clear" w:pos="1080"/>
        </w:tabs>
        <w:outlineLvl w:val="2"/>
      </w:pPr>
      <w:bookmarkStart w:id="448" w:name="_Toc195543176"/>
      <w:bookmarkStart w:id="449" w:name="_Toc237449037"/>
      <w:r>
        <w:t>Microsoft Genomics</w:t>
      </w:r>
      <w:bookmarkEnd w:id="445"/>
      <w:bookmarkEnd w:id="448"/>
      <w:bookmarkEnd w:id="449"/>
    </w:p>
    <w:p w14:paraId="0D9D2ADC" w14:textId="77777777" w:rsidR="00CA66E5" w:rsidRPr="001846CE" w:rsidRDefault="00CA66E5" w:rsidP="00CA66E5">
      <w:pPr>
        <w:pStyle w:val="ProductList-Body"/>
        <w:rPr>
          <w:b/>
          <w:color w:val="00188F"/>
          <w:szCs w:val="18"/>
        </w:rPr>
      </w:pPr>
      <w:r w:rsidRPr="001846CE">
        <w:rPr>
          <w:b/>
          <w:color w:val="00188F"/>
          <w:szCs w:val="18"/>
        </w:rPr>
        <w:t>Zusätzliche Definitionen</w:t>
      </w:r>
      <w:r w:rsidRPr="0008262F">
        <w:rPr>
          <w:b/>
          <w:bCs/>
          <w:color w:val="00188F"/>
        </w:rPr>
        <w:t>:</w:t>
      </w:r>
    </w:p>
    <w:p w14:paraId="210678C7" w14:textId="77777777" w:rsidR="00FC411E" w:rsidRDefault="00CA66E5" w:rsidP="00FC411E">
      <w:pPr>
        <w:spacing w:after="0" w:line="240" w:lineRule="auto"/>
        <w:rPr>
          <w:strike/>
          <w:sz w:val="18"/>
          <w:szCs w:val="18"/>
        </w:rPr>
      </w:pPr>
      <w:r w:rsidRPr="001846CE">
        <w:rPr>
          <w:sz w:val="18"/>
          <w:szCs w:val="18"/>
        </w:rPr>
        <w:t>„</w:t>
      </w:r>
      <w:r w:rsidRPr="001846CE">
        <w:rPr>
          <w:rFonts w:eastAsiaTheme="minorEastAsia"/>
          <w:b/>
          <w:color w:val="00188F"/>
          <w:sz w:val="18"/>
          <w:szCs w:val="18"/>
        </w:rPr>
        <w:t>Maximal Verfügbare Minuten</w:t>
      </w:r>
      <w:r w:rsidRPr="001846CE">
        <w:rPr>
          <w:sz w:val="18"/>
          <w:szCs w:val="18"/>
        </w:rPr>
        <w:t>“ ist die Summe der kumulierten Minuten für alle Microsoft Genomics-Konten, die vom Kunden erstellt wurden und</w:t>
      </w:r>
      <w:r w:rsidR="00DB119B">
        <w:rPr>
          <w:sz w:val="18"/>
          <w:szCs w:val="18"/>
        </w:rPr>
        <w:t> </w:t>
      </w:r>
      <w:r w:rsidRPr="001846CE">
        <w:rPr>
          <w:sz w:val="18"/>
          <w:szCs w:val="18"/>
        </w:rPr>
        <w:t>während eines Anwendbaren Zeitraums für ein bestimmtes Microsoft Azure-Abonnement aktiv sind.</w:t>
      </w:r>
    </w:p>
    <w:p w14:paraId="4F4F614E" w14:textId="629C4B6D" w:rsidR="00CA66E5" w:rsidRPr="00FC411E" w:rsidRDefault="00CA66E5" w:rsidP="00FC411E">
      <w:pPr>
        <w:spacing w:after="0" w:line="240" w:lineRule="auto"/>
        <w:rPr>
          <w:strike/>
          <w:sz w:val="18"/>
          <w:szCs w:val="18"/>
        </w:rPr>
      </w:pPr>
      <w:r w:rsidRPr="001846CE">
        <w:rPr>
          <w:sz w:val="18"/>
          <w:szCs w:val="18"/>
        </w:rPr>
        <w:t>„</w:t>
      </w:r>
      <w:r w:rsidRPr="001846CE">
        <w:rPr>
          <w:b/>
          <w:color w:val="00188F"/>
          <w:sz w:val="18"/>
          <w:szCs w:val="18"/>
        </w:rPr>
        <w:t>Ausfallzeit</w:t>
      </w:r>
      <w:r w:rsidRPr="001846CE">
        <w:rPr>
          <w:sz w:val="18"/>
          <w:szCs w:val="18"/>
        </w:rPr>
        <w:t xml:space="preserve">“ ist die Gesamtzahl der Minuten innerhalb der Maximal verfügbaren Minuten, in denen Microsoft Genomics nicht verfügbar ist. Eine Minute gilt als nicht verfügbar, wenn alle fortlaufenden Versuche, REST-API-Anforderungen des authentifizierten Genomics-Diensts zu senden, während der Minute entweder einen Fehlercode zurückgeben oder nicht innerhalb der Minute mit einer Bestätigung antworten. </w:t>
      </w:r>
    </w:p>
    <w:p w14:paraId="3354D171" w14:textId="23DDB7F2" w:rsidR="00CA66E5" w:rsidRPr="001846CE" w:rsidRDefault="00CA66E5" w:rsidP="00CA66E5">
      <w:pPr>
        <w:spacing w:after="0" w:line="240" w:lineRule="auto"/>
        <w:rPr>
          <w:sz w:val="18"/>
          <w:szCs w:val="18"/>
        </w:rPr>
      </w:pPr>
      <w:r w:rsidRPr="001846CE">
        <w:rPr>
          <w:sz w:val="18"/>
          <w:szCs w:val="18"/>
        </w:rPr>
        <w:t>Der „</w:t>
      </w:r>
      <w:r w:rsidRPr="001846CE">
        <w:rPr>
          <w:b/>
          <w:color w:val="00188F"/>
          <w:sz w:val="18"/>
          <w:szCs w:val="18"/>
        </w:rPr>
        <w:t>Betriebszeitprozentsatz</w:t>
      </w:r>
      <w:r w:rsidRPr="001846CE">
        <w:rPr>
          <w:sz w:val="18"/>
          <w:szCs w:val="18"/>
        </w:rPr>
        <w:t>“ für Microsoft Genomics wird anhand der folgenden Formel berechnet:</w:t>
      </w:r>
    </w:p>
    <w:p w14:paraId="39B2D33A" w14:textId="1FB9E516" w:rsidR="00CA66E5" w:rsidRPr="007C7313" w:rsidRDefault="00000000" w:rsidP="00175E04">
      <w:pPr>
        <w:spacing w:before="120" w:after="0" w:line="240" w:lineRule="auto"/>
        <w:rPr>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03F05487" w14:textId="77777777" w:rsidR="00724E33" w:rsidRPr="00EF7CF9" w:rsidRDefault="00724E33" w:rsidP="00724E33">
      <w:pPr>
        <w:pStyle w:val="ProductList-Body"/>
      </w:pPr>
      <w:r>
        <w:rPr>
          <w:b/>
          <w:color w:val="00188F"/>
        </w:rPr>
        <w:t>Servicegutschrift</w:t>
      </w:r>
      <w:r w:rsidRPr="0008262F">
        <w:rPr>
          <w:b/>
          <w:bCs/>
          <w:color w:val="00188F"/>
        </w:rPr>
        <w:t>:</w:t>
      </w:r>
    </w:p>
    <w:tbl>
      <w:tblPr>
        <w:tblStyle w:val="ListTable3-Accent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724E33" w:rsidRPr="00B44CF9" w14:paraId="2BF79778" w14:textId="77777777" w:rsidTr="00E00804">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500" w:type="pct"/>
            <w:shd w:val="clear" w:color="auto" w:fill="0070C0"/>
          </w:tcPr>
          <w:p w14:paraId="35E7710F" w14:textId="77777777" w:rsidR="00724E33" w:rsidRPr="00715436" w:rsidRDefault="00724E33" w:rsidP="00E00804">
            <w:pPr>
              <w:spacing w:before="20" w:after="20"/>
              <w:jc w:val="center"/>
              <w:rPr>
                <w:sz w:val="16"/>
                <w:szCs w:val="16"/>
              </w:rPr>
            </w:pPr>
            <w:r w:rsidRPr="00715436">
              <w:rPr>
                <w:sz w:val="16"/>
                <w:szCs w:val="16"/>
              </w:rPr>
              <w:t xml:space="preserve">Betriebszeitprozentsatz </w:t>
            </w:r>
          </w:p>
        </w:tc>
        <w:tc>
          <w:tcPr>
            <w:tcW w:w="2500" w:type="pct"/>
            <w:shd w:val="clear" w:color="auto" w:fill="0070C0"/>
          </w:tcPr>
          <w:p w14:paraId="0AE91C83" w14:textId="77777777" w:rsidR="00724E33" w:rsidRPr="00715436" w:rsidRDefault="00724E33" w:rsidP="00E00804">
            <w:pPr>
              <w:spacing w:before="20" w:after="20"/>
              <w:jc w:val="center"/>
              <w:cnfStyle w:val="100000000000" w:firstRow="1" w:lastRow="0" w:firstColumn="0" w:lastColumn="0" w:oddVBand="0" w:evenVBand="0" w:oddHBand="0" w:evenHBand="0" w:firstRowFirstColumn="0" w:firstRowLastColumn="0" w:lastRowFirstColumn="0" w:lastRowLastColumn="0"/>
              <w:rPr>
                <w:sz w:val="16"/>
                <w:szCs w:val="16"/>
              </w:rPr>
            </w:pPr>
            <w:r w:rsidRPr="00715436">
              <w:rPr>
                <w:sz w:val="16"/>
                <w:szCs w:val="16"/>
              </w:rPr>
              <w:t>Servicegutschrift</w:t>
            </w:r>
          </w:p>
        </w:tc>
      </w:tr>
      <w:tr w:rsidR="00724E33" w:rsidRPr="00B44CF9" w14:paraId="15FCB590" w14:textId="77777777" w:rsidTr="00E00804">
        <w:trPr>
          <w:jc w:val="center"/>
        </w:trPr>
        <w:tc>
          <w:tcPr>
            <w:cnfStyle w:val="001000000000" w:firstRow="0" w:lastRow="0" w:firstColumn="1" w:lastColumn="0" w:oddVBand="0" w:evenVBand="0" w:oddHBand="0" w:evenHBand="0" w:firstRowFirstColumn="0" w:firstRowLastColumn="0" w:lastRowFirstColumn="0" w:lastRowLastColumn="0"/>
            <w:tcW w:w="2500" w:type="pct"/>
          </w:tcPr>
          <w:p w14:paraId="547AB42E" w14:textId="77777777" w:rsidR="00724E33" w:rsidRPr="00715436" w:rsidRDefault="00724E33" w:rsidP="00E00804">
            <w:pPr>
              <w:spacing w:before="20" w:after="20"/>
              <w:jc w:val="center"/>
              <w:rPr>
                <w:b w:val="0"/>
                <w:sz w:val="16"/>
                <w:szCs w:val="16"/>
              </w:rPr>
            </w:pPr>
            <w:r w:rsidRPr="00715436">
              <w:rPr>
                <w:b w:val="0"/>
                <w:sz w:val="16"/>
                <w:szCs w:val="16"/>
              </w:rPr>
              <w:t>&lt; 99,9 %</w:t>
            </w:r>
          </w:p>
        </w:tc>
        <w:tc>
          <w:tcPr>
            <w:tcW w:w="2500" w:type="pct"/>
          </w:tcPr>
          <w:p w14:paraId="025F1D89" w14:textId="77777777" w:rsidR="00724E33" w:rsidRPr="00715436" w:rsidRDefault="00724E33" w:rsidP="00E00804">
            <w:pPr>
              <w:spacing w:before="20" w:after="20"/>
              <w:jc w:val="center"/>
              <w:cnfStyle w:val="000000000000" w:firstRow="0" w:lastRow="0" w:firstColumn="0" w:lastColumn="0" w:oddVBand="0" w:evenVBand="0" w:oddHBand="0" w:evenHBand="0" w:firstRowFirstColumn="0" w:firstRowLastColumn="0" w:lastRowFirstColumn="0" w:lastRowLastColumn="0"/>
              <w:rPr>
                <w:sz w:val="16"/>
                <w:szCs w:val="16"/>
              </w:rPr>
            </w:pPr>
            <w:r w:rsidRPr="00715436">
              <w:rPr>
                <w:sz w:val="16"/>
                <w:szCs w:val="16"/>
              </w:rPr>
              <w:t>10 %</w:t>
            </w:r>
          </w:p>
        </w:tc>
      </w:tr>
      <w:tr w:rsidR="00724E33" w:rsidRPr="00B44CF9" w14:paraId="6E605962" w14:textId="77777777" w:rsidTr="00E00804">
        <w:trPr>
          <w:jc w:val="center"/>
        </w:trPr>
        <w:tc>
          <w:tcPr>
            <w:cnfStyle w:val="001000000000" w:firstRow="0" w:lastRow="0" w:firstColumn="1" w:lastColumn="0" w:oddVBand="0" w:evenVBand="0" w:oddHBand="0" w:evenHBand="0" w:firstRowFirstColumn="0" w:firstRowLastColumn="0" w:lastRowFirstColumn="0" w:lastRowLastColumn="0"/>
            <w:tcW w:w="2500" w:type="pct"/>
          </w:tcPr>
          <w:p w14:paraId="1ACE0FE9" w14:textId="77777777" w:rsidR="00724E33" w:rsidRPr="00715436" w:rsidRDefault="00724E33" w:rsidP="00E00804">
            <w:pPr>
              <w:spacing w:before="20" w:after="20"/>
              <w:jc w:val="center"/>
              <w:rPr>
                <w:b w:val="0"/>
                <w:sz w:val="16"/>
                <w:szCs w:val="16"/>
              </w:rPr>
            </w:pPr>
            <w:r w:rsidRPr="00715436">
              <w:rPr>
                <w:b w:val="0"/>
                <w:sz w:val="16"/>
                <w:szCs w:val="16"/>
              </w:rPr>
              <w:t>&lt; 99 %</w:t>
            </w:r>
          </w:p>
        </w:tc>
        <w:tc>
          <w:tcPr>
            <w:tcW w:w="2500" w:type="pct"/>
          </w:tcPr>
          <w:p w14:paraId="6E4529C5" w14:textId="77777777" w:rsidR="00724E33" w:rsidRPr="00715436" w:rsidRDefault="00724E33" w:rsidP="00E00804">
            <w:pPr>
              <w:spacing w:before="20" w:after="20"/>
              <w:jc w:val="center"/>
              <w:cnfStyle w:val="000000000000" w:firstRow="0" w:lastRow="0" w:firstColumn="0" w:lastColumn="0" w:oddVBand="0" w:evenVBand="0" w:oddHBand="0" w:evenHBand="0" w:firstRowFirstColumn="0" w:firstRowLastColumn="0" w:lastRowFirstColumn="0" w:lastRowLastColumn="0"/>
              <w:rPr>
                <w:sz w:val="16"/>
                <w:szCs w:val="16"/>
              </w:rPr>
            </w:pPr>
            <w:r w:rsidRPr="00715436">
              <w:rPr>
                <w:sz w:val="16"/>
                <w:szCs w:val="16"/>
              </w:rPr>
              <w:t>25 %</w:t>
            </w:r>
          </w:p>
        </w:tc>
      </w:tr>
    </w:tbl>
    <w:p w14:paraId="0151F752" w14:textId="77777777" w:rsidR="00724E33" w:rsidRPr="00D67F75" w:rsidRDefault="00724E33" w:rsidP="00724E3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49547F52" w14:textId="77777777" w:rsidR="007F389B" w:rsidRPr="00761664" w:rsidRDefault="007F389B" w:rsidP="007F389B">
      <w:pPr>
        <w:pStyle w:val="ProductList-Offering2Heading"/>
        <w:keepNext/>
        <w:tabs>
          <w:tab w:val="clear" w:pos="360"/>
          <w:tab w:val="clear" w:pos="720"/>
          <w:tab w:val="clear" w:pos="1080"/>
        </w:tabs>
        <w:outlineLvl w:val="2"/>
        <w:rPr>
          <w:rFonts w:ascii="Calibri Light" w:hAnsi="Calibri Light" w:cs="Calibri Light"/>
          <w:lang w:val="en-US"/>
        </w:rPr>
      </w:pPr>
      <w:bookmarkStart w:id="450" w:name="_Toc230011454"/>
      <w:bookmarkStart w:id="451" w:name="_Toc237449038"/>
      <w:bookmarkStart w:id="452" w:name="_Toc195543177"/>
      <w:r w:rsidRPr="00761664">
        <w:rPr>
          <w:rFonts w:ascii="Calibri Light" w:hAnsi="Calibri Light" w:cs="Calibri Light"/>
          <w:lang w:val="en-US"/>
        </w:rPr>
        <w:t>Microsoft Planetary Computer Pro – SLA:</w:t>
      </w:r>
      <w:bookmarkEnd w:id="450"/>
      <w:bookmarkEnd w:id="451"/>
    </w:p>
    <w:p w14:paraId="49A540C9" w14:textId="77777777" w:rsidR="007F389B" w:rsidRPr="00E13F9B" w:rsidRDefault="007F389B" w:rsidP="007F389B">
      <w:pPr>
        <w:pStyle w:val="ProductList-Body"/>
        <w:rPr>
          <w:rFonts w:ascii="Calibri" w:hAnsi="Calibri" w:cs="Calibri"/>
        </w:rPr>
      </w:pPr>
      <w:r w:rsidRPr="00A80248">
        <w:rPr>
          <w:rFonts w:ascii="Calibri" w:hAnsi="Calibri" w:cs="Calibri"/>
        </w:rPr>
        <w:t xml:space="preserve">Die </w:t>
      </w:r>
      <w:r w:rsidRPr="00A80248">
        <w:rPr>
          <w:rFonts w:ascii="Calibri" w:hAnsi="Calibri" w:cs="Calibri"/>
          <w:b/>
          <w:color w:val="00188F"/>
          <w:szCs w:val="18"/>
        </w:rPr>
        <w:t>„</w:t>
      </w:r>
      <w:r>
        <w:rPr>
          <w:rFonts w:ascii="Calibri" w:hAnsi="Calibri" w:cs="Calibri"/>
          <w:b/>
          <w:color w:val="00188F"/>
          <w:szCs w:val="18"/>
        </w:rPr>
        <w:t>Gesamtzahl der Transaktionsversuche</w:t>
      </w:r>
      <w:r w:rsidRPr="00A80248">
        <w:rPr>
          <w:rFonts w:ascii="Calibri" w:hAnsi="Calibri" w:cs="Calibri"/>
          <w:b/>
          <w:color w:val="00188F"/>
          <w:szCs w:val="18"/>
        </w:rPr>
        <w:t>“</w:t>
      </w:r>
      <w:r>
        <w:rPr>
          <w:rFonts w:ascii="Calibri" w:hAnsi="Calibri" w:cs="Calibri"/>
        </w:rPr>
        <w:t xml:space="preserve"> bezeichnet die Gesamtzahl der authentifizierten API-Anforderungen, die vom Kunden für eine bestimmte Planetary Computer Pro API während eines Anwendbaren Zeitraums in einem bestimmten Microsoft Azure-Abonnement gestellt wurden. Alle Operationen mit einem für den Nutzer zugänglichen Statuscode werden als Transaktionsversuch betrachtet. Die Gesamtzahl der Transaktionsversuche umfasst nicht die authentifizierten API-Anfragen, die einen Fehlercode zurückgeben und innerhalb eines Fünf-Minuten-Fensters nach Erhalt des ersten Fehlercodes kontinuierlich wiederholt werden.</w:t>
      </w:r>
    </w:p>
    <w:p w14:paraId="3A7429F3" w14:textId="77777777" w:rsidR="0030005B" w:rsidRDefault="007F389B" w:rsidP="0030005B">
      <w:pPr>
        <w:shd w:val="clear" w:color="auto" w:fill="FFFFFF"/>
        <w:spacing w:after="0" w:line="240" w:lineRule="auto"/>
        <w:rPr>
          <w:rFonts w:ascii="Calibri" w:eastAsia="Times New Roman" w:hAnsi="Calibri" w:cs="Calibri"/>
          <w:color w:val="242424"/>
          <w:sz w:val="18"/>
          <w:szCs w:val="18"/>
          <w:bdr w:val="none" w:sz="0" w:space="0" w:color="auto" w:frame="1"/>
        </w:rPr>
      </w:pPr>
      <w:r w:rsidRPr="00A80248">
        <w:rPr>
          <w:rFonts w:ascii="Calibri" w:hAnsi="Calibri" w:cs="Calibri"/>
          <w:b/>
          <w:color w:val="00188F"/>
          <w:sz w:val="18"/>
          <w:szCs w:val="18"/>
        </w:rPr>
        <w:t>„</w:t>
      </w:r>
      <w:r>
        <w:rPr>
          <w:rFonts w:ascii="Calibri" w:hAnsi="Calibri" w:cs="Calibri"/>
          <w:b/>
          <w:color w:val="00188F"/>
          <w:sz w:val="18"/>
          <w:szCs w:val="18"/>
        </w:rPr>
        <w:t>Fehlerhafte Transkationen</w:t>
      </w:r>
      <w:r w:rsidRPr="00A80248">
        <w:rPr>
          <w:rFonts w:ascii="Calibri" w:hAnsi="Calibri" w:cs="Calibri"/>
          <w:b/>
          <w:color w:val="00188F"/>
          <w:sz w:val="18"/>
          <w:szCs w:val="18"/>
        </w:rPr>
        <w:t>“</w:t>
      </w:r>
      <w:r>
        <w:rPr>
          <w:rFonts w:ascii="Calibri" w:hAnsi="Calibri" w:cs="Calibri"/>
          <w:sz w:val="18"/>
          <w:szCs w:val="18"/>
        </w:rPr>
        <w:t xml:space="preserve"> sind die Menge aller gestellten Anfragen innerhalb der Gesamtzahl der Transaktionsversuche, die zu einem Fehlercode führen oder anderweitig innerhalb von 60 Sekunden nach dem Erhalt durch den Service keinen Erfolgscode zurückgeben. Fehlerhafte Transaktionen </w:t>
      </w:r>
      <w:r>
        <w:rPr>
          <w:rFonts w:ascii="Calibri" w:eastAsia="Times New Roman" w:hAnsi="Calibri" w:cs="Calibri"/>
          <w:color w:val="242424"/>
          <w:sz w:val="18"/>
          <w:szCs w:val="18"/>
          <w:bdr w:val="none" w:sz="0" w:space="0" w:color="auto" w:frame="1"/>
        </w:rPr>
        <w:t>enthalten keine asynchronen authentifizierten API-Anfragen, deren Abschluss aufgrund eines Nutzerfehlers länger als 60 Sekunden dauert.</w:t>
      </w:r>
    </w:p>
    <w:p w14:paraId="6B689ACF" w14:textId="64DAD6ED" w:rsidR="007F389B" w:rsidRPr="00244F03" w:rsidRDefault="007F389B" w:rsidP="0030005B">
      <w:pPr>
        <w:shd w:val="clear" w:color="auto" w:fill="FFFFFF"/>
        <w:spacing w:after="0" w:line="240" w:lineRule="auto"/>
        <w:rPr>
          <w:rFonts w:ascii="Calibri" w:eastAsia="Times New Roman" w:hAnsi="Calibri" w:cs="Calibri"/>
          <w:color w:val="242424"/>
          <w:sz w:val="18"/>
          <w:szCs w:val="18"/>
        </w:rPr>
      </w:pPr>
      <w:r w:rsidRPr="00A80248">
        <w:rPr>
          <w:rFonts w:ascii="Calibri" w:eastAsia="Times New Roman" w:hAnsi="Calibri" w:cs="Calibri"/>
          <w:color w:val="242424"/>
          <w:sz w:val="18"/>
          <w:szCs w:val="18"/>
          <w:bdr w:val="none" w:sz="0" w:space="0" w:color="auto" w:frame="1"/>
        </w:rPr>
        <w:t xml:space="preserve">Der </w:t>
      </w:r>
      <w:r w:rsidRPr="00A80248">
        <w:rPr>
          <w:rFonts w:ascii="Calibri" w:hAnsi="Calibri" w:cs="Calibri"/>
          <w:b/>
          <w:color w:val="00188F"/>
          <w:sz w:val="18"/>
          <w:szCs w:val="18"/>
        </w:rPr>
        <w:t>„</w:t>
      </w:r>
      <w:r>
        <w:rPr>
          <w:rFonts w:ascii="Calibri" w:hAnsi="Calibri" w:cs="Calibri"/>
          <w:b/>
          <w:color w:val="00188F"/>
          <w:sz w:val="18"/>
          <w:szCs w:val="18"/>
        </w:rPr>
        <w:t>Betriebszeitprozentsatz</w:t>
      </w:r>
      <w:r w:rsidRPr="00A80248">
        <w:rPr>
          <w:rFonts w:ascii="Calibri" w:hAnsi="Calibri" w:cs="Calibri"/>
          <w:b/>
          <w:color w:val="00188F"/>
          <w:sz w:val="18"/>
          <w:szCs w:val="18"/>
        </w:rPr>
        <w:t>“</w:t>
      </w:r>
      <w:r>
        <w:rPr>
          <w:rFonts w:ascii="Calibri" w:eastAsia="Times New Roman" w:hAnsi="Calibri" w:cs="Calibri"/>
          <w:color w:val="242424"/>
          <w:sz w:val="18"/>
          <w:szCs w:val="18"/>
          <w:bdr w:val="none" w:sz="0" w:space="0" w:color="auto" w:frame="1"/>
        </w:rPr>
        <w:t xml:space="preserve"> für eine bestimmte Planetary Computer Pro API wird berechnet als Gesamtzahl der Transaktionsversuche abzüglich der Fehlerhaften Transaktionen geteilt durch die Gesamtzahl der Transaktionsversuche multipliziert mit 100.</w:t>
      </w:r>
    </w:p>
    <w:p w14:paraId="2707F4EE" w14:textId="77777777" w:rsidR="007F389B" w:rsidRPr="00244F03" w:rsidRDefault="007F389B" w:rsidP="007F389B">
      <w:pPr>
        <w:shd w:val="clear" w:color="auto" w:fill="FFFFFF"/>
        <w:spacing w:after="0" w:line="240" w:lineRule="auto"/>
        <w:rPr>
          <w:rFonts w:ascii="Calibri" w:eastAsia="Times New Roman" w:hAnsi="Calibri" w:cs="Calibri"/>
          <w:color w:val="242424"/>
          <w:sz w:val="18"/>
          <w:szCs w:val="18"/>
          <w:bdr w:val="none" w:sz="0" w:space="0" w:color="auto" w:frame="1"/>
        </w:rPr>
      </w:pPr>
      <w:r>
        <w:rPr>
          <w:rFonts w:ascii="Calibri" w:eastAsia="Times New Roman" w:hAnsi="Calibri" w:cs="Calibri"/>
          <w:color w:val="242424"/>
          <w:sz w:val="18"/>
          <w:szCs w:val="18"/>
          <w:bdr w:val="none" w:sz="0" w:space="0" w:color="auto" w:frame="1"/>
        </w:rPr>
        <w:t>Der Betriebszeitprozentsatz errechnet sich nach folgender Formel:</w:t>
      </w:r>
    </w:p>
    <w:p w14:paraId="774C2081" w14:textId="77777777" w:rsidR="007F389B" w:rsidRPr="00DB462E" w:rsidRDefault="00000000" w:rsidP="007F389B">
      <w:pPr>
        <w:pStyle w:val="ListParagraph"/>
        <w:spacing w:before="120" w:after="120" w:line="240" w:lineRule="auto"/>
        <w:contextualSpacing w:val="0"/>
        <w:jc w:val="center"/>
        <w:rPr>
          <w:rFonts w:ascii="Cambria Math" w:eastAsiaTheme="minorEastAsia"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Gesamtzahl der Transaktionsversuche</m:t>
              </m:r>
              <m:r>
                <w:rPr>
                  <w:rFonts w:ascii="Cambria Math" w:eastAsia="Calibri" w:hAnsi="Cambria Math" w:cs="Calibri"/>
                  <w:sz w:val="18"/>
                  <w:szCs w:val="18"/>
                </w:rPr>
                <m:t xml:space="preserve"> - </m:t>
              </m:r>
              <m:r>
                <m:rPr>
                  <m:nor/>
                </m:rPr>
                <w:rPr>
                  <w:rFonts w:ascii="Cambria Math" w:hAnsi="Cambria Math" w:cs="Tahoma"/>
                  <w:i/>
                  <w:sz w:val="18"/>
                  <w:szCs w:val="18"/>
                </w:rPr>
                <m:t>Fehlerhafte Transaktionen</m:t>
              </m:r>
            </m:num>
            <m:den>
              <m:r>
                <m:rPr>
                  <m:nor/>
                </m:rPr>
                <w:rPr>
                  <w:rFonts w:ascii="Cambria Math" w:hAnsi="Cambria Math" w:cs="Tahoma"/>
                  <w:i/>
                  <w:sz w:val="18"/>
                  <w:szCs w:val="18"/>
                </w:rPr>
                <m:t>Gesamtzahl der Transaktionsversuche</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E87F118" w14:textId="77777777" w:rsidR="007F389B" w:rsidRPr="00784C9D" w:rsidRDefault="007F389B" w:rsidP="007F389B">
      <w:pPr>
        <w:shd w:val="clear" w:color="auto" w:fill="FFFFFF"/>
        <w:spacing w:after="0" w:line="240" w:lineRule="auto"/>
        <w:rPr>
          <w:rFonts w:ascii="Calibri" w:hAnsi="Calibri" w:cs="Calibri"/>
          <w:b/>
          <w:color w:val="00188F"/>
          <w:sz w:val="18"/>
          <w:szCs w:val="18"/>
        </w:rPr>
      </w:pPr>
      <w:r>
        <w:rPr>
          <w:rFonts w:ascii="Calibri" w:hAnsi="Calibri" w:cs="Calibri"/>
          <w:b/>
          <w:color w:val="00188F"/>
          <w:sz w:val="18"/>
          <w:szCs w:val="18"/>
        </w:rPr>
        <w:t>Die folgenden Servicelevel und Servicegutschriften gelten für die Nutzung jeder Planetary Computer Pro API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F389B" w14:paraId="3D0D85F8" w14:textId="77777777" w:rsidTr="004754D5">
        <w:trPr>
          <w:trHeight w:val="245"/>
          <w:tblHeader/>
        </w:trPr>
        <w:tc>
          <w:tcPr>
            <w:tcW w:w="5400" w:type="dxa"/>
            <w:shd w:val="clear" w:color="auto" w:fill="0072C6"/>
          </w:tcPr>
          <w:p w14:paraId="003905DB" w14:textId="77777777" w:rsidR="007F389B" w:rsidRPr="00BE16CF" w:rsidRDefault="007F389B" w:rsidP="004754D5">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lastRenderedPageBreak/>
              <w:t>Betriebszeitprozentsatz</w:t>
            </w:r>
          </w:p>
        </w:tc>
        <w:tc>
          <w:tcPr>
            <w:tcW w:w="5400" w:type="dxa"/>
            <w:shd w:val="clear" w:color="auto" w:fill="0072C6"/>
          </w:tcPr>
          <w:p w14:paraId="26A257C2" w14:textId="77777777" w:rsidR="007F389B" w:rsidRPr="00BE16CF" w:rsidRDefault="007F389B" w:rsidP="004754D5">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Servicegutschrift</w:t>
            </w:r>
          </w:p>
        </w:tc>
      </w:tr>
      <w:tr w:rsidR="007F389B" w14:paraId="665CEF8A" w14:textId="77777777" w:rsidTr="004754D5">
        <w:trPr>
          <w:trHeight w:val="245"/>
        </w:trPr>
        <w:tc>
          <w:tcPr>
            <w:tcW w:w="5400" w:type="dxa"/>
          </w:tcPr>
          <w:p w14:paraId="4AD950D0" w14:textId="77777777" w:rsidR="007F389B" w:rsidRPr="00BE16CF" w:rsidRDefault="007F389B" w:rsidP="004754D5">
            <w:pPr>
              <w:pStyle w:val="ProductList-OfferingBody"/>
              <w:jc w:val="center"/>
              <w:rPr>
                <w:rFonts w:ascii="Calibri" w:hAnsi="Calibri" w:cs="Calibri"/>
                <w:szCs w:val="16"/>
              </w:rPr>
            </w:pPr>
            <w:r>
              <w:rPr>
                <w:rFonts w:ascii="Calibri" w:hAnsi="Calibri" w:cs="Calibri"/>
                <w:szCs w:val="16"/>
              </w:rPr>
              <w:t>&lt; 99,9 %</w:t>
            </w:r>
          </w:p>
        </w:tc>
        <w:tc>
          <w:tcPr>
            <w:tcW w:w="5400" w:type="dxa"/>
          </w:tcPr>
          <w:p w14:paraId="0DFE0D9D" w14:textId="77777777" w:rsidR="007F389B" w:rsidRPr="00BE16CF" w:rsidRDefault="007F389B" w:rsidP="004754D5">
            <w:pPr>
              <w:pStyle w:val="ProductList-OfferingBody"/>
              <w:jc w:val="center"/>
              <w:rPr>
                <w:rFonts w:ascii="Calibri" w:hAnsi="Calibri" w:cs="Calibri"/>
                <w:szCs w:val="16"/>
              </w:rPr>
            </w:pPr>
            <w:r>
              <w:rPr>
                <w:rFonts w:ascii="Calibri" w:hAnsi="Calibri" w:cs="Calibri"/>
                <w:szCs w:val="16"/>
              </w:rPr>
              <w:t>25 %</w:t>
            </w:r>
          </w:p>
        </w:tc>
      </w:tr>
      <w:tr w:rsidR="007F389B" w14:paraId="1E68BA6A" w14:textId="77777777" w:rsidTr="004754D5">
        <w:trPr>
          <w:trHeight w:val="245"/>
        </w:trPr>
        <w:tc>
          <w:tcPr>
            <w:tcW w:w="5400" w:type="dxa"/>
          </w:tcPr>
          <w:p w14:paraId="165E611E" w14:textId="77777777" w:rsidR="007F389B" w:rsidRPr="00BE16CF" w:rsidRDefault="007F389B" w:rsidP="004754D5">
            <w:pPr>
              <w:pStyle w:val="ProductList-OfferingBody"/>
              <w:jc w:val="center"/>
              <w:rPr>
                <w:rFonts w:ascii="Calibri" w:hAnsi="Calibri" w:cs="Calibri"/>
                <w:szCs w:val="16"/>
              </w:rPr>
            </w:pPr>
            <w:r>
              <w:rPr>
                <w:rFonts w:ascii="Calibri" w:hAnsi="Calibri" w:cs="Calibri"/>
                <w:szCs w:val="16"/>
              </w:rPr>
              <w:t>&lt; 99 %</w:t>
            </w:r>
          </w:p>
        </w:tc>
        <w:tc>
          <w:tcPr>
            <w:tcW w:w="5400" w:type="dxa"/>
          </w:tcPr>
          <w:p w14:paraId="3DC08986" w14:textId="77777777" w:rsidR="007F389B" w:rsidRPr="00BE16CF" w:rsidRDefault="007F389B" w:rsidP="004754D5">
            <w:pPr>
              <w:pStyle w:val="ProductList-OfferingBody"/>
              <w:jc w:val="center"/>
              <w:rPr>
                <w:rFonts w:ascii="Calibri" w:hAnsi="Calibri" w:cs="Calibri"/>
                <w:szCs w:val="16"/>
              </w:rPr>
            </w:pPr>
            <w:r>
              <w:rPr>
                <w:rFonts w:ascii="Calibri" w:hAnsi="Calibri" w:cs="Calibri"/>
                <w:szCs w:val="16"/>
              </w:rPr>
              <w:t>50 %</w:t>
            </w:r>
          </w:p>
        </w:tc>
      </w:tr>
      <w:tr w:rsidR="007F389B" w14:paraId="1C8477DB" w14:textId="77777777" w:rsidTr="004754D5">
        <w:trPr>
          <w:trHeight w:val="245"/>
        </w:trPr>
        <w:tc>
          <w:tcPr>
            <w:tcW w:w="5400" w:type="dxa"/>
          </w:tcPr>
          <w:p w14:paraId="32C43B17" w14:textId="77777777" w:rsidR="007F389B" w:rsidRPr="00BE16CF" w:rsidRDefault="007F389B" w:rsidP="004754D5">
            <w:pPr>
              <w:pStyle w:val="ProductList-OfferingBody"/>
              <w:jc w:val="center"/>
              <w:rPr>
                <w:rFonts w:ascii="Calibri" w:hAnsi="Calibri" w:cs="Calibri"/>
                <w:szCs w:val="16"/>
              </w:rPr>
            </w:pPr>
            <w:r>
              <w:rPr>
                <w:rFonts w:ascii="Calibri" w:hAnsi="Calibri" w:cs="Calibri"/>
                <w:szCs w:val="16"/>
              </w:rPr>
              <w:t>&lt; 95 %</w:t>
            </w:r>
          </w:p>
        </w:tc>
        <w:tc>
          <w:tcPr>
            <w:tcW w:w="5400" w:type="dxa"/>
          </w:tcPr>
          <w:p w14:paraId="2D1BBF3E" w14:textId="77777777" w:rsidR="007F389B" w:rsidRPr="00BE16CF" w:rsidRDefault="007F389B" w:rsidP="004754D5">
            <w:pPr>
              <w:pStyle w:val="ProductList-OfferingBody"/>
              <w:jc w:val="center"/>
              <w:rPr>
                <w:rFonts w:ascii="Calibri" w:hAnsi="Calibri" w:cs="Calibri"/>
                <w:szCs w:val="16"/>
              </w:rPr>
            </w:pPr>
            <w:r>
              <w:rPr>
                <w:rFonts w:ascii="Calibri" w:hAnsi="Calibri" w:cs="Calibri"/>
                <w:szCs w:val="16"/>
              </w:rPr>
              <w:t>100 %</w:t>
            </w:r>
          </w:p>
        </w:tc>
      </w:tr>
    </w:tbl>
    <w:p w14:paraId="21179A37" w14:textId="77777777" w:rsidR="004512A9" w:rsidRPr="00D67F75" w:rsidRDefault="004512A9" w:rsidP="004512A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4089BBDD" w14:textId="3FD83861" w:rsidR="00724E33" w:rsidRPr="00D066A8" w:rsidRDefault="00724E33" w:rsidP="0028391E">
      <w:pPr>
        <w:pStyle w:val="ProductList-Offering2Heading"/>
        <w:keepNext/>
        <w:tabs>
          <w:tab w:val="clear" w:pos="360"/>
          <w:tab w:val="clear" w:pos="720"/>
          <w:tab w:val="clear" w:pos="1080"/>
        </w:tabs>
        <w:outlineLvl w:val="2"/>
      </w:pPr>
      <w:bookmarkStart w:id="453" w:name="_Toc237449039"/>
      <w:r>
        <w:t>Microsoft Sentinel</w:t>
      </w:r>
      <w:bookmarkEnd w:id="452"/>
      <w:bookmarkEnd w:id="453"/>
    </w:p>
    <w:p w14:paraId="7EF8D42A" w14:textId="77777777" w:rsidR="00724E33" w:rsidRPr="00E90A02" w:rsidRDefault="00724E33" w:rsidP="00724E33">
      <w:pPr>
        <w:keepNext/>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188F"/>
          <w:sz w:val="18"/>
          <w:szCs w:val="18"/>
          <w:bdr w:val="none" w:sz="0" w:space="0" w:color="auto" w:frame="1"/>
        </w:rPr>
        <w:t>Zusätzliche Definitionen</w:t>
      </w:r>
      <w:r w:rsidRPr="0008262F">
        <w:rPr>
          <w:b/>
          <w:bCs/>
          <w:color w:val="00188F"/>
          <w:sz w:val="18"/>
        </w:rPr>
        <w:t>:</w:t>
      </w:r>
      <w:r>
        <w:rPr>
          <w:rFonts w:ascii="Calibri" w:eastAsia="Times New Roman" w:hAnsi="Calibri" w:cs="Calibri"/>
          <w:color w:val="000000"/>
          <w:sz w:val="18"/>
          <w:szCs w:val="18"/>
          <w:bdr w:val="none" w:sz="0" w:space="0" w:color="auto" w:frame="1"/>
        </w:rPr>
        <w:t> </w:t>
      </w:r>
    </w:p>
    <w:p w14:paraId="2AF0547B" w14:textId="77777777" w:rsidR="00724E33" w:rsidRPr="00E90A02" w:rsidRDefault="00724E33" w:rsidP="00724E33">
      <w:pPr>
        <w:shd w:val="clear" w:color="auto" w:fill="FFFFFF"/>
        <w:spacing w:after="0" w:line="240" w:lineRule="auto"/>
        <w:rPr>
          <w:rFonts w:ascii="Calibri" w:eastAsia="Times New Roman" w:hAnsi="Calibri" w:cs="Calibri"/>
          <w:color w:val="000000"/>
          <w:sz w:val="18"/>
          <w:szCs w:val="18"/>
        </w:rPr>
      </w:pPr>
      <w:r w:rsidRPr="00445B42">
        <w:rPr>
          <w:sz w:val="18"/>
        </w:rPr>
        <w:t>„</w:t>
      </w:r>
      <w:r>
        <w:rPr>
          <w:rFonts w:ascii="Calibri" w:eastAsia="Times New Roman" w:hAnsi="Calibri" w:cs="Calibri"/>
          <w:b/>
          <w:bCs/>
          <w:color w:val="00188F"/>
          <w:sz w:val="18"/>
          <w:szCs w:val="18"/>
          <w:bdr w:val="none" w:sz="0" w:space="0" w:color="auto" w:frame="1"/>
        </w:rPr>
        <w:t>Maximal Verfügbare Minuten</w:t>
      </w:r>
      <w:r w:rsidRPr="00445B42">
        <w:rPr>
          <w:sz w:val="18"/>
        </w:rPr>
        <w:t>“ </w:t>
      </w:r>
      <w:r>
        <w:rPr>
          <w:rFonts w:ascii="Calibri" w:eastAsia="Times New Roman" w:hAnsi="Calibri" w:cs="Calibri"/>
          <w:color w:val="000000"/>
          <w:sz w:val="18"/>
          <w:szCs w:val="18"/>
          <w:bdr w:val="none" w:sz="0" w:space="0" w:color="auto" w:frame="1"/>
        </w:rPr>
        <w:t>ist die Gesamtzahl der Minuten, in denen ein bestimmter Microsoft Sentinel vom Kunden während eines Anwendbaren Zeitraums in einem Microsoft Azure-Abonnement bereitgestellt wird. </w:t>
      </w:r>
    </w:p>
    <w:p w14:paraId="60E5CB06" w14:textId="77777777" w:rsidR="00724E33" w:rsidRPr="00E90A02" w:rsidRDefault="00724E33" w:rsidP="00724E33">
      <w:pPr>
        <w:shd w:val="clear" w:color="auto" w:fill="FFFFFF"/>
        <w:spacing w:after="0" w:line="240" w:lineRule="auto"/>
        <w:rPr>
          <w:rFonts w:ascii="Calibri" w:eastAsia="Times New Roman" w:hAnsi="Calibri" w:cs="Calibri"/>
          <w:color w:val="000000"/>
          <w:sz w:val="18"/>
          <w:szCs w:val="18"/>
        </w:rPr>
      </w:pPr>
      <w:r w:rsidRPr="00445B42">
        <w:rPr>
          <w:sz w:val="18"/>
        </w:rPr>
        <w:t>„</w:t>
      </w:r>
      <w:r>
        <w:rPr>
          <w:rFonts w:ascii="Calibri" w:eastAsia="Times New Roman" w:hAnsi="Calibri" w:cs="Calibri"/>
          <w:b/>
          <w:bCs/>
          <w:color w:val="00188F"/>
          <w:sz w:val="18"/>
          <w:szCs w:val="18"/>
          <w:bdr w:val="none" w:sz="0" w:space="0" w:color="auto" w:frame="1"/>
        </w:rPr>
        <w:t>Downtime</w:t>
      </w:r>
      <w:r w:rsidRPr="00445B42">
        <w:rPr>
          <w:sz w:val="18"/>
        </w:rPr>
        <w:t>“ </w:t>
      </w:r>
      <w:r>
        <w:rPr>
          <w:rFonts w:ascii="Calibri" w:eastAsia="Times New Roman" w:hAnsi="Calibri" w:cs="Calibri"/>
          <w:color w:val="000000"/>
          <w:sz w:val="18"/>
          <w:szCs w:val="18"/>
          <w:bdr w:val="none" w:sz="0" w:space="0" w:color="auto" w:frame="1"/>
        </w:rPr>
        <w:t>ist die Gesamtanzahl der Minuten innerhalb der maximal verfügbaren Minuten, in der Daten in Microsoft Sentinel nicht verfügbar sind. Eine Minute gilt für einen bestimmten Azure Sentinel als nicht verfügbar, in der keine HTTP-Operationen zu einem Erfolgscode führten.  </w:t>
      </w:r>
    </w:p>
    <w:p w14:paraId="6AAA84F0" w14:textId="77777777" w:rsidR="00724E33" w:rsidRPr="00E90A02" w:rsidRDefault="00724E33" w:rsidP="00724E33">
      <w:pPr>
        <w:shd w:val="clear" w:color="auto" w:fill="FFFFFF"/>
        <w:spacing w:after="0" w:line="240" w:lineRule="auto"/>
        <w:rPr>
          <w:rFonts w:ascii="Calibri" w:eastAsia="Times New Roman" w:hAnsi="Calibri" w:cs="Calibri"/>
          <w:color w:val="000000"/>
          <w:sz w:val="18"/>
          <w:szCs w:val="18"/>
        </w:rPr>
      </w:pPr>
      <w:r w:rsidRPr="00445B42">
        <w:rPr>
          <w:sz w:val="18"/>
        </w:rPr>
        <w:t>„</w:t>
      </w:r>
      <w:r>
        <w:rPr>
          <w:rFonts w:ascii="Calibri" w:eastAsia="Times New Roman" w:hAnsi="Calibri" w:cs="Calibri"/>
          <w:b/>
          <w:bCs/>
          <w:color w:val="00188F"/>
          <w:sz w:val="18"/>
          <w:szCs w:val="18"/>
          <w:bdr w:val="none" w:sz="0" w:space="0" w:color="auto" w:frame="1"/>
        </w:rPr>
        <w:t>Prozentsatz der Abfrageverfügbarkeit</w:t>
      </w:r>
      <w:r w:rsidRPr="00445B42">
        <w:rPr>
          <w:sz w:val="18"/>
        </w:rPr>
        <w:t>“ </w:t>
      </w:r>
      <w:r>
        <w:rPr>
          <w:rFonts w:ascii="Calibri" w:eastAsia="Times New Roman" w:hAnsi="Calibri" w:cs="Calibri"/>
          <w:color w:val="000000"/>
          <w:sz w:val="18"/>
          <w:szCs w:val="18"/>
          <w:bdr w:val="none" w:sz="0" w:space="0" w:color="auto" w:frame="1"/>
        </w:rPr>
        <w:t>für einen bestimmten Microsoft Sentinel wird berechnet als Maximal Verfügbare Minuten abzüglich Ausfallzeit geteilt durch Maximal Verfügbare Minuten multipliziert mit 100. </w:t>
      </w:r>
    </w:p>
    <w:p w14:paraId="5AEEA629" w14:textId="77777777" w:rsidR="00724E33" w:rsidRPr="00E90A02" w:rsidRDefault="00724E33" w:rsidP="00724E33">
      <w:pPr>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188F"/>
          <w:sz w:val="18"/>
          <w:szCs w:val="18"/>
          <w:bdr w:val="none" w:sz="0" w:space="0" w:color="auto" w:frame="1"/>
        </w:rPr>
        <w:t>Prozentsatz der Abfrageverfügbarkeit</w:t>
      </w:r>
      <w:r w:rsidRPr="0008262F">
        <w:rPr>
          <w:b/>
          <w:bCs/>
          <w:color w:val="00188F"/>
          <w:sz w:val="18"/>
        </w:rPr>
        <w:t>:</w:t>
      </w:r>
      <w:r>
        <w:rPr>
          <w:rFonts w:ascii="Calibri" w:eastAsia="Times New Roman" w:hAnsi="Calibri" w:cs="Calibri"/>
          <w:color w:val="000000"/>
          <w:sz w:val="18"/>
          <w:szCs w:val="18"/>
          <w:bdr w:val="none" w:sz="0" w:space="0" w:color="auto" w:frame="1"/>
        </w:rPr>
        <w:t xml:space="preserve"> Der Prozentsatz der Abfrageverfügbarkeit wird mithilfe der folgenden Formel berechnet: </w:t>
      </w:r>
    </w:p>
    <w:p w14:paraId="35637AEE" w14:textId="77777777" w:rsidR="00724E33" w:rsidRPr="00E90A02" w:rsidRDefault="00724E33" w:rsidP="00724E33">
      <w:pPr>
        <w:shd w:val="clear" w:color="auto" w:fill="FFFFFF"/>
        <w:spacing w:after="0" w:line="240" w:lineRule="auto"/>
        <w:rPr>
          <w:rFonts w:ascii="Calibri" w:eastAsia="Times New Roman" w:hAnsi="Calibri" w:cs="Calibri"/>
          <w:color w:val="00188F"/>
          <w:sz w:val="18"/>
          <w:szCs w:val="18"/>
        </w:rPr>
      </w:pPr>
      <w:r>
        <w:rPr>
          <w:rFonts w:ascii="Calibri" w:eastAsia="Times New Roman" w:hAnsi="Calibri" w:cs="Calibri"/>
          <w:b/>
          <w:bCs/>
          <w:color w:val="00188F"/>
          <w:sz w:val="18"/>
          <w:szCs w:val="18"/>
          <w:bdr w:val="none" w:sz="0" w:space="0" w:color="auto" w:frame="1"/>
        </w:rPr>
        <w:t>Servicegutschrift</w:t>
      </w:r>
      <w:r w:rsidRPr="0008262F">
        <w:rPr>
          <w:b/>
          <w:bCs/>
          <w:color w:val="00188F"/>
          <w:sz w:val="18"/>
        </w:rPr>
        <w:t>:</w:t>
      </w:r>
    </w:p>
    <w:tbl>
      <w:tblPr>
        <w:tblW w:w="5002" w:type="pct"/>
        <w:tblInd w:w="5" w:type="dxa"/>
        <w:shd w:val="clear" w:color="auto" w:fill="FFFFFF"/>
        <w:tblCellMar>
          <w:top w:w="15" w:type="dxa"/>
          <w:left w:w="15" w:type="dxa"/>
          <w:bottom w:w="15" w:type="dxa"/>
          <w:right w:w="15" w:type="dxa"/>
        </w:tblCellMar>
        <w:tblLook w:val="04A0" w:firstRow="1" w:lastRow="0" w:firstColumn="1" w:lastColumn="0" w:noHBand="0" w:noVBand="1"/>
      </w:tblPr>
      <w:tblGrid>
        <w:gridCol w:w="5386"/>
        <w:gridCol w:w="5398"/>
      </w:tblGrid>
      <w:tr w:rsidR="00724E33" w:rsidRPr="00E90A02" w14:paraId="307580BE" w14:textId="77777777" w:rsidTr="00E00804">
        <w:trPr>
          <w:trHeight w:val="133"/>
        </w:trPr>
        <w:tc>
          <w:tcPr>
            <w:tcW w:w="2497" w:type="pct"/>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446FDE3E" w14:textId="77777777" w:rsidR="00724E33" w:rsidRPr="00E90A02" w:rsidRDefault="00724E33" w:rsidP="00E00804">
            <w:pPr>
              <w:spacing w:before="20" w:after="20" w:line="240" w:lineRule="auto"/>
              <w:ind w:left="1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Prozentsatz der Abfrageverfügbarkeit </w:t>
            </w:r>
          </w:p>
        </w:tc>
        <w:tc>
          <w:tcPr>
            <w:tcW w:w="2503" w:type="pct"/>
            <w:tcBorders>
              <w:top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12ADCBF0" w14:textId="77777777" w:rsidR="00724E33" w:rsidRPr="00E90A02" w:rsidRDefault="00724E33" w:rsidP="00E00804">
            <w:pPr>
              <w:spacing w:before="20" w:after="20" w:line="240" w:lineRule="auto"/>
              <w:ind w:left="1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Servicegutschrift </w:t>
            </w:r>
          </w:p>
        </w:tc>
      </w:tr>
      <w:tr w:rsidR="00724E33" w:rsidRPr="00E90A02" w14:paraId="09F39A60" w14:textId="77777777" w:rsidTr="00E00804">
        <w:trPr>
          <w:trHeight w:val="133"/>
        </w:trPr>
        <w:tc>
          <w:tcPr>
            <w:tcW w:w="2497"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6D8C899" w14:textId="77777777" w:rsidR="00724E33" w:rsidRPr="00E90A02" w:rsidRDefault="00724E33" w:rsidP="00E00804">
            <w:pPr>
              <w:spacing w:before="20" w:after="20" w:line="240" w:lineRule="auto"/>
              <w:ind w:left="1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 </w:t>
            </w:r>
          </w:p>
        </w:tc>
        <w:tc>
          <w:tcPr>
            <w:tcW w:w="2503"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65946BAC" w14:textId="77777777" w:rsidR="00724E33" w:rsidRPr="00E90A02" w:rsidRDefault="00724E33" w:rsidP="00E00804">
            <w:pPr>
              <w:spacing w:before="20" w:after="20" w:line="240" w:lineRule="auto"/>
              <w:ind w:left="1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10 % </w:t>
            </w:r>
          </w:p>
        </w:tc>
      </w:tr>
      <w:tr w:rsidR="00724E33" w:rsidRPr="00E90A02" w14:paraId="3F6DA96C" w14:textId="77777777" w:rsidTr="00E00804">
        <w:trPr>
          <w:trHeight w:val="142"/>
        </w:trPr>
        <w:tc>
          <w:tcPr>
            <w:tcW w:w="2497"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1761623" w14:textId="77777777" w:rsidR="00724E33" w:rsidRPr="00E90A02" w:rsidRDefault="00724E33" w:rsidP="00E00804">
            <w:pPr>
              <w:spacing w:before="20" w:after="20" w:line="240" w:lineRule="auto"/>
              <w:ind w:left="1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 </w:t>
            </w:r>
          </w:p>
        </w:tc>
        <w:tc>
          <w:tcPr>
            <w:tcW w:w="2503"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0A3C1E93" w14:textId="77777777" w:rsidR="00724E33" w:rsidRPr="00E90A02" w:rsidRDefault="00724E33" w:rsidP="00E00804">
            <w:pPr>
              <w:spacing w:before="20" w:after="20" w:line="240" w:lineRule="auto"/>
              <w:ind w:left="1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25 % </w:t>
            </w:r>
          </w:p>
        </w:tc>
      </w:tr>
    </w:tbl>
    <w:p w14:paraId="6D095AAA" w14:textId="77777777" w:rsidR="00724E33" w:rsidRPr="00D67F75" w:rsidRDefault="00724E33" w:rsidP="00724E3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64451F0F" w14:textId="5CB1FCFB" w:rsidR="00CA66E5" w:rsidRPr="00EF7CF9" w:rsidRDefault="00CA66E5" w:rsidP="00CA66E5">
      <w:pPr>
        <w:pStyle w:val="ProductList-Offering2Heading"/>
        <w:tabs>
          <w:tab w:val="clear" w:pos="360"/>
          <w:tab w:val="clear" w:pos="720"/>
          <w:tab w:val="clear" w:pos="1080"/>
        </w:tabs>
        <w:outlineLvl w:val="2"/>
      </w:pPr>
      <w:bookmarkStart w:id="454" w:name="_Toc457821566"/>
      <w:bookmarkStart w:id="455" w:name="_Toc52348975"/>
      <w:bookmarkStart w:id="456" w:name="_Toc195543178"/>
      <w:bookmarkStart w:id="457" w:name="_Toc237449040"/>
      <w:bookmarkEnd w:id="446"/>
      <w:r>
        <w:t>M</w:t>
      </w:r>
      <w:bookmarkStart w:id="458" w:name="ServiceSpecificTerms_Azure_MobileServ"/>
      <w:bookmarkEnd w:id="458"/>
      <w:r>
        <w:t>obile Dienste</w:t>
      </w:r>
      <w:bookmarkEnd w:id="454"/>
      <w:bookmarkEnd w:id="455"/>
      <w:bookmarkEnd w:id="456"/>
      <w:bookmarkEnd w:id="457"/>
    </w:p>
    <w:p w14:paraId="4AC57098" w14:textId="77777777" w:rsidR="00CA66E5" w:rsidRPr="00EF7CF9" w:rsidRDefault="00CA66E5" w:rsidP="00CA66E5">
      <w:pPr>
        <w:pStyle w:val="ProductList-Body"/>
      </w:pPr>
      <w:r>
        <w:rPr>
          <w:b/>
          <w:color w:val="00188F"/>
        </w:rPr>
        <w:t>Zusätzliche Definitionen</w:t>
      </w:r>
      <w:r w:rsidRPr="0008262F">
        <w:rPr>
          <w:b/>
          <w:bCs/>
          <w:color w:val="00188F"/>
        </w:rPr>
        <w:t>:</w:t>
      </w:r>
    </w:p>
    <w:p w14:paraId="137D5183" w14:textId="7152224C" w:rsidR="00CA66E5" w:rsidRPr="00EF7CF9" w:rsidRDefault="00CA66E5" w:rsidP="00CA66E5">
      <w:pPr>
        <w:pStyle w:val="ProductList-Body"/>
      </w:pPr>
      <w:r>
        <w:t>„</w:t>
      </w:r>
      <w:r>
        <w:rPr>
          <w:b/>
          <w:color w:val="00188F"/>
        </w:rPr>
        <w:t>Fehlerhafte Transaktionen</w:t>
      </w:r>
      <w:r>
        <w:t>“</w:t>
      </w:r>
      <w:r w:rsidRPr="0008262F">
        <w:rPr>
          <w:b/>
          <w:bCs/>
          <w:color w:val="00188F"/>
        </w:rPr>
        <w:t>:</w:t>
      </w:r>
      <w:r>
        <w:rPr>
          <w:rFonts w:eastAsia="Times New Roman"/>
        </w:rPr>
        <w:t xml:space="preserve"> alle API-Aufrufe, die in der Gesamtzahl der Transaktionsversuche enthalten sind und entweder zu einem Fehlercode führen oder keinen Erfolgscode zurückgeben</w:t>
      </w:r>
      <w:r>
        <w:t>.</w:t>
      </w:r>
    </w:p>
    <w:p w14:paraId="49ACBD58" w14:textId="51983A77" w:rsidR="00CA66E5" w:rsidRPr="00EF7CF9" w:rsidRDefault="00CA66E5" w:rsidP="00CA66E5">
      <w:pPr>
        <w:pStyle w:val="ProductList-Body"/>
      </w:pPr>
      <w:r>
        <w:t>„</w:t>
      </w:r>
      <w:r>
        <w:rPr>
          <w:b/>
          <w:color w:val="00188F"/>
        </w:rPr>
        <w:t>Gesamtzahl der Transaktionsversuche</w:t>
      </w:r>
      <w:r>
        <w:t xml:space="preserve">“ sind </w:t>
      </w:r>
      <w:r>
        <w:rPr>
          <w:rFonts w:eastAsia="Times New Roman"/>
        </w:rPr>
        <w:t>die gesamten kumulierten API-Aufrufe, die während eines Anwendbaren Zeitraums für ein bestimmtes Microsoft Azure-Abonnement, für das Azure Mobile Services ausgeführt werden, an die Azure Mobile Services erfolgen</w:t>
      </w:r>
      <w:r>
        <w:t>.</w:t>
      </w:r>
    </w:p>
    <w:p w14:paraId="361A6A1C" w14:textId="3C0B06C6" w:rsidR="00CA66E5" w:rsidRPr="00EF7CF9" w:rsidRDefault="00AC48A7" w:rsidP="00CA66E5">
      <w:pPr>
        <w:pStyle w:val="ProductList-Body"/>
      </w:pPr>
      <w:r>
        <w:rPr>
          <w:b/>
          <w:color w:val="00188F"/>
        </w:rPr>
        <w:t>Betriebszeitprozentsatz</w:t>
      </w:r>
      <w:r w:rsidRPr="0008262F">
        <w:rPr>
          <w:b/>
          <w:bCs/>
          <w:color w:val="00188F"/>
        </w:rPr>
        <w:t>:</w:t>
      </w:r>
      <w:r>
        <w:t xml:space="preserve"> Der Betriebszeitprozentsatz errechnet sich nach folgender Formel:</w:t>
      </w:r>
    </w:p>
    <w:p w14:paraId="097EAC56" w14:textId="399630FE" w:rsidR="00CA66E5" w:rsidRPr="00EF7CF9" w:rsidRDefault="00000000" w:rsidP="002F4A70">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Gesamtzahl der Transaktionsversuche abzüglich Fehlerhafte Transaktionen</m:t>
              </m:r>
            </m:num>
            <m:den>
              <m:r>
                <m:rPr>
                  <m:nor/>
                </m:rPr>
                <w:rPr>
                  <w:rFonts w:ascii="Cambria Math" w:hAnsi="Cambria Math" w:cs="Tahoma"/>
                  <w:i/>
                  <w:color w:val="000000" w:themeColor="text1"/>
                  <w:sz w:val="18"/>
                  <w:szCs w:val="18"/>
                </w:rPr>
                <m:t>Gesamtzahl der Transaktionsversuche</m:t>
              </m:r>
            </m:den>
          </m:f>
          <m:r>
            <w:rPr>
              <w:rFonts w:ascii="Cambria Math" w:hAnsi="Cambria Math" w:cs="Tahoma"/>
              <w:color w:val="000000" w:themeColor="text1"/>
              <w:sz w:val="18"/>
              <w:szCs w:val="18"/>
            </w:rPr>
            <m:t xml:space="preserve"> x 100</m:t>
          </m:r>
        </m:oMath>
      </m:oMathPara>
    </w:p>
    <w:p w14:paraId="5BA61BEF" w14:textId="77777777" w:rsidR="00CA66E5" w:rsidRPr="00EF7CF9" w:rsidRDefault="00CA66E5" w:rsidP="00CA66E5">
      <w:pPr>
        <w:pStyle w:val="ProductList-Body"/>
      </w:pPr>
      <w:r>
        <w:rPr>
          <w:b/>
          <w:color w:val="00188F"/>
        </w:rPr>
        <w:t>Servicegutschrift</w:t>
      </w:r>
      <w:r w:rsidRPr="0008262F">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A66E5" w:rsidRPr="00B44CF9" w14:paraId="025DE223" w14:textId="77777777" w:rsidTr="00277097">
        <w:trPr>
          <w:tblHeader/>
        </w:trPr>
        <w:tc>
          <w:tcPr>
            <w:tcW w:w="5400" w:type="dxa"/>
            <w:shd w:val="clear" w:color="auto" w:fill="0072C6"/>
          </w:tcPr>
          <w:p w14:paraId="0E8A7E9D" w14:textId="0E0FA4B6" w:rsidR="00CA66E5"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7227F7E4" w14:textId="77777777" w:rsidR="00CA66E5" w:rsidRPr="00EF7CF9" w:rsidRDefault="00CA66E5" w:rsidP="000F31B4">
            <w:pPr>
              <w:pStyle w:val="ProductList-OfferingBody"/>
              <w:jc w:val="center"/>
              <w:rPr>
                <w:color w:val="FFFFFF" w:themeColor="background1"/>
              </w:rPr>
            </w:pPr>
            <w:r>
              <w:rPr>
                <w:color w:val="FFFFFF" w:themeColor="background1"/>
              </w:rPr>
              <w:t>Servicegutschrift</w:t>
            </w:r>
          </w:p>
        </w:tc>
      </w:tr>
      <w:tr w:rsidR="00CA66E5" w:rsidRPr="00B44CF9" w14:paraId="7917301A" w14:textId="77777777" w:rsidTr="00277097">
        <w:tc>
          <w:tcPr>
            <w:tcW w:w="5400" w:type="dxa"/>
          </w:tcPr>
          <w:p w14:paraId="66B91960" w14:textId="77777777" w:rsidR="00CA66E5" w:rsidRPr="00EF7CF9" w:rsidRDefault="00CA66E5" w:rsidP="000F31B4">
            <w:pPr>
              <w:pStyle w:val="ProductList-OfferingBody"/>
              <w:jc w:val="center"/>
            </w:pPr>
            <w:r>
              <w:t>&lt; 99,9 %</w:t>
            </w:r>
          </w:p>
        </w:tc>
        <w:tc>
          <w:tcPr>
            <w:tcW w:w="5400" w:type="dxa"/>
          </w:tcPr>
          <w:p w14:paraId="660F6EB6" w14:textId="77777777" w:rsidR="00CA66E5" w:rsidRPr="00EF7CF9" w:rsidRDefault="00CA66E5" w:rsidP="000F31B4">
            <w:pPr>
              <w:pStyle w:val="ProductList-OfferingBody"/>
              <w:jc w:val="center"/>
            </w:pPr>
            <w:r>
              <w:t>10 %</w:t>
            </w:r>
          </w:p>
        </w:tc>
      </w:tr>
      <w:tr w:rsidR="00CA66E5" w:rsidRPr="00B44CF9" w14:paraId="50C34805" w14:textId="77777777" w:rsidTr="00277097">
        <w:tc>
          <w:tcPr>
            <w:tcW w:w="5400" w:type="dxa"/>
          </w:tcPr>
          <w:p w14:paraId="099D5C8B" w14:textId="77777777" w:rsidR="00CA66E5" w:rsidRPr="00EF7CF9" w:rsidRDefault="00CA66E5" w:rsidP="000F31B4">
            <w:pPr>
              <w:pStyle w:val="ProductList-OfferingBody"/>
              <w:jc w:val="center"/>
            </w:pPr>
            <w:r>
              <w:t>&lt; 99 %</w:t>
            </w:r>
          </w:p>
        </w:tc>
        <w:tc>
          <w:tcPr>
            <w:tcW w:w="5400" w:type="dxa"/>
          </w:tcPr>
          <w:p w14:paraId="74F40727" w14:textId="77777777" w:rsidR="00CA66E5" w:rsidRPr="00EF7CF9" w:rsidRDefault="00CA66E5" w:rsidP="000F31B4">
            <w:pPr>
              <w:pStyle w:val="ProductList-OfferingBody"/>
              <w:jc w:val="center"/>
            </w:pPr>
            <w:r>
              <w:t>25 %</w:t>
            </w:r>
          </w:p>
        </w:tc>
      </w:tr>
    </w:tbl>
    <w:p w14:paraId="441C7B1D" w14:textId="75EC2089" w:rsidR="00CA66E5" w:rsidRPr="00EF7CF9" w:rsidRDefault="00CA66E5" w:rsidP="0028391E">
      <w:pPr>
        <w:pStyle w:val="ProductList-Body"/>
        <w:spacing w:before="120"/>
      </w:pPr>
      <w:r>
        <w:rPr>
          <w:b/>
          <w:color w:val="00188F"/>
        </w:rPr>
        <w:t>Servicelevel-Ausnahmen</w:t>
      </w:r>
      <w:r w:rsidRPr="0008262F">
        <w:rPr>
          <w:b/>
          <w:bCs/>
          <w:color w:val="00188F"/>
        </w:rPr>
        <w:t>:</w:t>
      </w:r>
      <w:r>
        <w:t xml:space="preserve"> Service-Levels und Servicegutschriften gelten für die Nutzung der Standard- und Premiumstufen bei den Mobile Services.</w:t>
      </w:r>
    </w:p>
    <w:p w14:paraId="2951FFCA" w14:textId="10389D05"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32F17D0F" w14:textId="08734EED" w:rsidR="004005AF" w:rsidRPr="00EF7CF9" w:rsidRDefault="004005AF" w:rsidP="0005465C">
      <w:pPr>
        <w:pStyle w:val="ProductList-Offering2Heading"/>
        <w:keepNext/>
        <w:tabs>
          <w:tab w:val="clear" w:pos="360"/>
          <w:tab w:val="clear" w:pos="720"/>
          <w:tab w:val="clear" w:pos="1080"/>
        </w:tabs>
        <w:outlineLvl w:val="2"/>
      </w:pPr>
      <w:bookmarkStart w:id="459" w:name="_Toc195543179"/>
      <w:bookmarkStart w:id="460" w:name="_Toc237449041"/>
      <w:r>
        <w:t>Azure Monitor</w:t>
      </w:r>
      <w:bookmarkEnd w:id="439"/>
      <w:bookmarkEnd w:id="440"/>
      <w:bookmarkEnd w:id="459"/>
      <w:bookmarkEnd w:id="460"/>
    </w:p>
    <w:p w14:paraId="755788BB" w14:textId="092E983D" w:rsidR="004005AF" w:rsidRPr="004C3ABB" w:rsidRDefault="00EE6E3C" w:rsidP="004005AF">
      <w:pPr>
        <w:pStyle w:val="ProductList-Body"/>
        <w:rPr>
          <w:b/>
          <w:color w:val="00188F"/>
        </w:rPr>
      </w:pPr>
      <w:r>
        <w:rPr>
          <w:b/>
          <w:color w:val="00188F"/>
        </w:rPr>
        <w:t>Berechnung der Betriebszeit und Service-Levels für die Azure-Monitorwarnungen</w:t>
      </w:r>
    </w:p>
    <w:p w14:paraId="3A25576F" w14:textId="77777777" w:rsidR="004005AF" w:rsidRPr="00ED4527" w:rsidRDefault="004005AF" w:rsidP="004005AF">
      <w:pPr>
        <w:pStyle w:val="ProductList-Body"/>
        <w:rPr>
          <w:b/>
          <w:color w:val="00188F"/>
        </w:rPr>
      </w:pPr>
      <w:r>
        <w:rPr>
          <w:b/>
          <w:color w:val="00188F"/>
        </w:rPr>
        <w:t>Zusätzliche Definitionen</w:t>
      </w:r>
      <w:r w:rsidRPr="0008262F">
        <w:rPr>
          <w:b/>
          <w:bCs/>
          <w:color w:val="00188F"/>
        </w:rPr>
        <w:t>:</w:t>
      </w:r>
    </w:p>
    <w:p w14:paraId="45980D93" w14:textId="77777777" w:rsidR="004005AF" w:rsidRPr="00ED4527" w:rsidRDefault="004005AF" w:rsidP="004005AF">
      <w:pPr>
        <w:pStyle w:val="ProductList-Body"/>
        <w:rPr>
          <w:bCs/>
          <w:color w:val="000000" w:themeColor="text1"/>
        </w:rPr>
      </w:pPr>
      <w:r>
        <w:rPr>
          <w:bCs/>
          <w:color w:val="000000" w:themeColor="text1"/>
        </w:rPr>
        <w:t>„</w:t>
      </w:r>
      <w:r>
        <w:rPr>
          <w:b/>
          <w:color w:val="00188F"/>
        </w:rPr>
        <w:t>Warnregel</w:t>
      </w:r>
      <w:r>
        <w:rPr>
          <w:bCs/>
          <w:color w:val="000000" w:themeColor="text1"/>
        </w:rPr>
        <w:t>“ ist eine Sammlung von Signalkriterien, die zur Generierung von Warnungen unter Verwendung von Überwachungsereignisdaten verwendet werden, die dem Warndienst bereits zur Analyse zur Verfügung stehen.</w:t>
      </w:r>
    </w:p>
    <w:p w14:paraId="754D887B" w14:textId="5B92FF86" w:rsidR="004005AF" w:rsidRPr="00ED4527" w:rsidRDefault="004005AF" w:rsidP="004005AF">
      <w:pPr>
        <w:pStyle w:val="ProductList-Body"/>
        <w:rPr>
          <w:bCs/>
          <w:color w:val="000000" w:themeColor="text1"/>
        </w:rPr>
      </w:pPr>
      <w:r>
        <w:rPr>
          <w:bCs/>
          <w:color w:val="000000" w:themeColor="text1"/>
        </w:rPr>
        <w:t>„</w:t>
      </w:r>
      <w:r>
        <w:rPr>
          <w:b/>
          <w:color w:val="00188F"/>
        </w:rPr>
        <w:t>Maximal Verfügbare Minuten</w:t>
      </w:r>
      <w:r>
        <w:rPr>
          <w:bCs/>
          <w:color w:val="000000" w:themeColor="text1"/>
        </w:rPr>
        <w:t>“ ist die Gesamtzahl der Minuten, in denen die Warnregel(n) vom Kunden in einem bestimmten Microsoft Azure-Abonnement während eines Anwendbaren Zeitraums bereitgestellt wird/werden.</w:t>
      </w:r>
    </w:p>
    <w:p w14:paraId="3A79CCD9" w14:textId="210C4250" w:rsidR="004005AF" w:rsidRPr="00ED4527" w:rsidRDefault="004005AF" w:rsidP="00215F64">
      <w:pPr>
        <w:pStyle w:val="ProductList-Body"/>
        <w:rPr>
          <w:bCs/>
          <w:color w:val="000000" w:themeColor="text1"/>
        </w:rPr>
      </w:pPr>
      <w:r>
        <w:rPr>
          <w:bCs/>
          <w:color w:val="000000" w:themeColor="text1"/>
        </w:rPr>
        <w:t>„</w:t>
      </w:r>
      <w:r>
        <w:rPr>
          <w:b/>
          <w:color w:val="00188F"/>
        </w:rPr>
        <w:t>Ausfallzeit</w:t>
      </w:r>
      <w:r>
        <w:rPr>
          <w:bCs/>
          <w:color w:val="000000" w:themeColor="text1"/>
        </w:rPr>
        <w:t>“ ist die Gesamtzahl der Minuten innerhalb der Maximal verfügbaren Minuten, in denen die Warnregel nicht verfügbar ist. Eine Minute</w:t>
      </w:r>
      <w:r w:rsidR="00215F64">
        <w:rPr>
          <w:bCs/>
          <w:color w:val="000000" w:themeColor="text1"/>
        </w:rPr>
        <w:t> </w:t>
      </w:r>
      <w:r>
        <w:rPr>
          <w:bCs/>
          <w:color w:val="000000" w:themeColor="text1"/>
        </w:rPr>
        <w:t>für eine bestimmte Warnmeldungsregel gilt als nicht verfügbar, wenn alle fortlaufend unternommenen Versuche, die Telemetriesignale für</w:t>
      </w:r>
      <w:r w:rsidR="00215F64">
        <w:rPr>
          <w:bCs/>
          <w:color w:val="000000" w:themeColor="text1"/>
        </w:rPr>
        <w:t> </w:t>
      </w:r>
      <w:r>
        <w:rPr>
          <w:bCs/>
          <w:color w:val="000000" w:themeColor="text1"/>
        </w:rPr>
        <w:t>Ressourcen, die von der Warnmeldungsregel zusammengefasst werden, zu analysieren, über die gesamte Minute hinweg entweder zu einem Fehlercode oder binnen fünf Minuten nach dem Start der Warnmeldungsregel nicht zu einem Erfolgscode führen.</w:t>
      </w:r>
    </w:p>
    <w:p w14:paraId="6DB4658A" w14:textId="4CF0F569" w:rsidR="004005AF" w:rsidRDefault="004005AF" w:rsidP="004005AF">
      <w:pPr>
        <w:pStyle w:val="ProductList-Body"/>
        <w:rPr>
          <w:bCs/>
          <w:color w:val="000000" w:themeColor="text1"/>
        </w:rPr>
      </w:pPr>
      <w:r>
        <w:t>„</w:t>
      </w:r>
      <w:r>
        <w:rPr>
          <w:b/>
          <w:color w:val="00188F"/>
        </w:rPr>
        <w:t>Betriebszeitprozentsatz</w:t>
      </w:r>
      <w:r>
        <w:rPr>
          <w:bCs/>
          <w:color w:val="000000" w:themeColor="text1"/>
        </w:rPr>
        <w:t>“ wird berechnet als Maximal Verfügbare Minuten abzüglich Ausfallzeit geteilt durch Maximal Verfügbare Minuten multipliziert mit 100.</w:t>
      </w:r>
    </w:p>
    <w:p w14:paraId="3CA84EA0" w14:textId="0B513C5E" w:rsidR="004005AF" w:rsidRPr="00ED4527" w:rsidRDefault="00AC48A7" w:rsidP="004005AF">
      <w:pPr>
        <w:pStyle w:val="ProductList-Body"/>
        <w:rPr>
          <w:bCs/>
          <w:color w:val="000000" w:themeColor="text1"/>
        </w:rPr>
      </w:pPr>
      <w:r>
        <w:rPr>
          <w:bCs/>
          <w:color w:val="000000" w:themeColor="text1"/>
        </w:rPr>
        <w:t>Der Betriebszeitprozentsatz wird durch die folgende Formel ermittelt:</w:t>
      </w:r>
    </w:p>
    <w:p w14:paraId="043DA7C9" w14:textId="51E25C5C" w:rsidR="004005AF" w:rsidRPr="007C7313" w:rsidRDefault="00000000" w:rsidP="00B97415">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4C5A6B10" w14:textId="66A8E25D" w:rsidR="004005AF" w:rsidRDefault="004005AF" w:rsidP="004005AF">
      <w:pPr>
        <w:pStyle w:val="ProductList-Body"/>
        <w:keepNext/>
      </w:pPr>
      <w:r>
        <w:rPr>
          <w:b/>
          <w:color w:val="00188F"/>
        </w:rPr>
        <w:t>Die folgenden Servicelevels und Servicegutschriften gelten für die Nutzung der Azure-Monitorwarnungen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E54D533" w14:textId="77777777" w:rsidTr="00277097">
        <w:trPr>
          <w:trHeight w:val="249"/>
          <w:tblHeader/>
        </w:trPr>
        <w:tc>
          <w:tcPr>
            <w:tcW w:w="5400" w:type="dxa"/>
            <w:shd w:val="clear" w:color="auto" w:fill="0072C6"/>
          </w:tcPr>
          <w:p w14:paraId="43CA229F" w14:textId="46858630" w:rsidR="004005AF" w:rsidRPr="001A0074"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3C9F177C" w14:textId="77777777" w:rsidR="004005AF" w:rsidRPr="001A0074" w:rsidRDefault="004005AF" w:rsidP="000F31B4">
            <w:pPr>
              <w:pStyle w:val="ProductList-OfferingBody"/>
              <w:jc w:val="center"/>
              <w:rPr>
                <w:color w:val="FFFFFF" w:themeColor="background1"/>
              </w:rPr>
            </w:pPr>
            <w:r>
              <w:rPr>
                <w:color w:val="FFFFFF" w:themeColor="background1"/>
              </w:rPr>
              <w:t>Servicegutschrift</w:t>
            </w:r>
          </w:p>
        </w:tc>
      </w:tr>
      <w:tr w:rsidR="004005AF" w:rsidRPr="00B44CF9" w14:paraId="47AAD3A7" w14:textId="77777777" w:rsidTr="00277097">
        <w:trPr>
          <w:trHeight w:val="242"/>
        </w:trPr>
        <w:tc>
          <w:tcPr>
            <w:tcW w:w="5400" w:type="dxa"/>
          </w:tcPr>
          <w:p w14:paraId="5783E79B" w14:textId="77777777" w:rsidR="004005AF" w:rsidRPr="0076238C" w:rsidRDefault="004005AF" w:rsidP="000F31B4">
            <w:pPr>
              <w:pStyle w:val="ProductList-OfferingBody"/>
              <w:jc w:val="center"/>
            </w:pPr>
            <w:r>
              <w:t>&lt; 99,9 %</w:t>
            </w:r>
          </w:p>
        </w:tc>
        <w:tc>
          <w:tcPr>
            <w:tcW w:w="5400" w:type="dxa"/>
          </w:tcPr>
          <w:p w14:paraId="7A591C97" w14:textId="77777777" w:rsidR="004005AF" w:rsidRPr="0076238C" w:rsidRDefault="004005AF" w:rsidP="000F31B4">
            <w:pPr>
              <w:pStyle w:val="ProductList-OfferingBody"/>
              <w:jc w:val="center"/>
            </w:pPr>
            <w:r>
              <w:t>10 %</w:t>
            </w:r>
          </w:p>
        </w:tc>
      </w:tr>
      <w:tr w:rsidR="004005AF" w:rsidRPr="00B44CF9" w14:paraId="7495F0C6" w14:textId="77777777" w:rsidTr="00277097">
        <w:trPr>
          <w:trHeight w:val="249"/>
        </w:trPr>
        <w:tc>
          <w:tcPr>
            <w:tcW w:w="5400" w:type="dxa"/>
          </w:tcPr>
          <w:p w14:paraId="7F867ED0" w14:textId="77777777" w:rsidR="004005AF" w:rsidRPr="0076238C" w:rsidRDefault="004005AF" w:rsidP="000F31B4">
            <w:pPr>
              <w:pStyle w:val="ProductList-OfferingBody"/>
              <w:jc w:val="center"/>
            </w:pPr>
            <w:r>
              <w:t>&lt; 99 %</w:t>
            </w:r>
          </w:p>
        </w:tc>
        <w:tc>
          <w:tcPr>
            <w:tcW w:w="5400" w:type="dxa"/>
          </w:tcPr>
          <w:p w14:paraId="65BBE6E6" w14:textId="77777777" w:rsidR="004005AF" w:rsidRPr="0076238C" w:rsidRDefault="004005AF" w:rsidP="000F31B4">
            <w:pPr>
              <w:pStyle w:val="ProductList-OfferingBody"/>
              <w:jc w:val="center"/>
            </w:pPr>
            <w:r>
              <w:t>25 %</w:t>
            </w:r>
          </w:p>
        </w:tc>
      </w:tr>
    </w:tbl>
    <w:p w14:paraId="0D0EEF5C" w14:textId="0B79C771" w:rsidR="004005AF" w:rsidRPr="00CA08CF" w:rsidRDefault="00EE6E3C" w:rsidP="00274201">
      <w:pPr>
        <w:pStyle w:val="ProductList-Body"/>
        <w:spacing w:before="120"/>
        <w:rPr>
          <w:b/>
          <w:color w:val="00188F"/>
        </w:rPr>
      </w:pPr>
      <w:r>
        <w:rPr>
          <w:b/>
          <w:color w:val="00188F"/>
        </w:rPr>
        <w:t>Berechnung der Betriebszeit und Service-Levels für Azure-Monitor-Benachrichtigungszustellung</w:t>
      </w:r>
    </w:p>
    <w:p w14:paraId="1101548C" w14:textId="77777777" w:rsidR="004005AF" w:rsidRPr="00EF7CF9" w:rsidRDefault="004005AF" w:rsidP="004005AF">
      <w:pPr>
        <w:pStyle w:val="ProductList-Body"/>
      </w:pPr>
      <w:r>
        <w:rPr>
          <w:b/>
          <w:color w:val="00188F"/>
        </w:rPr>
        <w:t>Zusätzliche Definitionen</w:t>
      </w:r>
      <w:r w:rsidRPr="0008262F">
        <w:rPr>
          <w:b/>
          <w:bCs/>
          <w:color w:val="00188F"/>
        </w:rPr>
        <w:t>:</w:t>
      </w:r>
    </w:p>
    <w:p w14:paraId="7B153434" w14:textId="77777777" w:rsidR="004005AF" w:rsidRPr="00EF7CF9" w:rsidRDefault="004005AF" w:rsidP="004005AF">
      <w:pPr>
        <w:pStyle w:val="ProductList-Body"/>
      </w:pPr>
      <w:r>
        <w:t>„</w:t>
      </w:r>
      <w:r>
        <w:rPr>
          <w:b/>
          <w:color w:val="00188F"/>
        </w:rPr>
        <w:t>Aktivitätsgruppe</w:t>
      </w:r>
      <w:r>
        <w:t>“ ist eine Sammlung von Aktivitäten, die die bevorzugten Methoden der Benachrichtigungszustellung festlegen.</w:t>
      </w:r>
    </w:p>
    <w:p w14:paraId="7780BBAE" w14:textId="59E4F205" w:rsidR="004005AF" w:rsidRPr="00EF7CF9" w:rsidRDefault="004005AF" w:rsidP="004005AF">
      <w:pPr>
        <w:pStyle w:val="ProductList-Body"/>
      </w:pPr>
      <w:r>
        <w:t>„</w:t>
      </w:r>
      <w:r>
        <w:rPr>
          <w:b/>
          <w:color w:val="00188F"/>
        </w:rPr>
        <w:t>Maximal Verfügbare Minuten</w:t>
      </w:r>
      <w:r>
        <w:t>“ ist die Summe aller Bereitstellungsminuten, in denen Aktivitätsgruppen vom Kunden in einem bestimmten Microsoft Azure-Abonnement während eines Anwendbaren Zeitraums bereitgestellt werden.</w:t>
      </w:r>
    </w:p>
    <w:p w14:paraId="20ACE7BE" w14:textId="1E28BE3A" w:rsidR="004005AF" w:rsidRPr="00EF7CF9" w:rsidRDefault="004005AF" w:rsidP="004005AF">
      <w:pPr>
        <w:pStyle w:val="ProductList-Body"/>
      </w:pPr>
      <w:r>
        <w:rPr>
          <w:b/>
          <w:color w:val="00188F"/>
        </w:rPr>
        <w:t>Ausfallzeit</w:t>
      </w:r>
      <w:r w:rsidRPr="0008262F">
        <w:rPr>
          <w:b/>
          <w:bCs/>
          <w:color w:val="00188F"/>
        </w:rPr>
        <w:t>:</w:t>
      </w:r>
      <w:r>
        <w:t xml:space="preserve"> ist die Gesamtzahl der Minuten innerhalb der Maximal verfügbaren Minuten, in denen die Aktivitätsgruppe nicht verfügbar ist. Eine Minute gilt für eine bestimmte Aktivitätsgruppe als nicht verfügbar, wenn alle fortlaufenden Versuche, während der Minute Warnungen zu senden oder Registrierungsverwaltungsvorgänge in Bezug auf die Aktivitätsgruppe durchzuführen, entweder einen Fehlercode zurückgeben oder innerhalb von fünf Minuten nicht zu einem Erfolgscode führen.</w:t>
      </w:r>
    </w:p>
    <w:p w14:paraId="24431C4C" w14:textId="21298850" w:rsidR="004005AF" w:rsidRPr="00364EEB" w:rsidRDefault="00AC48A7" w:rsidP="004005AF">
      <w:pPr>
        <w:spacing w:after="0"/>
        <w:rPr>
          <w:sz w:val="18"/>
          <w:szCs w:val="18"/>
        </w:rPr>
      </w:pPr>
      <w:r>
        <w:rPr>
          <w:b/>
          <w:color w:val="00188F"/>
          <w:sz w:val="18"/>
        </w:rPr>
        <w:t>Betriebszeitprozentsatz</w:t>
      </w:r>
      <w:r w:rsidRPr="0008262F">
        <w:rPr>
          <w:b/>
          <w:bCs/>
          <w:color w:val="00188F"/>
          <w:sz w:val="18"/>
        </w:rPr>
        <w:t>:</w:t>
      </w:r>
      <w:r>
        <w:rPr>
          <w:b/>
          <w:color w:val="00188F"/>
          <w:sz w:val="18"/>
        </w:rPr>
        <w:t xml:space="preserve"> </w:t>
      </w:r>
      <w:r>
        <w:rPr>
          <w:sz w:val="18"/>
          <w:szCs w:val="18"/>
        </w:rPr>
        <w:t xml:space="preserve">errechnet sich aus den Maximal Verfügbaren Minuten abzüglich der Ausfallzeit geteilt durch die Maximal Verfügbaren Minuten in einem Anwendbaren Zeitraum für ein bestimmtes Microsoft Azure-Abonnement. </w:t>
      </w:r>
    </w:p>
    <w:p w14:paraId="3DA152E5" w14:textId="515F2367" w:rsidR="004005AF" w:rsidRPr="00364EEB" w:rsidRDefault="00AC48A7" w:rsidP="004005AF">
      <w:pPr>
        <w:spacing w:after="0"/>
        <w:rPr>
          <w:sz w:val="18"/>
          <w:szCs w:val="18"/>
        </w:rPr>
      </w:pPr>
      <w:r>
        <w:rPr>
          <w:sz w:val="18"/>
          <w:szCs w:val="18"/>
        </w:rPr>
        <w:t>Der Betriebszeitprozentsatz wird durch die folgende Formel ermittelt:</w:t>
      </w:r>
    </w:p>
    <w:p w14:paraId="276CBE14" w14:textId="73FE1853" w:rsidR="004005AF" w:rsidRPr="007C7313" w:rsidRDefault="00000000" w:rsidP="00B97415">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11C4D5D1" w14:textId="77777777" w:rsidR="004005AF" w:rsidRDefault="004005AF" w:rsidP="004005AF">
      <w:pPr>
        <w:pStyle w:val="ProductList-Body"/>
      </w:pPr>
      <w:r>
        <w:rPr>
          <w:b/>
          <w:color w:val="00188F"/>
        </w:rPr>
        <w:t>Service-Levels und Servicegutschriften: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B9CD5FD" w14:textId="77777777" w:rsidTr="00277097">
        <w:trPr>
          <w:trHeight w:val="249"/>
          <w:tblHeader/>
        </w:trPr>
        <w:tc>
          <w:tcPr>
            <w:tcW w:w="5400" w:type="dxa"/>
            <w:shd w:val="clear" w:color="auto" w:fill="0072C6"/>
          </w:tcPr>
          <w:p w14:paraId="474B7084" w14:textId="49DE050D" w:rsidR="004005AF" w:rsidRPr="001A0074"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34285DA2" w14:textId="77777777" w:rsidR="004005AF" w:rsidRPr="001A0074" w:rsidRDefault="004005AF" w:rsidP="000F31B4">
            <w:pPr>
              <w:pStyle w:val="ProductList-OfferingBody"/>
              <w:jc w:val="center"/>
              <w:rPr>
                <w:color w:val="FFFFFF" w:themeColor="background1"/>
              </w:rPr>
            </w:pPr>
            <w:r>
              <w:rPr>
                <w:color w:val="FFFFFF" w:themeColor="background1"/>
              </w:rPr>
              <w:t>Servicegutschrift</w:t>
            </w:r>
          </w:p>
        </w:tc>
      </w:tr>
      <w:tr w:rsidR="004005AF" w:rsidRPr="00B44CF9" w14:paraId="2C4CAEBB" w14:textId="77777777" w:rsidTr="00277097">
        <w:trPr>
          <w:trHeight w:val="242"/>
        </w:trPr>
        <w:tc>
          <w:tcPr>
            <w:tcW w:w="5400" w:type="dxa"/>
          </w:tcPr>
          <w:p w14:paraId="1AC9FEFD" w14:textId="77777777" w:rsidR="004005AF" w:rsidRPr="0076238C" w:rsidRDefault="004005AF" w:rsidP="000F31B4">
            <w:pPr>
              <w:pStyle w:val="ProductList-OfferingBody"/>
              <w:jc w:val="center"/>
            </w:pPr>
            <w:r>
              <w:t>&lt; 99,9 %</w:t>
            </w:r>
          </w:p>
        </w:tc>
        <w:tc>
          <w:tcPr>
            <w:tcW w:w="5400" w:type="dxa"/>
          </w:tcPr>
          <w:p w14:paraId="5247EC9A" w14:textId="77777777" w:rsidR="004005AF" w:rsidRPr="0076238C" w:rsidRDefault="004005AF" w:rsidP="000F31B4">
            <w:pPr>
              <w:pStyle w:val="ProductList-OfferingBody"/>
              <w:jc w:val="center"/>
            </w:pPr>
            <w:r>
              <w:t>10 %</w:t>
            </w:r>
          </w:p>
        </w:tc>
      </w:tr>
      <w:tr w:rsidR="004005AF" w:rsidRPr="00B44CF9" w14:paraId="4EA941E8" w14:textId="77777777" w:rsidTr="00277097">
        <w:trPr>
          <w:trHeight w:val="249"/>
        </w:trPr>
        <w:tc>
          <w:tcPr>
            <w:tcW w:w="5400" w:type="dxa"/>
          </w:tcPr>
          <w:p w14:paraId="14D80D29" w14:textId="77777777" w:rsidR="004005AF" w:rsidRPr="0076238C" w:rsidRDefault="004005AF" w:rsidP="000F31B4">
            <w:pPr>
              <w:pStyle w:val="ProductList-OfferingBody"/>
              <w:jc w:val="center"/>
            </w:pPr>
            <w:r>
              <w:t>&lt; 99 %</w:t>
            </w:r>
          </w:p>
        </w:tc>
        <w:tc>
          <w:tcPr>
            <w:tcW w:w="5400" w:type="dxa"/>
          </w:tcPr>
          <w:p w14:paraId="3F7D8D79" w14:textId="77777777" w:rsidR="004005AF" w:rsidRPr="0076238C" w:rsidRDefault="004005AF" w:rsidP="000F31B4">
            <w:pPr>
              <w:pStyle w:val="ProductList-OfferingBody"/>
              <w:jc w:val="center"/>
            </w:pPr>
            <w:r>
              <w:t>25 %</w:t>
            </w:r>
          </w:p>
        </w:tc>
      </w:tr>
    </w:tbl>
    <w:p w14:paraId="46FFFFE9" w14:textId="77777777" w:rsidR="004005AF" w:rsidRDefault="004005AF" w:rsidP="0020497F">
      <w:pPr>
        <w:pStyle w:val="ProductList-Body"/>
        <w:spacing w:before="120"/>
        <w:rPr>
          <w:i/>
          <w:szCs w:val="18"/>
        </w:rPr>
      </w:pPr>
      <w:r>
        <w:rPr>
          <w:i/>
          <w:szCs w:val="18"/>
        </w:rPr>
        <w:t>Siehe auch Log Analytics und Application Insights.</w:t>
      </w:r>
    </w:p>
    <w:p w14:paraId="69BA56B4" w14:textId="77777777" w:rsidR="00A35270" w:rsidRPr="00A35270" w:rsidRDefault="00A35270" w:rsidP="00175E04">
      <w:pPr>
        <w:spacing w:after="0" w:line="240" w:lineRule="auto"/>
        <w:rPr>
          <w:rFonts w:cstheme="minorHAnsi"/>
          <w:b/>
          <w:color w:val="00188F"/>
          <w:sz w:val="18"/>
        </w:rPr>
      </w:pPr>
      <w:r w:rsidRPr="00A35270">
        <w:rPr>
          <w:rFonts w:cstheme="minorHAnsi"/>
          <w:b/>
          <w:color w:val="00188F"/>
          <w:sz w:val="18"/>
        </w:rPr>
        <w:t>Monatliche Uptime-Berechnung und Servicelevels für den verwalteten Azure Monitor-Dienst für Prometheus</w:t>
      </w:r>
    </w:p>
    <w:p w14:paraId="248A897D" w14:textId="77777777" w:rsidR="00A35270" w:rsidRPr="00A35270" w:rsidRDefault="00A35270" w:rsidP="00A35270">
      <w:pPr>
        <w:spacing w:after="0" w:line="240" w:lineRule="auto"/>
        <w:rPr>
          <w:rFonts w:cstheme="minorHAnsi"/>
          <w:b/>
          <w:color w:val="00188F"/>
          <w:sz w:val="18"/>
        </w:rPr>
      </w:pPr>
      <w:r w:rsidRPr="00A35270">
        <w:rPr>
          <w:rFonts w:cstheme="minorHAnsi"/>
          <w:b/>
          <w:color w:val="00188F"/>
          <w:sz w:val="18"/>
        </w:rPr>
        <w:t>Zusätzliche Definitionen:</w:t>
      </w:r>
    </w:p>
    <w:p w14:paraId="71C95779" w14:textId="77777777" w:rsidR="00A35270" w:rsidRPr="00A35270" w:rsidRDefault="00A35270" w:rsidP="00A35270">
      <w:pPr>
        <w:spacing w:after="0" w:line="240" w:lineRule="auto"/>
        <w:rPr>
          <w:rFonts w:cstheme="minorHAnsi"/>
        </w:rPr>
      </w:pPr>
      <w:r w:rsidRPr="00A35270">
        <w:rPr>
          <w:rFonts w:cstheme="minorHAnsi"/>
          <w:b/>
          <w:color w:val="00188F"/>
          <w:sz w:val="18"/>
        </w:rPr>
        <w:t>„Maximal Verfügbare Minuten“</w:t>
      </w:r>
      <w:r w:rsidRPr="00A35270">
        <w:rPr>
          <w:rFonts w:cstheme="minorHAnsi"/>
        </w:rPr>
        <w:t xml:space="preserve"> </w:t>
      </w:r>
      <w:r w:rsidRPr="00A35270">
        <w:rPr>
          <w:rFonts w:cstheme="minorHAnsi"/>
          <w:sz w:val="18"/>
        </w:rPr>
        <w:t>ist die Gesamtzahl der Minuten, in denen ein bestimmter Azure Monitor-Arbeitsbereich vom Kunden in Microsoft Azure im Verlauf eines Monats der Rechnungsstellung in einem bestimmten Microsoft Azure-Abonnement während eines Abrechnungsmonats bereitgestellt wurde.</w:t>
      </w:r>
    </w:p>
    <w:p w14:paraId="542DBFB5" w14:textId="77777777" w:rsidR="00A35270" w:rsidRPr="00A35270" w:rsidRDefault="00A35270" w:rsidP="00A35270">
      <w:pPr>
        <w:spacing w:after="0" w:line="240" w:lineRule="auto"/>
        <w:rPr>
          <w:rFonts w:cstheme="minorHAnsi"/>
          <w:sz w:val="18"/>
        </w:rPr>
      </w:pPr>
      <w:r w:rsidRPr="00A35270">
        <w:rPr>
          <w:rFonts w:cstheme="minorHAnsi"/>
          <w:b/>
          <w:color w:val="00188F"/>
          <w:sz w:val="18"/>
        </w:rPr>
        <w:t>Ausfallzeit:</w:t>
      </w:r>
      <w:r w:rsidRPr="00A35270">
        <w:rPr>
          <w:rFonts w:cstheme="minorHAnsi"/>
        </w:rPr>
        <w:t xml:space="preserve"> </w:t>
      </w:r>
      <w:r w:rsidRPr="00A35270">
        <w:rPr>
          <w:rFonts w:cstheme="minorHAnsi"/>
          <w:sz w:val="18"/>
        </w:rPr>
        <w:t xml:space="preserve">ist die Gesamtanzahl der Minuten innerhalb der maximal verfügbaren Minuten, in der Daten in einem bestimmten Azure Monitor-Arbeitsbereich nicht erreichbar sind. Eine Minute gilt für einen bestimmten Azure Monitor-Arbeitsbereich als nicht verfügbar, wenn alle fortlaufend unternommenen Versuche zum Abruf von metrischen Prometheus-Daten während der gesamten Minute entweder zu einem Fehlercode führen oder binnen 60 Sekunden keinen HTTP-Code zurückgeben. </w:t>
      </w:r>
    </w:p>
    <w:p w14:paraId="7A205B3E" w14:textId="77777777" w:rsidR="00A35270" w:rsidRPr="00A35270" w:rsidRDefault="00A35270" w:rsidP="00A35270">
      <w:pPr>
        <w:spacing w:after="0" w:line="240" w:lineRule="auto"/>
        <w:rPr>
          <w:rFonts w:cstheme="minorHAnsi"/>
          <w:sz w:val="18"/>
        </w:rPr>
      </w:pPr>
      <w:r w:rsidRPr="00A35270">
        <w:rPr>
          <w:rFonts w:cstheme="minorHAnsi"/>
          <w:b/>
          <w:color w:val="00188F"/>
          <w:sz w:val="18"/>
        </w:rPr>
        <w:t>Prozentsatz der Monatlichen Abfrageverfügbarkeit:</w:t>
      </w:r>
      <w:r w:rsidRPr="00A35270">
        <w:rPr>
          <w:rFonts w:cstheme="minorHAnsi"/>
        </w:rPr>
        <w:t xml:space="preserve"> </w:t>
      </w:r>
      <w:r w:rsidRPr="00A35270">
        <w:rPr>
          <w:rFonts w:cstheme="minorHAnsi"/>
          <w:sz w:val="18"/>
        </w:rPr>
        <w:t>für eine bestimmten Azure Monitor-Arbeitsbereich wird berechnet als Maximal verfügbare Minuten abzüglich Ausfallzeit geteilt durch Maximal verfügbare Minuten multipliziert mit 100.</w:t>
      </w:r>
    </w:p>
    <w:p w14:paraId="46594738" w14:textId="77777777" w:rsidR="00A35270" w:rsidRPr="00A35270" w:rsidRDefault="00A35270" w:rsidP="00A35270">
      <w:pPr>
        <w:spacing w:after="0" w:line="240" w:lineRule="auto"/>
        <w:rPr>
          <w:rFonts w:cstheme="minorHAnsi"/>
          <w:sz w:val="18"/>
        </w:rPr>
      </w:pPr>
    </w:p>
    <w:p w14:paraId="6A0E062F" w14:textId="77777777" w:rsidR="00A35270" w:rsidRPr="00A35270" w:rsidRDefault="00A35270" w:rsidP="00A35270">
      <w:pPr>
        <w:spacing w:after="0" w:line="240" w:lineRule="auto"/>
        <w:rPr>
          <w:rFonts w:cstheme="minorHAnsi"/>
          <w:sz w:val="18"/>
        </w:rPr>
      </w:pPr>
      <w:r w:rsidRPr="00A35270">
        <w:rPr>
          <w:rFonts w:cstheme="minorHAnsi"/>
          <w:sz w:val="18"/>
        </w:rPr>
        <w:t>Der Prozentsatz der monatlichen Abfrageverfügbarkeit wird durch die folgende Formel dargestellt:</w:t>
      </w:r>
    </w:p>
    <w:p w14:paraId="01B1EA27" w14:textId="77777777" w:rsidR="00A35270" w:rsidRPr="009E6100" w:rsidRDefault="00000000" w:rsidP="007749A8">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Maximal-verfügbare-Minuten-Ausfallzeit</m:t>
              </m:r>
            </m:num>
            <m:den>
              <m:r>
                <m:rPr>
                  <m:nor/>
                </m:rPr>
                <w:rPr>
                  <w:rFonts w:ascii="Cambria Math" w:hAnsi="Cambria Math" w:cs="Tahoma"/>
                  <w:i/>
                  <w:sz w:val="18"/>
                  <w:szCs w:val="18"/>
                </w:rPr>
                <m:t>Maximal Verfügbare Minuten</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1709969" w14:textId="77777777" w:rsidR="00A35270" w:rsidRPr="00A35270" w:rsidRDefault="00A35270" w:rsidP="00A35270">
      <w:pPr>
        <w:pStyle w:val="ProductList-Body"/>
        <w:rPr>
          <w:rFonts w:cstheme="minorHAnsi"/>
        </w:rPr>
      </w:pPr>
      <w:r w:rsidRPr="00A35270">
        <w:rPr>
          <w:rFonts w:cstheme="minorHAnsi"/>
          <w:b/>
          <w:color w:val="00188F"/>
        </w:rPr>
        <w:t>Service-Levels und Servicegutschriften: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35270" w14:paraId="70479007" w14:textId="77777777" w:rsidTr="002D5D7A">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7BA104F" w14:textId="77777777" w:rsidR="00A35270" w:rsidRPr="00A35270" w:rsidRDefault="00A35270" w:rsidP="002D5D7A">
            <w:pPr>
              <w:pStyle w:val="ProductList-OfferingBody"/>
              <w:spacing w:line="254" w:lineRule="auto"/>
              <w:jc w:val="center"/>
              <w:rPr>
                <w:rFonts w:cstheme="minorHAnsi"/>
                <w:color w:val="FFFFFF" w:themeColor="background1"/>
              </w:rPr>
            </w:pPr>
            <w:r w:rsidRPr="00A35270">
              <w:rPr>
                <w:rFonts w:cstheme="minorHAnsi"/>
                <w:color w:val="FFFFFF" w:themeColor="background1"/>
              </w:rPr>
              <w:t>Prozentsatz der monatlichen Betriebszeit</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8109C43" w14:textId="77777777" w:rsidR="00A35270" w:rsidRPr="00A35270" w:rsidRDefault="00A35270" w:rsidP="002D5D7A">
            <w:pPr>
              <w:pStyle w:val="ProductList-OfferingBody"/>
              <w:spacing w:line="254" w:lineRule="auto"/>
              <w:jc w:val="center"/>
              <w:rPr>
                <w:rFonts w:cstheme="minorHAnsi"/>
                <w:color w:val="FFFFFF" w:themeColor="background1"/>
              </w:rPr>
            </w:pPr>
            <w:r w:rsidRPr="00A35270">
              <w:rPr>
                <w:rFonts w:cstheme="minorHAnsi"/>
                <w:color w:val="FFFFFF" w:themeColor="background1"/>
              </w:rPr>
              <w:t>Servicegutschrift</w:t>
            </w:r>
          </w:p>
        </w:tc>
      </w:tr>
      <w:tr w:rsidR="00A35270" w14:paraId="67885C17" w14:textId="77777777" w:rsidTr="002D5D7A">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6D46A5" w14:textId="77777777" w:rsidR="00A35270" w:rsidRPr="00A35270" w:rsidRDefault="00A35270" w:rsidP="002D5D7A">
            <w:pPr>
              <w:pStyle w:val="ProductList-OfferingBody"/>
              <w:spacing w:line="254" w:lineRule="auto"/>
              <w:jc w:val="center"/>
              <w:rPr>
                <w:rFonts w:cstheme="minorHAnsi"/>
              </w:rPr>
            </w:pPr>
            <w:r w:rsidRPr="00A35270">
              <w:rPr>
                <w:rFonts w:cstheme="minorHAnsi"/>
              </w:rP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3BE335" w14:textId="77777777" w:rsidR="00A35270" w:rsidRPr="00A35270" w:rsidRDefault="00A35270" w:rsidP="002D5D7A">
            <w:pPr>
              <w:pStyle w:val="ProductList-OfferingBody"/>
              <w:spacing w:line="254" w:lineRule="auto"/>
              <w:jc w:val="center"/>
              <w:rPr>
                <w:rFonts w:cstheme="minorHAnsi"/>
              </w:rPr>
            </w:pPr>
            <w:r w:rsidRPr="00A35270">
              <w:rPr>
                <w:rFonts w:cstheme="minorHAnsi"/>
              </w:rPr>
              <w:t>10 %</w:t>
            </w:r>
          </w:p>
        </w:tc>
      </w:tr>
      <w:tr w:rsidR="00A35270" w14:paraId="3E3ED05C" w14:textId="77777777" w:rsidTr="002D5D7A">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41D7A9" w14:textId="77777777" w:rsidR="00A35270" w:rsidRPr="00A35270" w:rsidRDefault="00A35270" w:rsidP="002D5D7A">
            <w:pPr>
              <w:pStyle w:val="ProductList-OfferingBody"/>
              <w:spacing w:line="254" w:lineRule="auto"/>
              <w:jc w:val="center"/>
              <w:rPr>
                <w:rFonts w:cstheme="minorHAnsi"/>
              </w:rPr>
            </w:pPr>
            <w:r w:rsidRPr="00A35270">
              <w:rPr>
                <w:rFonts w:cstheme="minorHAnsi"/>
              </w:rP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FB7184" w14:textId="77777777" w:rsidR="00A35270" w:rsidRPr="00A35270" w:rsidRDefault="00A35270" w:rsidP="002D5D7A">
            <w:pPr>
              <w:pStyle w:val="ProductList-OfferingBody"/>
              <w:spacing w:line="254" w:lineRule="auto"/>
              <w:jc w:val="center"/>
              <w:rPr>
                <w:rFonts w:cstheme="minorHAnsi"/>
              </w:rPr>
            </w:pPr>
            <w:r w:rsidRPr="00A35270">
              <w:rPr>
                <w:rFonts w:cstheme="minorHAnsi"/>
              </w:rPr>
              <w:t>25 %</w:t>
            </w:r>
          </w:p>
        </w:tc>
      </w:tr>
    </w:tbl>
    <w:bookmarkStart w:id="461" w:name="_Toc526859666"/>
    <w:bookmarkStart w:id="462" w:name="_Toc52348940"/>
    <w:bookmarkStart w:id="463" w:name="_Toc457821541"/>
    <w:bookmarkEnd w:id="197"/>
    <w:bookmarkEnd w:id="198"/>
    <w:p w14:paraId="49CEB3E9" w14:textId="3CC0045A"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02DD07D7" w14:textId="4B1CB8C8" w:rsidR="005642C9" w:rsidRPr="005642C9" w:rsidRDefault="005642C9" w:rsidP="00531B3A">
      <w:pPr>
        <w:pStyle w:val="ProductList-Offering2Heading"/>
        <w:keepNext/>
        <w:tabs>
          <w:tab w:val="clear" w:pos="360"/>
          <w:tab w:val="clear" w:pos="720"/>
          <w:tab w:val="clear" w:pos="1080"/>
        </w:tabs>
        <w:outlineLvl w:val="2"/>
      </w:pPr>
      <w:bookmarkStart w:id="464" w:name="_Toc195543180"/>
      <w:bookmarkStart w:id="465" w:name="_Toc237449042"/>
      <w:r>
        <w:t>Azure NetApp Files</w:t>
      </w:r>
      <w:bookmarkEnd w:id="464"/>
      <w:bookmarkEnd w:id="465"/>
    </w:p>
    <w:p w14:paraId="74827AED" w14:textId="77777777" w:rsidR="005642C9" w:rsidRPr="005642C9" w:rsidRDefault="005642C9" w:rsidP="00DD4100">
      <w:pPr>
        <w:pStyle w:val="ProductList-Body"/>
        <w:keepNext/>
        <w:rPr>
          <w:b/>
          <w:bCs/>
          <w:color w:val="00188F"/>
        </w:rPr>
      </w:pPr>
      <w:r>
        <w:rPr>
          <w:b/>
          <w:bCs/>
          <w:color w:val="00188F"/>
        </w:rPr>
        <w:t>Zusätzliche Definitionen</w:t>
      </w:r>
    </w:p>
    <w:p w14:paraId="4CB2BC4D" w14:textId="77777777" w:rsidR="005642C9" w:rsidRDefault="005642C9" w:rsidP="005642C9">
      <w:pPr>
        <w:pStyle w:val="ProductList-Body"/>
      </w:pPr>
      <w:r>
        <w:t>„</w:t>
      </w:r>
      <w:r>
        <w:rPr>
          <w:b/>
          <w:bCs/>
          <w:color w:val="00188F"/>
        </w:rPr>
        <w:t>Volumen</w:t>
      </w:r>
      <w:r>
        <w:t>“ ist eine logische Speicherressource in Azure NetApp Files, die ein Dateisystem enthält und zum Speichern von Daten verwendet wird.</w:t>
      </w:r>
    </w:p>
    <w:p w14:paraId="04EC7871" w14:textId="77777777" w:rsidR="005642C9" w:rsidRDefault="005642C9" w:rsidP="005642C9">
      <w:pPr>
        <w:pStyle w:val="ProductList-Body"/>
      </w:pPr>
      <w:r>
        <w:t>„</w:t>
      </w:r>
      <w:r>
        <w:rPr>
          <w:b/>
          <w:bCs/>
          <w:color w:val="00188F"/>
        </w:rPr>
        <w:t>Konnektivität</w:t>
      </w:r>
      <w:r>
        <w:t>“ ist ein bidirektionaler Netzwerkverkehr zwischen dem Volumen und anderen IP-Adressen mit TCP- oder UDP-Netzwerkprotokollen, in denen das Volumen für den zulässigen Verkehr konfiguriert ist.</w:t>
      </w:r>
    </w:p>
    <w:p w14:paraId="56808FB6" w14:textId="6574AD5F" w:rsidR="005642C9" w:rsidRDefault="005642C9" w:rsidP="005642C9">
      <w:pPr>
        <w:pStyle w:val="ProductList-Body"/>
      </w:pPr>
      <w:r>
        <w:lastRenderedPageBreak/>
        <w:t>„</w:t>
      </w:r>
      <w:r>
        <w:rPr>
          <w:b/>
          <w:bCs/>
          <w:color w:val="00188F"/>
        </w:rPr>
        <w:t>Maximal Verfügbare Minuten</w:t>
      </w:r>
      <w:r>
        <w:t>“ ist die Gesamtzahl der Minuten, in denen ein Volumen vom Kunden in einem bestimmten Microsoft Azure-Abonnement während eines Anwendbaren Zeitraums bereitgestellt wird.</w:t>
      </w:r>
    </w:p>
    <w:p w14:paraId="75EFEF7F" w14:textId="77777777" w:rsidR="005642C9" w:rsidRDefault="005642C9" w:rsidP="00445B42">
      <w:pPr>
        <w:pStyle w:val="ProductList-Body"/>
        <w:ind w:right="144"/>
      </w:pPr>
      <w:r>
        <w:t>„</w:t>
      </w:r>
      <w:r>
        <w:rPr>
          <w:b/>
          <w:bCs/>
          <w:color w:val="00188F"/>
        </w:rPr>
        <w:t>Ausfallzeit</w:t>
      </w:r>
      <w:r>
        <w:t>“ ist die Gesamtzahl der kumulierten Minuten, die Teil der Maximal Verfügbaren Minuten sind, die in der Azure-Region keine Volumen-Konnektivität haben.</w:t>
      </w:r>
    </w:p>
    <w:p w14:paraId="436F399D" w14:textId="43D20A14" w:rsidR="005642C9" w:rsidRDefault="005642C9" w:rsidP="005642C9">
      <w:pPr>
        <w:pStyle w:val="ProductList-Body"/>
      </w:pPr>
      <w:r>
        <w:t>„</w:t>
      </w:r>
      <w:r>
        <w:rPr>
          <w:b/>
          <w:bCs/>
          <w:color w:val="00188F"/>
        </w:rPr>
        <w:t>Betriebszeitprozentsatz</w:t>
      </w:r>
      <w:r w:rsidR="00445B42">
        <w:t>“</w:t>
      </w:r>
      <w:r w:rsidRPr="0008262F">
        <w:rPr>
          <w:b/>
          <w:bCs/>
          <w:color w:val="00188F"/>
        </w:rPr>
        <w:t>:</w:t>
      </w:r>
      <w:r>
        <w:t xml:space="preserve"> Der Betriebszeitprozentsatz errechnet sich nach folgender Formel:</w:t>
      </w:r>
    </w:p>
    <w:p w14:paraId="1D10D425" w14:textId="75F81F5C" w:rsidR="005642C9" w:rsidRPr="007C7313" w:rsidRDefault="00000000" w:rsidP="007749A8">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51036C63" w14:textId="43D36FA6" w:rsidR="005642C9" w:rsidRPr="005642C9" w:rsidRDefault="005642C9" w:rsidP="005642C9">
      <w:pPr>
        <w:pStyle w:val="ProductList-Body"/>
        <w:rPr>
          <w:b/>
          <w:bCs/>
          <w:color w:val="00188F"/>
        </w:rPr>
      </w:pPr>
      <w:r>
        <w:rPr>
          <w:b/>
          <w:bCs/>
          <w:color w:val="00188F"/>
        </w:rPr>
        <w:t>Servicegutschrift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642C9" w:rsidRPr="00B44CF9" w14:paraId="2D752B00" w14:textId="77777777" w:rsidTr="00277097">
        <w:trPr>
          <w:tblHeader/>
        </w:trPr>
        <w:tc>
          <w:tcPr>
            <w:tcW w:w="5400" w:type="dxa"/>
            <w:shd w:val="clear" w:color="auto" w:fill="0072C6"/>
          </w:tcPr>
          <w:p w14:paraId="3CA8927E" w14:textId="4222EA32" w:rsidR="005642C9"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2A08C4DD" w14:textId="77777777" w:rsidR="005642C9" w:rsidRPr="00EF7CF9" w:rsidRDefault="005642C9" w:rsidP="000F31B4">
            <w:pPr>
              <w:pStyle w:val="ProductList-OfferingBody"/>
              <w:jc w:val="center"/>
              <w:rPr>
                <w:color w:val="FFFFFF" w:themeColor="background1"/>
              </w:rPr>
            </w:pPr>
            <w:r>
              <w:rPr>
                <w:color w:val="FFFFFF" w:themeColor="background1"/>
              </w:rPr>
              <w:t>Servicegutschrift</w:t>
            </w:r>
          </w:p>
        </w:tc>
      </w:tr>
      <w:tr w:rsidR="005642C9" w:rsidRPr="00B44CF9" w14:paraId="70D7652F" w14:textId="77777777" w:rsidTr="00277097">
        <w:tc>
          <w:tcPr>
            <w:tcW w:w="5400" w:type="dxa"/>
          </w:tcPr>
          <w:p w14:paraId="02FF7B3E" w14:textId="6A0A2252" w:rsidR="005642C9" w:rsidRPr="00EF7CF9" w:rsidRDefault="005642C9" w:rsidP="000F31B4">
            <w:pPr>
              <w:pStyle w:val="ProductList-OfferingBody"/>
              <w:jc w:val="center"/>
            </w:pPr>
            <w:r>
              <w:t>&lt; 99,99 %</w:t>
            </w:r>
          </w:p>
        </w:tc>
        <w:tc>
          <w:tcPr>
            <w:tcW w:w="5400" w:type="dxa"/>
          </w:tcPr>
          <w:p w14:paraId="1E279DA4" w14:textId="77777777" w:rsidR="005642C9" w:rsidRPr="00EF7CF9" w:rsidRDefault="005642C9" w:rsidP="000F31B4">
            <w:pPr>
              <w:pStyle w:val="ProductList-OfferingBody"/>
              <w:jc w:val="center"/>
            </w:pPr>
            <w:r>
              <w:t>10 %</w:t>
            </w:r>
          </w:p>
        </w:tc>
      </w:tr>
      <w:tr w:rsidR="005642C9" w:rsidRPr="00B44CF9" w14:paraId="44FAF15C" w14:textId="77777777" w:rsidTr="00277097">
        <w:tc>
          <w:tcPr>
            <w:tcW w:w="5400" w:type="dxa"/>
          </w:tcPr>
          <w:p w14:paraId="1251AD4B" w14:textId="77777777" w:rsidR="005642C9" w:rsidRPr="00EF7CF9" w:rsidRDefault="005642C9" w:rsidP="000F31B4">
            <w:pPr>
              <w:pStyle w:val="ProductList-OfferingBody"/>
              <w:jc w:val="center"/>
            </w:pPr>
            <w:r>
              <w:t>&lt; 99 %</w:t>
            </w:r>
          </w:p>
        </w:tc>
        <w:tc>
          <w:tcPr>
            <w:tcW w:w="5400" w:type="dxa"/>
          </w:tcPr>
          <w:p w14:paraId="6271DB67" w14:textId="77777777" w:rsidR="005642C9" w:rsidRPr="00EF7CF9" w:rsidRDefault="005642C9" w:rsidP="000F31B4">
            <w:pPr>
              <w:pStyle w:val="ProductList-OfferingBody"/>
              <w:jc w:val="center"/>
            </w:pPr>
            <w:r>
              <w:t>25 %</w:t>
            </w:r>
          </w:p>
        </w:tc>
      </w:tr>
    </w:tbl>
    <w:bookmarkStart w:id="466" w:name="_Toc52348976"/>
    <w:bookmarkStart w:id="467" w:name="NetworkWatcher"/>
    <w:bookmarkStart w:id="468" w:name="_Toc457821568"/>
    <w:p w14:paraId="19D8CF15" w14:textId="7A9983AF"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67F611FD" w14:textId="030B0B0A" w:rsidR="00430979" w:rsidRPr="00EF7CF9" w:rsidRDefault="00430979" w:rsidP="00430979">
      <w:pPr>
        <w:pStyle w:val="ProductList-Offering2Heading"/>
        <w:keepNext/>
        <w:tabs>
          <w:tab w:val="clear" w:pos="360"/>
          <w:tab w:val="clear" w:pos="720"/>
          <w:tab w:val="clear" w:pos="1080"/>
        </w:tabs>
        <w:outlineLvl w:val="2"/>
      </w:pPr>
      <w:bookmarkStart w:id="469" w:name="_Toc195543181"/>
      <w:bookmarkStart w:id="470" w:name="_Toc237449043"/>
      <w:r>
        <w:t>Network Watcher</w:t>
      </w:r>
      <w:bookmarkEnd w:id="466"/>
      <w:bookmarkEnd w:id="469"/>
      <w:bookmarkEnd w:id="470"/>
    </w:p>
    <w:bookmarkEnd w:id="467"/>
    <w:p w14:paraId="661CF817" w14:textId="77777777" w:rsidR="00430979" w:rsidRPr="00EF7CF9" w:rsidRDefault="00430979" w:rsidP="00430979">
      <w:pPr>
        <w:pStyle w:val="ProductList-Body"/>
        <w:rPr>
          <w:b/>
          <w:i/>
          <w:iCs/>
        </w:rPr>
      </w:pPr>
      <w:r>
        <w:rPr>
          <w:b/>
          <w:color w:val="00188F"/>
        </w:rPr>
        <w:t>Zusätzliche Definitionen</w:t>
      </w:r>
      <w:r w:rsidRPr="0008262F">
        <w:rPr>
          <w:b/>
          <w:bCs/>
          <w:color w:val="00188F"/>
        </w:rPr>
        <w:t>:</w:t>
      </w:r>
    </w:p>
    <w:p w14:paraId="00667AC1" w14:textId="77777777" w:rsidR="00430979" w:rsidRPr="00EF7CF9" w:rsidRDefault="00430979" w:rsidP="00430979">
      <w:pPr>
        <w:spacing w:after="0" w:line="240" w:lineRule="auto"/>
        <w:rPr>
          <w:rFonts w:cstheme="minorHAnsi"/>
          <w:sz w:val="18"/>
          <w:szCs w:val="18"/>
        </w:rPr>
      </w:pPr>
      <w:r>
        <w:rPr>
          <w:rFonts w:cstheme="minorHAnsi"/>
          <w:sz w:val="18"/>
          <w:szCs w:val="18"/>
        </w:rPr>
        <w:t>„</w:t>
      </w:r>
      <w:r>
        <w:rPr>
          <w:rFonts w:cstheme="minorHAnsi"/>
          <w:b/>
          <w:color w:val="00188F"/>
          <w:sz w:val="18"/>
          <w:szCs w:val="18"/>
        </w:rPr>
        <w:t>Netzwerkdiagnose-Tools</w:t>
      </w:r>
      <w:r>
        <w:rPr>
          <w:rFonts w:cstheme="minorHAnsi"/>
          <w:sz w:val="18"/>
          <w:szCs w:val="18"/>
        </w:rPr>
        <w:t>“ ist eine Sammlung von Netzwerkdiagnose- und Topologie-Tools.</w:t>
      </w:r>
    </w:p>
    <w:p w14:paraId="767FDCE8" w14:textId="507F641E" w:rsidR="00430979" w:rsidRPr="00EF7CF9" w:rsidRDefault="00430979" w:rsidP="00430979">
      <w:pPr>
        <w:spacing w:after="0" w:line="240" w:lineRule="auto"/>
        <w:rPr>
          <w:rFonts w:cstheme="minorHAnsi"/>
          <w:sz w:val="18"/>
          <w:szCs w:val="18"/>
        </w:rPr>
      </w:pPr>
      <w:r>
        <w:rPr>
          <w:rFonts w:cstheme="minorHAnsi"/>
          <w:sz w:val="18"/>
          <w:szCs w:val="18"/>
        </w:rPr>
        <w:t>„</w:t>
      </w:r>
      <w:r>
        <w:rPr>
          <w:rFonts w:cstheme="minorHAnsi"/>
          <w:b/>
          <w:color w:val="00188F"/>
          <w:sz w:val="18"/>
          <w:szCs w:val="18"/>
        </w:rPr>
        <w:t>Maximale Diagnostische Prüfungen</w:t>
      </w:r>
      <w:r>
        <w:rPr>
          <w:rFonts w:cstheme="minorHAnsi"/>
          <w:sz w:val="18"/>
          <w:szCs w:val="18"/>
        </w:rPr>
        <w:t>“ bezeichnet die Gesamtzahl der vom Netzwerkdiagnosetool durchgeführten Diagnoseaktionen, wie vom Kunden in einem Anwendbaren Zeitraum für ein bestimmtes Microsoft Azure-Abonnement konfiguriert.</w:t>
      </w:r>
    </w:p>
    <w:p w14:paraId="224AA33A" w14:textId="77777777" w:rsidR="00430979" w:rsidRDefault="00430979" w:rsidP="00430979">
      <w:pPr>
        <w:spacing w:after="0" w:line="240" w:lineRule="auto"/>
        <w:rPr>
          <w:rFonts w:cstheme="minorHAnsi"/>
          <w:sz w:val="18"/>
          <w:szCs w:val="18"/>
        </w:rPr>
      </w:pPr>
      <w:r>
        <w:rPr>
          <w:rFonts w:cstheme="minorHAnsi"/>
          <w:sz w:val="18"/>
          <w:szCs w:val="18"/>
        </w:rPr>
        <w:t>„</w:t>
      </w:r>
      <w:r>
        <w:rPr>
          <w:rFonts w:cstheme="minorHAnsi"/>
          <w:b/>
          <w:color w:val="00188F"/>
          <w:sz w:val="18"/>
          <w:szCs w:val="18"/>
        </w:rPr>
        <w:t>Fehlerhafte diagnostische Überprüfungen</w:t>
      </w:r>
      <w:r>
        <w:rPr>
          <w:rFonts w:cstheme="minorHAnsi"/>
          <w:sz w:val="18"/>
          <w:szCs w:val="18"/>
        </w:rPr>
        <w:t>“ ist die Gesamtzahl der Diagnoseaktionen innerhalb der Maximalen diagnostischen Prüfungen, die einen Fehlercode oder keine Antwort innerhalb der in der nachstehenden Tabelle dokumentierten Maximalen Verarbeitungszeit ergeben.</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14"/>
        <w:gridCol w:w="5376"/>
      </w:tblGrid>
      <w:tr w:rsidR="00430979" w:rsidRPr="00B44CF9" w14:paraId="0EC38525" w14:textId="77777777" w:rsidTr="000F31B4">
        <w:trPr>
          <w:trHeight w:val="249"/>
          <w:tblHeader/>
        </w:trPr>
        <w:tc>
          <w:tcPr>
            <w:tcW w:w="2509" w:type="pct"/>
            <w:shd w:val="clear" w:color="auto" w:fill="0072C6"/>
          </w:tcPr>
          <w:p w14:paraId="24649BFF" w14:textId="77777777" w:rsidR="00430979" w:rsidRPr="00264620" w:rsidRDefault="00430979" w:rsidP="000F31B4">
            <w:pPr>
              <w:pStyle w:val="ProductList-OfferingBody"/>
              <w:rPr>
                <w:color w:val="FFFFFF" w:themeColor="background1"/>
                <w:szCs w:val="16"/>
              </w:rPr>
            </w:pPr>
            <w:r w:rsidRPr="00264620">
              <w:rPr>
                <w:color w:val="FFFFFF" w:themeColor="background1"/>
                <w:szCs w:val="16"/>
              </w:rPr>
              <w:t>Diagnosetool</w:t>
            </w:r>
          </w:p>
        </w:tc>
        <w:tc>
          <w:tcPr>
            <w:tcW w:w="2491" w:type="pct"/>
            <w:shd w:val="clear" w:color="auto" w:fill="0072C6"/>
          </w:tcPr>
          <w:p w14:paraId="42C15AC1" w14:textId="77777777" w:rsidR="00430979" w:rsidRPr="00264620" w:rsidRDefault="00430979" w:rsidP="000F31B4">
            <w:pPr>
              <w:pStyle w:val="ProductList-OfferingBody"/>
              <w:rPr>
                <w:color w:val="FFFFFF" w:themeColor="background1"/>
                <w:szCs w:val="16"/>
              </w:rPr>
            </w:pPr>
            <w:r w:rsidRPr="00264620">
              <w:rPr>
                <w:color w:val="FFFFFF" w:themeColor="background1"/>
                <w:szCs w:val="16"/>
              </w:rPr>
              <w:t>Maximale Verarbeitungszeit</w:t>
            </w:r>
          </w:p>
        </w:tc>
      </w:tr>
      <w:tr w:rsidR="00430979" w:rsidRPr="00B44CF9" w14:paraId="07761AA6" w14:textId="77777777" w:rsidTr="000F31B4">
        <w:trPr>
          <w:trHeight w:val="242"/>
        </w:trPr>
        <w:tc>
          <w:tcPr>
            <w:tcW w:w="2509" w:type="pct"/>
          </w:tcPr>
          <w:p w14:paraId="7DD7868C" w14:textId="77777777" w:rsidR="00430979" w:rsidRPr="00264620" w:rsidRDefault="00430979" w:rsidP="000F31B4">
            <w:pPr>
              <w:pStyle w:val="Heading2"/>
              <w:keepNext w:val="0"/>
              <w:keepLines w:val="0"/>
              <w:spacing w:line="240" w:lineRule="auto"/>
              <w:rPr>
                <w:rFonts w:asciiTheme="minorHAnsi" w:eastAsiaTheme="minorEastAsia" w:hAnsiTheme="minorHAnsi" w:cstheme="minorHAnsi"/>
                <w:b/>
                <w:bCs/>
                <w:color w:val="auto"/>
                <w:sz w:val="16"/>
                <w:szCs w:val="16"/>
              </w:rPr>
            </w:pPr>
            <w:r w:rsidRPr="00264620">
              <w:rPr>
                <w:rFonts w:asciiTheme="minorHAnsi" w:eastAsiaTheme="minorEastAsia" w:hAnsiTheme="minorHAnsi" w:cstheme="minorHAnsi"/>
                <w:color w:val="auto"/>
                <w:sz w:val="16"/>
                <w:szCs w:val="16"/>
              </w:rPr>
              <w:t>IPFlow überprüfen</w:t>
            </w:r>
          </w:p>
          <w:p w14:paraId="5051AC35" w14:textId="77777777" w:rsidR="00430979" w:rsidRPr="00264620" w:rsidRDefault="00430979" w:rsidP="000F31B4">
            <w:pPr>
              <w:pStyle w:val="Heading2"/>
              <w:keepNext w:val="0"/>
              <w:spacing w:line="240" w:lineRule="auto"/>
              <w:rPr>
                <w:rFonts w:asciiTheme="minorHAnsi" w:eastAsiaTheme="minorEastAsia" w:hAnsiTheme="minorHAnsi" w:cstheme="minorHAnsi"/>
                <w:b/>
                <w:bCs/>
                <w:color w:val="auto"/>
                <w:sz w:val="16"/>
                <w:szCs w:val="16"/>
              </w:rPr>
            </w:pPr>
            <w:r w:rsidRPr="00264620">
              <w:rPr>
                <w:rFonts w:asciiTheme="minorHAnsi" w:eastAsiaTheme="minorEastAsia" w:hAnsiTheme="minorHAnsi" w:cstheme="minorHAnsi"/>
                <w:color w:val="auto"/>
                <w:sz w:val="16"/>
                <w:szCs w:val="16"/>
              </w:rPr>
              <w:t>NextHop</w:t>
            </w:r>
          </w:p>
          <w:p w14:paraId="68485720" w14:textId="77777777" w:rsidR="00430979" w:rsidRPr="00264620" w:rsidRDefault="00430979" w:rsidP="000F31B4">
            <w:pPr>
              <w:pStyle w:val="Heading2"/>
              <w:keepNext w:val="0"/>
              <w:spacing w:line="240" w:lineRule="auto"/>
              <w:rPr>
                <w:rFonts w:asciiTheme="minorHAnsi" w:eastAsiaTheme="minorEastAsia" w:hAnsiTheme="minorHAnsi" w:cstheme="minorHAnsi"/>
                <w:b/>
                <w:bCs/>
                <w:color w:val="auto"/>
                <w:sz w:val="16"/>
                <w:szCs w:val="16"/>
              </w:rPr>
            </w:pPr>
            <w:r w:rsidRPr="00264620">
              <w:rPr>
                <w:rFonts w:asciiTheme="minorHAnsi" w:eastAsiaTheme="minorEastAsia" w:hAnsiTheme="minorHAnsi" w:cstheme="minorHAnsi"/>
                <w:color w:val="auto"/>
                <w:sz w:val="16"/>
                <w:szCs w:val="16"/>
              </w:rPr>
              <w:t>Paketerfassung</w:t>
            </w:r>
          </w:p>
          <w:p w14:paraId="3A4359B7" w14:textId="77777777" w:rsidR="00430979" w:rsidRPr="00264620" w:rsidRDefault="00430979" w:rsidP="000F31B4">
            <w:pPr>
              <w:pStyle w:val="Heading2"/>
              <w:keepNext w:val="0"/>
              <w:spacing w:line="240" w:lineRule="auto"/>
              <w:rPr>
                <w:rFonts w:asciiTheme="minorHAnsi" w:eastAsiaTheme="minorEastAsia" w:hAnsiTheme="minorHAnsi" w:cstheme="minorHAnsi"/>
                <w:b/>
                <w:bCs/>
                <w:color w:val="auto"/>
                <w:sz w:val="16"/>
                <w:szCs w:val="16"/>
              </w:rPr>
            </w:pPr>
            <w:r w:rsidRPr="00264620">
              <w:rPr>
                <w:rFonts w:asciiTheme="minorHAnsi" w:eastAsiaTheme="minorEastAsia" w:hAnsiTheme="minorHAnsi" w:cstheme="minorHAnsi"/>
                <w:color w:val="auto"/>
                <w:sz w:val="16"/>
                <w:szCs w:val="16"/>
              </w:rPr>
              <w:t>Sicherheitsgruppenansicht</w:t>
            </w:r>
          </w:p>
          <w:p w14:paraId="44D59B52" w14:textId="77777777" w:rsidR="00430979" w:rsidRPr="00264620" w:rsidRDefault="00430979" w:rsidP="000F31B4">
            <w:pPr>
              <w:pStyle w:val="ProductList-OfferingBody"/>
              <w:rPr>
                <w:rFonts w:eastAsiaTheme="minorEastAsia" w:cstheme="minorHAnsi"/>
                <w:szCs w:val="16"/>
              </w:rPr>
            </w:pPr>
            <w:r w:rsidRPr="00264620">
              <w:rPr>
                <w:rFonts w:eastAsiaTheme="minorEastAsia" w:cstheme="minorHAnsi"/>
                <w:szCs w:val="16"/>
              </w:rPr>
              <w:t>Topologie</w:t>
            </w:r>
          </w:p>
          <w:p w14:paraId="51B46A76" w14:textId="77777777" w:rsidR="00430979" w:rsidRPr="00264620" w:rsidRDefault="00430979" w:rsidP="000F31B4">
            <w:pPr>
              <w:pStyle w:val="ProductList-Body"/>
              <w:rPr>
                <w:sz w:val="16"/>
                <w:szCs w:val="16"/>
              </w:rPr>
            </w:pPr>
            <w:r w:rsidRPr="00264620">
              <w:rPr>
                <w:sz w:val="16"/>
                <w:szCs w:val="16"/>
              </w:rPr>
              <w:t>Verbindungsmonitor</w:t>
            </w:r>
          </w:p>
          <w:p w14:paraId="11650A43" w14:textId="77777777" w:rsidR="00430979" w:rsidRPr="00264620" w:rsidRDefault="00430979" w:rsidP="000F31B4">
            <w:pPr>
              <w:pStyle w:val="ProductList-Body"/>
              <w:rPr>
                <w:sz w:val="16"/>
                <w:szCs w:val="16"/>
              </w:rPr>
            </w:pPr>
            <w:r w:rsidRPr="00264620">
              <w:rPr>
                <w:sz w:val="16"/>
                <w:szCs w:val="16"/>
              </w:rPr>
              <w:t>Verbindungsmonitor (klassisch)</w:t>
            </w:r>
          </w:p>
        </w:tc>
        <w:tc>
          <w:tcPr>
            <w:tcW w:w="2491" w:type="pct"/>
          </w:tcPr>
          <w:p w14:paraId="6C475433" w14:textId="77777777" w:rsidR="00430979" w:rsidRPr="00264620" w:rsidRDefault="00430979" w:rsidP="000F31B4">
            <w:pPr>
              <w:pStyle w:val="ProductList-OfferingBody"/>
              <w:rPr>
                <w:szCs w:val="16"/>
              </w:rPr>
            </w:pPr>
            <w:r w:rsidRPr="00264620">
              <w:rPr>
                <w:szCs w:val="16"/>
              </w:rPr>
              <w:t>2 Minuten</w:t>
            </w:r>
          </w:p>
        </w:tc>
      </w:tr>
      <w:tr w:rsidR="00430979" w:rsidRPr="00B44CF9" w14:paraId="23AAA306" w14:textId="77777777" w:rsidTr="000F31B4">
        <w:trPr>
          <w:trHeight w:val="249"/>
        </w:trPr>
        <w:tc>
          <w:tcPr>
            <w:tcW w:w="2509" w:type="pct"/>
          </w:tcPr>
          <w:p w14:paraId="58E8F7FE" w14:textId="77777777" w:rsidR="00430979" w:rsidRPr="00264620" w:rsidRDefault="00430979" w:rsidP="000F31B4">
            <w:pPr>
              <w:pStyle w:val="ProductList-OfferingBody"/>
              <w:rPr>
                <w:szCs w:val="16"/>
              </w:rPr>
            </w:pPr>
            <w:r w:rsidRPr="00264620">
              <w:rPr>
                <w:szCs w:val="16"/>
              </w:rPr>
              <w:t>VPN-Problembehandlung</w:t>
            </w:r>
          </w:p>
        </w:tc>
        <w:tc>
          <w:tcPr>
            <w:tcW w:w="2491" w:type="pct"/>
          </w:tcPr>
          <w:p w14:paraId="7C7EB31F" w14:textId="77777777" w:rsidR="00430979" w:rsidRPr="00264620" w:rsidRDefault="00430979" w:rsidP="000F31B4">
            <w:pPr>
              <w:pStyle w:val="ProductList-OfferingBody"/>
              <w:rPr>
                <w:szCs w:val="16"/>
              </w:rPr>
            </w:pPr>
            <w:r w:rsidRPr="00264620">
              <w:rPr>
                <w:szCs w:val="16"/>
              </w:rPr>
              <w:t xml:space="preserve">10 Minuten </w:t>
            </w:r>
          </w:p>
        </w:tc>
      </w:tr>
    </w:tbl>
    <w:p w14:paraId="643CF345" w14:textId="4230B894" w:rsidR="00430979" w:rsidRPr="0008262F" w:rsidRDefault="00430979" w:rsidP="00430979">
      <w:pPr>
        <w:spacing w:before="120" w:after="0" w:line="240" w:lineRule="auto"/>
        <w:rPr>
          <w:rFonts w:cstheme="minorHAnsi"/>
          <w:sz w:val="18"/>
          <w:szCs w:val="18"/>
        </w:rPr>
      </w:pPr>
      <w:r w:rsidRPr="0008262F">
        <w:rPr>
          <w:sz w:val="18"/>
          <w:szCs w:val="18"/>
        </w:rPr>
        <w:t xml:space="preserve">Der </w:t>
      </w:r>
      <w:r w:rsidRPr="0008262F">
        <w:rPr>
          <w:rFonts w:cstheme="minorHAnsi"/>
          <w:sz w:val="18"/>
          <w:szCs w:val="18"/>
        </w:rPr>
        <w:t>„</w:t>
      </w:r>
      <w:r w:rsidRPr="0008262F">
        <w:rPr>
          <w:rFonts w:cstheme="minorHAnsi"/>
          <w:b/>
          <w:color w:val="00188F"/>
          <w:sz w:val="18"/>
          <w:szCs w:val="18"/>
        </w:rPr>
        <w:t>Betriebszeitprozentsatz</w:t>
      </w:r>
      <w:r w:rsidRPr="0008262F">
        <w:rPr>
          <w:rFonts w:cstheme="minorHAnsi"/>
          <w:sz w:val="18"/>
          <w:szCs w:val="18"/>
        </w:rPr>
        <w:t>“ errechnet sich nach folgender Formel:</w:t>
      </w:r>
    </w:p>
    <w:p w14:paraId="680B8244" w14:textId="41CCF78B" w:rsidR="00430979" w:rsidRPr="001846CE" w:rsidRDefault="00000000" w:rsidP="00B97415">
      <w:pPr>
        <w:spacing w:before="120" w:after="0" w:line="240" w:lineRule="auto"/>
        <w:rPr>
          <w:rFonts w:cstheme="minorHAns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Maximale Diagnoseprüfungen abzüglich Fehlerhafte Diagnoseprüfungen</m:t>
              </m:r>
            </m:num>
            <m:den>
              <m:r>
                <m:rPr>
                  <m:nor/>
                </m:rPr>
                <w:rPr>
                  <w:rFonts w:ascii="Cambria Math" w:hAnsi="Cambria Math" w:cs="Tahoma"/>
                  <w:i/>
                  <w:sz w:val="18"/>
                  <w:szCs w:val="18"/>
                </w:rPr>
                <m:t>Maximale Diagnoseprüfungen</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C914C90" w14:textId="77777777" w:rsidR="00430979" w:rsidRPr="00EF7CF9" w:rsidRDefault="00430979" w:rsidP="00430979">
      <w:pPr>
        <w:pStyle w:val="ProductList-Body"/>
      </w:pPr>
      <w:r>
        <w:rPr>
          <w:b/>
          <w:color w:val="00188F"/>
        </w:rPr>
        <w:t>Servicelevels</w:t>
      </w:r>
      <w:r w:rsidRPr="0008262F">
        <w:rPr>
          <w:b/>
          <w:bCs/>
          <w:color w:val="00188F"/>
        </w:rPr>
        <w:t>:</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23"/>
        <w:gridCol w:w="5367"/>
      </w:tblGrid>
      <w:tr w:rsidR="00430979" w:rsidRPr="00B44CF9" w14:paraId="4606B003" w14:textId="77777777" w:rsidTr="000F31B4">
        <w:trPr>
          <w:trHeight w:val="249"/>
          <w:tblHeader/>
        </w:trPr>
        <w:tc>
          <w:tcPr>
            <w:tcW w:w="2513" w:type="pct"/>
            <w:shd w:val="clear" w:color="auto" w:fill="0072C6"/>
          </w:tcPr>
          <w:p w14:paraId="0D32EC55" w14:textId="6225CBE6" w:rsidR="00430979" w:rsidRPr="00264620" w:rsidRDefault="00AC48A7" w:rsidP="000F31B4">
            <w:pPr>
              <w:pStyle w:val="ProductList-OfferingBody"/>
              <w:jc w:val="center"/>
              <w:rPr>
                <w:color w:val="FFFFFF" w:themeColor="background1"/>
                <w:szCs w:val="16"/>
              </w:rPr>
            </w:pPr>
            <w:r w:rsidRPr="00264620">
              <w:rPr>
                <w:color w:val="FFFFFF" w:themeColor="background1"/>
                <w:szCs w:val="16"/>
              </w:rPr>
              <w:t>Betriebszeitprozentsatz</w:t>
            </w:r>
          </w:p>
        </w:tc>
        <w:tc>
          <w:tcPr>
            <w:tcW w:w="2487" w:type="pct"/>
            <w:shd w:val="clear" w:color="auto" w:fill="0072C6"/>
          </w:tcPr>
          <w:p w14:paraId="75A13F4F" w14:textId="77777777" w:rsidR="00430979" w:rsidRPr="00264620" w:rsidRDefault="00430979" w:rsidP="000F31B4">
            <w:pPr>
              <w:pStyle w:val="ProductList-OfferingBody"/>
              <w:jc w:val="center"/>
              <w:rPr>
                <w:color w:val="FFFFFF" w:themeColor="background1"/>
                <w:szCs w:val="16"/>
              </w:rPr>
            </w:pPr>
            <w:r w:rsidRPr="00264620">
              <w:rPr>
                <w:color w:val="FFFFFF" w:themeColor="background1"/>
                <w:szCs w:val="16"/>
              </w:rPr>
              <w:t>Servicegutschrift</w:t>
            </w:r>
          </w:p>
        </w:tc>
      </w:tr>
      <w:tr w:rsidR="00430979" w:rsidRPr="00B44CF9" w14:paraId="3DDD643D" w14:textId="77777777" w:rsidTr="000F31B4">
        <w:trPr>
          <w:trHeight w:val="242"/>
        </w:trPr>
        <w:tc>
          <w:tcPr>
            <w:tcW w:w="2513" w:type="pct"/>
          </w:tcPr>
          <w:p w14:paraId="099B35BD" w14:textId="77777777" w:rsidR="00430979" w:rsidRPr="00264620" w:rsidRDefault="00430979" w:rsidP="000F31B4">
            <w:pPr>
              <w:pStyle w:val="ProductList-OfferingBody"/>
              <w:jc w:val="center"/>
              <w:rPr>
                <w:szCs w:val="16"/>
              </w:rPr>
            </w:pPr>
            <w:r w:rsidRPr="00264620">
              <w:rPr>
                <w:szCs w:val="16"/>
              </w:rPr>
              <w:t>&lt; 99,9 %</w:t>
            </w:r>
          </w:p>
        </w:tc>
        <w:tc>
          <w:tcPr>
            <w:tcW w:w="2487" w:type="pct"/>
          </w:tcPr>
          <w:p w14:paraId="2269548D" w14:textId="77777777" w:rsidR="00430979" w:rsidRPr="00264620" w:rsidRDefault="00430979" w:rsidP="000F31B4">
            <w:pPr>
              <w:pStyle w:val="ProductList-OfferingBody"/>
              <w:jc w:val="center"/>
              <w:rPr>
                <w:szCs w:val="16"/>
              </w:rPr>
            </w:pPr>
            <w:r w:rsidRPr="00264620">
              <w:rPr>
                <w:szCs w:val="16"/>
              </w:rPr>
              <w:t>10 %</w:t>
            </w:r>
          </w:p>
        </w:tc>
      </w:tr>
      <w:tr w:rsidR="00430979" w:rsidRPr="00B44CF9" w14:paraId="743D0E65" w14:textId="77777777" w:rsidTr="000F31B4">
        <w:trPr>
          <w:trHeight w:val="249"/>
        </w:trPr>
        <w:tc>
          <w:tcPr>
            <w:tcW w:w="2513" w:type="pct"/>
          </w:tcPr>
          <w:p w14:paraId="715B48C8" w14:textId="77777777" w:rsidR="00430979" w:rsidRPr="00264620" w:rsidRDefault="00430979" w:rsidP="000F31B4">
            <w:pPr>
              <w:pStyle w:val="ProductList-OfferingBody"/>
              <w:jc w:val="center"/>
              <w:rPr>
                <w:szCs w:val="16"/>
              </w:rPr>
            </w:pPr>
            <w:r w:rsidRPr="00264620">
              <w:rPr>
                <w:szCs w:val="16"/>
              </w:rPr>
              <w:t>&lt; 99 %</w:t>
            </w:r>
          </w:p>
        </w:tc>
        <w:tc>
          <w:tcPr>
            <w:tcW w:w="2487" w:type="pct"/>
          </w:tcPr>
          <w:p w14:paraId="56040B94" w14:textId="77777777" w:rsidR="00430979" w:rsidRPr="00264620" w:rsidRDefault="00430979" w:rsidP="000F31B4">
            <w:pPr>
              <w:pStyle w:val="ProductList-OfferingBody"/>
              <w:jc w:val="center"/>
              <w:rPr>
                <w:szCs w:val="16"/>
              </w:rPr>
            </w:pPr>
            <w:r w:rsidRPr="00264620">
              <w:rPr>
                <w:szCs w:val="16"/>
              </w:rPr>
              <w:t>25 %</w:t>
            </w:r>
          </w:p>
        </w:tc>
      </w:tr>
    </w:tbl>
    <w:bookmarkStart w:id="471" w:name="_Toc457821572"/>
    <w:bookmarkStart w:id="472" w:name="_Toc52348982"/>
    <w:bookmarkEnd w:id="468"/>
    <w:p w14:paraId="5DF3F24F" w14:textId="59A1732D"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550314EE" w14:textId="77777777" w:rsidR="00430979" w:rsidRPr="00EF7CF9" w:rsidRDefault="00430979" w:rsidP="00430979">
      <w:pPr>
        <w:pStyle w:val="ProductList-Offering2Heading"/>
        <w:tabs>
          <w:tab w:val="clear" w:pos="360"/>
          <w:tab w:val="clear" w:pos="720"/>
          <w:tab w:val="clear" w:pos="1080"/>
        </w:tabs>
        <w:outlineLvl w:val="2"/>
      </w:pPr>
      <w:bookmarkStart w:id="473" w:name="_Toc195543182"/>
      <w:bookmarkStart w:id="474" w:name="_Toc237449044"/>
      <w:r>
        <w:t>Benachrichtigungshubs</w:t>
      </w:r>
      <w:bookmarkEnd w:id="471"/>
      <w:bookmarkEnd w:id="472"/>
      <w:bookmarkEnd w:id="473"/>
      <w:bookmarkEnd w:id="474"/>
    </w:p>
    <w:p w14:paraId="7246C680" w14:textId="77777777" w:rsidR="00430979" w:rsidRPr="00EF7CF9" w:rsidRDefault="00430979" w:rsidP="00430979">
      <w:pPr>
        <w:pStyle w:val="ProductList-Body"/>
      </w:pPr>
      <w:r>
        <w:rPr>
          <w:b/>
          <w:color w:val="00188F"/>
        </w:rPr>
        <w:t>Zusätzliche Definitionen</w:t>
      </w:r>
      <w:r w:rsidRPr="0008262F">
        <w:rPr>
          <w:b/>
          <w:bCs/>
          <w:color w:val="00188F"/>
        </w:rPr>
        <w:t>:</w:t>
      </w:r>
    </w:p>
    <w:p w14:paraId="203A06C0" w14:textId="5F0C10FE" w:rsidR="00430979" w:rsidRPr="00EF7CF9" w:rsidRDefault="00430979" w:rsidP="00430979">
      <w:pPr>
        <w:pStyle w:val="ProductList-Body"/>
      </w:pPr>
      <w:r>
        <w:t>„</w:t>
      </w:r>
      <w:r>
        <w:rPr>
          <w:b/>
          <w:color w:val="00188F"/>
        </w:rPr>
        <w:t>Bereitstellungsminuten</w:t>
      </w:r>
      <w:r>
        <w:t>“ ist die Gesamtzahl der Minuten, in denen ein bestimmter Benachrichtigungs-Hub im Verlauf eines Anwendbaren Zeitraums in Microsoft Azure bereitgestellt wird.</w:t>
      </w:r>
    </w:p>
    <w:p w14:paraId="6D21BD1A" w14:textId="6CF4C354" w:rsidR="00430979" w:rsidRPr="00EF7CF9" w:rsidRDefault="00430979" w:rsidP="00430979">
      <w:pPr>
        <w:pStyle w:val="ProductList-Body"/>
      </w:pPr>
      <w:r>
        <w:t>„</w:t>
      </w:r>
      <w:r>
        <w:rPr>
          <w:b/>
          <w:color w:val="00188F"/>
        </w:rPr>
        <w:t>Maximal Verfügbare Minuten</w:t>
      </w:r>
      <w:r>
        <w:t>“ ist die Summe der Bereitstellungsminuten aller Benachrichtigungs-Hubs, die von Ihnen in einem bestimmten Microsoft Azure-Abonnement unter einer Basis- oder Standard-Stufe für Benachrichtigungs-Hubs während eines Anwendbaren Zeitraums bereitgestellt werden.</w:t>
      </w:r>
    </w:p>
    <w:p w14:paraId="426087FB" w14:textId="168DD1DC" w:rsidR="00430979" w:rsidRPr="00EF7CF9" w:rsidRDefault="00430979" w:rsidP="00430979">
      <w:pPr>
        <w:pStyle w:val="ProductList-Body"/>
      </w:pPr>
      <w:r>
        <w:rPr>
          <w:b/>
          <w:color w:val="00188F"/>
        </w:rPr>
        <w:t>Ausfallzeit</w:t>
      </w:r>
      <w:r w:rsidRPr="0008262F">
        <w:rPr>
          <w:b/>
          <w:bCs/>
          <w:color w:val="00188F"/>
        </w:rPr>
        <w:t>:</w:t>
      </w:r>
      <w:r>
        <w:t xml:space="preserve"> Die kumulierten Bereitstellungsminuten über alle Benachrichtigungs-Hubs hinweg, von Ihnen bereitgestellt in einem bestimmten Microsoft Azure-Abonnement unter den Basis- oder Standardstufen der Benachrichtigungs-Hubs, in denen der Benachrichtigungs-Hub nicht verfügbar ist. Eine Minute gilt für einen bestimmten Benachrichtigungs-Hub als nicht verfügbar, wenn alle fortlaufenden Versuche, während der Minute Benachrichtigungen zu senden oder Registrierungsverwaltungsvorgänge in Bezug auf den Benachrichtigungs-Hub durchzuführen, entweder einen Fehlercode zurückgeben oder innerhalb von fünf Minuten nicht zu einem Erfolgscode führen.</w:t>
      </w:r>
    </w:p>
    <w:p w14:paraId="0C4D73A4" w14:textId="77D9F744" w:rsidR="00430979" w:rsidRPr="00EF7CF9" w:rsidRDefault="00AC48A7" w:rsidP="0008262F">
      <w:pPr>
        <w:pStyle w:val="ProductList-Body"/>
        <w:keepNext/>
        <w:keepLines/>
      </w:pPr>
      <w:r>
        <w:rPr>
          <w:b/>
          <w:color w:val="00188F"/>
        </w:rPr>
        <w:lastRenderedPageBreak/>
        <w:t>Betriebszeitprozentsatz</w:t>
      </w:r>
      <w:r w:rsidRPr="0008262F">
        <w:rPr>
          <w:b/>
          <w:bCs/>
          <w:color w:val="00188F"/>
        </w:rPr>
        <w:t>:</w:t>
      </w:r>
      <w:r>
        <w:t xml:space="preserve"> Der Betriebszeitprozentsatz errechnet sich nach folgender Formel:</w:t>
      </w:r>
    </w:p>
    <w:p w14:paraId="2358A694" w14:textId="6F41606B" w:rsidR="00430979" w:rsidRPr="007C7313" w:rsidRDefault="00000000" w:rsidP="00151F9A">
      <w:pPr>
        <w:pStyle w:val="ListParagraph"/>
        <w:keepNext/>
        <w:keepLines/>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1AFB4ECA" w14:textId="77777777" w:rsidR="00430979" w:rsidRPr="00EF7CF9" w:rsidRDefault="00430979" w:rsidP="00430979">
      <w:pPr>
        <w:pStyle w:val="ProductList-Body"/>
      </w:pPr>
      <w:r>
        <w:rPr>
          <w:b/>
          <w:color w:val="00188F"/>
        </w:rPr>
        <w:t>Servicegutschrift</w:t>
      </w:r>
      <w:r w:rsidRPr="0008262F">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30979" w:rsidRPr="00B44CF9" w14:paraId="5E977D2D" w14:textId="77777777" w:rsidTr="00277097">
        <w:trPr>
          <w:tblHeader/>
        </w:trPr>
        <w:tc>
          <w:tcPr>
            <w:tcW w:w="5400" w:type="dxa"/>
            <w:shd w:val="clear" w:color="auto" w:fill="0072C6"/>
          </w:tcPr>
          <w:p w14:paraId="360A58C0" w14:textId="7FEFEEF9" w:rsidR="00430979"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45FB8E86" w14:textId="77777777" w:rsidR="00430979" w:rsidRPr="00EF7CF9" w:rsidRDefault="00430979" w:rsidP="000F31B4">
            <w:pPr>
              <w:pStyle w:val="ProductList-OfferingBody"/>
              <w:jc w:val="center"/>
              <w:rPr>
                <w:color w:val="FFFFFF" w:themeColor="background1"/>
              </w:rPr>
            </w:pPr>
            <w:r>
              <w:rPr>
                <w:color w:val="FFFFFF" w:themeColor="background1"/>
              </w:rPr>
              <w:t>Servicegutschrift</w:t>
            </w:r>
          </w:p>
        </w:tc>
      </w:tr>
      <w:tr w:rsidR="00430979" w:rsidRPr="00B44CF9" w14:paraId="41130667" w14:textId="77777777" w:rsidTr="00277097">
        <w:tc>
          <w:tcPr>
            <w:tcW w:w="5400" w:type="dxa"/>
          </w:tcPr>
          <w:p w14:paraId="74AA00A9" w14:textId="77777777" w:rsidR="00430979" w:rsidRPr="00EF7CF9" w:rsidRDefault="00430979" w:rsidP="000F31B4">
            <w:pPr>
              <w:pStyle w:val="ProductList-OfferingBody"/>
              <w:jc w:val="center"/>
            </w:pPr>
            <w:r>
              <w:t>&lt; 99,9 %</w:t>
            </w:r>
          </w:p>
        </w:tc>
        <w:tc>
          <w:tcPr>
            <w:tcW w:w="5400" w:type="dxa"/>
          </w:tcPr>
          <w:p w14:paraId="38E84104" w14:textId="77777777" w:rsidR="00430979" w:rsidRPr="00EF7CF9" w:rsidRDefault="00430979" w:rsidP="000F31B4">
            <w:pPr>
              <w:pStyle w:val="ProductList-OfferingBody"/>
              <w:jc w:val="center"/>
            </w:pPr>
            <w:r>
              <w:t>10 %</w:t>
            </w:r>
          </w:p>
        </w:tc>
      </w:tr>
      <w:tr w:rsidR="00430979" w:rsidRPr="00B44CF9" w14:paraId="3EBECA4D" w14:textId="77777777" w:rsidTr="00277097">
        <w:tc>
          <w:tcPr>
            <w:tcW w:w="5400" w:type="dxa"/>
          </w:tcPr>
          <w:p w14:paraId="11E96FFE" w14:textId="77777777" w:rsidR="00430979" w:rsidRPr="00EF7CF9" w:rsidRDefault="00430979" w:rsidP="000F31B4">
            <w:pPr>
              <w:pStyle w:val="ProductList-OfferingBody"/>
              <w:jc w:val="center"/>
            </w:pPr>
            <w:r>
              <w:t>&lt; 99 %</w:t>
            </w:r>
          </w:p>
        </w:tc>
        <w:tc>
          <w:tcPr>
            <w:tcW w:w="5400" w:type="dxa"/>
          </w:tcPr>
          <w:p w14:paraId="437A1D31" w14:textId="77777777" w:rsidR="00430979" w:rsidRPr="00EF7CF9" w:rsidRDefault="00430979" w:rsidP="000F31B4">
            <w:pPr>
              <w:pStyle w:val="ProductList-OfferingBody"/>
              <w:jc w:val="center"/>
            </w:pPr>
            <w:r>
              <w:t>25 %</w:t>
            </w:r>
          </w:p>
        </w:tc>
      </w:tr>
    </w:tbl>
    <w:p w14:paraId="65389EC9" w14:textId="57BDF566" w:rsidR="00430979" w:rsidRPr="00EF7CF9" w:rsidRDefault="00430979" w:rsidP="0020497F">
      <w:pPr>
        <w:pStyle w:val="ProductList-Body"/>
        <w:keepNext/>
        <w:spacing w:before="120"/>
        <w:jc w:val="both"/>
      </w:pPr>
      <w:r>
        <w:rPr>
          <w:b/>
          <w:color w:val="00188F"/>
        </w:rPr>
        <w:t>Servicelevel-Ausnahmen</w:t>
      </w:r>
      <w:r w:rsidRPr="0008262F">
        <w:rPr>
          <w:b/>
          <w:bCs/>
          <w:color w:val="00188F"/>
        </w:rPr>
        <w:t>:</w:t>
      </w:r>
      <w:r>
        <w:t xml:space="preserve"> Service-Levels und Servicegutschriften gelten für Ihre Nutzung der Basis- und Standard-Stufen für Benachrichtigungs-Hubs.</w:t>
      </w:r>
    </w:p>
    <w:p w14:paraId="72A3AEEA" w14:textId="79FDBDB7"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35A5FD93" w14:textId="77777777" w:rsidR="00430979" w:rsidRPr="00430979" w:rsidRDefault="00430979" w:rsidP="00430979">
      <w:pPr>
        <w:pStyle w:val="ProductList-Offering2Heading"/>
        <w:keepNext/>
        <w:tabs>
          <w:tab w:val="clear" w:pos="360"/>
          <w:tab w:val="clear" w:pos="720"/>
          <w:tab w:val="clear" w:pos="1080"/>
        </w:tabs>
        <w:outlineLvl w:val="2"/>
      </w:pPr>
      <w:bookmarkStart w:id="475" w:name="_Toc195543183"/>
      <w:bookmarkStart w:id="476" w:name="_Toc237449045"/>
      <w:r>
        <w:t>Bedarfsgesteuerte Kapazitätsreservierung in Bezug auf Virtuelle Azure-Computer</w:t>
      </w:r>
      <w:bookmarkEnd w:id="475"/>
      <w:bookmarkEnd w:id="476"/>
    </w:p>
    <w:p w14:paraId="3BFDCAB1" w14:textId="77777777" w:rsidR="00430979" w:rsidRPr="00430979" w:rsidRDefault="00430979" w:rsidP="00430979">
      <w:pPr>
        <w:pStyle w:val="ProductList-Body"/>
        <w:rPr>
          <w:b/>
          <w:bCs/>
          <w:color w:val="00188F"/>
        </w:rPr>
      </w:pPr>
      <w:r>
        <w:rPr>
          <w:b/>
          <w:bCs/>
          <w:color w:val="00188F"/>
        </w:rPr>
        <w:t>Zusätzliche Definitionen</w:t>
      </w:r>
    </w:p>
    <w:p w14:paraId="1255BD6C" w14:textId="77777777" w:rsidR="00430979" w:rsidRDefault="00430979" w:rsidP="00430979">
      <w:pPr>
        <w:pStyle w:val="ProductList-Body"/>
      </w:pPr>
      <w:r>
        <w:t>„</w:t>
      </w:r>
      <w:r>
        <w:rPr>
          <w:b/>
          <w:bCs/>
          <w:color w:val="00188F"/>
        </w:rPr>
        <w:t>Verfügbarkeitszone</w:t>
      </w:r>
      <w:r>
        <w:t>“ ist ein fehlerisolierter Bereich in einer Azure-Region, der redundante Stromversorgung, Kühlung und Vernetzung zur Verfügung stellt.</w:t>
      </w:r>
    </w:p>
    <w:p w14:paraId="75068006" w14:textId="77777777" w:rsidR="00430979" w:rsidRDefault="00430979" w:rsidP="001846CE">
      <w:pPr>
        <w:pStyle w:val="ProductList-Body"/>
        <w:jc w:val="both"/>
      </w:pPr>
      <w:r>
        <w:t>„</w:t>
      </w:r>
      <w:r>
        <w:rPr>
          <w:b/>
          <w:bCs/>
          <w:color w:val="00188F"/>
        </w:rPr>
        <w:t>Kapazität</w:t>
      </w:r>
      <w:r>
        <w:t>“ ist die Eigenschaft einer Bedarfsgesteuerten Kapazitätsreservierung, die die Anzahl der reservierten virtuellen Computerinstanzen angibt.</w:t>
      </w:r>
    </w:p>
    <w:p w14:paraId="2E6509A9" w14:textId="77777777" w:rsidR="00430979" w:rsidRDefault="00430979" w:rsidP="00430979">
      <w:pPr>
        <w:pStyle w:val="ProductList-Body"/>
      </w:pPr>
      <w:r>
        <w:t>„</w:t>
      </w:r>
      <w:r>
        <w:rPr>
          <w:b/>
          <w:bCs/>
          <w:color w:val="00188F"/>
        </w:rPr>
        <w:t>Bedarfsgesteuerte Kapazitätsreservierung</w:t>
      </w:r>
      <w:r>
        <w:t>“ ist das Objekt, das in einem Azure-Abonnement erstellt wird, um eine Menge an reservierter Kapazität für einen bestimmten virtuellen Computerinstanzentyp an einem bestimmten Ort anzugeben.</w:t>
      </w:r>
    </w:p>
    <w:p w14:paraId="5B67FE53" w14:textId="77777777" w:rsidR="00430979" w:rsidRDefault="00430979" w:rsidP="00430979">
      <w:pPr>
        <w:pStyle w:val="ProductList-Body"/>
      </w:pPr>
      <w:r>
        <w:t>„</w:t>
      </w:r>
      <w:r>
        <w:rPr>
          <w:b/>
          <w:bCs/>
          <w:color w:val="00188F"/>
        </w:rPr>
        <w:t>Virtueller Computer</w:t>
      </w:r>
      <w:r>
        <w:t>“ bezieht sich auf permanente Instanztypen, die einzeln oder als Teil einer VC-Skalierungsgruppe in einer mehrinstanzenfähigen Umgebung in Azure bereitgestellt werden können.</w:t>
      </w:r>
    </w:p>
    <w:p w14:paraId="44DFECDB" w14:textId="77777777" w:rsidR="00430979" w:rsidRDefault="00430979" w:rsidP="00430979">
      <w:pPr>
        <w:pStyle w:val="ProductList-Body"/>
      </w:pPr>
      <w:r>
        <w:t>„</w:t>
      </w:r>
      <w:r>
        <w:rPr>
          <w:b/>
          <w:bCs/>
          <w:color w:val="00188F"/>
        </w:rPr>
        <w:t>Zugewiesene Virtuelle Computer</w:t>
      </w:r>
      <w:r>
        <w:t>“ ist die Eigenschaft einer Bedarfsgesteuerten Kapazitätsreservierung; sie bezieht sich auf die Liste der virtuellen Computer, die der Bedarfsgesteuerten Kapazitätsreservierung zugewiesen sind.</w:t>
      </w:r>
    </w:p>
    <w:p w14:paraId="39559A6B" w14:textId="2F454812" w:rsidR="00430979" w:rsidRDefault="00430979" w:rsidP="00430979">
      <w:pPr>
        <w:pStyle w:val="ProductList-Body"/>
      </w:pPr>
      <w:r>
        <w:t>„</w:t>
      </w:r>
      <w:r>
        <w:rPr>
          <w:b/>
          <w:bCs/>
          <w:color w:val="00188F"/>
        </w:rPr>
        <w:t>Unterstützte Bereitstellung</w:t>
      </w:r>
      <w:r>
        <w:t xml:space="preserve">“ ist eine Bereitstellung eines virtueller Computers, die mit dem Standort übereinstimmt, einschließlich der Verfügbarkeitszone, falls diese definiert ist, die exakte Größe des virtuellen Computers einer vorhandenen Bedarfsgesteuerten Kapazitätsreservierung verwendet und der </w:t>
      </w:r>
      <w:hyperlink r:id="rId24" w:anchor="limitations-and-restrictions" w:history="1">
        <w:r>
          <w:rPr>
            <w:rStyle w:val="Hyperlink"/>
          </w:rPr>
          <w:t>Nutzungsdokumentation</w:t>
        </w:r>
      </w:hyperlink>
      <w:r>
        <w:t xml:space="preserve"> der Funktion entspricht.</w:t>
      </w:r>
    </w:p>
    <w:p w14:paraId="5C1CD026" w14:textId="77777777" w:rsidR="00430979" w:rsidRDefault="00430979" w:rsidP="00430979">
      <w:pPr>
        <w:pStyle w:val="ProductList-Body"/>
      </w:pPr>
      <w:r>
        <w:t>„</w:t>
      </w:r>
      <w:r>
        <w:rPr>
          <w:b/>
          <w:bCs/>
          <w:color w:val="00188F"/>
        </w:rPr>
        <w:t>Reservierte Einheit</w:t>
      </w:r>
      <w:r>
        <w:t>“ ist genau eine Instanz einer Bedarfsgesteuerten Kapazitätsreservierung. Wenn eine Bedarfsgesteuerte Kapazitätsreservierung beispielsweise eine Kapazität von 10 virtuellen Computern angibt, dann gibt es 10 reservierte Einheiten.</w:t>
      </w:r>
    </w:p>
    <w:p w14:paraId="7B8AC567" w14:textId="77777777" w:rsidR="00430979" w:rsidRDefault="00430979" w:rsidP="00430979">
      <w:pPr>
        <w:pStyle w:val="ProductList-Body"/>
      </w:pPr>
      <w:r>
        <w:t>„</w:t>
      </w:r>
      <w:r>
        <w:rPr>
          <w:b/>
          <w:bCs/>
          <w:color w:val="00188F"/>
        </w:rPr>
        <w:t>Ungenutzte Kapazitätsreservierung</w:t>
      </w:r>
      <w:r>
        <w:t>“ ist die Bedarfsgesteuerte Kapazitätsreservierung, bei der die Anzahl der zugewiesenen virtuellen Computer geringer ist als die Kapazität.</w:t>
      </w:r>
    </w:p>
    <w:p w14:paraId="17BB0F27" w14:textId="77777777" w:rsidR="00430979" w:rsidRDefault="00430979" w:rsidP="00430979">
      <w:pPr>
        <w:pStyle w:val="ProductList-Body"/>
      </w:pPr>
      <w:r>
        <w:t>„</w:t>
      </w:r>
      <w:r>
        <w:rPr>
          <w:b/>
          <w:bCs/>
          <w:color w:val="00188F"/>
        </w:rPr>
        <w:t>Nicht für Bereitstellung verfügbar</w:t>
      </w:r>
      <w:r>
        <w:t>“ ist definiert als jede unterstützte Bereitstellung, die so konfiguriert ist, dass sie eine vorhandene Ungenutzte Kapazitätsreservierung verbraucht, die zwei Bedingungen erfüllt:</w:t>
      </w:r>
    </w:p>
    <w:p w14:paraId="22D3FF4F" w14:textId="02B6D5D5" w:rsidR="00430979" w:rsidRDefault="00430979">
      <w:pPr>
        <w:pStyle w:val="ProductList-Body"/>
        <w:numPr>
          <w:ilvl w:val="1"/>
          <w:numId w:val="12"/>
        </w:numPr>
        <w:tabs>
          <w:tab w:val="clear" w:pos="360"/>
          <w:tab w:val="clear" w:pos="720"/>
          <w:tab w:val="clear" w:pos="1080"/>
        </w:tabs>
        <w:ind w:left="540" w:hanging="180"/>
      </w:pPr>
      <w:r>
        <w:t>Empfängt eine Fehlermeldung, die angibt, dass die Kapazität eines virtuellen Computers nicht ausreicht. Eine fehlerhafte Bereitstellung eines virtuellen Computers aufgrund anderer Fehlertypen oder mangelnder Kapazität bezüglich Festplatten oder anderer Azure-Ressourcen erfüllt diese Anforderung nicht; und</w:t>
      </w:r>
    </w:p>
    <w:p w14:paraId="355ADB92" w14:textId="13C66690" w:rsidR="00430979" w:rsidRDefault="00430979">
      <w:pPr>
        <w:pStyle w:val="ProductList-Body"/>
        <w:numPr>
          <w:ilvl w:val="1"/>
          <w:numId w:val="12"/>
        </w:numPr>
        <w:tabs>
          <w:tab w:val="clear" w:pos="360"/>
          <w:tab w:val="clear" w:pos="720"/>
          <w:tab w:val="clear" w:pos="1080"/>
        </w:tabs>
        <w:ind w:left="540" w:hanging="180"/>
      </w:pPr>
      <w:r>
        <w:t>Die Bedarfsgesteuerte Kapazitätsreservierung erfüllt weiterhin die Definition der Ungenutzten Kapazitätsreservierung (d. h. andere virtuelle Computer haben die Ungenutzte Kapazitätsreservierung nicht bereits verbraucht).</w:t>
      </w:r>
    </w:p>
    <w:p w14:paraId="7A5EDA90" w14:textId="32AFCFA7" w:rsidR="00430979" w:rsidRPr="00430979" w:rsidRDefault="00EE6E3C" w:rsidP="00B6507E">
      <w:pPr>
        <w:pStyle w:val="ProductList-Body"/>
        <w:rPr>
          <w:b/>
          <w:bCs/>
          <w:color w:val="00188F"/>
        </w:rPr>
      </w:pPr>
      <w:r>
        <w:rPr>
          <w:b/>
          <w:bCs/>
          <w:color w:val="00188F"/>
        </w:rPr>
        <w:t>Berechnung der Betriebszeit und Service-Levels für bedarfsgesteuerte Kapazitätsreservierung</w:t>
      </w:r>
    </w:p>
    <w:p w14:paraId="23F3C9D0" w14:textId="630AD3FE" w:rsidR="00430979" w:rsidRDefault="00430979" w:rsidP="009313B7">
      <w:pPr>
        <w:pStyle w:val="ProductList-Body"/>
        <w:spacing w:after="40"/>
      </w:pPr>
      <w:r>
        <w:t>„</w:t>
      </w:r>
      <w:r>
        <w:rPr>
          <w:b/>
          <w:bCs/>
          <w:color w:val="00188F"/>
        </w:rPr>
        <w:t>Nicht verfügbare Minuten</w:t>
      </w:r>
      <w:r>
        <w:t>“ sind definiert als Minuten, in denen eine Ungenutzte Kapazitätsreservierung nicht für die Bereitstellung verfügbar ist. Ab dem Zeitpunkt, zu dem eine Bedingung „Nicht verfügbar für die Bereitstellung“ eintritt, werden die Nicht verfügbaren Minuten kumuliert, bis (a)</w:t>
      </w:r>
      <w:r w:rsidR="006532C1">
        <w:t> </w:t>
      </w:r>
      <w:r>
        <w:t>eine nachfolgende Unterstützte Bereitstellung erfolgreich ist, (b) eine weitere Bedingung „Nicht verfügbar für die Bereitstellung“ aus einem anderen Unterstützten Bereitstellungsversuch resultiert oder (c) 15 Minuten verstrichen sind. Wenn 15 Minuten verstrichen sind, ohne dass eine Unterstützte Bereitstellung versucht wurde, werden die Nicht verfügbaren Minuten bei einer nachfolgenden Bedingung „Nicht verfügbar für die Bereitstellung“ erneut gesammelt.</w:t>
      </w:r>
    </w:p>
    <w:p w14:paraId="2E63F193" w14:textId="77777777" w:rsidR="00430979" w:rsidRDefault="00430979" w:rsidP="00430979">
      <w:pPr>
        <w:pStyle w:val="ProductList-Body"/>
      </w:pPr>
      <w:r>
        <w:t>Die Nicht verfügbaren Minuten sammeln sich für jede reservierte Einheit an, die nicht genutzt werden kann. Wenn eine reservierte Einheit genutzt wird, während eine andere unbenutzt bleibt, werden die Nicht verfügbaren Minuten nur für die unbenutzte reservierte Einheit weiter kumuliert.</w:t>
      </w:r>
    </w:p>
    <w:p w14:paraId="53CB9C15" w14:textId="77777777" w:rsidR="00321493" w:rsidRDefault="00430979" w:rsidP="00321493">
      <w:pPr>
        <w:pStyle w:val="ProductList-Body"/>
        <w:spacing w:after="40"/>
      </w:pPr>
      <w:r>
        <w:t xml:space="preserve">Siehe </w:t>
      </w:r>
      <w:hyperlink r:id="rId25" w:anchor="sla-for-capacity-reservation" w:history="1">
        <w:r>
          <w:rPr>
            <w:rStyle w:val="Hyperlink"/>
          </w:rPr>
          <w:t>Berechnungsbeispiel</w:t>
        </w:r>
      </w:hyperlink>
      <w:r>
        <w:t xml:space="preserve"> in der Funktionsdokumentation.</w:t>
      </w:r>
    </w:p>
    <w:p w14:paraId="5B62674B" w14:textId="77777777" w:rsidR="00321493" w:rsidRDefault="00430979" w:rsidP="00321493">
      <w:pPr>
        <w:pStyle w:val="ProductList-Body"/>
        <w:spacing w:after="40"/>
      </w:pPr>
      <w:r>
        <w:t>„</w:t>
      </w:r>
      <w:r>
        <w:rPr>
          <w:b/>
          <w:bCs/>
          <w:color w:val="00188F"/>
        </w:rPr>
        <w:t>Ausfallzeit</w:t>
      </w:r>
      <w:r>
        <w:t>“ ist die Summe der kumulierten, nicht verfügbaren Minuten, die Teil der Minuten in einem bestimmten Monat sind, berechnet pro reservierter Einheit.</w:t>
      </w:r>
    </w:p>
    <w:p w14:paraId="34C52979" w14:textId="73B755C5" w:rsidR="00430979" w:rsidRDefault="00430979" w:rsidP="00321493">
      <w:pPr>
        <w:pStyle w:val="ProductList-Body"/>
        <w:spacing w:after="40"/>
      </w:pPr>
      <w:r>
        <w:t>„</w:t>
      </w:r>
      <w:r>
        <w:rPr>
          <w:b/>
          <w:bCs/>
          <w:color w:val="00188F"/>
        </w:rPr>
        <w:t>Betriebszeitprozentsatz</w:t>
      </w:r>
      <w:r>
        <w:t>“ für jede reservierte Einheit wird anhand des Prozentsatzes der Minuten im Anwendbaren Zeitraum berechnet, in denen eine reservierte Einheit eine Ausfallzeit hatte.</w:t>
      </w:r>
    </w:p>
    <w:p w14:paraId="6F2C9ED3" w14:textId="79BD8098" w:rsidR="00430979" w:rsidRPr="001846CE" w:rsidRDefault="00000000" w:rsidP="0020497F">
      <w:pPr>
        <w:pStyle w:val="ListParagraph"/>
        <w:keepNext/>
        <w:keepLines/>
        <w:spacing w:before="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Minuten in einem Anwendbaren Zeitraum abzüglich Ausfallzeit</m:t>
              </m:r>
            </m:num>
            <m:den>
              <m:r>
                <m:rPr>
                  <m:nor/>
                </m:rPr>
                <w:rPr>
                  <w:rFonts w:ascii="Cambria Math" w:hAnsi="Cambria Math" w:cs="Tahoma"/>
                  <w:i/>
                  <w:sz w:val="18"/>
                  <w:szCs w:val="18"/>
                </w:rPr>
                <m:t>Minuten in einem Anwendbaren Zeitraum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5E823F3" w14:textId="77777777" w:rsidR="00430979" w:rsidRDefault="00430979" w:rsidP="00430979">
      <w:pPr>
        <w:pStyle w:val="ProductList-Body"/>
      </w:pPr>
      <w:r>
        <w:rPr>
          <w:b/>
          <w:bCs/>
          <w:color w:val="00188F"/>
        </w:rPr>
        <w:t>Die folgenden Servicelevels und Servicegutschriften gelten für die Nutzung jeder Reservierten Einheit durch den Kunden in einer Bedarfsgesteuerten Kapazitätsreservierung.</w:t>
      </w:r>
      <w:r>
        <w:t xml:space="preserve"> Die Servicegutschriften werden auf der Grundlage der Kosten für jede Reservierte Einheit und nicht der Gesamtkosten der Bedarfsgesteuerten Kapazitätsreservierung ausgestellt.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F15F8" w:rsidRPr="00B44CF9" w14:paraId="2815AEB6" w14:textId="77777777" w:rsidTr="00277097">
        <w:trPr>
          <w:tblHeader/>
        </w:trPr>
        <w:tc>
          <w:tcPr>
            <w:tcW w:w="5400" w:type="dxa"/>
            <w:shd w:val="clear" w:color="auto" w:fill="0072C6"/>
          </w:tcPr>
          <w:p w14:paraId="63D3B5E2" w14:textId="4C541431" w:rsidR="00BF15F8" w:rsidRPr="00EF7CF9" w:rsidRDefault="00AC48A7" w:rsidP="000F31B4">
            <w:pPr>
              <w:pStyle w:val="ProductList-OfferingBody"/>
              <w:jc w:val="center"/>
              <w:rPr>
                <w:color w:val="FFFFFF" w:themeColor="background1"/>
              </w:rPr>
            </w:pPr>
            <w:r>
              <w:rPr>
                <w:color w:val="FFFFFF" w:themeColor="background1"/>
              </w:rPr>
              <w:lastRenderedPageBreak/>
              <w:t>Betriebszeitprozentsatz</w:t>
            </w:r>
          </w:p>
        </w:tc>
        <w:tc>
          <w:tcPr>
            <w:tcW w:w="5400" w:type="dxa"/>
            <w:shd w:val="clear" w:color="auto" w:fill="0072C6"/>
          </w:tcPr>
          <w:p w14:paraId="4BF599AF" w14:textId="77777777" w:rsidR="00BF15F8" w:rsidRPr="00EF7CF9" w:rsidRDefault="00BF15F8" w:rsidP="000F31B4">
            <w:pPr>
              <w:pStyle w:val="ProductList-OfferingBody"/>
              <w:jc w:val="center"/>
              <w:rPr>
                <w:color w:val="FFFFFF" w:themeColor="background1"/>
              </w:rPr>
            </w:pPr>
            <w:r>
              <w:rPr>
                <w:color w:val="FFFFFF" w:themeColor="background1"/>
              </w:rPr>
              <w:t>Servicegutschrift</w:t>
            </w:r>
          </w:p>
        </w:tc>
      </w:tr>
      <w:tr w:rsidR="00BF15F8" w:rsidRPr="00B44CF9" w14:paraId="6694A6B3" w14:textId="77777777" w:rsidTr="00277097">
        <w:tc>
          <w:tcPr>
            <w:tcW w:w="5400" w:type="dxa"/>
          </w:tcPr>
          <w:p w14:paraId="62DC3151" w14:textId="77777777" w:rsidR="00BF15F8" w:rsidRPr="00EF7CF9" w:rsidRDefault="00BF15F8" w:rsidP="000F31B4">
            <w:pPr>
              <w:pStyle w:val="ProductList-OfferingBody"/>
              <w:jc w:val="center"/>
            </w:pPr>
            <w:r>
              <w:t>&lt; 99,9 %</w:t>
            </w:r>
          </w:p>
        </w:tc>
        <w:tc>
          <w:tcPr>
            <w:tcW w:w="5400" w:type="dxa"/>
          </w:tcPr>
          <w:p w14:paraId="345CC8EB" w14:textId="77777777" w:rsidR="00BF15F8" w:rsidRPr="00EF7CF9" w:rsidRDefault="00BF15F8" w:rsidP="000F31B4">
            <w:pPr>
              <w:pStyle w:val="ProductList-OfferingBody"/>
              <w:jc w:val="center"/>
            </w:pPr>
            <w:r>
              <w:t>10 %</w:t>
            </w:r>
          </w:p>
        </w:tc>
      </w:tr>
      <w:tr w:rsidR="00BF15F8" w:rsidRPr="00B44CF9" w14:paraId="08A7A7BA" w14:textId="77777777" w:rsidTr="00277097">
        <w:tc>
          <w:tcPr>
            <w:tcW w:w="5400" w:type="dxa"/>
          </w:tcPr>
          <w:p w14:paraId="6FCC1E3B" w14:textId="77777777" w:rsidR="00BF15F8" w:rsidRPr="00EF7CF9" w:rsidRDefault="00BF15F8" w:rsidP="000F31B4">
            <w:pPr>
              <w:pStyle w:val="ProductList-OfferingBody"/>
              <w:jc w:val="center"/>
            </w:pPr>
            <w:r>
              <w:t>&lt; 99 %</w:t>
            </w:r>
          </w:p>
        </w:tc>
        <w:tc>
          <w:tcPr>
            <w:tcW w:w="5400" w:type="dxa"/>
          </w:tcPr>
          <w:p w14:paraId="04B0AB48" w14:textId="77777777" w:rsidR="00BF15F8" w:rsidRPr="00EF7CF9" w:rsidRDefault="00BF15F8" w:rsidP="000F31B4">
            <w:pPr>
              <w:pStyle w:val="ProductList-OfferingBody"/>
              <w:jc w:val="center"/>
            </w:pPr>
            <w:r>
              <w:t>25 %</w:t>
            </w:r>
          </w:p>
        </w:tc>
      </w:tr>
      <w:tr w:rsidR="00BF15F8" w:rsidRPr="00B44CF9" w14:paraId="6AC99D22" w14:textId="77777777" w:rsidTr="00277097">
        <w:tc>
          <w:tcPr>
            <w:tcW w:w="5400" w:type="dxa"/>
          </w:tcPr>
          <w:p w14:paraId="0D7638C7" w14:textId="7E3C1477" w:rsidR="00BF15F8" w:rsidRPr="00EF7CF9" w:rsidRDefault="00BF15F8" w:rsidP="000F31B4">
            <w:pPr>
              <w:pStyle w:val="ProductList-OfferingBody"/>
              <w:jc w:val="center"/>
            </w:pPr>
            <w:r>
              <w:t>&lt; 95 %</w:t>
            </w:r>
          </w:p>
        </w:tc>
        <w:tc>
          <w:tcPr>
            <w:tcW w:w="5400" w:type="dxa"/>
          </w:tcPr>
          <w:p w14:paraId="0B6CDF92" w14:textId="7AD7C73E" w:rsidR="00BF15F8" w:rsidRPr="00EF7CF9" w:rsidRDefault="00BF15F8" w:rsidP="000F31B4">
            <w:pPr>
              <w:pStyle w:val="ProductList-OfferingBody"/>
              <w:jc w:val="center"/>
            </w:pPr>
            <w:r>
              <w:t>100 %</w:t>
            </w:r>
          </w:p>
        </w:tc>
      </w:tr>
    </w:tbl>
    <w:p w14:paraId="0C7A4EA2" w14:textId="4401AC8A"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6D9B9ACC" w14:textId="562C3850" w:rsidR="00EF0470" w:rsidRPr="00B05208" w:rsidRDefault="00EF0470" w:rsidP="00EF0470">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477" w:name="_Toc230011462"/>
      <w:r>
        <w:rPr>
          <w:rFonts w:ascii="Calibri Light" w:eastAsia="Calibri" w:hAnsi="Calibri Light" w:cs="Arial"/>
          <w:b/>
          <w:color w:val="0072C6"/>
          <w:sz w:val="28"/>
        </w:rPr>
        <w:t>Foundry – Agent-Dienst</w:t>
      </w:r>
      <w:bookmarkEnd w:id="477"/>
    </w:p>
    <w:p w14:paraId="058E728F" w14:textId="77777777" w:rsidR="00EF0470" w:rsidRPr="00B05208" w:rsidRDefault="00EF0470" w:rsidP="00EF0470">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Zusätzliche Definitionen</w:t>
      </w:r>
      <w:r w:rsidRPr="00C94278">
        <w:rPr>
          <w:rFonts w:ascii="Calibri" w:eastAsia="Calibri" w:hAnsi="Calibri" w:cs="Arial"/>
          <w:b/>
          <w:color w:val="00188F"/>
          <w:sz w:val="18"/>
        </w:rPr>
        <w:t>:</w:t>
      </w:r>
    </w:p>
    <w:p w14:paraId="44CD8189" w14:textId="77777777" w:rsidR="00EF0470" w:rsidRPr="00B05208" w:rsidRDefault="00EF0470" w:rsidP="00EF0470">
      <w:pPr>
        <w:tabs>
          <w:tab w:val="left" w:pos="360"/>
          <w:tab w:val="left" w:pos="720"/>
          <w:tab w:val="left" w:pos="1080"/>
        </w:tabs>
        <w:spacing w:after="0" w:line="240" w:lineRule="auto"/>
        <w:rPr>
          <w:rFonts w:ascii="Calibri" w:eastAsia="Aptos" w:hAnsi="Calibri" w:cs="Calibri"/>
          <w:sz w:val="18"/>
          <w:szCs w:val="18"/>
        </w:rPr>
      </w:pPr>
      <w:r w:rsidRPr="00A80248">
        <w:rPr>
          <w:rFonts w:ascii="Calibri" w:hAnsi="Calibri" w:cs="Calibri"/>
          <w:b/>
          <w:color w:val="00188F"/>
          <w:sz w:val="18"/>
          <w:szCs w:val="18"/>
        </w:rPr>
        <w:t>„</w:t>
      </w:r>
      <w:r>
        <w:rPr>
          <w:rFonts w:ascii="Calibri" w:eastAsia="Aptos" w:hAnsi="Calibri" w:cs="Calibri"/>
          <w:b/>
          <w:color w:val="00188F"/>
          <w:sz w:val="18"/>
        </w:rPr>
        <w:t>Azure AI Foundry-Ressource</w:t>
      </w:r>
      <w:r w:rsidRPr="00A80248">
        <w:rPr>
          <w:rFonts w:ascii="Calibri" w:hAnsi="Calibri" w:cs="Calibri"/>
          <w:b/>
          <w:color w:val="00188F"/>
          <w:sz w:val="18"/>
          <w:szCs w:val="18"/>
        </w:rPr>
        <w:t>“</w:t>
      </w:r>
      <w:r>
        <w:rPr>
          <w:rFonts w:ascii="Calibri" w:eastAsia="Aptos" w:hAnsi="Calibri" w:cs="Calibri"/>
          <w:sz w:val="18"/>
          <w:szCs w:val="18"/>
        </w:rPr>
        <w:t> bezieht sich auf eine Azure-Ressource für Microsoft Foundry, die in einer Azure-Region in einem Microsoft Azure-Abonnement erstellt wurde.</w:t>
      </w:r>
    </w:p>
    <w:p w14:paraId="1AEF3758" w14:textId="77777777" w:rsidR="00EF0470" w:rsidRPr="00B05208" w:rsidRDefault="00EF0470" w:rsidP="00EF0470">
      <w:pPr>
        <w:tabs>
          <w:tab w:val="left" w:pos="360"/>
          <w:tab w:val="left" w:pos="720"/>
          <w:tab w:val="left" w:pos="1080"/>
        </w:tabs>
        <w:spacing w:after="0" w:line="240" w:lineRule="auto"/>
        <w:rPr>
          <w:rFonts w:ascii="Calibri" w:eastAsia="Aptos" w:hAnsi="Calibri" w:cs="Calibri"/>
          <w:sz w:val="18"/>
          <w:szCs w:val="18"/>
        </w:rPr>
      </w:pPr>
      <w:r w:rsidRPr="00A80248">
        <w:rPr>
          <w:rFonts w:ascii="Calibri" w:eastAsia="Aptos" w:hAnsi="Calibri" w:cs="Calibri"/>
          <w:sz w:val="18"/>
          <w:szCs w:val="18"/>
        </w:rPr>
        <w:t xml:space="preserve">Unter </w:t>
      </w:r>
      <w:r w:rsidRPr="00A80248">
        <w:rPr>
          <w:rFonts w:ascii="Calibri" w:hAnsi="Calibri" w:cs="Calibri"/>
          <w:b/>
          <w:color w:val="00188F"/>
          <w:sz w:val="18"/>
          <w:szCs w:val="18"/>
        </w:rPr>
        <w:t>„</w:t>
      </w:r>
      <w:r>
        <w:rPr>
          <w:rFonts w:ascii="Calibri" w:eastAsia="Aptos" w:hAnsi="Calibri" w:cs="Calibri"/>
          <w:b/>
          <w:color w:val="00188F"/>
          <w:sz w:val="18"/>
        </w:rPr>
        <w:t>Anforderung</w:t>
      </w:r>
      <w:r w:rsidRPr="00A80248">
        <w:rPr>
          <w:rFonts w:ascii="Calibri" w:hAnsi="Calibri" w:cs="Calibri"/>
          <w:b/>
          <w:color w:val="00188F"/>
          <w:sz w:val="18"/>
          <w:szCs w:val="18"/>
        </w:rPr>
        <w:t>“</w:t>
      </w:r>
      <w:r>
        <w:rPr>
          <w:rFonts w:ascii="Calibri" w:eastAsia="Aptos" w:hAnsi="Calibri" w:cs="Calibri"/>
          <w:sz w:val="18"/>
          <w:szCs w:val="18"/>
        </w:rPr>
        <w:t> versteht man einen API-Aufruf an einen Modell-Endpunkt in einer Microsoft Foundry-Ressource.</w:t>
      </w:r>
    </w:p>
    <w:p w14:paraId="662AE4E3" w14:textId="77777777" w:rsidR="00EF0470" w:rsidRPr="00B05208" w:rsidRDefault="00EF0470" w:rsidP="00EF0470">
      <w:pPr>
        <w:tabs>
          <w:tab w:val="left" w:pos="360"/>
          <w:tab w:val="left" w:pos="720"/>
          <w:tab w:val="left" w:pos="1080"/>
        </w:tabs>
        <w:spacing w:after="0" w:line="240" w:lineRule="auto"/>
        <w:rPr>
          <w:rFonts w:ascii="Calibri" w:eastAsia="Aptos" w:hAnsi="Calibri" w:cs="Calibri"/>
          <w:sz w:val="18"/>
          <w:szCs w:val="18"/>
        </w:rPr>
      </w:pPr>
      <w:r w:rsidRPr="00A80248">
        <w:rPr>
          <w:rFonts w:ascii="Calibri" w:eastAsia="Aptos" w:hAnsi="Calibri" w:cs="Calibri"/>
          <w:sz w:val="18"/>
          <w:szCs w:val="18"/>
        </w:rPr>
        <w:t xml:space="preserve">Die </w:t>
      </w:r>
      <w:r w:rsidRPr="00A80248">
        <w:rPr>
          <w:rFonts w:ascii="Calibri" w:hAnsi="Calibri" w:cs="Calibri"/>
          <w:b/>
          <w:color w:val="00188F"/>
          <w:sz w:val="18"/>
          <w:szCs w:val="18"/>
        </w:rPr>
        <w:t>„</w:t>
      </w:r>
      <w:r>
        <w:rPr>
          <w:rFonts w:ascii="Calibri" w:eastAsia="Aptos" w:hAnsi="Calibri" w:cs="Calibri"/>
          <w:b/>
          <w:color w:val="00188F"/>
          <w:sz w:val="18"/>
        </w:rPr>
        <w:t>Durchschnittliche Fehlerrate</w:t>
      </w:r>
      <w:r w:rsidRPr="00A80248">
        <w:rPr>
          <w:rFonts w:ascii="Calibri" w:hAnsi="Calibri" w:cs="Calibri"/>
          <w:b/>
          <w:color w:val="00188F"/>
          <w:sz w:val="18"/>
          <w:szCs w:val="18"/>
        </w:rPr>
        <w:t>“</w:t>
      </w:r>
      <w:r>
        <w:rPr>
          <w:rFonts w:ascii="Calibri" w:eastAsia="Aptos" w:hAnsi="Calibri" w:cs="Calibri"/>
          <w:sz w:val="18"/>
          <w:szCs w:val="18"/>
        </w:rPr>
        <w:t> für einen Anwendbaren Zeitraum ist die Summe der Fehlerraten für jede Minute im Anwendbaren Zeitraum, geteilt durch die Gesamtzahl der Minuten im Anwendbaren Zeitraum.</w:t>
      </w:r>
    </w:p>
    <w:p w14:paraId="169BC1F7" w14:textId="77777777" w:rsidR="00EF0470" w:rsidRPr="00B05208" w:rsidRDefault="00EF0470" w:rsidP="00EF0470">
      <w:pPr>
        <w:tabs>
          <w:tab w:val="left" w:pos="360"/>
          <w:tab w:val="left" w:pos="720"/>
          <w:tab w:val="left" w:pos="1080"/>
        </w:tabs>
        <w:spacing w:after="0" w:line="240" w:lineRule="auto"/>
        <w:rPr>
          <w:rFonts w:ascii="Calibri" w:eastAsia="Aptos" w:hAnsi="Calibri" w:cs="Calibri"/>
          <w:sz w:val="18"/>
          <w:szCs w:val="18"/>
        </w:rPr>
      </w:pPr>
      <w:r w:rsidRPr="00A80248">
        <w:rPr>
          <w:rFonts w:ascii="Calibri" w:eastAsia="Aptos" w:hAnsi="Calibri" w:cs="Calibri"/>
          <w:sz w:val="18"/>
          <w:szCs w:val="18"/>
        </w:rPr>
        <w:t xml:space="preserve">Die </w:t>
      </w:r>
      <w:r w:rsidRPr="00A80248">
        <w:rPr>
          <w:rFonts w:ascii="Calibri" w:hAnsi="Calibri" w:cs="Calibri"/>
          <w:b/>
          <w:color w:val="00188F"/>
          <w:sz w:val="18"/>
          <w:szCs w:val="18"/>
        </w:rPr>
        <w:t>„</w:t>
      </w:r>
      <w:r>
        <w:rPr>
          <w:rFonts w:ascii="Calibri" w:eastAsia="Aptos" w:hAnsi="Calibri" w:cs="Calibri"/>
          <w:b/>
          <w:color w:val="00188F"/>
          <w:sz w:val="18"/>
        </w:rPr>
        <w:t>Fehlerrate</w:t>
      </w:r>
      <w:r w:rsidRPr="00A80248">
        <w:rPr>
          <w:rFonts w:ascii="Calibri" w:hAnsi="Calibri" w:cs="Calibri"/>
          <w:b/>
          <w:color w:val="00188F"/>
          <w:sz w:val="18"/>
          <w:szCs w:val="18"/>
        </w:rPr>
        <w:t>“</w:t>
      </w:r>
      <w:r>
        <w:rPr>
          <w:rFonts w:ascii="Calibri" w:eastAsia="Aptos" w:hAnsi="Calibri" w:cs="Calibri"/>
          <w:sz w:val="18"/>
          <w:szCs w:val="18"/>
        </w:rPr>
        <w:t> ist die Gesamtzahl der Anfragen, die einen Fehlercode zurückgeben, geteilt durch die Gesamtzahl der Anfragen während einer Minute. Wenn die Gesamtzahl der Anfragen in einem bestimmten Minuten-Intervall null ist, liegt die Fehlerrate für dieses Intervall bei 0 %.</w:t>
      </w:r>
    </w:p>
    <w:p w14:paraId="706CF0FA" w14:textId="473F125B" w:rsidR="00EF0470" w:rsidRPr="00B05208" w:rsidRDefault="00EF0470" w:rsidP="00EF0470">
      <w:pPr>
        <w:tabs>
          <w:tab w:val="left" w:pos="360"/>
          <w:tab w:val="left" w:pos="720"/>
          <w:tab w:val="left" w:pos="1080"/>
        </w:tabs>
        <w:spacing w:after="0" w:line="240" w:lineRule="auto"/>
        <w:rPr>
          <w:rFonts w:ascii="Aptos" w:eastAsia="Aptos" w:hAnsi="Aptos" w:cs="Times New Roman"/>
          <w:sz w:val="18"/>
          <w:szCs w:val="18"/>
        </w:rPr>
      </w:pPr>
      <w:r w:rsidRPr="00A80248">
        <w:rPr>
          <w:rFonts w:ascii="Calibri" w:eastAsia="Aptos" w:hAnsi="Calibri" w:cs="Calibri"/>
          <w:sz w:val="18"/>
          <w:szCs w:val="18"/>
        </w:rPr>
        <w:t xml:space="preserve">Der </w:t>
      </w:r>
      <w:r w:rsidRPr="00A80248">
        <w:rPr>
          <w:rFonts w:ascii="Calibri" w:hAnsi="Calibri" w:cs="Calibri"/>
          <w:b/>
          <w:color w:val="00188F"/>
          <w:sz w:val="18"/>
          <w:szCs w:val="18"/>
        </w:rPr>
        <w:t>„</w:t>
      </w:r>
      <w:r>
        <w:rPr>
          <w:rFonts w:ascii="Calibri" w:eastAsia="Aptos" w:hAnsi="Calibri" w:cs="Calibri"/>
          <w:b/>
          <w:color w:val="00188F"/>
          <w:sz w:val="18"/>
        </w:rPr>
        <w:t>Betriebszeitprozentsatz</w:t>
      </w:r>
      <w:r w:rsidRPr="00A80248">
        <w:rPr>
          <w:rFonts w:ascii="Calibri" w:hAnsi="Calibri" w:cs="Calibri"/>
          <w:b/>
          <w:color w:val="00188F"/>
          <w:sz w:val="18"/>
          <w:szCs w:val="18"/>
        </w:rPr>
        <w:t>“</w:t>
      </w:r>
      <w:r>
        <w:rPr>
          <w:rFonts w:ascii="Calibri" w:eastAsia="Aptos" w:hAnsi="Calibri" w:cs="Calibri"/>
          <w:sz w:val="18"/>
          <w:szCs w:val="18"/>
        </w:rPr>
        <w:t> wird durch die folgende Formel ermittelt:</w:t>
      </w:r>
    </w:p>
    <w:p w14:paraId="1E659544" w14:textId="77777777" w:rsidR="00EF0470" w:rsidRPr="00B05208" w:rsidRDefault="00EF0470" w:rsidP="00FC411E">
      <w:pPr>
        <w:tabs>
          <w:tab w:val="left" w:pos="360"/>
          <w:tab w:val="left" w:pos="720"/>
          <w:tab w:val="left" w:pos="1080"/>
        </w:tabs>
        <w:spacing w:before="120" w:after="120" w:line="240" w:lineRule="auto"/>
        <w:rPr>
          <w:rFonts w:ascii="Aptos" w:eastAsia="Aptos" w:hAnsi="Aptos" w:cs="Times New Roman"/>
          <w:b/>
          <w:color w:val="00188F"/>
          <w:sz w:val="18"/>
        </w:rPr>
      </w:pPr>
      <m:oMathPara>
        <m:oMath>
          <m:r>
            <w:rPr>
              <w:rFonts w:ascii="Cambria Math" w:eastAsia="Aptos" w:hAnsi="Cambria Math" w:cs="Tahoma"/>
              <w:sz w:val="18"/>
              <w:szCs w:val="18"/>
            </w:rPr>
            <m:t>Monatliche Betriebszeit % = 100 % abzüglich Durchschnittliche Fehlerrate</m:t>
          </m:r>
        </m:oMath>
      </m:oMathPara>
    </w:p>
    <w:p w14:paraId="3A1C21A7" w14:textId="77777777" w:rsidR="00EF0470" w:rsidRDefault="00EF0470" w:rsidP="00EF0470">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Servicegutschrift:</w:t>
      </w:r>
    </w:p>
    <w:tbl>
      <w:tblPr>
        <w:tblW w:w="0" w:type="auto"/>
        <w:tblInd w:w="5" w:type="dxa"/>
        <w:shd w:val="clear" w:color="auto" w:fill="FFFFFF"/>
        <w:tblLook w:val="04A0" w:firstRow="1" w:lastRow="0" w:firstColumn="1" w:lastColumn="0" w:noHBand="0" w:noVBand="1"/>
      </w:tblPr>
      <w:tblGrid>
        <w:gridCol w:w="5394"/>
        <w:gridCol w:w="5381"/>
      </w:tblGrid>
      <w:tr w:rsidR="00EF0470" w14:paraId="2EF6528D" w14:textId="77777777" w:rsidTr="004754D5">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6443D63D" w14:textId="77777777" w:rsidR="00EF0470" w:rsidRPr="00B05208" w:rsidRDefault="00EF0470" w:rsidP="004754D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Betriebszeitprozentsatz</w:t>
            </w:r>
          </w:p>
        </w:tc>
        <w:tc>
          <w:tcPr>
            <w:tcW w:w="5381" w:type="dxa"/>
            <w:tcBorders>
              <w:top w:val="single" w:sz="8" w:space="0" w:color="000000"/>
              <w:left w:val="nil"/>
              <w:bottom w:val="single" w:sz="8" w:space="0" w:color="000000"/>
              <w:right w:val="single" w:sz="8" w:space="0" w:color="000000"/>
            </w:tcBorders>
            <w:shd w:val="clear" w:color="auto" w:fill="0072C6"/>
            <w:hideMark/>
          </w:tcPr>
          <w:p w14:paraId="197EC272" w14:textId="77777777" w:rsidR="00EF0470" w:rsidRPr="00B05208" w:rsidRDefault="00EF0470" w:rsidP="004754D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Servicegutschrift</w:t>
            </w:r>
          </w:p>
        </w:tc>
      </w:tr>
      <w:tr w:rsidR="00EF0470" w14:paraId="2878246F" w14:textId="77777777" w:rsidTr="004754D5">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3AC9BB79" w14:textId="77777777" w:rsidR="00EF0470" w:rsidRPr="00B05208" w:rsidRDefault="00EF0470" w:rsidP="004754D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w:t>
            </w:r>
          </w:p>
        </w:tc>
        <w:tc>
          <w:tcPr>
            <w:tcW w:w="5381" w:type="dxa"/>
            <w:tcBorders>
              <w:top w:val="nil"/>
              <w:left w:val="nil"/>
              <w:bottom w:val="single" w:sz="8" w:space="0" w:color="000000"/>
              <w:right w:val="single" w:sz="8" w:space="0" w:color="000000"/>
            </w:tcBorders>
            <w:shd w:val="clear" w:color="auto" w:fill="FFFFFF"/>
            <w:hideMark/>
          </w:tcPr>
          <w:p w14:paraId="6829D909" w14:textId="77777777" w:rsidR="00EF0470" w:rsidRPr="00B05208" w:rsidRDefault="00EF0470" w:rsidP="004754D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10 %</w:t>
            </w:r>
          </w:p>
        </w:tc>
      </w:tr>
      <w:tr w:rsidR="00EF0470" w14:paraId="449DB0CB" w14:textId="77777777" w:rsidTr="004754D5">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241A7AF6" w14:textId="77777777" w:rsidR="00EF0470" w:rsidRPr="00B05208" w:rsidRDefault="00EF0470" w:rsidP="004754D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w:t>
            </w:r>
          </w:p>
        </w:tc>
        <w:tc>
          <w:tcPr>
            <w:tcW w:w="5381" w:type="dxa"/>
            <w:tcBorders>
              <w:top w:val="nil"/>
              <w:left w:val="nil"/>
              <w:bottom w:val="single" w:sz="8" w:space="0" w:color="000000"/>
              <w:right w:val="single" w:sz="8" w:space="0" w:color="000000"/>
            </w:tcBorders>
            <w:shd w:val="clear" w:color="auto" w:fill="FFFFFF"/>
            <w:hideMark/>
          </w:tcPr>
          <w:p w14:paraId="26EBF188" w14:textId="77777777" w:rsidR="00EF0470" w:rsidRPr="00B05208" w:rsidRDefault="00EF0470" w:rsidP="004754D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25 %</w:t>
            </w:r>
          </w:p>
        </w:tc>
      </w:tr>
    </w:tbl>
    <w:p w14:paraId="202E4509" w14:textId="77777777" w:rsidR="00EF0470" w:rsidRPr="00D67F75" w:rsidRDefault="00EF0470" w:rsidP="00EF047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640032D4" w14:textId="77777777" w:rsidR="002B5F89" w:rsidRPr="0097016C" w:rsidRDefault="002B5F89" w:rsidP="002B5F89">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478" w:name="_Toc230011463"/>
      <w:r>
        <w:rPr>
          <w:rFonts w:ascii="Calibri Light" w:eastAsia="Calibri" w:hAnsi="Calibri Light" w:cs="Arial"/>
          <w:b/>
          <w:color w:val="0072C6"/>
          <w:sz w:val="28"/>
        </w:rPr>
        <w:t>Foundry – Inhaltssicherheit</w:t>
      </w:r>
      <w:bookmarkEnd w:id="478"/>
    </w:p>
    <w:p w14:paraId="76AAE074" w14:textId="77777777" w:rsidR="002B5F89" w:rsidRPr="0097016C" w:rsidRDefault="002B5F89" w:rsidP="002B5F89">
      <w:pPr>
        <w:tabs>
          <w:tab w:val="left" w:pos="360"/>
          <w:tab w:val="left" w:pos="720"/>
          <w:tab w:val="left" w:pos="1080"/>
        </w:tabs>
        <w:spacing w:after="0" w:line="240" w:lineRule="auto"/>
        <w:rPr>
          <w:rFonts w:ascii="Calibri" w:eastAsia="Aptos" w:hAnsi="Calibri" w:cs="Calibri"/>
          <w:sz w:val="18"/>
        </w:rPr>
      </w:pPr>
      <w:r>
        <w:rPr>
          <w:rFonts w:ascii="Calibri" w:eastAsia="Aptos" w:hAnsi="Calibri" w:cs="Calibri"/>
          <w:b/>
          <w:color w:val="00188F"/>
          <w:sz w:val="18"/>
        </w:rPr>
        <w:t>Zusätzliche Definitionen</w:t>
      </w:r>
      <w:r w:rsidRPr="00C94278">
        <w:rPr>
          <w:rFonts w:ascii="Calibri" w:eastAsia="Calibri" w:hAnsi="Calibri" w:cs="Arial"/>
          <w:b/>
          <w:color w:val="00188F"/>
          <w:sz w:val="18"/>
        </w:rPr>
        <w:t>:</w:t>
      </w:r>
    </w:p>
    <w:p w14:paraId="1471C27F" w14:textId="77777777" w:rsidR="002B5F89" w:rsidRPr="0097016C" w:rsidRDefault="002B5F89" w:rsidP="002B5F89">
      <w:pPr>
        <w:spacing w:after="0" w:line="240" w:lineRule="auto"/>
        <w:rPr>
          <w:rFonts w:ascii="Calibri" w:eastAsia="Aptos" w:hAnsi="Calibri" w:cs="Calibri"/>
          <w:sz w:val="18"/>
          <w:szCs w:val="18"/>
        </w:rPr>
      </w:pPr>
      <w:r w:rsidRPr="00A80248">
        <w:rPr>
          <w:rFonts w:ascii="Calibri" w:hAnsi="Calibri" w:cs="Calibri"/>
          <w:b/>
          <w:color w:val="00188F"/>
          <w:sz w:val="18"/>
          <w:szCs w:val="18"/>
        </w:rPr>
        <w:t>„</w:t>
      </w:r>
      <w:r>
        <w:rPr>
          <w:rFonts w:ascii="Calibri" w:eastAsia="Aptos" w:hAnsi="Calibri" w:cs="Calibri"/>
          <w:b/>
          <w:color w:val="00188F"/>
          <w:sz w:val="18"/>
          <w:szCs w:val="18"/>
        </w:rPr>
        <w:t>Gesamtzahl der Transaktionsversuche</w:t>
      </w:r>
      <w:r w:rsidRPr="00A80248">
        <w:rPr>
          <w:rFonts w:ascii="Calibri" w:hAnsi="Calibri" w:cs="Calibri"/>
          <w:b/>
          <w:color w:val="00188F"/>
          <w:sz w:val="18"/>
          <w:szCs w:val="18"/>
        </w:rPr>
        <w:t>“</w:t>
      </w:r>
      <w:r>
        <w:rPr>
          <w:rFonts w:ascii="Calibri" w:eastAsia="PMingLiU" w:hAnsi="Calibri" w:cs="Calibri"/>
          <w:sz w:val="18"/>
          <w:szCs w:val="18"/>
        </w:rPr>
        <w:t xml:space="preserve"> </w:t>
      </w:r>
      <w:r>
        <w:rPr>
          <w:rFonts w:ascii="Calibri" w:eastAsia="Aptos" w:hAnsi="Calibri" w:cs="Calibri"/>
          <w:sz w:val="18"/>
          <w:szCs w:val="18"/>
        </w:rPr>
        <w:t>ist die Gesamtzahl der authentifizierten API-Anforderungen des Kunden während eines Anwendbaren Zeitraums für eine bestimmte Azure AI-Dienst-API. Die Gesamtzahl der Transaktionsversuche umfasst nicht die API-Anfragen, die einen Fehlercode zurückgeben und innerhalb eines Fünf-Minuten-Fensters nach Erhalt des ersten Fehlercodes kontinuierlich wiederholt werden.</w:t>
      </w:r>
    </w:p>
    <w:p w14:paraId="6B3F3B74" w14:textId="77777777" w:rsidR="002B5F89" w:rsidRPr="0097016C" w:rsidRDefault="002B5F89" w:rsidP="002B5F89">
      <w:pPr>
        <w:spacing w:after="0" w:line="240" w:lineRule="auto"/>
        <w:rPr>
          <w:rFonts w:ascii="Calibri" w:eastAsia="PMingLiU" w:hAnsi="Calibri" w:cs="Calibri"/>
          <w:sz w:val="18"/>
          <w:szCs w:val="18"/>
        </w:rPr>
      </w:pPr>
      <w:r w:rsidRPr="00A80248">
        <w:rPr>
          <w:rFonts w:ascii="Calibri" w:eastAsia="Aptos" w:hAnsi="Calibri" w:cs="Calibri"/>
          <w:sz w:val="18"/>
          <w:szCs w:val="18"/>
        </w:rPr>
        <w:t xml:space="preserve">Unter </w:t>
      </w:r>
      <w:r w:rsidRPr="00A80248">
        <w:rPr>
          <w:rFonts w:ascii="Calibri" w:hAnsi="Calibri" w:cs="Calibri"/>
          <w:b/>
          <w:color w:val="00188F"/>
          <w:sz w:val="18"/>
          <w:szCs w:val="18"/>
        </w:rPr>
        <w:t>„</w:t>
      </w:r>
      <w:r>
        <w:rPr>
          <w:rFonts w:ascii="Calibri" w:eastAsia="Aptos" w:hAnsi="Calibri" w:cs="Calibri"/>
          <w:b/>
          <w:color w:val="00188F"/>
          <w:sz w:val="18"/>
          <w:szCs w:val="18"/>
        </w:rPr>
        <w:t>Fehlerhafte Transaktionen</w:t>
      </w:r>
      <w:r w:rsidRPr="00A80248">
        <w:rPr>
          <w:rFonts w:ascii="Calibri" w:hAnsi="Calibri" w:cs="Calibri"/>
          <w:b/>
          <w:color w:val="00188F"/>
          <w:sz w:val="18"/>
          <w:szCs w:val="18"/>
        </w:rPr>
        <w:t>“</w:t>
      </w:r>
      <w:r>
        <w:rPr>
          <w:rFonts w:ascii="Calibri" w:eastAsia="PMingLiU" w:hAnsi="Calibri" w:cs="Calibri"/>
          <w:sz w:val="18"/>
          <w:szCs w:val="18"/>
        </w:rPr>
        <w:t xml:space="preserve"> </w:t>
      </w:r>
      <w:r>
        <w:rPr>
          <w:rFonts w:ascii="Calibri" w:eastAsia="Aptos" w:hAnsi="Calibri" w:cs="Calibri"/>
          <w:sz w:val="18"/>
          <w:szCs w:val="18"/>
        </w:rPr>
        <w:t>versteht man die Menge aller Anforderungen an die Foundry Content Safety-API im Rahmen der Gesamtzahl der Transaktionsversuche, die einen Fehlercode zurückgeben. Fehlerhafte Transaktionsversuche schließen keine API-Anforderungen ein, die einen Fehlercode rückmelden und innerhalb eines Fünf-Minuten-Fensters nach dem Erhalt des ersten Fehlercodes kontinuierlich wiederholt werden.</w:t>
      </w:r>
    </w:p>
    <w:p w14:paraId="73D8CF9E" w14:textId="77777777" w:rsidR="002B5F89" w:rsidRPr="0097016C" w:rsidRDefault="002B5F89" w:rsidP="002B5F89">
      <w:pPr>
        <w:spacing w:after="0" w:line="240" w:lineRule="auto"/>
        <w:rPr>
          <w:rFonts w:ascii="Calibri" w:eastAsia="Aptos" w:hAnsi="Calibri" w:cs="Calibri"/>
          <w:sz w:val="18"/>
          <w:szCs w:val="18"/>
        </w:rPr>
      </w:pPr>
      <w:r w:rsidRPr="00A80248">
        <w:rPr>
          <w:rFonts w:ascii="Calibri" w:eastAsia="Aptos" w:hAnsi="Calibri" w:cs="Calibri"/>
          <w:sz w:val="18"/>
          <w:szCs w:val="18"/>
        </w:rPr>
        <w:t>Der</w:t>
      </w:r>
      <w:r>
        <w:t xml:space="preserve"> </w:t>
      </w:r>
      <w:r w:rsidRPr="00A80248">
        <w:rPr>
          <w:rFonts w:ascii="Calibri" w:hAnsi="Calibri" w:cs="Calibri"/>
          <w:b/>
          <w:color w:val="00188F"/>
          <w:sz w:val="18"/>
          <w:szCs w:val="18"/>
        </w:rPr>
        <w:t>„</w:t>
      </w:r>
      <w:r>
        <w:rPr>
          <w:rFonts w:ascii="Calibri" w:eastAsia="Aptos" w:hAnsi="Calibri" w:cs="Calibri"/>
          <w:b/>
          <w:color w:val="00188F"/>
          <w:sz w:val="18"/>
          <w:szCs w:val="18"/>
        </w:rPr>
        <w:t>Betriebszeitprozentsatz</w:t>
      </w:r>
      <w:r w:rsidRPr="00A80248">
        <w:rPr>
          <w:rFonts w:ascii="Calibri" w:hAnsi="Calibri" w:cs="Calibri"/>
          <w:b/>
          <w:color w:val="00188F"/>
          <w:sz w:val="18"/>
          <w:szCs w:val="18"/>
        </w:rPr>
        <w:t>“</w:t>
      </w:r>
      <w:r>
        <w:rPr>
          <w:rFonts w:ascii="Calibri" w:eastAsia="PMingLiU" w:hAnsi="Calibri" w:cs="Calibri"/>
          <w:sz w:val="18"/>
          <w:szCs w:val="18"/>
        </w:rPr>
        <w:t xml:space="preserve"> </w:t>
      </w:r>
      <w:r>
        <w:rPr>
          <w:rFonts w:ascii="Calibri" w:eastAsia="Aptos" w:hAnsi="Calibri" w:cs="Calibri"/>
          <w:sz w:val="18"/>
          <w:szCs w:val="18"/>
        </w:rPr>
        <w:t>für jeden API-Dienst wird berechnet als Gesamtzahl der Transaktionsversuche abzüglich der Fehlgeschlagenen Transaktionen geteilt durch die Gesamtzahl der Transaktionsversuche in einem Anwendbaren Zeitraum für ein bestimmtes API-Abonnement.</w:t>
      </w:r>
    </w:p>
    <w:p w14:paraId="5FA1D19D" w14:textId="77777777" w:rsidR="002B5F89" w:rsidRPr="0097016C" w:rsidRDefault="002B5F89" w:rsidP="002B5F89">
      <w:pPr>
        <w:spacing w:after="0" w:line="240" w:lineRule="auto"/>
        <w:rPr>
          <w:rFonts w:ascii="Calibri" w:eastAsia="PMingLiU" w:hAnsi="Calibri" w:cs="Calibri"/>
          <w:sz w:val="18"/>
          <w:szCs w:val="18"/>
        </w:rPr>
      </w:pPr>
      <w:r w:rsidRPr="00A80248">
        <w:rPr>
          <w:rFonts w:ascii="Calibri" w:eastAsia="Aptos" w:hAnsi="Calibri" w:cs="Calibri"/>
          <w:sz w:val="18"/>
          <w:szCs w:val="18"/>
        </w:rPr>
        <w:t xml:space="preserve">Der </w:t>
      </w:r>
      <w:r>
        <w:rPr>
          <w:rFonts w:ascii="Calibri" w:eastAsia="Aptos" w:hAnsi="Calibri" w:cs="Calibri"/>
          <w:sz w:val="18"/>
          <w:szCs w:val="18"/>
        </w:rPr>
        <w:t>Betriebszeitprozentsatz wird durch die folgende Formel ermittelt</w:t>
      </w:r>
      <w:r>
        <w:rPr>
          <w:rFonts w:ascii="Calibri" w:eastAsia="PMingLiU" w:hAnsi="Calibri" w:cs="Calibri"/>
          <w:sz w:val="18"/>
          <w:szCs w:val="18"/>
        </w:rPr>
        <w:t>:</w:t>
      </w:r>
    </w:p>
    <w:p w14:paraId="5DF35F8E" w14:textId="77777777" w:rsidR="002B5F89" w:rsidRPr="0097016C" w:rsidRDefault="002B5F89" w:rsidP="002B5F89">
      <w:pPr>
        <w:spacing w:before="120" w:after="0" w:line="240" w:lineRule="auto"/>
        <w:rPr>
          <w:rFonts w:ascii="Cambria Math" w:eastAsia="Aptos" w:hAnsi="Cambria Math" w:cs="Tahoma"/>
          <w:i/>
          <w:color w:val="000000"/>
          <w:sz w:val="18"/>
          <w:szCs w:val="18"/>
        </w:rPr>
      </w:pPr>
      <m:oMathPara>
        <m:oMath>
          <m:r>
            <w:rPr>
              <w:rFonts w:ascii="Cambria Math" w:eastAsia="Aptos" w:hAnsi="Cambria Math" w:cs="Tahoma"/>
              <w:sz w:val="18"/>
              <w:szCs w:val="18"/>
            </w:rPr>
            <m:t xml:space="preserve"> Monatliche Betriebszeit in % = </m:t>
          </m:r>
          <m:f>
            <m:fPr>
              <m:ctrlPr>
                <w:rPr>
                  <w:rFonts w:ascii="Cambria Math" w:eastAsia="Aptos" w:hAnsi="Cambria Math" w:cs="Tahoma"/>
                  <w:color w:val="000000"/>
                  <w:sz w:val="18"/>
                  <w:szCs w:val="18"/>
                </w:rPr>
              </m:ctrlPr>
            </m:fPr>
            <m:num>
              <m:r>
                <w:rPr>
                  <w:rFonts w:ascii="Cambria Math" w:eastAsia="Aptos" w:hAnsi="Cambria Math" w:cs="Tahoma"/>
                  <w:color w:val="000000"/>
                  <w:sz w:val="18"/>
                  <w:szCs w:val="18"/>
                </w:rPr>
                <m:t>(Gesamtzahl der Transaktionsversuche abzüglich der Fehlerhaften Transaktionen)</m:t>
              </m:r>
            </m:num>
            <m:den>
              <m:r>
                <w:rPr>
                  <w:rFonts w:ascii="Cambria Math" w:eastAsia="Aptos" w:hAnsi="Cambria Math" w:cs="Tahoma"/>
                  <w:color w:val="000000"/>
                  <w:sz w:val="18"/>
                  <w:szCs w:val="18"/>
                </w:rPr>
                <m:t>Gesamtzahl der Transaktionsversuche</m:t>
              </m:r>
            </m:den>
          </m:f>
          <m:r>
            <w:rPr>
              <w:rFonts w:ascii="Cambria Math" w:eastAsia="Aptos" w:hAnsi="Cambria Math" w:cs="Tahoma"/>
              <w:color w:val="000000"/>
              <w:sz w:val="18"/>
              <w:szCs w:val="18"/>
            </w:rPr>
            <m:t xml:space="preserve"> x 100</m:t>
          </m:r>
        </m:oMath>
      </m:oMathPara>
    </w:p>
    <w:p w14:paraId="5CA5BD86" w14:textId="77777777" w:rsidR="002B5F89" w:rsidRPr="0097016C" w:rsidRDefault="002B5F89" w:rsidP="002B5F89">
      <w:pPr>
        <w:spacing w:after="0" w:line="240" w:lineRule="auto"/>
        <w:rPr>
          <w:rFonts w:ascii="Calibri" w:eastAsia="PMingLiU" w:hAnsi="Calibri" w:cs="Calibri"/>
          <w:sz w:val="18"/>
          <w:szCs w:val="18"/>
        </w:rPr>
      </w:pPr>
      <w:r>
        <w:rPr>
          <w:rFonts w:ascii="Calibri" w:eastAsia="PMingLiU" w:hAnsi="Calibri" w:cs="Calibri"/>
          <w:b/>
          <w:color w:val="00188F"/>
          <w:sz w:val="18"/>
          <w:szCs w:val="18"/>
        </w:rPr>
        <w:t>Servicegutschrift</w:t>
      </w:r>
      <w:r w:rsidRPr="00C94278">
        <w:rPr>
          <w:rFonts w:ascii="Calibri" w:eastAsia="Calibri" w:hAnsi="Calibri" w:cs="Arial"/>
          <w:b/>
          <w:color w:val="00188F"/>
          <w:sz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2B5F89" w14:paraId="00928DA9" w14:textId="77777777" w:rsidTr="004754D5">
        <w:trPr>
          <w:tblHeader/>
        </w:trPr>
        <w:tc>
          <w:tcPr>
            <w:tcW w:w="5400" w:type="dxa"/>
            <w:shd w:val="clear" w:color="auto" w:fill="0072C6"/>
          </w:tcPr>
          <w:p w14:paraId="5D64AFF2" w14:textId="77777777" w:rsidR="002B5F89" w:rsidRPr="0097016C" w:rsidRDefault="002B5F89" w:rsidP="004754D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Betriebszeitprozentsatz</w:t>
            </w:r>
          </w:p>
        </w:tc>
        <w:tc>
          <w:tcPr>
            <w:tcW w:w="5400" w:type="dxa"/>
            <w:shd w:val="clear" w:color="auto" w:fill="0072C6"/>
          </w:tcPr>
          <w:p w14:paraId="7ABEB0D3" w14:textId="77777777" w:rsidR="002B5F89" w:rsidRPr="0097016C" w:rsidRDefault="002B5F89" w:rsidP="004754D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Servicegutschrift</w:t>
            </w:r>
          </w:p>
        </w:tc>
      </w:tr>
      <w:tr w:rsidR="002B5F89" w14:paraId="14A79007" w14:textId="77777777" w:rsidTr="004754D5">
        <w:tc>
          <w:tcPr>
            <w:tcW w:w="5400" w:type="dxa"/>
          </w:tcPr>
          <w:p w14:paraId="11513B61" w14:textId="77777777" w:rsidR="002B5F89" w:rsidRPr="0097016C" w:rsidRDefault="002B5F89"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5400" w:type="dxa"/>
          </w:tcPr>
          <w:p w14:paraId="745FA771" w14:textId="77777777" w:rsidR="002B5F89" w:rsidRPr="0097016C" w:rsidRDefault="002B5F89"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2B5F89" w14:paraId="00C1E208" w14:textId="77777777" w:rsidTr="004754D5">
        <w:tc>
          <w:tcPr>
            <w:tcW w:w="5400" w:type="dxa"/>
          </w:tcPr>
          <w:p w14:paraId="7B4D230C" w14:textId="77777777" w:rsidR="002B5F89" w:rsidRPr="0097016C" w:rsidRDefault="002B5F89"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594680A3" w14:textId="77777777" w:rsidR="002B5F89" w:rsidRPr="0097016C" w:rsidRDefault="002B5F89"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29090734" w14:textId="77777777" w:rsidR="002B5F89" w:rsidRPr="0097016C" w:rsidRDefault="002B5F89" w:rsidP="002B5F89">
      <w:pPr>
        <w:spacing w:before="120" w:after="0" w:line="240" w:lineRule="auto"/>
        <w:rPr>
          <w:rFonts w:ascii="Calibri" w:eastAsia="Aptos" w:hAnsi="Calibri" w:cs="Calibri"/>
          <w:sz w:val="18"/>
          <w:szCs w:val="18"/>
        </w:rPr>
      </w:pPr>
      <w:r>
        <w:rPr>
          <w:rFonts w:ascii="Calibri" w:eastAsia="Calibri" w:hAnsi="Calibri" w:cs="Calibri"/>
          <w:b/>
          <w:bCs/>
          <w:color w:val="00188F"/>
          <w:sz w:val="18"/>
          <w:szCs w:val="18"/>
        </w:rPr>
        <w:t>Servicelevel-Ausnahmen</w:t>
      </w:r>
      <w:r w:rsidRPr="00761664">
        <w:rPr>
          <w:rFonts w:ascii="Calibri" w:eastAsia="Calibri" w:hAnsi="Calibri" w:cs="Calibri"/>
          <w:b/>
          <w:bCs/>
          <w:color w:val="00188F"/>
          <w:sz w:val="18"/>
          <w:szCs w:val="18"/>
        </w:rPr>
        <w:t>:</w:t>
      </w:r>
      <w:r>
        <w:rPr>
          <w:rFonts w:ascii="Calibri" w:eastAsia="Calibri" w:hAnsi="Calibri" w:cs="Calibri"/>
          <w:sz w:val="18"/>
          <w:szCs w:val="18"/>
        </w:rPr>
        <w:t xml:space="preserve"> </w:t>
      </w:r>
      <w:r>
        <w:rPr>
          <w:rFonts w:ascii="Calibri" w:eastAsia="Aptos" w:hAnsi="Calibri" w:cs="Calibri"/>
          <w:sz w:val="18"/>
          <w:szCs w:val="18"/>
        </w:rPr>
        <w:t>Für den Azure OpenAI Service gilt eine separate SLA.</w:t>
      </w:r>
    </w:p>
    <w:p w14:paraId="7C92D521" w14:textId="77777777" w:rsidR="002B5F89" w:rsidRPr="00D67F75" w:rsidRDefault="002B5F89" w:rsidP="002B5F8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7B72D001" w14:textId="71E5A697" w:rsidR="00AA3975" w:rsidRPr="003162A8" w:rsidRDefault="00420813" w:rsidP="00AA3975">
      <w:pPr>
        <w:pStyle w:val="ProductList-Offering2Heading"/>
        <w:keepNext/>
        <w:tabs>
          <w:tab w:val="clear" w:pos="360"/>
          <w:tab w:val="clear" w:pos="720"/>
          <w:tab w:val="clear" w:pos="1080"/>
        </w:tabs>
        <w:outlineLvl w:val="2"/>
      </w:pPr>
      <w:bookmarkStart w:id="479" w:name="_Toc237449046"/>
      <w:r>
        <w:t>Foundry</w:t>
      </w:r>
      <w:r w:rsidR="003F366B">
        <w:t>-</w:t>
      </w:r>
      <w:r>
        <w:t>Modelle</w:t>
      </w:r>
      <w:bookmarkEnd w:id="479"/>
    </w:p>
    <w:p w14:paraId="3627A131" w14:textId="77777777" w:rsidR="00774348" w:rsidRPr="002B0ABE" w:rsidRDefault="00774348" w:rsidP="00774348">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Betriebszeitberechnung und Servicelevels für Azure AI Foundry-Modelle</w:t>
      </w:r>
    </w:p>
    <w:p w14:paraId="295F9DB5" w14:textId="77777777" w:rsidR="00774348" w:rsidRDefault="00774348" w:rsidP="00774348">
      <w:pPr>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188F"/>
          <w:sz w:val="18"/>
          <w:szCs w:val="18"/>
          <w:bdr w:val="none" w:sz="0" w:space="0" w:color="auto" w:frame="1"/>
        </w:rPr>
        <w:t>Zusätzliche Definitionen</w:t>
      </w:r>
      <w:r>
        <w:rPr>
          <w:rFonts w:ascii="Calibri" w:eastAsia="Times New Roman" w:hAnsi="Calibri" w:cs="Calibri"/>
          <w:b/>
          <w:bCs/>
          <w:color w:val="00188F"/>
          <w:sz w:val="18"/>
          <w:szCs w:val="18"/>
        </w:rPr>
        <w:t>:</w:t>
      </w:r>
    </w:p>
    <w:p w14:paraId="072F22BC" w14:textId="77777777" w:rsidR="009D209B" w:rsidRPr="00321BC9" w:rsidRDefault="009D209B" w:rsidP="009D209B">
      <w:pPr>
        <w:spacing w:after="0" w:line="240" w:lineRule="auto"/>
        <w:rPr>
          <w:rFonts w:ascii="Calibri" w:eastAsia="Calibri" w:hAnsi="Calibri" w:cs="Calibri"/>
          <w:b/>
          <w:bCs/>
        </w:rPr>
      </w:pPr>
      <w:r w:rsidRPr="00321BC9">
        <w:rPr>
          <w:rFonts w:ascii="Calibri" w:eastAsia="Times New Roman" w:hAnsi="Calibri" w:cs="Calibri"/>
          <w:b/>
          <w:bCs/>
          <w:color w:val="00188F"/>
          <w:sz w:val="18"/>
          <w:szCs w:val="18"/>
          <w:bdr w:val="none" w:sz="0" w:space="0" w:color="auto" w:frame="1"/>
        </w:rPr>
        <w:t>„Azure AI Foundry Resource“</w:t>
      </w:r>
      <w:r w:rsidRPr="00321BC9">
        <w:rPr>
          <w:rFonts w:ascii="Calibri" w:eastAsia="Calibri" w:hAnsi="Calibri" w:cs="Calibri"/>
          <w:b/>
          <w:bCs/>
        </w:rPr>
        <w:t xml:space="preserve"> </w:t>
      </w:r>
      <w:r w:rsidRPr="00321BC9">
        <w:rPr>
          <w:rFonts w:ascii="Calibri" w:eastAsia="Times New Roman" w:hAnsi="Calibri" w:cs="Calibri"/>
          <w:color w:val="000000"/>
          <w:sz w:val="18"/>
          <w:szCs w:val="18"/>
          <w:bdr w:val="none" w:sz="0" w:space="0" w:color="auto" w:frame="1"/>
        </w:rPr>
        <w:t>bezieht sich auf eine Azure-Ressource für Microsoft Foundry, die in einer Azure-Region in einem Microsoft Azure-Abonnement erstellt wurde.</w:t>
      </w:r>
    </w:p>
    <w:p w14:paraId="365441CA" w14:textId="77777777" w:rsidR="009D209B" w:rsidRPr="003A2FA0" w:rsidRDefault="009D209B" w:rsidP="009D209B">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„Anforderung</w:t>
      </w:r>
      <w:r w:rsidRPr="006A3375">
        <w:rPr>
          <w:rFonts w:ascii="Calibri" w:eastAsia="Times New Roman" w:hAnsi="Calibri" w:cs="Calibri"/>
          <w:b/>
          <w:bCs/>
          <w:color w:val="00188F"/>
          <w:sz w:val="18"/>
          <w:szCs w:val="18"/>
          <w:bdr w:val="none" w:sz="0" w:space="0" w:color="auto" w:frame="1"/>
        </w:rPr>
        <w:t>“</w:t>
      </w:r>
      <w:r>
        <w:rPr>
          <w:rFonts w:ascii="Calibri" w:eastAsia="Calibri" w:hAnsi="Calibri" w:cs="Calibri"/>
        </w:rPr>
        <w:t xml:space="preserve"> </w:t>
      </w:r>
      <w:r>
        <w:rPr>
          <w:rFonts w:ascii="Calibri" w:eastAsia="Times New Roman" w:hAnsi="Calibri" w:cs="Calibri"/>
          <w:color w:val="000000"/>
          <w:sz w:val="18"/>
          <w:szCs w:val="18"/>
          <w:bdr w:val="none" w:sz="0" w:space="0" w:color="auto" w:frame="1"/>
        </w:rPr>
        <w:t xml:space="preserve">ist ein API-Aufruf an einen Modell-Endpunkt in einer Microsoft Foundry-Ressource. </w:t>
      </w:r>
    </w:p>
    <w:p w14:paraId="596CC4C3" w14:textId="77777777" w:rsidR="009D209B" w:rsidRPr="003A2FA0" w:rsidRDefault="009D209B" w:rsidP="009D209B">
      <w:pPr>
        <w:spacing w:after="0" w:line="240" w:lineRule="auto"/>
        <w:rPr>
          <w:rFonts w:ascii="Calibri" w:eastAsia="Times New Roman" w:hAnsi="Calibri" w:cs="Calibri"/>
          <w:color w:val="000000"/>
          <w:sz w:val="18"/>
          <w:szCs w:val="18"/>
          <w:bdr w:val="none" w:sz="0" w:space="0" w:color="auto" w:frame="1"/>
        </w:rPr>
      </w:pPr>
      <w:r w:rsidRPr="002D4355">
        <w:rPr>
          <w:rFonts w:ascii="Calibri" w:hAnsi="Calibri" w:cs="Calibri"/>
          <w:sz w:val="18"/>
          <w:szCs w:val="18"/>
        </w:rPr>
        <w:lastRenderedPageBreak/>
        <w:t>Die</w:t>
      </w:r>
      <w:r>
        <w:t xml:space="preserve"> </w:t>
      </w:r>
      <w:r>
        <w:rPr>
          <w:rFonts w:ascii="Calibri" w:eastAsia="Times New Roman" w:hAnsi="Calibri" w:cs="Calibri"/>
          <w:b/>
          <w:bCs/>
          <w:color w:val="00188F"/>
          <w:sz w:val="18"/>
          <w:szCs w:val="18"/>
          <w:bdr w:val="none" w:sz="0" w:space="0" w:color="auto" w:frame="1"/>
        </w:rPr>
        <w:t>„Durchschnittliche Fehlerrate“</w:t>
      </w:r>
      <w:r>
        <w:rPr>
          <w:rFonts w:ascii="Calibri" w:eastAsia="Times New Roman" w:hAnsi="Calibri" w:cs="Calibri"/>
          <w:color w:val="000000"/>
          <w:sz w:val="18"/>
          <w:szCs w:val="18"/>
          <w:bdr w:val="none" w:sz="0" w:space="0" w:color="auto" w:frame="1"/>
        </w:rPr>
        <w:t xml:space="preserve"> für einen Anwendbaren Zeitraum ist die Summe der Fehlerraten für jede Minute im Anwendbaren Zeitraum geteilt durch die Gesamtzahl der Minuten im Anwendbaren Zeitraum.</w:t>
      </w:r>
    </w:p>
    <w:p w14:paraId="3CC559A3" w14:textId="77777777" w:rsidR="009D209B" w:rsidRPr="003A2FA0" w:rsidRDefault="009D209B" w:rsidP="009D209B">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„Fehlerrate“</w:t>
      </w:r>
      <w:r>
        <w:rPr>
          <w:rFonts w:ascii="Calibri" w:eastAsia="Times New Roman" w:hAnsi="Calibri" w:cs="Calibri"/>
          <w:color w:val="000000"/>
          <w:sz w:val="18"/>
          <w:szCs w:val="18"/>
          <w:bdr w:val="none" w:sz="0" w:space="0" w:color="auto" w:frame="1"/>
        </w:rPr>
        <w:t xml:space="preserve"> ist die</w:t>
      </w:r>
      <w:r>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Gesamtzahl der Anfragen, die einen Fehlercode zurückgeben, geteilt durch die Gesamtzahl der Anfragen während einer Minute. Wenn die Gesamtzahl der Anfragen in einem bestimmten Minuten-Intervall null ist, liegt die Fehlerrate für dieses Intervall bei 0 %.</w:t>
      </w:r>
    </w:p>
    <w:p w14:paraId="7A0C9229" w14:textId="77777777" w:rsidR="009D209B" w:rsidRPr="003A2FA0" w:rsidRDefault="009D209B" w:rsidP="009D209B">
      <w:pPr>
        <w:spacing w:after="0" w:line="240" w:lineRule="auto"/>
        <w:rPr>
          <w:rFonts w:ascii="Calibri" w:eastAsia="Times New Roman" w:hAnsi="Calibri" w:cs="Calibri"/>
          <w:color w:val="000000"/>
          <w:sz w:val="18"/>
          <w:szCs w:val="18"/>
          <w:bdr w:val="none" w:sz="0" w:space="0" w:color="auto" w:frame="1"/>
        </w:rPr>
      </w:pPr>
      <w:r w:rsidRPr="002D4355">
        <w:rPr>
          <w:rFonts w:ascii="Calibri" w:hAnsi="Calibri" w:cs="Calibri"/>
          <w:sz w:val="18"/>
          <w:szCs w:val="18"/>
        </w:rPr>
        <w:t>Der</w:t>
      </w:r>
      <w:r>
        <w:t xml:space="preserve"> </w:t>
      </w:r>
      <w:r w:rsidRPr="00BA627F">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Betriebszeitprozentsatz</w:t>
      </w:r>
      <w:r w:rsidRPr="006A3375">
        <w:rPr>
          <w:rFonts w:ascii="Calibri" w:eastAsia="Times New Roman" w:hAnsi="Calibri" w:cs="Calibri"/>
          <w:b/>
          <w:bCs/>
          <w:color w:val="00188F"/>
          <w:sz w:val="18"/>
          <w:szCs w:val="18"/>
          <w:bdr w:val="none" w:sz="0" w:space="0" w:color="auto" w:frame="1"/>
        </w:rPr>
        <w:t>“</w:t>
      </w:r>
      <w:r>
        <w:rPr>
          <w:rFonts w:ascii="Calibri" w:eastAsia="Calibri" w:hAnsi="Calibri" w:cs="Calibri"/>
          <w:b/>
          <w:bCs/>
        </w:rPr>
        <w:t xml:space="preserve"> </w:t>
      </w:r>
      <w:r>
        <w:rPr>
          <w:rFonts w:ascii="Calibri" w:eastAsia="Times New Roman" w:hAnsi="Calibri" w:cs="Calibri"/>
          <w:color w:val="000000"/>
          <w:sz w:val="18"/>
          <w:szCs w:val="18"/>
          <w:bdr w:val="none" w:sz="0" w:space="0" w:color="auto" w:frame="1"/>
        </w:rPr>
        <w:t>wird durch die folgende Formel ermittelt:</w:t>
      </w:r>
    </w:p>
    <w:p w14:paraId="4F5027D4" w14:textId="77777777" w:rsidR="009D209B" w:rsidRPr="003A2FA0" w:rsidRDefault="009D209B" w:rsidP="002B5F89">
      <w:pPr>
        <w:shd w:val="clear" w:color="auto" w:fill="FFFFFF"/>
        <w:spacing w:before="160" w:after="0" w:line="240" w:lineRule="auto"/>
        <w:rPr>
          <w:rFonts w:ascii="Calibri" w:eastAsia="Times New Roman" w:hAnsi="Calibri" w:cs="Calibri"/>
          <w:sz w:val="18"/>
          <w:szCs w:val="18"/>
        </w:rPr>
      </w:pPr>
      <m:oMathPara>
        <m:oMath>
          <m:r>
            <w:rPr>
              <w:rFonts w:ascii="Cambria Math" w:eastAsia="Calibri" w:hAnsi="Cambria Math" w:cs="Arial"/>
              <w:sz w:val="18"/>
              <w:szCs w:val="18"/>
            </w:rPr>
            <m:t>100 % abzüglich Durchschnittliche Fehlerrate</m:t>
          </m:r>
        </m:oMath>
      </m:oMathPara>
    </w:p>
    <w:p w14:paraId="5114D073" w14:textId="4865DDA2" w:rsidR="009D209B" w:rsidRPr="003A2FA0" w:rsidRDefault="009D209B" w:rsidP="009D209B">
      <w:pPr>
        <w:shd w:val="clear" w:color="auto" w:fill="FFFFFF"/>
        <w:spacing w:after="0" w:line="240" w:lineRule="auto"/>
        <w:rPr>
          <w:rFonts w:ascii="Calibri" w:eastAsia="Times New Roman" w:hAnsi="Calibri" w:cs="Calibri"/>
          <w:color w:val="00188F"/>
          <w:sz w:val="18"/>
          <w:szCs w:val="18"/>
        </w:rPr>
      </w:pPr>
      <w:r>
        <w:rPr>
          <w:rFonts w:ascii="Calibri" w:eastAsia="Times New Roman" w:hAnsi="Calibri" w:cs="Calibri"/>
          <w:b/>
          <w:bCs/>
          <w:color w:val="00188F"/>
          <w:sz w:val="18"/>
          <w:szCs w:val="18"/>
          <w:bdr w:val="none" w:sz="0" w:space="0" w:color="auto" w:frame="1"/>
        </w:rPr>
        <w:t>Servicegutschrift</w:t>
      </w:r>
      <w:r>
        <w:rPr>
          <w:rFonts w:ascii="Calibri" w:eastAsia="Times New Roman" w:hAnsi="Calibri" w:cs="Calibri"/>
          <w:color w:val="00188F"/>
          <w:sz w:val="18"/>
          <w:szCs w:val="18"/>
          <w:bdr w:val="none" w:sz="0" w:space="0" w:color="auto" w:frame="1"/>
        </w:rPr>
        <w:t>:</w:t>
      </w:r>
    </w:p>
    <w:tbl>
      <w:tblPr>
        <w:tblW w:w="0" w:type="auto"/>
        <w:tblInd w:w="5" w:type="dxa"/>
        <w:shd w:val="clear" w:color="auto" w:fill="FFFFFF"/>
        <w:tblLook w:val="04A0" w:firstRow="1" w:lastRow="0" w:firstColumn="1" w:lastColumn="0" w:noHBand="0" w:noVBand="1"/>
      </w:tblPr>
      <w:tblGrid>
        <w:gridCol w:w="5394"/>
        <w:gridCol w:w="5381"/>
      </w:tblGrid>
      <w:tr w:rsidR="009D209B" w:rsidRPr="003A2FA0" w14:paraId="6F04D6B8" w14:textId="77777777" w:rsidTr="000A20F9">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268D9CDA" w14:textId="77777777" w:rsidR="009D209B" w:rsidRPr="003A2FA0" w:rsidRDefault="009D209B" w:rsidP="000A20F9">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Betriebszeitprozentsatz</w:t>
            </w:r>
          </w:p>
        </w:tc>
        <w:tc>
          <w:tcPr>
            <w:tcW w:w="5381" w:type="dxa"/>
            <w:tcBorders>
              <w:top w:val="single" w:sz="8" w:space="0" w:color="000000"/>
              <w:left w:val="nil"/>
              <w:bottom w:val="single" w:sz="8" w:space="0" w:color="000000"/>
              <w:right w:val="single" w:sz="8" w:space="0" w:color="000000"/>
            </w:tcBorders>
            <w:shd w:val="clear" w:color="auto" w:fill="0072C6"/>
            <w:hideMark/>
          </w:tcPr>
          <w:p w14:paraId="21C71F34" w14:textId="77777777" w:rsidR="009D209B" w:rsidRPr="003A2FA0" w:rsidRDefault="009D209B" w:rsidP="000A20F9">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Servicegutschrift</w:t>
            </w:r>
          </w:p>
        </w:tc>
      </w:tr>
      <w:tr w:rsidR="009D209B" w:rsidRPr="003A2FA0" w14:paraId="2CC89C19" w14:textId="77777777" w:rsidTr="000A20F9">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27AE3FF7" w14:textId="77777777" w:rsidR="009D209B" w:rsidRPr="003A2FA0" w:rsidRDefault="009D209B" w:rsidP="000A20F9">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w:t>
            </w:r>
          </w:p>
        </w:tc>
        <w:tc>
          <w:tcPr>
            <w:tcW w:w="5381" w:type="dxa"/>
            <w:tcBorders>
              <w:top w:val="nil"/>
              <w:left w:val="nil"/>
              <w:bottom w:val="single" w:sz="8" w:space="0" w:color="000000"/>
              <w:right w:val="single" w:sz="8" w:space="0" w:color="000000"/>
            </w:tcBorders>
            <w:shd w:val="clear" w:color="auto" w:fill="FFFFFF"/>
            <w:hideMark/>
          </w:tcPr>
          <w:p w14:paraId="62D8A897" w14:textId="77777777" w:rsidR="009D209B" w:rsidRPr="003A2FA0" w:rsidRDefault="009D209B" w:rsidP="000A20F9">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10 %</w:t>
            </w:r>
          </w:p>
        </w:tc>
      </w:tr>
      <w:tr w:rsidR="009D209B" w:rsidRPr="003A2FA0" w14:paraId="4AF70DD0" w14:textId="77777777" w:rsidTr="000A20F9">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27192C7F" w14:textId="77777777" w:rsidR="009D209B" w:rsidRPr="003A2FA0" w:rsidRDefault="009D209B" w:rsidP="000A20F9">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w:t>
            </w:r>
          </w:p>
        </w:tc>
        <w:tc>
          <w:tcPr>
            <w:tcW w:w="5381" w:type="dxa"/>
            <w:tcBorders>
              <w:top w:val="nil"/>
              <w:left w:val="nil"/>
              <w:bottom w:val="single" w:sz="8" w:space="0" w:color="000000"/>
              <w:right w:val="single" w:sz="8" w:space="0" w:color="000000"/>
            </w:tcBorders>
            <w:shd w:val="clear" w:color="auto" w:fill="FFFFFF"/>
            <w:hideMark/>
          </w:tcPr>
          <w:p w14:paraId="0BCCCD92" w14:textId="77777777" w:rsidR="009D209B" w:rsidRPr="003A2FA0" w:rsidRDefault="009D209B" w:rsidP="000A20F9">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25 %</w:t>
            </w:r>
          </w:p>
        </w:tc>
      </w:tr>
    </w:tbl>
    <w:p w14:paraId="48A32B61" w14:textId="77777777" w:rsidR="00C81494" w:rsidRPr="003A2FA0" w:rsidRDefault="00C81494" w:rsidP="00C81494">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Servicelevels-Ausnahmen</w:t>
      </w:r>
      <w:r w:rsidRPr="00C94278">
        <w:rPr>
          <w:rFonts w:ascii="Calibri" w:eastAsia="Calibri" w:hAnsi="Calibri" w:cs="Arial"/>
          <w:b/>
          <w:color w:val="00188F"/>
          <w:sz w:val="18"/>
        </w:rPr>
        <w:t>:</w:t>
      </w:r>
      <w:r>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Die Servicegutschriften gelten nur für von Azure verkaufte Foundry-Modelle. Diese SLA gilt nicht für die Entwicklerstufe der Foundry-Modelldienste.</w:t>
      </w:r>
    </w:p>
    <w:p w14:paraId="36C415EF" w14:textId="77777777" w:rsidR="00C81494" w:rsidRPr="003A2FA0" w:rsidRDefault="00C81494" w:rsidP="00C81494">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Latenzberechnung und Servicelevel für bereitgestellte verwaltete Deployments und vorrangige Bearbeitung.</w:t>
      </w:r>
    </w:p>
    <w:p w14:paraId="1B8A48AB" w14:textId="77777777" w:rsidR="00C81494" w:rsidRPr="003A2FA0" w:rsidRDefault="00C81494" w:rsidP="00C81494">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Zusätzliche Definitionen</w:t>
      </w:r>
    </w:p>
    <w:p w14:paraId="23128F9B" w14:textId="77777777" w:rsidR="00C81494" w:rsidRPr="003A2FA0" w:rsidRDefault="00C81494" w:rsidP="00C81494">
      <w:pPr>
        <w:shd w:val="clear" w:color="auto" w:fill="FFFFFF"/>
        <w:spacing w:after="0" w:line="240" w:lineRule="auto"/>
        <w:rPr>
          <w:rFonts w:ascii="Calibri" w:eastAsia="Times New Roman" w:hAnsi="Calibri" w:cs="Calibri"/>
          <w:color w:val="000000"/>
          <w:sz w:val="18"/>
          <w:szCs w:val="18"/>
          <w:bdr w:val="none" w:sz="0" w:space="0" w:color="auto" w:frame="1"/>
        </w:rPr>
      </w:pPr>
      <w:r w:rsidRPr="00A80248">
        <w:rPr>
          <w:rFonts w:ascii="Calibri" w:eastAsia="Times New Roman" w:hAnsi="Calibri" w:cs="Calibri"/>
          <w:color w:val="000000"/>
          <w:sz w:val="18"/>
          <w:szCs w:val="18"/>
          <w:bdr w:val="none" w:sz="0" w:space="0" w:color="auto" w:frame="1"/>
        </w:rPr>
        <w:t xml:space="preserve">Die </w:t>
      </w:r>
      <w:r w:rsidRPr="00A80248">
        <w:rPr>
          <w:rFonts w:ascii="Calibri" w:hAnsi="Calibri" w:cs="Calibri"/>
          <w:b/>
          <w:color w:val="00188F"/>
          <w:sz w:val="18"/>
          <w:szCs w:val="18"/>
        </w:rPr>
        <w:t>„</w:t>
      </w:r>
      <w:r>
        <w:rPr>
          <w:rFonts w:ascii="Calibri" w:eastAsia="Times New Roman" w:hAnsi="Calibri" w:cs="Calibri"/>
          <w:b/>
          <w:bCs/>
          <w:color w:val="00188F"/>
          <w:sz w:val="18"/>
          <w:szCs w:val="18"/>
          <w:bdr w:val="none" w:sz="0" w:space="0" w:color="auto" w:frame="1"/>
        </w:rPr>
        <w:t>Vorrangige Bereitstellung</w:t>
      </w:r>
      <w:r w:rsidRPr="00A80248">
        <w:rPr>
          <w:rFonts w:ascii="Calibri" w:hAnsi="Calibri" w:cs="Calibri"/>
          <w:b/>
          <w:color w:val="00188F"/>
          <w:sz w:val="18"/>
          <w:szCs w:val="18"/>
        </w:rPr>
        <w:t>“</w:t>
      </w:r>
      <w:r>
        <w:rPr>
          <w:rFonts w:ascii="Calibri" w:eastAsia="Times New Roman" w:hAnsi="Calibri" w:cs="Calibri"/>
          <w:color w:val="000000"/>
          <w:sz w:val="18"/>
          <w:szCs w:val="18"/>
          <w:bdr w:val="none" w:sz="0" w:space="0" w:color="auto" w:frame="1"/>
        </w:rPr>
        <w:t xml:space="preserve"> ist ein Foundry-Modell, das bereitgestellte verwaltete Deployments und vorrangige Bearbeitung innerhalb einer bestimmten Microsoft Foundry-Ressource verwendet.</w:t>
      </w:r>
    </w:p>
    <w:p w14:paraId="1A1BEBBA" w14:textId="77777777" w:rsidR="00C81494" w:rsidRPr="003A2FA0" w:rsidRDefault="00C81494" w:rsidP="00C81494">
      <w:pPr>
        <w:shd w:val="clear" w:color="auto" w:fill="FFFFFF"/>
        <w:spacing w:after="0" w:line="240" w:lineRule="auto"/>
        <w:rPr>
          <w:rFonts w:ascii="Calibri" w:eastAsia="Times New Roman" w:hAnsi="Calibri" w:cs="Calibri"/>
          <w:color w:val="000000"/>
          <w:sz w:val="18"/>
          <w:szCs w:val="18"/>
          <w:bdr w:val="none" w:sz="0" w:space="0" w:color="auto" w:frame="1"/>
        </w:rPr>
      </w:pPr>
      <w:r w:rsidRPr="00A80248">
        <w:rPr>
          <w:rFonts w:ascii="Calibri" w:hAnsi="Calibri" w:cs="Calibri"/>
          <w:b/>
          <w:color w:val="00188F"/>
          <w:sz w:val="18"/>
          <w:szCs w:val="18"/>
        </w:rPr>
        <w:t>„</w:t>
      </w:r>
      <w:r>
        <w:rPr>
          <w:rFonts w:ascii="Calibri" w:eastAsia="Times New Roman" w:hAnsi="Calibri" w:cs="Calibri"/>
          <w:b/>
          <w:bCs/>
          <w:color w:val="00188F"/>
          <w:sz w:val="18"/>
          <w:szCs w:val="18"/>
          <w:bdr w:val="none" w:sz="0" w:space="0" w:color="auto" w:frame="1"/>
        </w:rPr>
        <w:t>Maximale Anforderungsgröße</w:t>
      </w:r>
      <w:r w:rsidRPr="00A80248">
        <w:rPr>
          <w:rFonts w:ascii="Calibri" w:hAnsi="Calibri" w:cs="Calibri"/>
          <w:b/>
          <w:color w:val="00188F"/>
          <w:sz w:val="18"/>
          <w:szCs w:val="18"/>
        </w:rPr>
        <w:t>“</w:t>
      </w:r>
      <w:r>
        <w:rPr>
          <w:rFonts w:ascii="Calibri" w:eastAsia="Times New Roman" w:hAnsi="Calibri" w:cs="Calibri"/>
          <w:color w:val="000000"/>
          <w:sz w:val="18"/>
          <w:szCs w:val="18"/>
          <w:bdr w:val="none" w:sz="0" w:space="0" w:color="auto" w:frame="1"/>
        </w:rPr>
        <w:t xml:space="preserve"> ist die maximale Anzahl von Eingabe- und Ausgabetoken, die in einer bestimmten Anforderung für ein bestimmtes Foundry-Modell enthalten sein können, wie in der Produktdokumentation definiert.</w:t>
      </w:r>
    </w:p>
    <w:p w14:paraId="3C2EFDCF" w14:textId="77777777" w:rsidR="00C81494" w:rsidRPr="003A2FA0" w:rsidRDefault="00C81494" w:rsidP="00C81494">
      <w:pPr>
        <w:shd w:val="clear" w:color="auto" w:fill="FFFFFF"/>
        <w:spacing w:after="0" w:line="240" w:lineRule="auto"/>
        <w:rPr>
          <w:rFonts w:ascii="Calibri" w:eastAsia="Times New Roman" w:hAnsi="Calibri" w:cs="Calibri"/>
          <w:color w:val="000000"/>
          <w:sz w:val="18"/>
          <w:szCs w:val="18"/>
          <w:bdr w:val="none" w:sz="0" w:space="0" w:color="auto" w:frame="1"/>
        </w:rPr>
      </w:pPr>
      <w:r w:rsidRPr="00A80248">
        <w:rPr>
          <w:rFonts w:ascii="Calibri" w:hAnsi="Calibri" w:cs="Calibri"/>
          <w:b/>
          <w:color w:val="00188F"/>
          <w:sz w:val="18"/>
          <w:szCs w:val="18"/>
        </w:rPr>
        <w:t>„</w:t>
      </w:r>
      <w:r>
        <w:rPr>
          <w:rFonts w:ascii="Calibri" w:eastAsia="Times New Roman" w:hAnsi="Calibri" w:cs="Calibri"/>
          <w:b/>
          <w:bCs/>
          <w:color w:val="00188F"/>
          <w:sz w:val="18"/>
          <w:szCs w:val="18"/>
          <w:bdr w:val="none" w:sz="0" w:space="0" w:color="auto" w:frame="1"/>
        </w:rPr>
        <w:t>Tokens pro Sekunde</w:t>
      </w:r>
      <w:r w:rsidRPr="00A80248">
        <w:rPr>
          <w:rFonts w:ascii="Calibri" w:hAnsi="Calibri" w:cs="Calibri"/>
          <w:b/>
          <w:color w:val="00188F"/>
          <w:sz w:val="18"/>
          <w:szCs w:val="18"/>
        </w:rPr>
        <w:t>“</w:t>
      </w:r>
      <w:r>
        <w:rPr>
          <w:rFonts w:ascii="Calibri" w:eastAsia="Times New Roman" w:hAnsi="Calibri" w:cs="Calibri"/>
          <w:color w:val="000000"/>
          <w:sz w:val="18"/>
          <w:szCs w:val="18"/>
          <w:bdr w:val="none" w:sz="0" w:space="0" w:color="auto" w:frame="1"/>
        </w:rPr>
        <w:t xml:space="preserve"> ist eine Latenzmessung, die die Generierungsgeschwindigkeit für eine bestimmte Azure AI Foundry-Modellantwort aufzählt. Die Gesamtzahl der generierten Token wird durch die zum Generieren der Token benötigte Zeit geteilt. Als generierte Token werden alle nach dem ersten Token generierten Token gezählt. </w:t>
      </w:r>
    </w:p>
    <w:p w14:paraId="71CBD3B9" w14:textId="77777777" w:rsidR="00C81494" w:rsidRPr="003A2FA0" w:rsidRDefault="00C81494" w:rsidP="00C81494">
      <w:pPr>
        <w:shd w:val="clear" w:color="auto" w:fill="FFFFFF"/>
        <w:spacing w:after="0" w:line="240" w:lineRule="auto"/>
        <w:rPr>
          <w:rFonts w:ascii="Calibri" w:eastAsia="Times New Roman" w:hAnsi="Calibri" w:cs="Calibri"/>
          <w:color w:val="000000"/>
          <w:sz w:val="18"/>
          <w:szCs w:val="18"/>
          <w:bdr w:val="none" w:sz="0" w:space="0" w:color="auto" w:frame="1"/>
        </w:rPr>
      </w:pPr>
      <w:r w:rsidRPr="00A80248">
        <w:rPr>
          <w:rFonts w:ascii="Calibri" w:hAnsi="Calibri" w:cs="Calibri"/>
          <w:b/>
          <w:color w:val="00188F"/>
          <w:sz w:val="18"/>
          <w:szCs w:val="18"/>
        </w:rPr>
        <w:t>„</w:t>
      </w:r>
      <w:r>
        <w:rPr>
          <w:rFonts w:ascii="Calibri" w:eastAsia="Times New Roman" w:hAnsi="Calibri" w:cs="Calibri"/>
          <w:b/>
          <w:bCs/>
          <w:color w:val="00188F"/>
          <w:sz w:val="18"/>
          <w:szCs w:val="18"/>
          <w:bdr w:val="none" w:sz="0" w:space="0" w:color="auto" w:frame="1"/>
        </w:rPr>
        <w:t>SLA-Latenzzielwert</w:t>
      </w:r>
      <w:r w:rsidRPr="00A80248">
        <w:rPr>
          <w:rFonts w:ascii="Calibri" w:hAnsi="Calibri" w:cs="Calibri"/>
          <w:b/>
          <w:color w:val="00188F"/>
          <w:sz w:val="18"/>
          <w:szCs w:val="18"/>
        </w:rPr>
        <w:t>“</w:t>
      </w:r>
      <w:r>
        <w:rPr>
          <w:rFonts w:ascii="Calibri" w:eastAsia="Times New Roman" w:hAnsi="Calibri" w:cs="Calibri"/>
          <w:color w:val="000000"/>
          <w:sz w:val="18"/>
          <w:szCs w:val="18"/>
          <w:bdr w:val="none" w:sz="0" w:space="0" w:color="auto" w:frame="1"/>
        </w:rPr>
        <w:t xml:space="preserve"> ist das Latenzziel in Tokens pro Sekunde für ein bestimmtes Modell, wie in der Produktdokumentation definiert.</w:t>
      </w:r>
    </w:p>
    <w:p w14:paraId="33866522" w14:textId="77777777" w:rsidR="00C81494" w:rsidRPr="003A2FA0" w:rsidRDefault="00C81494" w:rsidP="00C81494">
      <w:pPr>
        <w:shd w:val="clear" w:color="auto" w:fill="FFFFFF"/>
        <w:spacing w:after="0" w:line="240" w:lineRule="auto"/>
        <w:rPr>
          <w:rFonts w:ascii="Calibri" w:eastAsia="Times New Roman" w:hAnsi="Calibri" w:cs="Calibri"/>
          <w:color w:val="000000"/>
          <w:sz w:val="18"/>
          <w:szCs w:val="18"/>
          <w:bdr w:val="none" w:sz="0" w:space="0" w:color="auto" w:frame="1"/>
        </w:rPr>
      </w:pPr>
      <w:r w:rsidRPr="00A80248">
        <w:rPr>
          <w:rFonts w:ascii="Calibri" w:hAnsi="Calibri" w:cs="Calibri"/>
          <w:b/>
          <w:color w:val="00188F"/>
          <w:sz w:val="18"/>
          <w:szCs w:val="18"/>
        </w:rPr>
        <w:t>„</w:t>
      </w:r>
      <w:r>
        <w:rPr>
          <w:rFonts w:ascii="Calibri" w:eastAsia="Times New Roman" w:hAnsi="Calibri" w:cs="Calibri"/>
          <w:b/>
          <w:bCs/>
          <w:color w:val="00188F"/>
          <w:sz w:val="18"/>
          <w:szCs w:val="18"/>
          <w:bdr w:val="none" w:sz="0" w:space="0" w:color="auto" w:frame="1"/>
        </w:rPr>
        <w:t>Gemessene Token pro Sekunde</w:t>
      </w:r>
      <w:r w:rsidRPr="00A80248">
        <w:rPr>
          <w:rFonts w:ascii="Calibri" w:hAnsi="Calibri" w:cs="Calibri"/>
          <w:b/>
          <w:color w:val="00188F"/>
          <w:sz w:val="18"/>
          <w:szCs w:val="18"/>
        </w:rPr>
        <w:t>“</w:t>
      </w:r>
      <w:r>
        <w:rPr>
          <w:rFonts w:ascii="Calibri" w:eastAsia="Times New Roman" w:hAnsi="Calibri" w:cs="Calibri"/>
          <w:color w:val="000000"/>
          <w:sz w:val="18"/>
          <w:szCs w:val="18"/>
          <w:bdr w:val="none" w:sz="0" w:space="0" w:color="auto" w:frame="1"/>
        </w:rPr>
        <w:t xml:space="preserve"> wird entweder als Median (P50) der Token pro Sekunde für jedes 5-Minuten-Intervall oder als Durchschnitt der Token pro Sekunde für jedes 1-Minuten-Intervall berechnet, wie in der Produktdokumentation definiert. </w:t>
      </w:r>
    </w:p>
    <w:p w14:paraId="45E285D2" w14:textId="77777777" w:rsidR="00C81494" w:rsidRPr="003A2FA0" w:rsidRDefault="00C81494" w:rsidP="00C81494">
      <w:pPr>
        <w:shd w:val="clear" w:color="auto" w:fill="FFFFFF"/>
        <w:spacing w:after="0" w:line="240" w:lineRule="auto"/>
        <w:rPr>
          <w:rFonts w:ascii="Calibri" w:eastAsia="Times New Roman" w:hAnsi="Calibri" w:cs="Calibri"/>
          <w:color w:val="000000"/>
          <w:sz w:val="18"/>
          <w:szCs w:val="18"/>
          <w:bdr w:val="none" w:sz="0" w:space="0" w:color="auto" w:frame="1"/>
        </w:rPr>
      </w:pPr>
      <w:r w:rsidRPr="00A80248">
        <w:rPr>
          <w:rFonts w:ascii="Calibri" w:hAnsi="Calibri" w:cs="Calibri"/>
          <w:b/>
          <w:color w:val="00188F"/>
          <w:sz w:val="18"/>
          <w:szCs w:val="18"/>
        </w:rPr>
        <w:t>„</w:t>
      </w:r>
      <w:r>
        <w:rPr>
          <w:rFonts w:ascii="Calibri" w:eastAsia="Times New Roman" w:hAnsi="Calibri" w:cs="Calibri"/>
          <w:b/>
          <w:bCs/>
          <w:color w:val="00188F"/>
          <w:sz w:val="18"/>
          <w:szCs w:val="18"/>
          <w:bdr w:val="none" w:sz="0" w:space="0" w:color="auto" w:frame="1"/>
        </w:rPr>
        <w:t>Minuten mit übermäßiger Latenz</w:t>
      </w:r>
      <w:r w:rsidRPr="00A80248">
        <w:rPr>
          <w:rFonts w:ascii="Calibri" w:hAnsi="Calibri" w:cs="Calibri"/>
          <w:b/>
          <w:color w:val="00188F"/>
          <w:sz w:val="18"/>
          <w:szCs w:val="18"/>
        </w:rPr>
        <w:t>“</w:t>
      </w:r>
      <w:r>
        <w:rPr>
          <w:rFonts w:ascii="Calibri" w:eastAsia="Times New Roman" w:hAnsi="Calibri" w:cs="Calibri"/>
          <w:color w:val="000000"/>
          <w:sz w:val="18"/>
          <w:szCs w:val="18"/>
          <w:bdr w:val="none" w:sz="0" w:space="0" w:color="auto" w:frame="1"/>
        </w:rPr>
        <w:t xml:space="preserve"> ist die Gesamtzahl der Minuten für einen anwendbaren Zeitraum, in denen die Anzahl gemessener Token pro Sekunde unter dem SLA-Latenzzielwert liegt. Ausgenommen sind Zeiträume, in denen (a) eine Anfrage einen Fehlercode zurückgab, (b) eine Anfrage die maximale Anfragegröße überschritt oder (c) eine Anfrage weniger als 1 Token generierte. </w:t>
      </w:r>
    </w:p>
    <w:p w14:paraId="1E34932C" w14:textId="77777777" w:rsidR="00C81494" w:rsidRPr="003A2FA0" w:rsidRDefault="00C81494" w:rsidP="00C81494">
      <w:pPr>
        <w:shd w:val="clear" w:color="auto" w:fill="FFFFFF"/>
        <w:spacing w:after="0" w:line="240" w:lineRule="auto"/>
        <w:rPr>
          <w:rFonts w:ascii="Calibri" w:eastAsia="Times New Roman" w:hAnsi="Calibri" w:cs="Calibri"/>
          <w:color w:val="000000"/>
          <w:sz w:val="18"/>
          <w:szCs w:val="18"/>
          <w:bdr w:val="none" w:sz="0" w:space="0" w:color="auto" w:frame="1"/>
        </w:rPr>
      </w:pPr>
      <w:r w:rsidRPr="00A80248">
        <w:rPr>
          <w:rFonts w:ascii="Calibri" w:eastAsia="Times New Roman" w:hAnsi="Calibri" w:cs="Calibri"/>
          <w:color w:val="000000"/>
          <w:sz w:val="18"/>
          <w:szCs w:val="18"/>
          <w:bdr w:val="none" w:sz="0" w:space="0" w:color="auto" w:frame="1"/>
        </w:rPr>
        <w:t xml:space="preserve">Die </w:t>
      </w:r>
      <w:r w:rsidRPr="00A80248">
        <w:rPr>
          <w:rFonts w:ascii="Calibri" w:hAnsi="Calibri" w:cs="Calibri"/>
          <w:b/>
          <w:color w:val="00188F"/>
          <w:sz w:val="18"/>
          <w:szCs w:val="18"/>
        </w:rPr>
        <w:t>„</w:t>
      </w:r>
      <w:r>
        <w:rPr>
          <w:rFonts w:ascii="Calibri" w:eastAsia="Times New Roman" w:hAnsi="Calibri" w:cs="Calibri"/>
          <w:b/>
          <w:bCs/>
          <w:color w:val="00188F"/>
          <w:sz w:val="18"/>
          <w:szCs w:val="18"/>
          <w:bdr w:val="none" w:sz="0" w:space="0" w:color="auto" w:frame="1"/>
        </w:rPr>
        <w:t>Übermäßige Latenzrate</w:t>
      </w:r>
      <w:r w:rsidRPr="00A80248">
        <w:rPr>
          <w:rFonts w:ascii="Calibri" w:hAnsi="Calibri" w:cs="Calibri"/>
          <w:b/>
          <w:color w:val="00188F"/>
          <w:sz w:val="18"/>
          <w:szCs w:val="18"/>
        </w:rPr>
        <w:t>“</w:t>
      </w:r>
      <w:r>
        <w:rPr>
          <w:rFonts w:ascii="Calibri" w:eastAsia="Times New Roman" w:hAnsi="Calibri" w:cs="Calibri"/>
          <w:color w:val="000000"/>
          <w:sz w:val="18"/>
          <w:szCs w:val="18"/>
          <w:bdr w:val="none" w:sz="0" w:space="0" w:color="auto" w:frame="1"/>
        </w:rPr>
        <w:t xml:space="preserve"> für eine bestimmte vorrangige Bereitstellung ist die Summe der Übermäßigen Latenzminuten geteilt durch die Gesamtzahl der Minuten im Anwendbaren Zeitraum.</w:t>
      </w:r>
    </w:p>
    <w:p w14:paraId="61FEB634" w14:textId="77777777" w:rsidR="00C81494" w:rsidRPr="003A2FA0" w:rsidRDefault="00C81494" w:rsidP="00C81494">
      <w:pPr>
        <w:shd w:val="clear" w:color="auto" w:fill="FFFFFF"/>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color w:val="000000"/>
          <w:sz w:val="18"/>
          <w:szCs w:val="18"/>
          <w:bdr w:val="none" w:sz="0" w:space="0" w:color="auto" w:frame="1"/>
        </w:rPr>
        <w:t xml:space="preserve">„Der </w:t>
      </w:r>
      <w:r>
        <w:rPr>
          <w:rFonts w:ascii="Calibri" w:eastAsia="Times New Roman" w:hAnsi="Calibri" w:cs="Calibri"/>
          <w:b/>
          <w:bCs/>
          <w:color w:val="00188F"/>
          <w:sz w:val="18"/>
          <w:szCs w:val="18"/>
          <w:bdr w:val="none" w:sz="0" w:space="0" w:color="auto" w:frame="1"/>
        </w:rPr>
        <w:t>Bereitschaftsprozentsatz</w:t>
      </w:r>
      <w:r w:rsidRPr="00A80248">
        <w:rPr>
          <w:rFonts w:ascii="Calibri" w:eastAsia="Times New Roman" w:hAnsi="Calibri" w:cs="Calibri"/>
          <w:color w:val="000000"/>
          <w:sz w:val="18"/>
          <w:szCs w:val="18"/>
          <w:bdr w:val="none" w:sz="0" w:space="0" w:color="auto" w:frame="1"/>
        </w:rPr>
        <w:t>“</w:t>
      </w:r>
      <w:r>
        <w:rPr>
          <w:rFonts w:ascii="Calibri" w:eastAsia="Times New Roman" w:hAnsi="Calibri" w:cs="Calibri"/>
          <w:color w:val="000000"/>
          <w:sz w:val="18"/>
          <w:szCs w:val="18"/>
          <w:bdr w:val="none" w:sz="0" w:space="0" w:color="auto" w:frame="1"/>
        </w:rPr>
        <w:t xml:space="preserve"> wird durch die folgende Formel ermittelt: </w:t>
      </w:r>
    </w:p>
    <w:p w14:paraId="03A0E414" w14:textId="77777777" w:rsidR="00C81494" w:rsidRPr="003A2FA0" w:rsidRDefault="00C81494" w:rsidP="00C81494">
      <w:pPr>
        <w:shd w:val="clear" w:color="auto" w:fill="FFFFFF"/>
        <w:spacing w:before="120" w:after="0" w:line="240" w:lineRule="auto"/>
        <w:rPr>
          <w:rFonts w:ascii="Calibri" w:eastAsia="Times New Roman" w:hAnsi="Calibri" w:cs="Calibri"/>
          <w:sz w:val="18"/>
          <w:szCs w:val="18"/>
        </w:rPr>
      </w:pPr>
      <m:oMathPara>
        <m:oMath>
          <m:r>
            <w:rPr>
              <w:rFonts w:ascii="Cambria Math" w:eastAsia="Calibri" w:hAnsi="Cambria Math" w:cs="Arial"/>
              <w:sz w:val="18"/>
              <w:szCs w:val="18"/>
            </w:rPr>
            <m:t>100 % abzüglich Durchschnittliche Übermäßige Latenzrate</m:t>
          </m:r>
        </m:oMath>
      </m:oMathPara>
    </w:p>
    <w:p w14:paraId="4E5A780E" w14:textId="77777777" w:rsidR="00C81494" w:rsidRPr="003A2FA0" w:rsidRDefault="00C81494" w:rsidP="00C81494">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Servicegutschrift: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C81494" w14:paraId="0762E5A6" w14:textId="77777777" w:rsidTr="004754D5">
        <w:trPr>
          <w:tblHeader/>
        </w:trPr>
        <w:tc>
          <w:tcPr>
            <w:tcW w:w="5400" w:type="dxa"/>
            <w:shd w:val="clear" w:color="auto" w:fill="0072C6"/>
          </w:tcPr>
          <w:p w14:paraId="7FBC920A" w14:textId="77777777" w:rsidR="00C81494" w:rsidRPr="003A2FA0" w:rsidRDefault="00C81494" w:rsidP="004754D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Erreichungsprozentsatz</w:t>
            </w:r>
          </w:p>
        </w:tc>
        <w:tc>
          <w:tcPr>
            <w:tcW w:w="5400" w:type="dxa"/>
            <w:shd w:val="clear" w:color="auto" w:fill="0072C6"/>
          </w:tcPr>
          <w:p w14:paraId="003B8B7D" w14:textId="77777777" w:rsidR="00C81494" w:rsidRPr="003A2FA0" w:rsidRDefault="00C81494" w:rsidP="004754D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Servicegutschrift</w:t>
            </w:r>
          </w:p>
        </w:tc>
      </w:tr>
      <w:tr w:rsidR="00C81494" w14:paraId="126B4DF7" w14:textId="77777777" w:rsidTr="004754D5">
        <w:tc>
          <w:tcPr>
            <w:tcW w:w="5400" w:type="dxa"/>
          </w:tcPr>
          <w:p w14:paraId="7810BD5C" w14:textId="77777777" w:rsidR="00C81494" w:rsidRPr="003A2FA0" w:rsidRDefault="00C81494"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353D7982" w14:textId="77777777" w:rsidR="00C81494" w:rsidRPr="003A2FA0" w:rsidRDefault="00C81494"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bl>
    <w:p w14:paraId="399AB920" w14:textId="77777777" w:rsidR="00C81494" w:rsidRPr="00E928BA" w:rsidRDefault="00C81494" w:rsidP="00C81494">
      <w:pPr>
        <w:shd w:val="clear" w:color="auto" w:fill="FFFFFF"/>
        <w:spacing w:before="120" w:after="120" w:line="240" w:lineRule="auto"/>
        <w:rPr>
          <w:rFonts w:ascii="Calibri" w:eastAsia="Times New Roman" w:hAnsi="Calibri" w:cs="Calibri"/>
          <w:sz w:val="18"/>
          <w:szCs w:val="18"/>
          <w:bdr w:val="none" w:sz="0" w:space="0" w:color="auto" w:frame="1"/>
        </w:rPr>
      </w:pPr>
      <w:r>
        <w:rPr>
          <w:rFonts w:ascii="Calibri" w:eastAsia="Times New Roman" w:hAnsi="Calibri" w:cs="Calibri"/>
          <w:b/>
          <w:bCs/>
          <w:color w:val="00188F"/>
          <w:sz w:val="18"/>
          <w:szCs w:val="18"/>
          <w:bdr w:val="none" w:sz="0" w:space="0" w:color="auto" w:frame="1"/>
        </w:rPr>
        <w:t>Servicelevels-Ausnahmen</w:t>
      </w:r>
      <w:r w:rsidRPr="00C94278">
        <w:rPr>
          <w:rFonts w:ascii="Calibri" w:eastAsia="Calibri" w:hAnsi="Calibri" w:cs="Arial"/>
          <w:b/>
          <w:color w:val="00188F"/>
          <w:sz w:val="18"/>
        </w:rPr>
        <w:t>:</w:t>
      </w:r>
      <w:r>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sz w:val="18"/>
          <w:szCs w:val="18"/>
          <w:bdr w:val="none" w:sz="0" w:space="0" w:color="auto" w:frame="1"/>
        </w:rPr>
        <w:t>Die Servicegutschriften gelten nur für von Azure verkaufte Foundry-Modelle, bei denen der SLA-Latenzzielwert in der Produktdokumentation definiert ist. Diese SLA gilt nicht für die Entwicklerstufe der Foundry-Modelldienste.</w:t>
      </w:r>
    </w:p>
    <w:p w14:paraId="605D1879" w14:textId="34D4AFD7" w:rsidR="00135354" w:rsidRPr="00D67F75" w:rsidRDefault="005F7C2C" w:rsidP="00187FDE">
      <w:pPr>
        <w:pStyle w:val="ProductList-Body"/>
        <w:shd w:val="clear" w:color="auto" w:fill="808080" w:themeFill="background1" w:themeFillShade="80"/>
        <w:tabs>
          <w:tab w:val="clear" w:pos="360"/>
          <w:tab w:val="clear" w:pos="720"/>
          <w:tab w:val="clear" w:pos="1080"/>
        </w:tabs>
        <w:spacing w:after="12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26AFDA80" w14:textId="77777777" w:rsidR="00F71595" w:rsidRPr="00CC6940" w:rsidRDefault="00F71595" w:rsidP="00F71595">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480" w:name="_Toc230011465"/>
      <w:bookmarkStart w:id="481" w:name="_Toc195543186"/>
      <w:r>
        <w:rPr>
          <w:rFonts w:ascii="Calibri Light" w:eastAsia="Calibri" w:hAnsi="Calibri Light" w:cs="Arial"/>
          <w:b/>
          <w:color w:val="0072C6"/>
          <w:sz w:val="28"/>
        </w:rPr>
        <w:t>Foundry – Überwachbarkeit</w:t>
      </w:r>
      <w:bookmarkEnd w:id="480"/>
    </w:p>
    <w:p w14:paraId="435E2E47" w14:textId="77777777" w:rsidR="00F71595" w:rsidRPr="00CC6940" w:rsidRDefault="00F71595" w:rsidP="00F71595">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Zusätzliche Definitionen</w:t>
      </w:r>
      <w:r w:rsidRPr="00C94278">
        <w:rPr>
          <w:rFonts w:ascii="Calibri" w:eastAsia="Calibri" w:hAnsi="Calibri" w:cs="Arial"/>
          <w:b/>
          <w:color w:val="00188F"/>
          <w:sz w:val="18"/>
        </w:rPr>
        <w:t>:</w:t>
      </w:r>
    </w:p>
    <w:p w14:paraId="0F22221A" w14:textId="77777777" w:rsidR="00F71595" w:rsidRPr="00CC6940" w:rsidRDefault="00F71595" w:rsidP="00F71595">
      <w:pPr>
        <w:tabs>
          <w:tab w:val="left" w:pos="360"/>
          <w:tab w:val="left" w:pos="720"/>
          <w:tab w:val="left" w:pos="1080"/>
        </w:tabs>
        <w:spacing w:after="0" w:line="240" w:lineRule="auto"/>
        <w:rPr>
          <w:rFonts w:ascii="Calibri" w:eastAsia="Aptos" w:hAnsi="Calibri" w:cs="Calibri"/>
          <w:sz w:val="18"/>
        </w:rPr>
      </w:pPr>
      <w:r w:rsidRPr="00A80248">
        <w:rPr>
          <w:rFonts w:ascii="Calibri" w:hAnsi="Calibri" w:cs="Calibri"/>
          <w:b/>
          <w:color w:val="00188F"/>
          <w:sz w:val="18"/>
          <w:szCs w:val="18"/>
        </w:rPr>
        <w:t>„</w:t>
      </w:r>
      <w:r>
        <w:rPr>
          <w:rFonts w:ascii="Calibri" w:eastAsia="Aptos" w:hAnsi="Calibri" w:cs="Calibri"/>
          <w:b/>
          <w:color w:val="00188F"/>
          <w:sz w:val="18"/>
        </w:rPr>
        <w:t>Azure AI Foundry-Ressource</w:t>
      </w:r>
      <w:r w:rsidRPr="00A80248">
        <w:rPr>
          <w:rFonts w:ascii="Calibri" w:hAnsi="Calibri" w:cs="Calibri"/>
          <w:b/>
          <w:color w:val="00188F"/>
          <w:sz w:val="18"/>
          <w:szCs w:val="18"/>
        </w:rPr>
        <w:t>“</w:t>
      </w:r>
      <w:r>
        <w:rPr>
          <w:rFonts w:ascii="Calibri" w:eastAsia="Aptos" w:hAnsi="Calibri" w:cs="Calibri"/>
          <w:sz w:val="18"/>
        </w:rPr>
        <w:t> bezieht sich auf eine Azure-Ressource für Microsoft Foundry, die in einer Azure-Region in einem Microsoft Azure-Abonnement erstellt wurde.</w:t>
      </w:r>
    </w:p>
    <w:p w14:paraId="2B82FDCA" w14:textId="77777777" w:rsidR="00F71595" w:rsidRPr="00CC6940" w:rsidRDefault="00F71595" w:rsidP="00F71595">
      <w:pPr>
        <w:tabs>
          <w:tab w:val="left" w:pos="360"/>
          <w:tab w:val="left" w:pos="720"/>
          <w:tab w:val="left" w:pos="1080"/>
        </w:tabs>
        <w:spacing w:after="0" w:line="240" w:lineRule="auto"/>
        <w:rPr>
          <w:rFonts w:ascii="Calibri" w:eastAsia="Aptos" w:hAnsi="Calibri" w:cs="Calibri"/>
          <w:sz w:val="18"/>
        </w:rPr>
      </w:pPr>
      <w:r w:rsidRPr="00A80248">
        <w:rPr>
          <w:rFonts w:ascii="Calibri" w:eastAsia="Aptos" w:hAnsi="Calibri" w:cs="Calibri"/>
          <w:sz w:val="18"/>
        </w:rPr>
        <w:t xml:space="preserve">Unter </w:t>
      </w:r>
      <w:r w:rsidRPr="00A80248">
        <w:rPr>
          <w:rFonts w:ascii="Calibri" w:hAnsi="Calibri" w:cs="Calibri"/>
          <w:b/>
          <w:color w:val="00188F"/>
          <w:sz w:val="18"/>
          <w:szCs w:val="18"/>
        </w:rPr>
        <w:t>„</w:t>
      </w:r>
      <w:r>
        <w:rPr>
          <w:rFonts w:ascii="Calibri" w:eastAsia="Aptos" w:hAnsi="Calibri" w:cs="Calibri"/>
          <w:b/>
          <w:color w:val="00188F"/>
          <w:sz w:val="18"/>
        </w:rPr>
        <w:t>Anforderung</w:t>
      </w:r>
      <w:r w:rsidRPr="00A80248">
        <w:rPr>
          <w:rFonts w:ascii="Calibri" w:hAnsi="Calibri" w:cs="Calibri"/>
          <w:b/>
          <w:color w:val="00188F"/>
          <w:sz w:val="18"/>
          <w:szCs w:val="18"/>
        </w:rPr>
        <w:t>“</w:t>
      </w:r>
      <w:r>
        <w:rPr>
          <w:rFonts w:ascii="Calibri" w:eastAsia="Aptos" w:hAnsi="Calibri" w:cs="Calibri"/>
          <w:sz w:val="18"/>
        </w:rPr>
        <w:t> versteht man einen API-Aufruf an einen Modell-Endpunkt in einer Microsoft Foundry-Ressource.</w:t>
      </w:r>
    </w:p>
    <w:p w14:paraId="5B4EE6A7" w14:textId="77777777" w:rsidR="00F71595" w:rsidRPr="00CC6940" w:rsidRDefault="00F71595" w:rsidP="00F71595">
      <w:pPr>
        <w:tabs>
          <w:tab w:val="left" w:pos="360"/>
          <w:tab w:val="left" w:pos="720"/>
          <w:tab w:val="left" w:pos="1080"/>
        </w:tabs>
        <w:spacing w:after="0" w:line="240" w:lineRule="auto"/>
        <w:rPr>
          <w:rFonts w:ascii="Calibri" w:eastAsia="Aptos" w:hAnsi="Calibri" w:cs="Calibri"/>
          <w:sz w:val="18"/>
        </w:rPr>
      </w:pPr>
      <w:r w:rsidRPr="00A80248">
        <w:rPr>
          <w:rFonts w:ascii="Calibri" w:eastAsia="Aptos" w:hAnsi="Calibri" w:cs="Calibri"/>
          <w:sz w:val="18"/>
        </w:rPr>
        <w:t xml:space="preserve">Die </w:t>
      </w:r>
      <w:r w:rsidRPr="00A80248">
        <w:rPr>
          <w:rFonts w:ascii="Calibri" w:hAnsi="Calibri" w:cs="Calibri"/>
          <w:b/>
          <w:color w:val="00188F"/>
          <w:sz w:val="18"/>
          <w:szCs w:val="18"/>
        </w:rPr>
        <w:t>„</w:t>
      </w:r>
      <w:r>
        <w:rPr>
          <w:rFonts w:ascii="Calibri" w:eastAsia="Aptos" w:hAnsi="Calibri" w:cs="Calibri"/>
          <w:b/>
          <w:color w:val="00188F"/>
          <w:sz w:val="18"/>
        </w:rPr>
        <w:t>Durchschnittliche Fehlerrate</w:t>
      </w:r>
      <w:r w:rsidRPr="00A80248">
        <w:rPr>
          <w:rFonts w:ascii="Calibri" w:hAnsi="Calibri" w:cs="Calibri"/>
          <w:b/>
          <w:color w:val="00188F"/>
          <w:sz w:val="18"/>
          <w:szCs w:val="18"/>
        </w:rPr>
        <w:t>“</w:t>
      </w:r>
      <w:r>
        <w:rPr>
          <w:rFonts w:ascii="Calibri" w:eastAsia="Aptos" w:hAnsi="Calibri" w:cs="Calibri"/>
          <w:sz w:val="18"/>
        </w:rPr>
        <w:t> für einen Anwendbaren Zeitraum ist die Summe der Fehlerraten für jede Minute im Anwendbaren Zeitraum, geteilt durch die Gesamtzahl der Minuten im Anwendbaren Zeitraum.</w:t>
      </w:r>
    </w:p>
    <w:p w14:paraId="7CF37E50" w14:textId="77777777" w:rsidR="00F71595" w:rsidRPr="00CC6940" w:rsidRDefault="00F71595" w:rsidP="00F71595">
      <w:pPr>
        <w:tabs>
          <w:tab w:val="left" w:pos="360"/>
          <w:tab w:val="left" w:pos="720"/>
          <w:tab w:val="left" w:pos="1080"/>
        </w:tabs>
        <w:spacing w:after="0" w:line="240" w:lineRule="auto"/>
        <w:rPr>
          <w:rFonts w:ascii="Calibri" w:eastAsia="Aptos" w:hAnsi="Calibri" w:cs="Calibri"/>
          <w:sz w:val="18"/>
        </w:rPr>
      </w:pPr>
      <w:r w:rsidRPr="00A80248">
        <w:rPr>
          <w:rFonts w:ascii="Calibri" w:eastAsia="Aptos" w:hAnsi="Calibri" w:cs="Calibri"/>
          <w:sz w:val="18"/>
        </w:rPr>
        <w:t xml:space="preserve">Die </w:t>
      </w:r>
      <w:r w:rsidRPr="00A80248">
        <w:rPr>
          <w:rFonts w:ascii="Calibri" w:hAnsi="Calibri" w:cs="Calibri"/>
          <w:b/>
          <w:color w:val="00188F"/>
          <w:sz w:val="18"/>
          <w:szCs w:val="18"/>
        </w:rPr>
        <w:t>„</w:t>
      </w:r>
      <w:r>
        <w:rPr>
          <w:rFonts w:ascii="Calibri" w:eastAsia="Aptos" w:hAnsi="Calibri" w:cs="Calibri"/>
          <w:b/>
          <w:color w:val="00188F"/>
          <w:sz w:val="18"/>
        </w:rPr>
        <w:t>Fehlerrate</w:t>
      </w:r>
      <w:r w:rsidRPr="00A80248">
        <w:rPr>
          <w:rFonts w:ascii="Calibri" w:hAnsi="Calibri" w:cs="Calibri"/>
          <w:b/>
          <w:color w:val="00188F"/>
          <w:sz w:val="18"/>
          <w:szCs w:val="18"/>
        </w:rPr>
        <w:t>“</w:t>
      </w:r>
      <w:r>
        <w:rPr>
          <w:rFonts w:ascii="Calibri" w:eastAsia="Aptos" w:hAnsi="Calibri" w:cs="Calibri"/>
          <w:sz w:val="18"/>
        </w:rPr>
        <w:t> ist die Gesamtzahl der Anfragen, die einen Fehlercode zurückgeben, geteilt durch die Gesamtzahl der Anfragen während einer Minute. Wenn die Gesamtzahl der Anfragen in einem bestimmten Minuten-Intervall null ist, liegt die Fehlerrate für dieses Intervall bei 0 %.</w:t>
      </w:r>
    </w:p>
    <w:p w14:paraId="2441C79D" w14:textId="77777777" w:rsidR="00F71595" w:rsidRPr="00CC6940" w:rsidRDefault="00F71595" w:rsidP="00F71595">
      <w:pPr>
        <w:tabs>
          <w:tab w:val="left" w:pos="360"/>
          <w:tab w:val="left" w:pos="720"/>
          <w:tab w:val="left" w:pos="1080"/>
        </w:tabs>
        <w:spacing w:after="0" w:line="240" w:lineRule="auto"/>
        <w:rPr>
          <w:rFonts w:ascii="Calibri" w:eastAsia="Aptos" w:hAnsi="Calibri" w:cs="Calibri"/>
          <w:sz w:val="18"/>
        </w:rPr>
      </w:pPr>
      <w:r w:rsidRPr="00A80248">
        <w:rPr>
          <w:rFonts w:ascii="Calibri" w:hAnsi="Calibri" w:cs="Calibri"/>
          <w:b/>
          <w:color w:val="00188F"/>
          <w:sz w:val="18"/>
          <w:szCs w:val="18"/>
        </w:rPr>
        <w:t>„</w:t>
      </w:r>
      <w:r>
        <w:rPr>
          <w:rFonts w:ascii="Calibri" w:eastAsia="Aptos" w:hAnsi="Calibri" w:cs="Calibri"/>
          <w:b/>
          <w:color w:val="00188F"/>
          <w:sz w:val="18"/>
        </w:rPr>
        <w:t>Der Betriebszeitprozentsatz</w:t>
      </w:r>
      <w:r w:rsidRPr="00A80248">
        <w:rPr>
          <w:rFonts w:ascii="Calibri" w:hAnsi="Calibri" w:cs="Calibri"/>
          <w:b/>
          <w:color w:val="00188F"/>
          <w:sz w:val="18"/>
          <w:szCs w:val="18"/>
        </w:rPr>
        <w:t>“</w:t>
      </w:r>
      <w:r>
        <w:rPr>
          <w:rFonts w:ascii="Calibri" w:eastAsia="Aptos" w:hAnsi="Calibri" w:cs="Calibri"/>
          <w:sz w:val="18"/>
        </w:rPr>
        <w:t> wird durch die folgende Formel ermittelt:</w:t>
      </w:r>
    </w:p>
    <w:p w14:paraId="0A9391F4" w14:textId="77777777" w:rsidR="00F71595" w:rsidRPr="00CC6940" w:rsidRDefault="00F71595" w:rsidP="00FC411E">
      <w:pPr>
        <w:tabs>
          <w:tab w:val="left" w:pos="360"/>
          <w:tab w:val="left" w:pos="720"/>
          <w:tab w:val="left" w:pos="1080"/>
        </w:tabs>
        <w:spacing w:before="120" w:after="120" w:line="240" w:lineRule="auto"/>
        <w:rPr>
          <w:rFonts w:ascii="Aptos" w:eastAsia="Aptos" w:hAnsi="Aptos" w:cs="Times New Roman"/>
          <w:sz w:val="18"/>
        </w:rPr>
      </w:pPr>
      <m:oMathPara>
        <m:oMath>
          <m:r>
            <w:rPr>
              <w:rFonts w:ascii="Cambria Math" w:eastAsia="Aptos" w:hAnsi="Cambria Math" w:cs="Tahoma"/>
              <w:color w:val="000000"/>
              <w:sz w:val="18"/>
              <w:szCs w:val="18"/>
            </w:rPr>
            <m:t>100 % abzüglich Durchschnittliche Fehlerrate</m:t>
          </m:r>
        </m:oMath>
      </m:oMathPara>
    </w:p>
    <w:p w14:paraId="5A52EECB" w14:textId="77777777" w:rsidR="00F71595" w:rsidRPr="00CC6940" w:rsidRDefault="00F71595" w:rsidP="00F71595">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Servicegutschrift</w:t>
      </w:r>
      <w:r w:rsidRPr="00C94278">
        <w:rPr>
          <w:rFonts w:ascii="Calibri" w:eastAsia="Calibri" w:hAnsi="Calibri" w:cs="Arial"/>
          <w:b/>
          <w:color w:val="00188F"/>
          <w:sz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F71595" w14:paraId="23A7AAE7" w14:textId="77777777" w:rsidTr="004754D5">
        <w:trPr>
          <w:tblHeader/>
        </w:trPr>
        <w:tc>
          <w:tcPr>
            <w:tcW w:w="5400" w:type="dxa"/>
            <w:shd w:val="clear" w:color="auto" w:fill="0072C6"/>
          </w:tcPr>
          <w:p w14:paraId="3A9FC194" w14:textId="77777777" w:rsidR="00F71595" w:rsidRPr="00CC6940" w:rsidRDefault="00F71595" w:rsidP="004754D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Betriebszeitprozentsatz</w:t>
            </w:r>
          </w:p>
        </w:tc>
        <w:tc>
          <w:tcPr>
            <w:tcW w:w="5400" w:type="dxa"/>
            <w:shd w:val="clear" w:color="auto" w:fill="0072C6"/>
          </w:tcPr>
          <w:p w14:paraId="1DD230D2" w14:textId="77777777" w:rsidR="00F71595" w:rsidRPr="00CC6940" w:rsidRDefault="00F71595" w:rsidP="004754D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Servicegutschrift</w:t>
            </w:r>
          </w:p>
        </w:tc>
      </w:tr>
      <w:tr w:rsidR="00F71595" w14:paraId="26E7AF77" w14:textId="77777777" w:rsidTr="004754D5">
        <w:tc>
          <w:tcPr>
            <w:tcW w:w="5400" w:type="dxa"/>
          </w:tcPr>
          <w:p w14:paraId="725425C0" w14:textId="77777777" w:rsidR="00F71595" w:rsidRPr="00CC6940" w:rsidRDefault="00F71595"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5400" w:type="dxa"/>
          </w:tcPr>
          <w:p w14:paraId="21391BAE" w14:textId="77777777" w:rsidR="00F71595" w:rsidRPr="00CC6940" w:rsidRDefault="00F71595"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F71595" w14:paraId="14406DCB" w14:textId="77777777" w:rsidTr="004754D5">
        <w:tc>
          <w:tcPr>
            <w:tcW w:w="5400" w:type="dxa"/>
          </w:tcPr>
          <w:p w14:paraId="21432620" w14:textId="77777777" w:rsidR="00F71595" w:rsidRPr="00CC6940" w:rsidRDefault="00F71595"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281A4E74" w14:textId="77777777" w:rsidR="00F71595" w:rsidRPr="00CC6940" w:rsidRDefault="00F71595"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06C0BA53" w14:textId="77777777" w:rsidR="00F71595" w:rsidRPr="00CC6940" w:rsidRDefault="00F71595" w:rsidP="00F71595">
      <w:pPr>
        <w:spacing w:before="120" w:after="120" w:line="240" w:lineRule="auto"/>
        <w:rPr>
          <w:rFonts w:ascii="Calibri" w:eastAsia="Aptos" w:hAnsi="Calibri" w:cs="Calibri"/>
          <w:sz w:val="18"/>
          <w:szCs w:val="18"/>
        </w:rPr>
      </w:pPr>
      <w:r>
        <w:rPr>
          <w:rFonts w:ascii="Calibri" w:eastAsia="Calibri" w:hAnsi="Calibri" w:cs="Calibri"/>
          <w:b/>
          <w:bCs/>
          <w:color w:val="00188F"/>
          <w:sz w:val="18"/>
          <w:szCs w:val="18"/>
        </w:rPr>
        <w:lastRenderedPageBreak/>
        <w:t>Servicelevel-Ausnahmen</w:t>
      </w:r>
      <w:r w:rsidRPr="00C94278">
        <w:rPr>
          <w:rFonts w:ascii="Calibri" w:eastAsia="Calibri" w:hAnsi="Calibri" w:cs="Arial"/>
          <w:b/>
          <w:color w:val="00188F"/>
          <w:sz w:val="18"/>
        </w:rPr>
        <w:t>:</w:t>
      </w:r>
      <w:r>
        <w:rPr>
          <w:rFonts w:ascii="Calibri" w:eastAsia="Calibri" w:hAnsi="Calibri" w:cs="Calibri"/>
          <w:sz w:val="18"/>
          <w:szCs w:val="18"/>
        </w:rPr>
        <w:t xml:space="preserve"> </w:t>
      </w:r>
      <w:r>
        <w:rPr>
          <w:rFonts w:ascii="Calibri" w:eastAsia="Aptos" w:hAnsi="Calibri" w:cs="Calibri"/>
          <w:sz w:val="18"/>
        </w:rPr>
        <w:t>Die Fertigstellung von Langzeitprojekten wird an dieser Stelle nicht berücksichtigt.</w:t>
      </w:r>
    </w:p>
    <w:p w14:paraId="2F0FDDEB" w14:textId="77777777" w:rsidR="00F71595" w:rsidRPr="00D67F75" w:rsidRDefault="00F71595" w:rsidP="00FC411E">
      <w:pPr>
        <w:pStyle w:val="ProductList-Body"/>
        <w:shd w:val="clear" w:color="auto" w:fill="808080" w:themeFill="background1" w:themeFillShade="80"/>
        <w:tabs>
          <w:tab w:val="clear" w:pos="360"/>
          <w:tab w:val="clear" w:pos="720"/>
          <w:tab w:val="clear" w:pos="1080"/>
        </w:tabs>
        <w:spacing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1054019C" w14:textId="71DC274F" w:rsidR="008B66EE" w:rsidRDefault="008B66EE" w:rsidP="000146AE">
      <w:pPr>
        <w:pStyle w:val="ProductList-Offering2Heading"/>
        <w:keepNext/>
        <w:tabs>
          <w:tab w:val="clear" w:pos="360"/>
          <w:tab w:val="clear" w:pos="720"/>
          <w:tab w:val="clear" w:pos="1080"/>
        </w:tabs>
        <w:outlineLvl w:val="2"/>
      </w:pPr>
      <w:bookmarkStart w:id="482" w:name="_Toc237449047"/>
      <w:r>
        <w:t>Azure Operator Service Manager</w:t>
      </w:r>
      <w:bookmarkEnd w:id="481"/>
      <w:bookmarkEnd w:id="482"/>
    </w:p>
    <w:p w14:paraId="14C11B5C" w14:textId="77777777" w:rsidR="003464A3" w:rsidRPr="00FE394E" w:rsidRDefault="003464A3" w:rsidP="003464A3">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Zusätzliche Definitionen</w:t>
      </w:r>
      <w:r w:rsidRPr="00B168D6">
        <w:rPr>
          <w:rFonts w:ascii="Calibri" w:eastAsia="Calibri" w:hAnsi="Calibri" w:cs="Arial"/>
          <w:b/>
          <w:bCs/>
          <w:color w:val="00188F"/>
          <w:sz w:val="18"/>
          <w:bdr w:val="none" w:sz="0" w:space="0" w:color="auto" w:frame="1"/>
        </w:rPr>
        <w:t>:</w:t>
      </w:r>
    </w:p>
    <w:p w14:paraId="4F434F6B" w14:textId="77777777" w:rsidR="003464A3" w:rsidRPr="00FE394E" w:rsidRDefault="003464A3" w:rsidP="003464A3">
      <w:pPr>
        <w:shd w:val="clear" w:color="auto" w:fill="FFFFFF"/>
        <w:spacing w:after="0" w:line="240" w:lineRule="auto"/>
        <w:textAlignment w:val="baseline"/>
        <w:rPr>
          <w:rFonts w:ascii="Calibri" w:eastAsia="Times New Roman" w:hAnsi="Calibri" w:cs="Calibri"/>
          <w:sz w:val="18"/>
          <w:szCs w:val="18"/>
        </w:rPr>
      </w:pPr>
      <w:r w:rsidRPr="004B3133">
        <w:rPr>
          <w:rFonts w:ascii="Calibri" w:eastAsia="Calibri" w:hAnsi="Calibri" w:cs="Arial"/>
          <w:b/>
          <w:bCs/>
          <w:color w:val="00188F"/>
          <w:sz w:val="18"/>
          <w:bdr w:val="none" w:sz="0" w:space="0" w:color="auto" w:frame="1"/>
        </w:rPr>
        <w:t>„</w:t>
      </w:r>
      <w:r>
        <w:rPr>
          <w:rFonts w:ascii="Calibri" w:eastAsia="Times New Roman" w:hAnsi="Calibri" w:cs="Calibri"/>
          <w:b/>
          <w:bCs/>
          <w:color w:val="00188F"/>
          <w:sz w:val="18"/>
          <w:szCs w:val="18"/>
        </w:rPr>
        <w:t>Anwendbare Servicegebühren</w:t>
      </w:r>
      <w:r w:rsidRPr="004B3133">
        <w:rPr>
          <w:rFonts w:ascii="Calibri" w:eastAsia="Calibri" w:hAnsi="Calibri" w:cs="Arial"/>
          <w:b/>
          <w:bCs/>
          <w:color w:val="00188F"/>
          <w:sz w:val="18"/>
          <w:bdr w:val="none" w:sz="0" w:space="0" w:color="auto" w:frame="1"/>
        </w:rPr>
        <w:t>“</w:t>
      </w:r>
      <w:r>
        <w:rPr>
          <w:rFonts w:ascii="Calibri" w:eastAsia="Times New Roman" w:hAnsi="Calibri" w:cs="Calibri"/>
          <w:color w:val="000000"/>
          <w:sz w:val="18"/>
          <w:szCs w:val="18"/>
        </w:rPr>
        <w:t xml:space="preserve"> sind die Gesamtgebühren, die von Ihnen tatsächlich für einen Service gezahlt und auf den Monat angewendet werden, in dem eine Servicegutschrift geschuldet wird.</w:t>
      </w:r>
    </w:p>
    <w:p w14:paraId="644AA225" w14:textId="77777777" w:rsidR="003464A3" w:rsidRPr="00FE394E" w:rsidRDefault="003464A3" w:rsidP="003464A3">
      <w:pPr>
        <w:shd w:val="clear" w:color="auto" w:fill="FFFFFF"/>
        <w:spacing w:after="0" w:line="240" w:lineRule="auto"/>
        <w:textAlignment w:val="baseline"/>
        <w:rPr>
          <w:rFonts w:ascii="Calibri" w:eastAsia="Times New Roman" w:hAnsi="Calibri" w:cs="Calibri"/>
          <w:sz w:val="18"/>
          <w:szCs w:val="18"/>
        </w:rPr>
      </w:pPr>
      <w:r w:rsidRPr="004B3133">
        <w:rPr>
          <w:rFonts w:ascii="Calibri" w:eastAsia="Calibri" w:hAnsi="Calibri" w:cs="Arial"/>
          <w:b/>
          <w:bCs/>
          <w:color w:val="00188F"/>
          <w:sz w:val="18"/>
          <w:bdr w:val="none" w:sz="0" w:space="0" w:color="auto" w:frame="1"/>
        </w:rPr>
        <w:t>„</w:t>
      </w:r>
      <w:r>
        <w:rPr>
          <w:rFonts w:ascii="Calibri" w:eastAsia="Times New Roman" w:hAnsi="Calibri" w:cs="Calibri"/>
          <w:b/>
          <w:bCs/>
          <w:color w:val="00188F"/>
          <w:sz w:val="18"/>
          <w:szCs w:val="18"/>
        </w:rPr>
        <w:t>Servicelevel</w:t>
      </w:r>
      <w:r w:rsidRPr="004B3133">
        <w:rPr>
          <w:rFonts w:ascii="Calibri" w:eastAsia="Calibri" w:hAnsi="Calibri" w:cs="Arial"/>
          <w:b/>
          <w:bCs/>
          <w:color w:val="00188F"/>
          <w:sz w:val="18"/>
          <w:bdr w:val="none" w:sz="0" w:space="0" w:color="auto" w:frame="1"/>
        </w:rPr>
        <w:t>“</w:t>
      </w:r>
      <w:r>
        <w:rPr>
          <w:rFonts w:ascii="Calibri" w:eastAsia="Times New Roman" w:hAnsi="Calibri" w:cs="Calibri"/>
          <w:color w:val="000000"/>
          <w:sz w:val="18"/>
          <w:szCs w:val="18"/>
        </w:rPr>
        <w:t xml:space="preserve"> bezeichnet den/die Leistungsindikator(en), zu dessen/deren Einhaltung bei der Bereitstellung der Dienste sich Microsoft verpflichtet, wie in dieser SLA dargelegt.</w:t>
      </w:r>
    </w:p>
    <w:p w14:paraId="1E3B6353" w14:textId="77777777" w:rsidR="003464A3" w:rsidRPr="00FE394E" w:rsidRDefault="003464A3" w:rsidP="003464A3">
      <w:pPr>
        <w:shd w:val="clear" w:color="auto" w:fill="FFFFFF"/>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Maximal Verfügbare Minuten</w:t>
      </w:r>
      <w:r w:rsidRPr="00B168D6">
        <w:rPr>
          <w:rFonts w:ascii="Calibri" w:eastAsia="Calibri" w:hAnsi="Calibri" w:cs="Arial"/>
          <w:b/>
          <w:bCs/>
          <w:color w:val="00188F"/>
          <w:sz w:val="18"/>
          <w:bdr w:val="none" w:sz="0" w:space="0" w:color="auto" w:frame="1"/>
        </w:rPr>
        <w:t>:</w:t>
      </w:r>
      <w:r>
        <w:rPr>
          <w:rFonts w:ascii="Calibri" w:eastAsia="Times New Roman" w:hAnsi="Calibri" w:cs="Calibri"/>
          <w:color w:val="000000"/>
          <w:sz w:val="18"/>
          <w:szCs w:val="18"/>
        </w:rPr>
        <w:t xml:space="preserve"> die Gesamtzahl der kumulierten Minuten in einem Anwendbaren Zeitraum, in denen mindestens eine Azure Operator Service Manager Site Network Service-Ressource in einem Microsoft Azure-Abonnement bereitgestellt wurde.</w:t>
      </w:r>
    </w:p>
    <w:p w14:paraId="675E209F" w14:textId="77777777" w:rsidR="003464A3" w:rsidRPr="00FE394E" w:rsidRDefault="003464A3" w:rsidP="003464A3">
      <w:pPr>
        <w:shd w:val="clear" w:color="auto" w:fill="FFFFFF"/>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Ausfallzeit</w:t>
      </w:r>
      <w:r w:rsidRPr="00B168D6">
        <w:rPr>
          <w:rFonts w:ascii="Calibri" w:eastAsia="Calibri" w:hAnsi="Calibri" w:cs="Arial"/>
          <w:b/>
          <w:bCs/>
          <w:color w:val="00188F"/>
          <w:sz w:val="18"/>
          <w:bdr w:val="none" w:sz="0" w:space="0" w:color="auto" w:frame="1"/>
        </w:rPr>
        <w:t>:</w:t>
      </w:r>
      <w:r>
        <w:rPr>
          <w:rFonts w:ascii="Calibri" w:eastAsia="Times New Roman" w:hAnsi="Calibri" w:cs="Calibri"/>
          <w:color w:val="000000"/>
          <w:sz w:val="18"/>
          <w:szCs w:val="18"/>
        </w:rPr>
        <w:t xml:space="preserve"> Eine Minute gilt als Ausfallzeit, wenn alle kontinuierlichen Versuche, Dienstressourcen zu erstellen, zu aktualisieren oder anzuzeigen, während der gesamten Minute entweder einen Fehlercode zurückgeben oder nicht innerhalb von zwei Minuten zu einem Erfolgscode führen.</w:t>
      </w:r>
    </w:p>
    <w:p w14:paraId="211659D1" w14:textId="77777777" w:rsidR="003464A3" w:rsidRDefault="003464A3" w:rsidP="003464A3">
      <w:pPr>
        <w:shd w:val="clear" w:color="auto" w:fill="FFFFFF"/>
        <w:spacing w:after="0" w:line="240" w:lineRule="auto"/>
        <w:textAlignment w:val="baseline"/>
        <w:rPr>
          <w:rFonts w:ascii="Calibri" w:eastAsia="Times New Roman" w:hAnsi="Calibri" w:cs="Calibri"/>
          <w:color w:val="000000"/>
          <w:sz w:val="18"/>
          <w:szCs w:val="18"/>
        </w:rPr>
      </w:pPr>
      <w:r w:rsidRPr="004B3133">
        <w:rPr>
          <w:rFonts w:ascii="Calibri" w:eastAsia="Calibri" w:hAnsi="Calibri" w:cs="Arial"/>
          <w:b/>
          <w:bCs/>
          <w:color w:val="00188F"/>
          <w:sz w:val="18"/>
          <w:bdr w:val="none" w:sz="0" w:space="0" w:color="auto" w:frame="1"/>
        </w:rPr>
        <w:t>„</w:t>
      </w:r>
      <w:r>
        <w:rPr>
          <w:rFonts w:ascii="Calibri" w:eastAsia="Times New Roman" w:hAnsi="Calibri" w:cs="Calibri"/>
          <w:b/>
          <w:bCs/>
          <w:color w:val="00188F"/>
          <w:sz w:val="18"/>
          <w:szCs w:val="18"/>
        </w:rPr>
        <w:t>Betriebszeitprozentsatz</w:t>
      </w:r>
      <w:r w:rsidRPr="004B3133">
        <w:rPr>
          <w:rFonts w:ascii="Calibri" w:eastAsia="Calibri" w:hAnsi="Calibri" w:cs="Arial"/>
          <w:b/>
          <w:bCs/>
          <w:color w:val="00188F"/>
          <w:sz w:val="18"/>
          <w:bdr w:val="none" w:sz="0" w:space="0" w:color="auto" w:frame="1"/>
        </w:rPr>
        <w:t>“</w:t>
      </w:r>
      <w:r w:rsidRPr="00B168D6">
        <w:rPr>
          <w:rFonts w:ascii="Calibri" w:eastAsia="Calibri" w:hAnsi="Calibri" w:cs="Arial"/>
          <w:b/>
          <w:bCs/>
          <w:color w:val="00188F"/>
          <w:sz w:val="18"/>
          <w:bdr w:val="none" w:sz="0" w:space="0" w:color="auto" w:frame="1"/>
        </w:rPr>
        <w:t>:</w:t>
      </w:r>
      <w:r>
        <w:rPr>
          <w:rFonts w:ascii="Calibri" w:eastAsia="Times New Roman" w:hAnsi="Calibri" w:cs="Calibri"/>
          <w:color w:val="000000"/>
          <w:sz w:val="18"/>
          <w:szCs w:val="18"/>
        </w:rPr>
        <w:t xml:space="preserve"> wird für Azure Operator Service Manager als Maximal Verfügbare Minuten abzüglich der Ausfallzeit geteilt durch die Maximal Verfügbaren Minuten im Anwendbaren Zeitraum berechnet. Der Betriebszeitprozentsatz wird pro Region berechnet und mit der folgenden Formel dargestellt:</w:t>
      </w:r>
    </w:p>
    <w:p w14:paraId="665D98F7" w14:textId="77777777" w:rsidR="003464A3" w:rsidRPr="00CF77C2" w:rsidRDefault="003464A3" w:rsidP="0030005B">
      <w:pPr>
        <w:shd w:val="clear" w:color="auto" w:fill="FFFFFF"/>
        <w:spacing w:before="120" w:after="0" w:line="240" w:lineRule="auto"/>
        <w:jc w:val="center"/>
        <w:rPr>
          <w:rFonts w:ascii="Calibri" w:eastAsia="Times New Roman" w:hAnsi="Calibri" w:cs="Calibri"/>
          <w:i/>
          <w:color w:val="000000"/>
          <w:sz w:val="18"/>
          <w:szCs w:val="18"/>
        </w:rPr>
      </w:pPr>
      <w:r>
        <w:rPr>
          <w:rFonts w:ascii="Calibri" w:eastAsia="Times New Roman" w:hAnsi="Calibri" w:cs="Calibri"/>
          <w:i/>
          <w:color w:val="000000"/>
          <w:sz w:val="18"/>
          <w:szCs w:val="18"/>
          <w:bdr w:val="none" w:sz="0" w:space="0" w:color="auto" w:frame="1"/>
        </w:rPr>
        <w:t>Monatliche Betriebszeit in % = (Maximal Verfügbare Minuten – Ausfallzeit) / (Maximal Verfügbare Minuten) x 100</w:t>
      </w:r>
    </w:p>
    <w:p w14:paraId="456BC092" w14:textId="77777777" w:rsidR="003464A3" w:rsidRDefault="003464A3" w:rsidP="003464A3">
      <w:pPr>
        <w:spacing w:after="0" w:line="240" w:lineRule="auto"/>
        <w:textAlignment w:val="baseline"/>
        <w:rPr>
          <w:rFonts w:ascii="Calibri" w:eastAsia="Calibri" w:hAnsi="Calibri" w:cs="Arial"/>
          <w:b/>
          <w:bCs/>
          <w:color w:val="00188F"/>
          <w:sz w:val="18"/>
          <w:bdr w:val="none" w:sz="0" w:space="0" w:color="auto" w:frame="1"/>
        </w:rPr>
      </w:pPr>
      <w:r>
        <w:rPr>
          <w:rFonts w:ascii="Calibri" w:eastAsia="Times New Roman" w:hAnsi="Calibri" w:cs="Calibri"/>
          <w:b/>
          <w:bCs/>
          <w:color w:val="00188F"/>
          <w:sz w:val="18"/>
          <w:szCs w:val="18"/>
        </w:rPr>
        <w:t>Servicegutschrift</w:t>
      </w:r>
      <w:r w:rsidRPr="00B168D6">
        <w:rPr>
          <w:rFonts w:ascii="Calibri" w:eastAsia="Calibri" w:hAnsi="Calibri" w:cs="Arial"/>
          <w:b/>
          <w:bCs/>
          <w:color w:val="00188F"/>
          <w:sz w:val="18"/>
          <w:bdr w:val="none" w:sz="0" w:space="0" w:color="auto" w:frame="1"/>
        </w:rPr>
        <w:t>:</w:t>
      </w:r>
    </w:p>
    <w:tbl>
      <w:tblPr>
        <w:tblW w:w="0" w:type="auto"/>
        <w:tblInd w:w="5" w:type="dxa"/>
        <w:shd w:val="clear" w:color="auto" w:fill="FFFFFF"/>
        <w:tblLook w:val="04A0" w:firstRow="1" w:lastRow="0" w:firstColumn="1" w:lastColumn="0" w:noHBand="0" w:noVBand="1"/>
      </w:tblPr>
      <w:tblGrid>
        <w:gridCol w:w="5394"/>
        <w:gridCol w:w="5381"/>
      </w:tblGrid>
      <w:tr w:rsidR="003464A3" w:rsidRPr="00CF77C2" w14:paraId="34B22B81" w14:textId="77777777" w:rsidTr="000D3943">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51C77E53" w14:textId="77777777" w:rsidR="003464A3" w:rsidRDefault="003464A3" w:rsidP="000D394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Betriebszeitprozentsatz</w:t>
            </w:r>
          </w:p>
        </w:tc>
        <w:tc>
          <w:tcPr>
            <w:tcW w:w="5381" w:type="dxa"/>
            <w:tcBorders>
              <w:top w:val="single" w:sz="8" w:space="0" w:color="000000"/>
              <w:left w:val="nil"/>
              <w:bottom w:val="single" w:sz="8" w:space="0" w:color="000000"/>
              <w:right w:val="single" w:sz="8" w:space="0" w:color="000000"/>
            </w:tcBorders>
            <w:shd w:val="clear" w:color="auto" w:fill="0072C6"/>
            <w:hideMark/>
          </w:tcPr>
          <w:p w14:paraId="6D461575" w14:textId="77777777" w:rsidR="003464A3" w:rsidRDefault="003464A3" w:rsidP="000D394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Servicegutschrift</w:t>
            </w:r>
          </w:p>
        </w:tc>
      </w:tr>
      <w:tr w:rsidR="003464A3" w:rsidRPr="00CF77C2" w14:paraId="27DA62E5" w14:textId="77777777" w:rsidTr="000D3943">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323BD366" w14:textId="77777777" w:rsidR="003464A3" w:rsidRDefault="003464A3" w:rsidP="000D394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w:t>
            </w:r>
          </w:p>
        </w:tc>
        <w:tc>
          <w:tcPr>
            <w:tcW w:w="5381" w:type="dxa"/>
            <w:tcBorders>
              <w:top w:val="nil"/>
              <w:left w:val="nil"/>
              <w:bottom w:val="single" w:sz="8" w:space="0" w:color="000000"/>
              <w:right w:val="single" w:sz="8" w:space="0" w:color="000000"/>
            </w:tcBorders>
            <w:shd w:val="clear" w:color="auto" w:fill="FFFFFF"/>
            <w:hideMark/>
          </w:tcPr>
          <w:p w14:paraId="3C29BA3C" w14:textId="77777777" w:rsidR="003464A3" w:rsidRDefault="003464A3" w:rsidP="000D394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10 %</w:t>
            </w:r>
          </w:p>
        </w:tc>
      </w:tr>
      <w:tr w:rsidR="003464A3" w:rsidRPr="00CF77C2" w14:paraId="4C7D7189" w14:textId="77777777" w:rsidTr="000D3943">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0010AF88" w14:textId="77777777" w:rsidR="003464A3" w:rsidRDefault="003464A3" w:rsidP="000D394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w:t>
            </w:r>
          </w:p>
        </w:tc>
        <w:tc>
          <w:tcPr>
            <w:tcW w:w="5381" w:type="dxa"/>
            <w:tcBorders>
              <w:top w:val="nil"/>
              <w:left w:val="nil"/>
              <w:bottom w:val="single" w:sz="8" w:space="0" w:color="000000"/>
              <w:right w:val="single" w:sz="8" w:space="0" w:color="000000"/>
            </w:tcBorders>
            <w:shd w:val="clear" w:color="auto" w:fill="FFFFFF"/>
            <w:hideMark/>
          </w:tcPr>
          <w:p w14:paraId="1B2A9AB2" w14:textId="77777777" w:rsidR="003464A3" w:rsidRDefault="003464A3" w:rsidP="000D394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25 %</w:t>
            </w:r>
          </w:p>
        </w:tc>
      </w:tr>
    </w:tbl>
    <w:p w14:paraId="660517CA" w14:textId="77777777" w:rsidR="003464A3" w:rsidRPr="00FE394E" w:rsidRDefault="003464A3" w:rsidP="0020497F">
      <w:pPr>
        <w:spacing w:before="120"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Servicelevel-Ausnahmen</w:t>
      </w:r>
      <w:r w:rsidRPr="00B168D6">
        <w:rPr>
          <w:rFonts w:ascii="Calibri" w:eastAsia="Calibri" w:hAnsi="Calibri" w:cs="Arial"/>
          <w:b/>
          <w:bCs/>
          <w:color w:val="00188F"/>
          <w:sz w:val="18"/>
          <w:bdr w:val="none" w:sz="0" w:space="0" w:color="auto" w:frame="1"/>
        </w:rPr>
        <w:t>:</w:t>
      </w:r>
    </w:p>
    <w:p w14:paraId="6C6E835C" w14:textId="77777777" w:rsidR="003464A3" w:rsidRPr="00FE394E" w:rsidRDefault="003464A3" w:rsidP="003464A3">
      <w:p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 xml:space="preserve">Leistungs- oder Verfügbarkeitsprobleme, die sich aus Folgendem ergeben: </w:t>
      </w:r>
    </w:p>
    <w:p w14:paraId="66B25E99" w14:textId="77777777" w:rsidR="003464A3" w:rsidRPr="00FE394E" w:rsidRDefault="003464A3">
      <w:pPr>
        <w:pStyle w:val="ListParagraph"/>
        <w:numPr>
          <w:ilvl w:val="0"/>
          <w:numId w:val="24"/>
        </w:num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Ihrer fehlenden Einhaltung der erforderlichen Konfigurationen, Ihrer fehlenden Verwendung unterstützter Plattformen, Ihrer fehlenden Einhaltung von Richtlinien für die akzeptable Nutzung oder Ihrer Nutzung des Diensts in einer Art und Weise, die nicht mit den Features und Funktionen des Dienstes vereinbar ist (z. B. Versuche, nicht unterstützte Vorgänge durchzuführen) oder nicht den von uns veröffentlichten Anleitungen entspricht.</w:t>
      </w:r>
    </w:p>
    <w:p w14:paraId="63E40F49" w14:textId="77777777" w:rsidR="003464A3" w:rsidRDefault="003464A3">
      <w:pPr>
        <w:pStyle w:val="ListParagraph"/>
        <w:numPr>
          <w:ilvl w:val="0"/>
          <w:numId w:val="24"/>
        </w:num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Ihren Versuchen, Vorgänge auszuführen, die entweder vordefinierte Kontingente oder Kontingente überschreiten, die das Ergebnis unserer Drosselung eines angenommenen missbräuchlichen Verhaltens sind.</w:t>
      </w:r>
    </w:p>
    <w:p w14:paraId="69911A86" w14:textId="77777777" w:rsidR="003464A3" w:rsidRPr="00CF77C2" w:rsidRDefault="003464A3" w:rsidP="003464A3">
      <w:pPr>
        <w:pStyle w:val="ProductList-Body"/>
        <w:shd w:val="clear" w:color="auto" w:fill="808080" w:themeFill="background1" w:themeFillShade="80"/>
        <w:tabs>
          <w:tab w:val="clear" w:pos="360"/>
          <w:tab w:val="clear" w:pos="720"/>
          <w:tab w:val="clear" w:pos="1080"/>
        </w:tabs>
        <w:spacing w:before="120" w:after="240"/>
        <w:jc w:val="right"/>
        <w:rPr>
          <w:rFonts w:ascii="Calibri" w:hAnsi="Calibri" w:cs="Calibri"/>
          <w:sz w:val="16"/>
          <w:szCs w:val="16"/>
        </w:rPr>
      </w:pPr>
      <w:hyperlink w:anchor="TOC" w:tooltip="Inhalt" w:history="1">
        <w:r>
          <w:rPr>
            <w:rStyle w:val="Hyperlink"/>
            <w:rFonts w:ascii="Calibri" w:hAnsi="Calibri" w:cs="Calibri"/>
            <w:sz w:val="16"/>
            <w:szCs w:val="16"/>
          </w:rPr>
          <w:t>Inhaltsverzeichnis</w:t>
        </w:r>
      </w:hyperlink>
      <w:r>
        <w:rPr>
          <w:rFonts w:ascii="Calibri" w:hAnsi="Calibri" w:cs="Calibri"/>
          <w:sz w:val="16"/>
          <w:szCs w:val="16"/>
        </w:rPr>
        <w:t xml:space="preserve"> / </w:t>
      </w:r>
      <w:hyperlink w:anchor="Begriffsbestimmungen" w:tooltip="Begriffsbestimmungen" w:history="1">
        <w:r>
          <w:rPr>
            <w:rStyle w:val="Hyperlink"/>
            <w:rFonts w:ascii="Calibri" w:hAnsi="Calibri" w:cs="Calibri"/>
            <w:sz w:val="16"/>
            <w:szCs w:val="16"/>
          </w:rPr>
          <w:t>Definitionen</w:t>
        </w:r>
      </w:hyperlink>
    </w:p>
    <w:p w14:paraId="6ACC6AE5" w14:textId="06E85C12" w:rsidR="00C672FB" w:rsidRPr="00C72B45" w:rsidRDefault="00C672FB" w:rsidP="00C672FB">
      <w:pPr>
        <w:pStyle w:val="ProductList-Offering2Heading"/>
        <w:tabs>
          <w:tab w:val="clear" w:pos="360"/>
          <w:tab w:val="clear" w:pos="720"/>
          <w:tab w:val="clear" w:pos="1080"/>
        </w:tabs>
        <w:outlineLvl w:val="2"/>
        <w:rPr>
          <w:rFonts w:ascii="Calibri Light" w:hAnsi="Calibri Light" w:cs="Calibri Light"/>
        </w:rPr>
      </w:pPr>
      <w:bookmarkStart w:id="483" w:name="_Toc237449048"/>
      <w:bookmarkStart w:id="484" w:name="_Toc195543187"/>
      <w:r>
        <w:rPr>
          <w:rFonts w:ascii="Calibri Light" w:hAnsi="Calibri Light" w:cs="Calibri Light"/>
        </w:rPr>
        <w:t>Objektreplikation – Prioritätsreplikation</w:t>
      </w:r>
      <w:bookmarkEnd w:id="483"/>
    </w:p>
    <w:p w14:paraId="3F2DCDB3" w14:textId="77777777" w:rsidR="00C672FB" w:rsidRDefault="00C672FB" w:rsidP="00C672FB">
      <w:pPr>
        <w:spacing w:after="0"/>
        <w:rPr>
          <w:rFonts w:ascii="Calibri" w:eastAsia="Calibri" w:hAnsi="Calibri" w:cs="Calibri"/>
          <w:sz w:val="18"/>
          <w:szCs w:val="18"/>
        </w:rPr>
      </w:pPr>
      <w:r>
        <w:rPr>
          <w:rFonts w:ascii="Calibri" w:eastAsia="Calibri" w:hAnsi="Calibri" w:cs="Calibri"/>
          <w:sz w:val="18"/>
          <w:szCs w:val="18"/>
        </w:rPr>
        <w:t>Diese SLA gilt für alle Replikationsrichtlinien, bei denen sich das Quellspeicherkonto und das Zielspeicherkonto auf demselben Kontinent befinden und für die Prioritätsreplikation infrage kommen.</w:t>
      </w:r>
    </w:p>
    <w:p w14:paraId="3A57885B" w14:textId="77777777" w:rsidR="00C672FB" w:rsidRPr="004948E2" w:rsidRDefault="00C672FB" w:rsidP="00C672FB">
      <w:pPr>
        <w:pStyle w:val="ProductList-Body"/>
        <w:rPr>
          <w:rFonts w:ascii="Calibri" w:hAnsi="Calibri" w:cs="Calibri"/>
          <w:b/>
          <w:bCs/>
          <w:color w:val="00188F"/>
        </w:rPr>
      </w:pPr>
      <w:r>
        <w:rPr>
          <w:rFonts w:ascii="Calibri" w:hAnsi="Calibri" w:cs="Calibri"/>
          <w:b/>
          <w:bCs/>
          <w:color w:val="00188F"/>
        </w:rPr>
        <w:t>Zusätzliche Definitionen</w:t>
      </w:r>
      <w:r>
        <w:rPr>
          <w:rFonts w:ascii="Calibri" w:hAnsi="Calibri" w:cs="Calibri"/>
        </w:rPr>
        <w:t>:</w:t>
      </w:r>
    </w:p>
    <w:p w14:paraId="4B16DF0E" w14:textId="77777777" w:rsidR="00C672FB" w:rsidRPr="00C853AB" w:rsidRDefault="00C672FB" w:rsidP="00C672F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Zielcontainer</w:t>
      </w:r>
      <w:r>
        <w:rPr>
          <w:rFonts w:ascii="Calibri" w:eastAsia="Calibri" w:hAnsi="Calibri" w:cs="Arial"/>
          <w:sz w:val="18"/>
        </w:rPr>
        <w:t>“ ist der Container, in den Vorgänge innerhalb einer Objektreplikationsrichtlinie asynchron repliziert werden.</w:t>
      </w:r>
    </w:p>
    <w:p w14:paraId="4777E750" w14:textId="77777777" w:rsidR="00C672FB" w:rsidRPr="00C853AB" w:rsidRDefault="00C672FB" w:rsidP="00C672F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Zielspeicherkonto</w:t>
      </w:r>
      <w:r>
        <w:rPr>
          <w:rFonts w:ascii="Calibri" w:eastAsia="Calibri" w:hAnsi="Calibri" w:cs="Arial"/>
          <w:sz w:val="18"/>
        </w:rPr>
        <w:t>“ ist ein Speicherkonto, auf das Vorgänge asynchron repliziert werden, basierend auf einer Replikationsrichtlinie, die ein Nutzer mit der Objektreplikation in seinem Quellspeicherkonto konfiguriert.</w:t>
      </w:r>
    </w:p>
    <w:p w14:paraId="5DF1CFFD" w14:textId="77777777" w:rsidR="00C672FB" w:rsidRPr="00C853AB" w:rsidRDefault="00C672FB" w:rsidP="00C672F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2060"/>
          <w:sz w:val="18"/>
        </w:rPr>
        <w:t>Vorgang mit überschrittener Verzögerung</w:t>
      </w:r>
      <w:r>
        <w:rPr>
          <w:rFonts w:ascii="Calibri" w:eastAsia="Calibri" w:hAnsi="Calibri" w:cs="Arial"/>
          <w:sz w:val="18"/>
        </w:rPr>
        <w:t>“ ist jeder Vorgang (Daten, Metadaten, Eigenschaften oder Löschungen), dessen Replikation länger als 15 Minuten aussteht oder dessen Replikation vom Quellspeicherkonto zum Zielspeicherkonto während des Abrechnungsmonats länger als 15 Minuten dauert.</w:t>
      </w:r>
    </w:p>
    <w:p w14:paraId="20C4F447" w14:textId="77777777" w:rsidR="00C672FB" w:rsidRPr="00C853AB" w:rsidRDefault="00C672FB" w:rsidP="00C672FB">
      <w:pPr>
        <w:tabs>
          <w:tab w:val="left" w:pos="360"/>
          <w:tab w:val="left" w:pos="720"/>
          <w:tab w:val="left" w:pos="1080"/>
        </w:tabs>
        <w:spacing w:after="0" w:line="240" w:lineRule="auto"/>
        <w:rPr>
          <w:rFonts w:ascii="Calibri" w:eastAsia="Calibri" w:hAnsi="Calibri" w:cs="Arial"/>
          <w:sz w:val="18"/>
          <w:lang w:eastAsia="zh-TW"/>
        </w:rPr>
      </w:pPr>
      <w:r>
        <w:rPr>
          <w:rFonts w:ascii="Calibri" w:eastAsia="Calibri" w:hAnsi="Calibri" w:cs="Arial"/>
          <w:sz w:val="18"/>
        </w:rPr>
        <w:t>„</w:t>
      </w:r>
      <w:r>
        <w:rPr>
          <w:rFonts w:ascii="Calibri" w:eastAsia="Calibri" w:hAnsi="Calibri" w:cs="Arial"/>
          <w:b/>
          <w:bCs/>
          <w:color w:val="00188F"/>
          <w:sz w:val="18"/>
        </w:rPr>
        <w:t>Objektreplikation</w:t>
      </w:r>
      <w:r>
        <w:rPr>
          <w:rFonts w:ascii="Calibri" w:eastAsia="Calibri" w:hAnsi="Calibri" w:cs="Arial"/>
          <w:sz w:val="18"/>
        </w:rPr>
        <w:t>“ ist eine Speicherkontofunktion, die Block-Blobs asynchron von einem Quellspeicherkonto in ein Zielspeicherkonto kopiert. Die Block-Blobs innerhalb eines Containers werden gemäß den vom Nutzer konfigurierten Replikationsregeln repliziert. Der Inhalt des Blobs, alle mit dem Blob verknüpften Versionen sowie die Metadaten, Eigenschaften und Löschungen des Blobs werden vom Quellcontainer in den Zielcontainer kopiert.</w:t>
      </w:r>
    </w:p>
    <w:p w14:paraId="3EDC19B1" w14:textId="77777777" w:rsidR="00C672FB" w:rsidRPr="00C853AB" w:rsidRDefault="00C672FB" w:rsidP="00C672F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Replikationsverzögerung</w:t>
      </w:r>
      <w:r>
        <w:rPr>
          <w:rFonts w:ascii="Calibri" w:eastAsia="Calibri" w:hAnsi="Calibri" w:cs="Arial"/>
          <w:sz w:val="18"/>
        </w:rPr>
        <w:t>“ gibt die Zeit an, die zwischen der Ausführung einer Operation auf dem Quellspeicherkonto und der Replikation der Operation auf das Zielspeicherkonto verstrichen ist.</w:t>
      </w:r>
    </w:p>
    <w:p w14:paraId="1CD2633C" w14:textId="77777777" w:rsidR="00C672FB" w:rsidRPr="00C853AB" w:rsidRDefault="00C672FB" w:rsidP="00C672F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Replikationsrichtlinie</w:t>
      </w:r>
      <w:r>
        <w:rPr>
          <w:rFonts w:ascii="Calibri" w:eastAsia="Calibri" w:hAnsi="Calibri" w:cs="Arial"/>
          <w:sz w:val="18"/>
        </w:rPr>
        <w:t>“ gibt das Quellspeicherkonto und das Zielspeicherkonto an. Eine Replikationsrichtlinie umfasst eine oder mehrere Regeln, die einen Quellcontainer und einen Zielcontainer spezifizieren und angeben, welche Block-Blobs im Quellcontainer repliziert werden.</w:t>
      </w:r>
    </w:p>
    <w:p w14:paraId="4E35B6A9" w14:textId="77777777" w:rsidR="00C672FB" w:rsidRPr="00C853AB" w:rsidRDefault="00C672FB" w:rsidP="00C672F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Replikationsregel</w:t>
      </w:r>
      <w:r>
        <w:rPr>
          <w:rFonts w:ascii="Calibri" w:eastAsia="Calibri" w:hAnsi="Calibri" w:cs="Arial"/>
          <w:sz w:val="18"/>
        </w:rPr>
        <w:t>“ legt fest, wie Azure Storage Vorgänge aus einem Quellcontainer in einen Zielcontainer repliziert.</w:t>
      </w:r>
    </w:p>
    <w:p w14:paraId="7DAD3E44" w14:textId="77777777" w:rsidR="00C672FB" w:rsidRPr="00C853AB" w:rsidRDefault="00C672FB" w:rsidP="00C672F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Quellcontainer</w:t>
      </w:r>
      <w:r>
        <w:rPr>
          <w:rFonts w:ascii="Calibri" w:eastAsia="Calibri" w:hAnsi="Calibri" w:cs="Arial"/>
          <w:sz w:val="18"/>
        </w:rPr>
        <w:t>“ ist der Container, in den eine Operation ursprünglich innerhalb einer Replikationsrichtlinie hochgeladen wurde.</w:t>
      </w:r>
    </w:p>
    <w:p w14:paraId="7A3AC4D7" w14:textId="77777777" w:rsidR="00C672FB" w:rsidRPr="00C853AB" w:rsidRDefault="00C672FB" w:rsidP="00C672FB">
      <w:pPr>
        <w:spacing w:after="0"/>
        <w:rPr>
          <w:rFonts w:ascii="Calibri" w:eastAsia="Yu Mincho" w:hAnsi="Calibri" w:cs="Arial"/>
          <w:sz w:val="18"/>
          <w:szCs w:val="18"/>
          <w:lang w:eastAsia="zh-TW"/>
        </w:rPr>
      </w:pPr>
      <w:r>
        <w:rPr>
          <w:rFonts w:ascii="Calibri" w:eastAsia="Yu Mincho" w:hAnsi="Calibri" w:cs="Arial"/>
          <w:sz w:val="18"/>
          <w:szCs w:val="18"/>
        </w:rPr>
        <w:t>„</w:t>
      </w:r>
      <w:r>
        <w:rPr>
          <w:rFonts w:ascii="Calibri" w:eastAsia="Yu Mincho" w:hAnsi="Calibri" w:cs="Arial"/>
          <w:b/>
          <w:bCs/>
          <w:color w:val="00188F"/>
          <w:sz w:val="18"/>
          <w:szCs w:val="18"/>
        </w:rPr>
        <w:t>Quellspeicherkonto</w:t>
      </w:r>
      <w:r>
        <w:rPr>
          <w:rFonts w:ascii="Calibri" w:eastAsia="Yu Mincho" w:hAnsi="Calibri" w:cs="Arial"/>
          <w:sz w:val="18"/>
          <w:szCs w:val="18"/>
        </w:rPr>
        <w:t>“ ist ein Speicherkonto, in dem Replikationsrichtlinien und Replikationsregeln erstellt werden. Die Vorgänge werden auf diesem Speicherkonto ausgeführt und anschließend asynchron auf das Zielspeicherkonto repliziert.</w:t>
      </w:r>
    </w:p>
    <w:p w14:paraId="3B9E5BF9" w14:textId="77777777" w:rsidR="00C672FB" w:rsidRPr="00C853AB" w:rsidRDefault="00C672FB" w:rsidP="00C672F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lastRenderedPageBreak/>
        <w:t>„</w:t>
      </w:r>
      <w:r>
        <w:rPr>
          <w:rFonts w:ascii="Calibri" w:eastAsia="Calibri" w:hAnsi="Calibri" w:cs="Arial"/>
          <w:b/>
          <w:bCs/>
          <w:color w:val="00188F"/>
          <w:sz w:val="18"/>
        </w:rPr>
        <w:t>Gesamtzahl der Vorgänge</w:t>
      </w:r>
      <w:r>
        <w:rPr>
          <w:rFonts w:ascii="Calibri" w:eastAsia="Calibri" w:hAnsi="Calibri" w:cs="Arial"/>
          <w:sz w:val="18"/>
        </w:rPr>
        <w:t>“ ist die Gesamtzahl der Vorgänge, die im entsprechenden Zeitraum des Abrechnungsmonats durch die Objektreplikation repliziert wurden oder auf eine Replikation warten.</w:t>
      </w:r>
    </w:p>
    <w:p w14:paraId="453B40A4" w14:textId="77777777" w:rsidR="00C672FB" w:rsidRPr="00C853AB" w:rsidRDefault="00C672FB" w:rsidP="00C672F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 xml:space="preserve">„Monatlicher </w:t>
      </w:r>
      <w:r>
        <w:rPr>
          <w:rFonts w:ascii="Calibri" w:eastAsia="Calibri" w:hAnsi="Calibri" w:cs="Arial"/>
          <w:b/>
          <w:bCs/>
          <w:color w:val="00188F"/>
          <w:sz w:val="18"/>
        </w:rPr>
        <w:t>Konformitätsprozentsatz</w:t>
      </w:r>
      <w:r>
        <w:rPr>
          <w:rFonts w:ascii="Calibri" w:eastAsia="Calibri" w:hAnsi="Calibri" w:cs="Arial"/>
          <w:sz w:val="18"/>
        </w:rPr>
        <w:t>”: Der monatliche Konformitätsprozentsatz wird mithilfe der folgenden Formel berechnet:</w:t>
      </w:r>
    </w:p>
    <w:p w14:paraId="5D4A2ED4" w14:textId="77777777" w:rsidR="00C672FB" w:rsidRPr="004E133B" w:rsidRDefault="00000000" w:rsidP="00C672FB">
      <w:pPr>
        <w:pStyle w:val="ProductList-Body"/>
        <w:spacing w:before="120"/>
        <w:jc w:val="center"/>
      </w:pPr>
      <m:oMathPara>
        <m:oMath>
          <m:f>
            <m:fPr>
              <m:ctrlPr>
                <w:rPr>
                  <w:rFonts w:ascii="Cambria Math" w:hAnsi="Cambria Math"/>
                </w:rPr>
              </m:ctrlPr>
            </m:fPr>
            <m:num>
              <m:r>
                <w:rPr>
                  <w:rFonts w:ascii="Cambria Math" w:hAnsi="Cambria Math"/>
                </w:rPr>
                <m:t>Gesamtanzahl der Vorgänge - Verzögerungsvorgänge überschritten </m:t>
              </m:r>
            </m:num>
            <m:den>
              <m:r>
                <w:rPr>
                  <w:rFonts w:ascii="Cambria Math" w:hAnsi="Cambria Math"/>
                </w:rPr>
                <m:t>Gesamtbetrieb</m:t>
              </m:r>
            </m:den>
          </m:f>
          <m:r>
            <w:rPr>
              <w:rFonts w:ascii="Cambria Math" w:hAnsi="Cambria Math"/>
            </w:rPr>
            <m:t> x 100</m:t>
          </m:r>
        </m:oMath>
      </m:oMathPara>
    </w:p>
    <w:p w14:paraId="01F36DF6" w14:textId="77777777" w:rsidR="00C672FB" w:rsidRPr="004948E2" w:rsidRDefault="00C672FB" w:rsidP="00C672FB">
      <w:pPr>
        <w:pStyle w:val="ProductList-Body"/>
        <w:keepNext/>
        <w:rPr>
          <w:rFonts w:ascii="Calibri" w:hAnsi="Calibri" w:cs="Calibri"/>
        </w:rPr>
      </w:pPr>
      <w:r>
        <w:rPr>
          <w:rFonts w:ascii="Calibri" w:hAnsi="Calibri" w:cs="Calibri"/>
          <w:b/>
          <w:color w:val="00188F"/>
        </w:rPr>
        <w:t>Servicegutschrift</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672FB" w:rsidRPr="0084755E" w14:paraId="7F9706E1" w14:textId="77777777" w:rsidTr="000B7A4E">
        <w:trPr>
          <w:trHeight w:val="245"/>
          <w:tblHeader/>
        </w:trPr>
        <w:tc>
          <w:tcPr>
            <w:tcW w:w="5400" w:type="dxa"/>
            <w:shd w:val="clear" w:color="auto" w:fill="0072C6"/>
          </w:tcPr>
          <w:p w14:paraId="72CE1BE7" w14:textId="6BBAB2C1" w:rsidR="00C672FB" w:rsidRPr="0084755E" w:rsidRDefault="000D5D20" w:rsidP="000B7A4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Monatlicher Konformitätsprozentsatz</w:t>
            </w:r>
          </w:p>
        </w:tc>
        <w:tc>
          <w:tcPr>
            <w:tcW w:w="5400" w:type="dxa"/>
            <w:shd w:val="clear" w:color="auto" w:fill="0072C6"/>
          </w:tcPr>
          <w:p w14:paraId="68116D32" w14:textId="77777777" w:rsidR="00C672FB" w:rsidRPr="0084755E" w:rsidRDefault="00C672FB" w:rsidP="000B7A4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Servicegutschrift</w:t>
            </w:r>
          </w:p>
        </w:tc>
      </w:tr>
      <w:tr w:rsidR="00C672FB" w:rsidRPr="0084755E" w14:paraId="334CF392" w14:textId="77777777" w:rsidTr="000B7A4E">
        <w:trPr>
          <w:trHeight w:val="245"/>
        </w:trPr>
        <w:tc>
          <w:tcPr>
            <w:tcW w:w="5400" w:type="dxa"/>
          </w:tcPr>
          <w:p w14:paraId="5FEFDF45" w14:textId="77777777" w:rsidR="00C672FB" w:rsidRPr="0084755E" w:rsidRDefault="00C672FB" w:rsidP="000B7A4E">
            <w:pPr>
              <w:pStyle w:val="ProductList-OfferingBody"/>
              <w:jc w:val="center"/>
              <w:rPr>
                <w:rFonts w:ascii="Calibri" w:hAnsi="Calibri" w:cs="Calibri"/>
                <w:szCs w:val="16"/>
              </w:rPr>
            </w:pPr>
            <w:r>
              <w:rPr>
                <w:rFonts w:ascii="Calibri" w:eastAsia="Times New Roman" w:hAnsi="Calibri" w:cs="Calibri"/>
                <w:szCs w:val="16"/>
              </w:rPr>
              <w:t>Weniger als 99,0 % und mindestens 95,0 % </w:t>
            </w:r>
          </w:p>
        </w:tc>
        <w:tc>
          <w:tcPr>
            <w:tcW w:w="5400" w:type="dxa"/>
          </w:tcPr>
          <w:p w14:paraId="10554BE3" w14:textId="77777777" w:rsidR="00C672FB" w:rsidRPr="0084755E" w:rsidRDefault="00C672FB" w:rsidP="000B7A4E">
            <w:pPr>
              <w:pStyle w:val="ProductList-OfferingBody"/>
              <w:jc w:val="center"/>
              <w:rPr>
                <w:rFonts w:ascii="Calibri" w:hAnsi="Calibri" w:cs="Calibri"/>
                <w:szCs w:val="16"/>
              </w:rPr>
            </w:pPr>
            <w:r>
              <w:rPr>
                <w:rFonts w:ascii="Calibri" w:hAnsi="Calibri" w:cs="Calibri"/>
                <w:szCs w:val="16"/>
              </w:rPr>
              <w:t>10%</w:t>
            </w:r>
          </w:p>
        </w:tc>
      </w:tr>
      <w:tr w:rsidR="00C672FB" w:rsidRPr="0084755E" w14:paraId="37D33D2F" w14:textId="77777777" w:rsidTr="000B7A4E">
        <w:trPr>
          <w:trHeight w:val="245"/>
        </w:trPr>
        <w:tc>
          <w:tcPr>
            <w:tcW w:w="5400" w:type="dxa"/>
          </w:tcPr>
          <w:p w14:paraId="2A28F30B" w14:textId="77777777" w:rsidR="00C672FB" w:rsidRPr="0084755E" w:rsidRDefault="00C672FB" w:rsidP="000B7A4E">
            <w:pPr>
              <w:pStyle w:val="ProductList-OfferingBody"/>
              <w:jc w:val="center"/>
              <w:rPr>
                <w:rFonts w:ascii="Calibri" w:hAnsi="Calibri" w:cs="Calibri"/>
                <w:szCs w:val="16"/>
              </w:rPr>
            </w:pPr>
            <w:r>
              <w:rPr>
                <w:rFonts w:ascii="Calibri" w:eastAsia="Times New Roman" w:hAnsi="Calibri" w:cs="Calibri"/>
                <w:szCs w:val="16"/>
              </w:rPr>
              <w:t>Weniger als 95,0 % und mindestens 90,0 % </w:t>
            </w:r>
          </w:p>
        </w:tc>
        <w:tc>
          <w:tcPr>
            <w:tcW w:w="5400" w:type="dxa"/>
          </w:tcPr>
          <w:p w14:paraId="0000C005" w14:textId="77777777" w:rsidR="00C672FB" w:rsidRPr="0084755E" w:rsidRDefault="00C672FB" w:rsidP="000B7A4E">
            <w:pPr>
              <w:pStyle w:val="ProductList-OfferingBody"/>
              <w:jc w:val="center"/>
              <w:rPr>
                <w:rFonts w:ascii="Calibri" w:hAnsi="Calibri" w:cs="Calibri"/>
                <w:szCs w:val="16"/>
              </w:rPr>
            </w:pPr>
            <w:r>
              <w:rPr>
                <w:rFonts w:ascii="Calibri" w:hAnsi="Calibri" w:cs="Calibri"/>
                <w:szCs w:val="16"/>
              </w:rPr>
              <w:t>25%</w:t>
            </w:r>
          </w:p>
        </w:tc>
      </w:tr>
      <w:tr w:rsidR="00C672FB" w:rsidRPr="0084755E" w14:paraId="6D9B1708" w14:textId="77777777" w:rsidTr="000B7A4E">
        <w:trPr>
          <w:trHeight w:val="245"/>
        </w:trPr>
        <w:tc>
          <w:tcPr>
            <w:tcW w:w="5400" w:type="dxa"/>
          </w:tcPr>
          <w:p w14:paraId="3DDF04D9" w14:textId="77777777" w:rsidR="00C672FB" w:rsidRPr="0084755E" w:rsidRDefault="00C672FB" w:rsidP="000B7A4E">
            <w:pPr>
              <w:pStyle w:val="ProductList-OfferingBody"/>
              <w:jc w:val="center"/>
              <w:rPr>
                <w:rFonts w:ascii="Calibri" w:hAnsi="Calibri" w:cs="Calibri"/>
                <w:szCs w:val="16"/>
              </w:rPr>
            </w:pPr>
            <w:r>
              <w:rPr>
                <w:rFonts w:ascii="Calibri" w:eastAsia="Times New Roman" w:hAnsi="Calibri" w:cs="Calibri"/>
                <w:szCs w:val="16"/>
              </w:rPr>
              <w:t>&lt; 90,00 % </w:t>
            </w:r>
          </w:p>
        </w:tc>
        <w:tc>
          <w:tcPr>
            <w:tcW w:w="5400" w:type="dxa"/>
          </w:tcPr>
          <w:p w14:paraId="2FC9D91E" w14:textId="77777777" w:rsidR="00C672FB" w:rsidRPr="0084755E" w:rsidRDefault="00C672FB" w:rsidP="000B7A4E">
            <w:pPr>
              <w:pStyle w:val="ProductList-OfferingBody"/>
              <w:jc w:val="center"/>
              <w:rPr>
                <w:rFonts w:ascii="Calibri" w:hAnsi="Calibri" w:cs="Calibri"/>
                <w:szCs w:val="16"/>
              </w:rPr>
            </w:pPr>
            <w:r>
              <w:rPr>
                <w:rFonts w:ascii="Calibri" w:hAnsi="Calibri" w:cs="Calibri"/>
                <w:szCs w:val="16"/>
              </w:rPr>
              <w:t>100%</w:t>
            </w:r>
          </w:p>
        </w:tc>
      </w:tr>
    </w:tbl>
    <w:p w14:paraId="71CF8484" w14:textId="77777777" w:rsidR="00C672FB" w:rsidRPr="0089329F" w:rsidRDefault="00C672FB" w:rsidP="00C672FB">
      <w:pPr>
        <w:spacing w:before="120" w:after="0" w:line="240" w:lineRule="auto"/>
        <w:rPr>
          <w:rFonts w:ascii="Calibri" w:eastAsia="Aptos" w:hAnsi="Calibri" w:cs="Calibri"/>
          <w:color w:val="000000" w:themeColor="text1"/>
          <w:sz w:val="18"/>
          <w:szCs w:val="18"/>
        </w:rPr>
      </w:pPr>
      <w:r>
        <w:rPr>
          <w:rFonts w:ascii="Calibri" w:eastAsia="Times New Roman" w:hAnsi="Calibri" w:cs="Calibri"/>
          <w:b/>
          <w:bCs/>
          <w:color w:val="00188F"/>
          <w:sz w:val="18"/>
          <w:szCs w:val="18"/>
        </w:rPr>
        <w:t>Ausnahmen für Servicelevel:</w:t>
      </w:r>
      <w:r>
        <w:rPr>
          <w:rFonts w:ascii="Calibri" w:eastAsia="Times New Roman" w:hAnsi="Calibri" w:cs="Calibri"/>
          <w:color w:val="000000"/>
          <w:sz w:val="18"/>
          <w:szCs w:val="18"/>
        </w:rPr>
        <w:t xml:space="preserve"> </w:t>
      </w:r>
      <w:r>
        <w:rPr>
          <w:rFonts w:ascii="Calibri" w:eastAsia="Aptos" w:hAnsi="Calibri" w:cs="Calibri"/>
          <w:color w:val="000000" w:themeColor="text1"/>
          <w:sz w:val="18"/>
          <w:szCs w:val="18"/>
        </w:rPr>
        <w:t>Diese SLA gilt nicht für:</w:t>
      </w:r>
    </w:p>
    <w:p w14:paraId="411BAA79" w14:textId="77777777" w:rsidR="00C672FB" w:rsidRPr="0089329F" w:rsidRDefault="00C672FB">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Speicherkonten, bei denen die Objektreplikationsprioritätsreplikation nicht aktiviert ist,</w:t>
      </w:r>
    </w:p>
    <w:p w14:paraId="5D67BACC" w14:textId="77777777" w:rsidR="00C672FB" w:rsidRPr="0089329F" w:rsidRDefault="00C672FB">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Objekte, deren Größe 5 Gigabyte (GB) überschreitet,</w:t>
      </w:r>
    </w:p>
    <w:p w14:paraId="6F7611F4" w14:textId="77777777" w:rsidR="00C672FB" w:rsidRPr="0089329F" w:rsidRDefault="00C672FB">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Objekte, die häufiger als 10 Mal pro Sekunde geändert werden,</w:t>
      </w:r>
    </w:p>
    <w:p w14:paraId="1F9BA26C" w14:textId="77777777" w:rsidR="00C672FB" w:rsidRPr="0089329F" w:rsidRDefault="00C672FB">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Objektreplikationsrichtlinien, bei denen sich Quell- und Zielspeicherkonto nicht auf demselben Kontinent befinden,</w:t>
      </w:r>
    </w:p>
    <w:p w14:paraId="30B2C88D" w14:textId="77777777" w:rsidR="00C672FB" w:rsidRPr="00A7322E" w:rsidRDefault="00C672FB">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 xml:space="preserve">Speicherkonten, die (a) größer als 5 Petabyte (PB) sind oder (b) mehr als </w:t>
      </w:r>
      <w:r>
        <w:rPr>
          <w:rFonts w:ascii="Calibri" w:eastAsia="Aptos" w:hAnsi="Calibri" w:cs="Calibri"/>
          <w:sz w:val="18"/>
          <w:szCs w:val="18"/>
        </w:rPr>
        <w:t>10 Milliarden Blobs haben und</w:t>
      </w:r>
    </w:p>
    <w:p w14:paraId="55C48F5B" w14:textId="77777777" w:rsidR="00C672FB" w:rsidRPr="00A7322E" w:rsidRDefault="00C672FB">
      <w:pPr>
        <w:pStyle w:val="ListParagraph"/>
        <w:numPr>
          <w:ilvl w:val="0"/>
          <w:numId w:val="34"/>
        </w:numPr>
        <w:spacing w:after="120" w:line="240" w:lineRule="auto"/>
        <w:contextualSpacing w:val="0"/>
        <w:rPr>
          <w:rFonts w:ascii="Calibri" w:eastAsia="Aptos" w:hAnsi="Calibri" w:cs="Calibri"/>
          <w:color w:val="000000" w:themeColor="text1"/>
          <w:sz w:val="18"/>
          <w:szCs w:val="18"/>
        </w:rPr>
      </w:pPr>
      <w:r>
        <w:rPr>
          <w:rFonts w:ascii="Calibri" w:eastAsia="Aptos" w:hAnsi="Calibri" w:cs="Calibri"/>
          <w:color w:val="000000" w:themeColor="text1"/>
          <w:sz w:val="18"/>
          <w:szCs w:val="18"/>
        </w:rPr>
        <w:t>In Zeiträumen, in denen (a) die Datenübertragungsrate Ihres Speicherkontos oder Ihrer Replikationsrichtlinie 1 Gigabit pro Sekunde (Gbps) überschreitet und der daraus resultierende Rückstand an Schreibvorgängen repliziert wird, (b) Ihr Speicherkonto oder Ihre Replikationsrichtlinie 1.000 PUT- oder DELETE-Vorgänge pro Sekunde überschreitet und der daraus resultierende Rückstand an Schreibvorgängen repliziert wird, und (c) die vorhandene Blob-Replikation nach der kürzlichen Erstellung oder Aktualisierung einer Replikationsrichtlinie aussteht. Die vorhandene Blob-Replikation wird schätzungsweise durchschnittlich mit 100 TB pro Tag fortschreiten, kann aber bei Vorhandensein von Blobs mit vielen Versionen eine geringere Geschwindigkeit aufweisen.</w:t>
      </w:r>
    </w:p>
    <w:p w14:paraId="2D4A131D" w14:textId="77777777" w:rsidR="00187FDE" w:rsidRPr="00D67F75" w:rsidRDefault="00187FDE" w:rsidP="00187FDE">
      <w:pPr>
        <w:pStyle w:val="ProductList-Body"/>
        <w:shd w:val="clear" w:color="auto" w:fill="808080" w:themeFill="background1" w:themeFillShade="80"/>
        <w:tabs>
          <w:tab w:val="clear" w:pos="360"/>
          <w:tab w:val="clear" w:pos="720"/>
          <w:tab w:val="clear" w:pos="1080"/>
        </w:tabs>
        <w:spacing w:after="12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4F4794A3" w14:textId="27FF232B" w:rsidR="000146AE" w:rsidRPr="000146AE" w:rsidRDefault="000146AE" w:rsidP="000146AE">
      <w:pPr>
        <w:pStyle w:val="ProductList-Offering2Heading"/>
        <w:keepNext/>
        <w:tabs>
          <w:tab w:val="clear" w:pos="360"/>
          <w:tab w:val="clear" w:pos="720"/>
          <w:tab w:val="clear" w:pos="1080"/>
        </w:tabs>
        <w:outlineLvl w:val="2"/>
      </w:pPr>
      <w:bookmarkStart w:id="485" w:name="_Toc237449049"/>
      <w:r>
        <w:t>Azure-Orbitale Bodenstation</w:t>
      </w:r>
      <w:bookmarkEnd w:id="484"/>
      <w:bookmarkEnd w:id="485"/>
    </w:p>
    <w:p w14:paraId="4BAB3503" w14:textId="77777777" w:rsidR="00095AE8" w:rsidRPr="008B7B5F" w:rsidRDefault="00095AE8" w:rsidP="00095AE8">
      <w:pPr>
        <w:keepNext/>
        <w:tabs>
          <w:tab w:val="left" w:pos="360"/>
          <w:tab w:val="left" w:pos="720"/>
          <w:tab w:val="left" w:pos="1080"/>
        </w:tabs>
        <w:spacing w:after="0" w:line="240" w:lineRule="auto"/>
        <w:rPr>
          <w:rFonts w:ascii="Calibri" w:eastAsia="Calibri" w:hAnsi="Calibri" w:cs="Calibri"/>
          <w:b/>
          <w:bCs/>
          <w:color w:val="00188F"/>
          <w:sz w:val="18"/>
        </w:rPr>
      </w:pPr>
      <w:r>
        <w:rPr>
          <w:rFonts w:ascii="Calibri" w:eastAsia="Calibri" w:hAnsi="Calibri" w:cs="Calibri"/>
          <w:b/>
          <w:bCs/>
          <w:color w:val="00188F"/>
          <w:sz w:val="18"/>
        </w:rPr>
        <w:t>Zusätzliche Definitionen</w:t>
      </w:r>
    </w:p>
    <w:p w14:paraId="43FFE7F1" w14:textId="77777777" w:rsidR="00095AE8" w:rsidRPr="008B7B5F" w:rsidRDefault="00095AE8" w:rsidP="00095AE8">
      <w:pPr>
        <w:tabs>
          <w:tab w:val="left" w:pos="360"/>
          <w:tab w:val="left" w:pos="720"/>
          <w:tab w:val="left" w:pos="1080"/>
        </w:tabs>
        <w:spacing w:after="0" w:line="240" w:lineRule="auto"/>
        <w:rPr>
          <w:rFonts w:ascii="Calibri" w:eastAsia="Calibri" w:hAnsi="Calibri" w:cs="Calibri"/>
          <w:sz w:val="18"/>
        </w:rPr>
      </w:pPr>
      <w:r>
        <w:rPr>
          <w:rFonts w:ascii="Calibri" w:eastAsia="Calibri" w:hAnsi="Calibri" w:cs="Calibri"/>
          <w:sz w:val="18"/>
        </w:rPr>
        <w:t>Der Dienst „</w:t>
      </w:r>
      <w:r>
        <w:rPr>
          <w:rFonts w:ascii="Calibri" w:eastAsia="Calibri" w:hAnsi="Calibri" w:cs="Calibri"/>
          <w:b/>
          <w:bCs/>
          <w:color w:val="00188F"/>
          <w:sz w:val="18"/>
        </w:rPr>
        <w:t>Azure – Orbitale Bodenstation</w:t>
      </w:r>
      <w:r>
        <w:rPr>
          <w:rFonts w:ascii="Calibri" w:eastAsia="Calibri" w:hAnsi="Calibri" w:cs="Calibri"/>
          <w:sz w:val="18"/>
        </w:rPr>
        <w:t>“ ist ein vollständig verwalteter Bodenstationsdienst, der Konnektivität mit niedriger Latenz von Kundensatelliten im Orbit zur Microsoft Azure-Cloud bietet. Für die Zwecke dieser SLA umfasst der Dienst nur die Konnektivität zu Bodenstationen, die sich im Besitz von Microsoft befinden und von Microsoft betrieben werden, und nicht zu Bodenstationen, die sich im Besitz oder Betrieb von externen Anbietern von Bodenstationen befinden und von Kunden für die Zusammenarbeit mit dem Dienst „Azure – Orbitale Bodenstation“ konfiguriert werden.</w:t>
      </w:r>
    </w:p>
    <w:p w14:paraId="6B34FCEE" w14:textId="77777777" w:rsidR="00095AE8" w:rsidRPr="008B7B5F" w:rsidRDefault="00095AE8" w:rsidP="00095AE8">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Geplanter Kontakt</w:t>
      </w:r>
      <w:r>
        <w:rPr>
          <w:rFonts w:ascii="Calibri" w:eastAsia="Calibri" w:hAnsi="Calibri" w:cs="Calibri"/>
          <w:sz w:val="18"/>
          <w:szCs w:val="18"/>
        </w:rPr>
        <w:t>“ ist eine Verbindung zwischen einer Microsoft-eigenen und -betriebenen „Azure – Orbitale Bodenstation“ und dem Satelliten des Kunden, die vom Kunden (entweder über das Azure-Portal oder die API) angefordert und von Microsoft als geplant bestätigt wurde (d. h. der Status des angeforderten Kontakts zeigt „Geplant“ in der Azure-Portal- oder API-Schnittstelle).</w:t>
      </w:r>
    </w:p>
    <w:p w14:paraId="03E6C73C" w14:textId="77777777" w:rsidR="00095AE8" w:rsidRPr="00E43697" w:rsidRDefault="00095AE8" w:rsidP="00095AE8">
      <w:pPr>
        <w:tabs>
          <w:tab w:val="left" w:pos="360"/>
          <w:tab w:val="left" w:pos="720"/>
          <w:tab w:val="left" w:pos="1080"/>
        </w:tabs>
        <w:spacing w:after="0" w:line="240" w:lineRule="auto"/>
        <w:rPr>
          <w:rFonts w:ascii="Calibri" w:eastAsia="Calibri" w:hAnsi="Calibri" w:cs="Calibri"/>
          <w:sz w:val="18"/>
          <w:szCs w:val="18"/>
        </w:rPr>
      </w:pPr>
      <w:r w:rsidRPr="00E43697">
        <w:rPr>
          <w:rFonts w:ascii="Calibri" w:eastAsia="Calibri" w:hAnsi="Calibri" w:cs="Calibri"/>
          <w:sz w:val="18"/>
          <w:szCs w:val="18"/>
        </w:rPr>
        <w:t>„</w:t>
      </w:r>
      <w:r w:rsidRPr="00E43697">
        <w:rPr>
          <w:rFonts w:ascii="Calibri" w:eastAsia="Calibri" w:hAnsi="Calibri" w:cs="Calibri"/>
          <w:b/>
          <w:bCs/>
          <w:color w:val="00188F"/>
          <w:sz w:val="18"/>
          <w:szCs w:val="18"/>
        </w:rPr>
        <w:t>Ausfallzeit</w:t>
      </w:r>
      <w:r w:rsidRPr="00E43697">
        <w:rPr>
          <w:rFonts w:ascii="Calibri" w:eastAsia="Calibri" w:hAnsi="Calibri" w:cs="Calibri"/>
          <w:sz w:val="18"/>
          <w:szCs w:val="18"/>
        </w:rPr>
        <w:t xml:space="preserve">“ ist die Zeit während eines geplanten Kontakts, in der der Kunde nicht in der Lage ist, Daten End-to-End entweder an oder von den Satelliten des Kunden an den </w:t>
      </w:r>
      <w:r w:rsidRPr="00E43697">
        <w:rPr>
          <w:rFonts w:ascii="Calibri" w:hAnsi="Calibri" w:cs="Calibri"/>
          <w:sz w:val="18"/>
          <w:szCs w:val="18"/>
        </w:rPr>
        <w:t xml:space="preserve">Endpunkt des virtuellen Kundennetzwerks auf Azure zu </w:t>
      </w:r>
      <w:r w:rsidRPr="00E43697">
        <w:rPr>
          <w:rFonts w:ascii="Calibri" w:eastAsia="Calibri" w:hAnsi="Calibri" w:cs="Calibri"/>
          <w:sz w:val="18"/>
          <w:szCs w:val="18"/>
        </w:rPr>
        <w:t>übergeben; in beiden Fällen aufgrund eines Fehlers, der insbesondere dem Dienst „Azure – Orbitale Bodenstation“ oder der Stornierung eines zuvor bestätigten, geplanten Kontakts zugeordnet werden kann (wie im Feld „ContactsStatus“ angegeben, das von „geplant“ in „fehlgeschlagen“ oder „providerCancelled“ geändert wurde).</w:t>
      </w:r>
    </w:p>
    <w:p w14:paraId="154D503E" w14:textId="77777777" w:rsidR="00095AE8" w:rsidRPr="008B7B5F" w:rsidRDefault="00095AE8" w:rsidP="00095AE8">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Ausfallzeiten beinhalten keine Zeiten während eines geplanten Kontakts, in denen der Kunde Daten nicht durchgängig weitergeben kann, und zwar aufgrund von (i) Umständen, die unter die unten aufgeführten Servicelevel-Ausnahmen fallen; oder (ii) aufgrund aller Umstände, die den Dienst „Azure – Orbitale Bodenstation“ daran hindern, einen angeforderten Kontakt als geplanten Kontakt zu bestätigen. Für die Zwecke des Diensts „Azure – Orbitale Bodenstation“ beinhaltet die Ausfallzeit keine geplanten Ausfallzeiten, die auf Wartungs- oder Reparaturarbeiten an den Standorten des Diensts „Azure – Orbitale Bodenstation“ zurückzuführen sind.</w:t>
      </w:r>
    </w:p>
    <w:p w14:paraId="520C0CA6" w14:textId="77777777" w:rsidR="00095AE8" w:rsidRPr="008B7B5F" w:rsidRDefault="00095AE8" w:rsidP="00095AE8">
      <w:pPr>
        <w:tabs>
          <w:tab w:val="left" w:pos="360"/>
          <w:tab w:val="left" w:pos="720"/>
          <w:tab w:val="left" w:pos="1080"/>
        </w:tabs>
        <w:spacing w:after="0" w:line="240" w:lineRule="auto"/>
        <w:rPr>
          <w:rFonts w:ascii="Calibri" w:eastAsia="Calibri" w:hAnsi="Calibri" w:cs="Calibri"/>
          <w:sz w:val="18"/>
        </w:rPr>
      </w:pPr>
    </w:p>
    <w:p w14:paraId="334E2A00" w14:textId="77777777" w:rsidR="00095AE8" w:rsidRPr="008B7B5F" w:rsidRDefault="00095AE8" w:rsidP="00095AE8">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b/>
          <w:bCs/>
          <w:color w:val="00188F"/>
          <w:sz w:val="18"/>
          <w:szCs w:val="18"/>
        </w:rPr>
        <w:t>Servicelevel-Ausnahmen</w:t>
      </w:r>
      <w:r w:rsidRPr="00D27B2A">
        <w:rPr>
          <w:rFonts w:ascii="Calibri" w:eastAsia="Calibri" w:hAnsi="Calibri" w:cs="Calibri"/>
          <w:b/>
          <w:bCs/>
          <w:sz w:val="18"/>
          <w:szCs w:val="18"/>
        </w:rPr>
        <w:t>:</w:t>
      </w:r>
    </w:p>
    <w:p w14:paraId="58AE18D7" w14:textId="77777777" w:rsidR="00095AE8" w:rsidRPr="008B7B5F" w:rsidRDefault="00095AE8">
      <w:pPr>
        <w:numPr>
          <w:ilvl w:val="0"/>
          <w:numId w:val="19"/>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Leistungs- oder Verfügbarkeitsprobleme, die sich aus Folgendem ergeben:</w:t>
      </w:r>
    </w:p>
    <w:p w14:paraId="29FBDDF4" w14:textId="77777777" w:rsidR="00095AE8" w:rsidRPr="008B7B5F" w:rsidRDefault="00095AE8">
      <w:pPr>
        <w:pStyle w:val="ListParagraph"/>
        <w:numPr>
          <w:ilvl w:val="1"/>
          <w:numId w:val="19"/>
        </w:numPr>
        <w:tabs>
          <w:tab w:val="left" w:pos="360"/>
          <w:tab w:val="left" w:pos="720"/>
          <w:tab w:val="left" w:pos="1080"/>
        </w:tabs>
        <w:spacing w:after="0" w:line="240" w:lineRule="auto"/>
        <w:rPr>
          <w:rFonts w:ascii="Calibri" w:eastAsia="Calibri" w:hAnsi="Calibri" w:cs="Calibri"/>
          <w:sz w:val="18"/>
        </w:rPr>
      </w:pPr>
      <w:r>
        <w:rPr>
          <w:rFonts w:ascii="Calibri" w:eastAsia="Calibri" w:hAnsi="Calibri" w:cs="Calibri"/>
          <w:sz w:val="18"/>
        </w:rPr>
        <w:t>Einschränkungen oder Beschränkungen der Lizenz des Kunden für den Betrieb eines Raumfahrzeugs durch eine Regulierungsbehörde oder Regierungsbehörde.</w:t>
      </w:r>
    </w:p>
    <w:p w14:paraId="3E7E980E" w14:textId="77777777" w:rsidR="00095AE8" w:rsidRPr="008B7B5F" w:rsidRDefault="00095AE8">
      <w:pPr>
        <w:numPr>
          <w:ilvl w:val="1"/>
          <w:numId w:val="19"/>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Nutzung von Diensten, Hardware oder Software, die nicht von Microsoft bereitgestellt wurden, darunter u. a. Probleme im Zusammenhang mit unzureichender Bandbreite oder Software bzw. Diensten von Dritten.</w:t>
      </w:r>
    </w:p>
    <w:p w14:paraId="199C36B1" w14:textId="77777777" w:rsidR="00095AE8" w:rsidRPr="009F010F" w:rsidRDefault="00095AE8">
      <w:pPr>
        <w:numPr>
          <w:ilvl w:val="1"/>
          <w:numId w:val="19"/>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Versäumnis, erforderliche Konfigurationen einzuhalten, unterstützte Plattformen zu verwenden, Richtlinien für die akzeptable Nutzung einzuhalten, oder die Nutzung des Diensts „Azure – Orbitale Bodenstation“, die nicht mit den Features und Funktionen vereinbar ist (z. B. Versuche, nicht ausdrücklich unterstützte Vorgänge durchzuführen) oder die nicht der von uns veröffentlichten Dokumentation oder Hilfe entspricht.</w:t>
      </w:r>
    </w:p>
    <w:p w14:paraId="19F8C18A" w14:textId="4793B65D" w:rsidR="000146AE" w:rsidRPr="000146AE" w:rsidRDefault="000146AE" w:rsidP="00A860B2">
      <w:pPr>
        <w:pStyle w:val="ProductList-Body"/>
        <w:spacing w:before="120"/>
        <w:rPr>
          <w:b/>
          <w:bCs/>
          <w:color w:val="00188F"/>
        </w:rPr>
      </w:pPr>
      <w:r>
        <w:rPr>
          <w:b/>
          <w:bCs/>
          <w:color w:val="00188F"/>
        </w:rPr>
        <w:t>Berechnung des Prozentsatzes der erfolgreichen Kontakte und Service-Levels</w:t>
      </w:r>
    </w:p>
    <w:p w14:paraId="77258D37" w14:textId="77777777" w:rsidR="000146AE" w:rsidRDefault="000146AE" w:rsidP="000146AE">
      <w:pPr>
        <w:pStyle w:val="ProductList-Body"/>
      </w:pPr>
      <w:r>
        <w:lastRenderedPageBreak/>
        <w:t>„</w:t>
      </w:r>
      <w:r>
        <w:rPr>
          <w:b/>
          <w:bCs/>
          <w:color w:val="00188F"/>
        </w:rPr>
        <w:t>Prozentsatz der erfolgreichen Kontakte</w:t>
      </w:r>
      <w:r>
        <w:t>“ errechnet sich aus den gesamten Geplanten Kontaktminuten abzüglich der gesamten Ausfallminuten geteilt durch die gesamten Geplanten Kontaktminuten x 100. Er wird durch die folgende Formel dargestellt:</w:t>
      </w:r>
    </w:p>
    <w:p w14:paraId="0A64C922" w14:textId="317B2CEA" w:rsidR="00A860B2" w:rsidRPr="00EF7CF9" w:rsidRDefault="00000000" w:rsidP="004444A0">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Gesamtzahl der Geplanten Kontaktminuten abzüglich Ausfallzeitminuten</m:t>
              </m:r>
            </m:num>
            <m:den>
              <m:r>
                <m:rPr>
                  <m:nor/>
                </m:rPr>
                <w:rPr>
                  <w:rFonts w:ascii="Cambria Math" w:hAnsi="Cambria Math" w:cs="Tahoma"/>
                  <w:i/>
                  <w:sz w:val="18"/>
                  <w:szCs w:val="18"/>
                </w:rPr>
                <m:t>Gesamtzahl der Geplanten Kontaktminuten</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82EC6C6" w14:textId="08C7FBDC" w:rsidR="000146AE" w:rsidRPr="00482531" w:rsidRDefault="000146AE" w:rsidP="00482531">
      <w:pPr>
        <w:pStyle w:val="ProductList-Body"/>
        <w:keepNext/>
        <w:rPr>
          <w:b/>
          <w:bCs/>
          <w:color w:val="00188F"/>
        </w:rPr>
      </w:pPr>
      <w:r>
        <w:rPr>
          <w:b/>
          <w:bCs/>
          <w:color w:val="00188F"/>
        </w:rPr>
        <w:t>Die folgenden Service-Levels und Servicegutschriften gelten für den Azure Orbital Ground Station-Dienst für die Anwendbaren Servicegebühren: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2531" w:rsidRPr="00B44CF9" w14:paraId="5AEFD6E7" w14:textId="77777777" w:rsidTr="00277097">
        <w:trPr>
          <w:tblHeader/>
        </w:trPr>
        <w:tc>
          <w:tcPr>
            <w:tcW w:w="5400" w:type="dxa"/>
            <w:shd w:val="clear" w:color="auto" w:fill="0072C6"/>
          </w:tcPr>
          <w:p w14:paraId="532EF4C8" w14:textId="7B15D3E0" w:rsidR="00482531" w:rsidRPr="00EF7CF9" w:rsidRDefault="00482531" w:rsidP="000F31B4">
            <w:pPr>
              <w:pStyle w:val="ProductList-OfferingBody"/>
              <w:jc w:val="center"/>
              <w:rPr>
                <w:color w:val="FFFFFF" w:themeColor="background1"/>
              </w:rPr>
            </w:pPr>
            <w:r>
              <w:rPr>
                <w:color w:val="FFFFFF" w:themeColor="background1"/>
              </w:rPr>
              <w:t>Prozentsatz der erfolgreichen Kontakte</w:t>
            </w:r>
          </w:p>
        </w:tc>
        <w:tc>
          <w:tcPr>
            <w:tcW w:w="5400" w:type="dxa"/>
            <w:shd w:val="clear" w:color="auto" w:fill="0072C6"/>
          </w:tcPr>
          <w:p w14:paraId="4B717705" w14:textId="77777777" w:rsidR="00482531" w:rsidRPr="00EF7CF9" w:rsidRDefault="00482531" w:rsidP="000F31B4">
            <w:pPr>
              <w:pStyle w:val="ProductList-OfferingBody"/>
              <w:jc w:val="center"/>
              <w:rPr>
                <w:color w:val="FFFFFF" w:themeColor="background1"/>
              </w:rPr>
            </w:pPr>
            <w:r>
              <w:rPr>
                <w:color w:val="FFFFFF" w:themeColor="background1"/>
              </w:rPr>
              <w:t>Servicegutschrift</w:t>
            </w:r>
          </w:p>
        </w:tc>
      </w:tr>
      <w:tr w:rsidR="00482531" w:rsidRPr="00B44CF9" w14:paraId="046908F8" w14:textId="77777777" w:rsidTr="00277097">
        <w:tc>
          <w:tcPr>
            <w:tcW w:w="5400" w:type="dxa"/>
          </w:tcPr>
          <w:p w14:paraId="3E143ED3" w14:textId="77777777" w:rsidR="00482531" w:rsidRPr="00EF7CF9" w:rsidRDefault="00482531" w:rsidP="000F31B4">
            <w:pPr>
              <w:pStyle w:val="ProductList-OfferingBody"/>
              <w:jc w:val="center"/>
            </w:pPr>
            <w:r>
              <w:t>&lt; 99,9 %</w:t>
            </w:r>
          </w:p>
        </w:tc>
        <w:tc>
          <w:tcPr>
            <w:tcW w:w="5400" w:type="dxa"/>
          </w:tcPr>
          <w:p w14:paraId="29BAF580" w14:textId="77777777" w:rsidR="00482531" w:rsidRPr="00EF7CF9" w:rsidRDefault="00482531" w:rsidP="000F31B4">
            <w:pPr>
              <w:pStyle w:val="ProductList-OfferingBody"/>
              <w:jc w:val="center"/>
            </w:pPr>
            <w:r>
              <w:t>10 %</w:t>
            </w:r>
          </w:p>
        </w:tc>
      </w:tr>
      <w:tr w:rsidR="00482531" w:rsidRPr="00B44CF9" w14:paraId="31BDD149" w14:textId="77777777" w:rsidTr="00277097">
        <w:tc>
          <w:tcPr>
            <w:tcW w:w="5400" w:type="dxa"/>
          </w:tcPr>
          <w:p w14:paraId="4C89C0EC" w14:textId="4F74139B" w:rsidR="00482531" w:rsidRPr="00EF7CF9" w:rsidRDefault="00482531" w:rsidP="000F31B4">
            <w:pPr>
              <w:pStyle w:val="ProductList-OfferingBody"/>
              <w:jc w:val="center"/>
            </w:pPr>
            <w:r>
              <w:t>&lt; 98 %</w:t>
            </w:r>
          </w:p>
        </w:tc>
        <w:tc>
          <w:tcPr>
            <w:tcW w:w="5400" w:type="dxa"/>
          </w:tcPr>
          <w:p w14:paraId="5BBB0BBA" w14:textId="77777777" w:rsidR="00482531" w:rsidRPr="00EF7CF9" w:rsidRDefault="00482531" w:rsidP="000F31B4">
            <w:pPr>
              <w:pStyle w:val="ProductList-OfferingBody"/>
              <w:jc w:val="center"/>
            </w:pPr>
            <w:r>
              <w:t>25 %</w:t>
            </w:r>
          </w:p>
        </w:tc>
      </w:tr>
      <w:tr w:rsidR="00482531" w:rsidRPr="00B44CF9" w14:paraId="3876E0F8" w14:textId="77777777" w:rsidTr="00277097">
        <w:tc>
          <w:tcPr>
            <w:tcW w:w="5400" w:type="dxa"/>
          </w:tcPr>
          <w:p w14:paraId="5A12BAE1" w14:textId="77777777" w:rsidR="00482531" w:rsidRPr="00EF7CF9" w:rsidRDefault="00482531" w:rsidP="000F31B4">
            <w:pPr>
              <w:pStyle w:val="ProductList-OfferingBody"/>
              <w:jc w:val="center"/>
            </w:pPr>
            <w:r>
              <w:t>&lt; 95 %</w:t>
            </w:r>
          </w:p>
        </w:tc>
        <w:tc>
          <w:tcPr>
            <w:tcW w:w="5400" w:type="dxa"/>
          </w:tcPr>
          <w:p w14:paraId="1B983005" w14:textId="77777777" w:rsidR="00482531" w:rsidRPr="00EF7CF9" w:rsidRDefault="00482531" w:rsidP="000F31B4">
            <w:pPr>
              <w:pStyle w:val="ProductList-OfferingBody"/>
              <w:jc w:val="center"/>
            </w:pPr>
            <w:r>
              <w:t>100 %</w:t>
            </w:r>
          </w:p>
        </w:tc>
      </w:tr>
    </w:tbl>
    <w:p w14:paraId="4D4C306F" w14:textId="7ED0EC6E"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2E6FC440" w14:textId="77777777" w:rsidR="008568A4" w:rsidRPr="008568A4" w:rsidRDefault="008568A4" w:rsidP="008568A4">
      <w:pPr>
        <w:pStyle w:val="ProductList-Offering2Heading"/>
        <w:keepNext/>
        <w:tabs>
          <w:tab w:val="clear" w:pos="360"/>
          <w:tab w:val="clear" w:pos="720"/>
          <w:tab w:val="clear" w:pos="1080"/>
        </w:tabs>
        <w:outlineLvl w:val="2"/>
      </w:pPr>
      <w:bookmarkStart w:id="486" w:name="_Toc195543188"/>
      <w:bookmarkStart w:id="487" w:name="_Toc237449050"/>
      <w:r w:rsidRPr="008568A4">
        <w:t>Microsoft Playwright Testing</w:t>
      </w:r>
      <w:bookmarkEnd w:id="486"/>
      <w:bookmarkEnd w:id="487"/>
    </w:p>
    <w:p w14:paraId="10C89881" w14:textId="77777777" w:rsidR="008568A4" w:rsidRPr="00FD37EB" w:rsidRDefault="008568A4" w:rsidP="008568A4">
      <w:pPr>
        <w:tabs>
          <w:tab w:val="left" w:pos="360"/>
          <w:tab w:val="left" w:pos="720"/>
          <w:tab w:val="left" w:pos="1080"/>
        </w:tabs>
        <w:spacing w:after="0" w:line="240" w:lineRule="auto"/>
        <w:rPr>
          <w:rFonts w:ascii="Calibri" w:eastAsia="Calibri" w:hAnsi="Calibri" w:cs="Times New Roman"/>
          <w:b/>
          <w:color w:val="00188F"/>
          <w:sz w:val="18"/>
        </w:rPr>
      </w:pPr>
      <w:r>
        <w:rPr>
          <w:rFonts w:ascii="Calibri" w:eastAsia="Calibri" w:hAnsi="Calibri" w:cs="Times New Roman"/>
          <w:b/>
          <w:color w:val="00188F"/>
          <w:sz w:val="18"/>
        </w:rPr>
        <w:t>Zusätzliche Definitionen</w:t>
      </w:r>
    </w:p>
    <w:p w14:paraId="7A8F4AC0" w14:textId="77777777" w:rsidR="008568A4" w:rsidRPr="00FD37EB" w:rsidRDefault="008568A4" w:rsidP="008568A4">
      <w:pPr>
        <w:shd w:val="clear" w:color="auto" w:fill="FFFFFF"/>
        <w:spacing w:after="0" w:line="240" w:lineRule="auto"/>
        <w:textAlignment w:val="baseline"/>
        <w:rPr>
          <w:rFonts w:ascii="Calibri" w:eastAsia="Calibri" w:hAnsi="Calibri" w:cs="Arial"/>
          <w:sz w:val="18"/>
        </w:rPr>
      </w:pPr>
      <w:r w:rsidRPr="007A2695">
        <w:rPr>
          <w:rFonts w:ascii="Calibri" w:hAnsi="Calibri" w:cs="Calibri"/>
          <w:color w:val="00188F"/>
          <w:sz w:val="18"/>
          <w:szCs w:val="18"/>
        </w:rPr>
        <w:t>„</w:t>
      </w:r>
      <w:r>
        <w:rPr>
          <w:rFonts w:ascii="Calibri" w:eastAsia="Calibri" w:hAnsi="Calibri" w:cs="Arial"/>
          <w:b/>
          <w:bCs/>
          <w:color w:val="00188F"/>
          <w:sz w:val="18"/>
        </w:rPr>
        <w:t>Bereitstellungsminuten</w:t>
      </w:r>
      <w:r w:rsidRPr="00B5738F">
        <w:rPr>
          <w:rFonts w:ascii="Calibri" w:eastAsia="Calibri" w:hAnsi="Calibri" w:cs="Arial"/>
          <w:color w:val="00188F"/>
          <w:sz w:val="18"/>
        </w:rPr>
        <w:t>“</w:t>
      </w:r>
      <w:r>
        <w:rPr>
          <w:rFonts w:ascii="Calibri" w:eastAsia="Calibri" w:hAnsi="Calibri" w:cs="Arial"/>
          <w:sz w:val="18"/>
        </w:rPr>
        <w:t xml:space="preserve"> ist die Gesamtzahl der Minuten, in denen eine bestimmte Microsoft Playwright Testing-Dienstressource während eines Anwendbaren Zeitraums in Microsoft Azure bereitgestellt wird.</w:t>
      </w:r>
    </w:p>
    <w:p w14:paraId="6633A94D" w14:textId="77777777" w:rsidR="008568A4" w:rsidRPr="00FD37EB" w:rsidRDefault="008568A4" w:rsidP="008568A4">
      <w:pPr>
        <w:shd w:val="clear" w:color="auto" w:fill="FFFFFF"/>
        <w:spacing w:after="0" w:line="240" w:lineRule="auto"/>
        <w:textAlignment w:val="baseline"/>
        <w:rPr>
          <w:rFonts w:ascii="Calibri" w:eastAsia="Calibri" w:hAnsi="Calibri" w:cs="Arial"/>
          <w:sz w:val="18"/>
        </w:rPr>
      </w:pPr>
      <w:r w:rsidRPr="006A1B13">
        <w:rPr>
          <w:rFonts w:ascii="Calibri" w:hAnsi="Calibri" w:cs="Calibri"/>
          <w:color w:val="00188F"/>
          <w:sz w:val="18"/>
          <w:szCs w:val="18"/>
        </w:rPr>
        <w:t>„</w:t>
      </w:r>
      <w:r>
        <w:rPr>
          <w:rFonts w:ascii="Calibri" w:eastAsia="Calibri" w:hAnsi="Calibri" w:cs="Arial"/>
          <w:b/>
          <w:bCs/>
          <w:color w:val="00188F"/>
          <w:sz w:val="18"/>
        </w:rPr>
        <w:t>Maximal Verfügbare Minuten</w:t>
      </w:r>
      <w:r w:rsidRPr="006A1B13">
        <w:rPr>
          <w:rFonts w:ascii="Calibri" w:eastAsia="Calibri" w:hAnsi="Calibri" w:cs="Arial"/>
          <w:color w:val="00188F"/>
          <w:sz w:val="18"/>
        </w:rPr>
        <w:t>“</w:t>
      </w:r>
      <w:r>
        <w:rPr>
          <w:rFonts w:ascii="Calibri" w:eastAsia="Calibri" w:hAnsi="Calibri" w:cs="Arial"/>
          <w:sz w:val="18"/>
        </w:rPr>
        <w:t xml:space="preserve"> ist die Summe der Bereitstellungsminuten aller Microsoft Playwright Testing-Dienstressourcen, die von Kunden in einem bestimmten Microsoft Azure-Abonnement während eines Anwendbaren Zeitraums bereitgestellt werden.</w:t>
      </w:r>
    </w:p>
    <w:p w14:paraId="66F2CB0F" w14:textId="77777777" w:rsidR="008568A4" w:rsidRPr="00FD37EB" w:rsidRDefault="008568A4" w:rsidP="008568A4">
      <w:pPr>
        <w:shd w:val="clear" w:color="auto" w:fill="FFFFFF"/>
        <w:spacing w:after="0" w:line="240" w:lineRule="auto"/>
        <w:textAlignment w:val="baseline"/>
        <w:rPr>
          <w:rFonts w:ascii="Calibri" w:eastAsia="Calibri" w:hAnsi="Calibri" w:cs="Arial"/>
          <w:sz w:val="18"/>
        </w:rPr>
      </w:pPr>
      <w:r w:rsidRPr="006A1B13">
        <w:rPr>
          <w:rFonts w:ascii="Calibri" w:hAnsi="Calibri" w:cs="Calibri"/>
          <w:color w:val="00188F"/>
          <w:sz w:val="18"/>
          <w:szCs w:val="18"/>
        </w:rPr>
        <w:t>„</w:t>
      </w:r>
      <w:r>
        <w:rPr>
          <w:rFonts w:ascii="Calibri" w:eastAsia="Calibri" w:hAnsi="Calibri" w:cs="Arial"/>
          <w:b/>
          <w:bCs/>
          <w:color w:val="00188F"/>
          <w:sz w:val="18"/>
        </w:rPr>
        <w:t>Ausfallzeit</w:t>
      </w:r>
      <w:r w:rsidRPr="006A1B13">
        <w:rPr>
          <w:rFonts w:ascii="Calibri" w:eastAsia="Calibri" w:hAnsi="Calibri" w:cs="Arial"/>
          <w:color w:val="00188F"/>
          <w:sz w:val="18"/>
        </w:rPr>
        <w:t>“</w:t>
      </w:r>
      <w:r>
        <w:rPr>
          <w:rFonts w:ascii="Calibri" w:eastAsia="Calibri" w:hAnsi="Calibri" w:cs="Arial"/>
          <w:sz w:val="18"/>
        </w:rPr>
        <w:t xml:space="preserve"> ist die Summe der Bereitstellungsminuten aller Microsoft Playwright Testing-Dienstressourcen, die vom Kunden in einem bestimmten Microsoft Azure-Abonnement während eines Anwendbaren Zeitraums, in dem die Microsoft Playwright Testing-Ressource nicht verfügbar ist, bereitgestellt werden. Eine Minute gilt als für einen bestimmten Dienst nicht verfügbar, wenn alle fortlaufenden HTTP-Anfragen zum Durchführen von während der Minute initiierten Vorgängen entweder einen Fehlercode ausgeben oder nicht innerhalb von 5 Minuten eine Antwort ausgeben.</w:t>
      </w:r>
    </w:p>
    <w:p w14:paraId="0B64E15C" w14:textId="77777777" w:rsidR="008568A4" w:rsidRPr="00FD37EB" w:rsidRDefault="008568A4" w:rsidP="008568A4">
      <w:pPr>
        <w:tabs>
          <w:tab w:val="left" w:pos="360"/>
          <w:tab w:val="left" w:pos="720"/>
          <w:tab w:val="left" w:pos="1080"/>
        </w:tabs>
        <w:spacing w:after="0" w:line="240" w:lineRule="auto"/>
        <w:rPr>
          <w:rFonts w:ascii="Calibri" w:eastAsia="Calibri" w:hAnsi="Calibri" w:cs="Arial"/>
          <w:sz w:val="18"/>
        </w:rPr>
      </w:pPr>
      <w:r w:rsidRPr="00564407">
        <w:rPr>
          <w:rFonts w:ascii="Calibri" w:eastAsia="Calibri" w:hAnsi="Calibri" w:cs="Times New Roman"/>
          <w:color w:val="00188F"/>
          <w:sz w:val="18"/>
        </w:rPr>
        <w:t>„</w:t>
      </w:r>
      <w:r>
        <w:rPr>
          <w:rFonts w:ascii="Calibri" w:eastAsia="Calibri" w:hAnsi="Calibri" w:cs="Times New Roman"/>
          <w:b/>
          <w:bCs/>
          <w:color w:val="00188F"/>
          <w:sz w:val="18"/>
        </w:rPr>
        <w:t>Betriebszeitprozentsatz</w:t>
      </w:r>
      <w:r w:rsidRPr="00564407">
        <w:rPr>
          <w:rFonts w:ascii="Calibri" w:eastAsia="Calibri" w:hAnsi="Calibri" w:cs="Times New Roman"/>
          <w:color w:val="00188F"/>
          <w:sz w:val="18"/>
        </w:rPr>
        <w:t>“</w:t>
      </w:r>
      <w:r>
        <w:rPr>
          <w:rFonts w:ascii="Calibri" w:eastAsia="Calibri" w:hAnsi="Calibri" w:cs="Times New Roman"/>
          <w:sz w:val="18"/>
        </w:rPr>
        <w:t xml:space="preserve"> wird nach folgender Formel berechnet:</w:t>
      </w:r>
    </w:p>
    <w:p w14:paraId="2C2F0DBF" w14:textId="77777777" w:rsidR="008568A4" w:rsidRPr="00724825" w:rsidRDefault="00000000" w:rsidP="004444A0">
      <w:pPr>
        <w:pStyle w:val="ListParagraph"/>
        <w:spacing w:before="120" w:after="12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Maximal verfügbare Minuten - Ausfallzeit</m:t>
              </m:r>
            </m:num>
            <m:den>
              <m:r>
                <m:rPr>
                  <m:nor/>
                </m:rPr>
                <w:rPr>
                  <w:rFonts w:ascii="Cambria Math" w:hAnsi="Cambria Math" w:cs="Tahoma"/>
                  <w:i/>
                  <w:sz w:val="18"/>
                  <w:szCs w:val="18"/>
                </w:rPr>
                <m:t>Maximal verfügbare Minuten</m:t>
              </m:r>
            </m:den>
          </m:f>
          <m:r>
            <w:rPr>
              <w:rFonts w:ascii="Cambria Math" w:hAnsi="Cambria Math" w:cs="Tahoma"/>
              <w:sz w:val="18"/>
              <w:szCs w:val="18"/>
            </w:rPr>
            <m:t xml:space="preserve"> x 100</m:t>
          </m:r>
        </m:oMath>
      </m:oMathPara>
    </w:p>
    <w:p w14:paraId="242F2D95" w14:textId="77777777" w:rsidR="008568A4" w:rsidRPr="00FD37EB" w:rsidRDefault="008568A4" w:rsidP="008568A4">
      <w:pPr>
        <w:keepNext/>
        <w:tabs>
          <w:tab w:val="left" w:pos="360"/>
          <w:tab w:val="left" w:pos="720"/>
          <w:tab w:val="left" w:pos="1080"/>
        </w:tabs>
        <w:spacing w:after="0" w:line="240" w:lineRule="auto"/>
        <w:rPr>
          <w:rFonts w:ascii="Calibri" w:eastAsia="Calibri" w:hAnsi="Calibri" w:cs="Arial"/>
          <w:b/>
          <w:bCs/>
          <w:color w:val="00188F"/>
          <w:sz w:val="18"/>
        </w:rPr>
      </w:pPr>
      <w:r>
        <w:rPr>
          <w:rFonts w:ascii="Calibri" w:eastAsia="Calibri" w:hAnsi="Calibri" w:cs="Times New Roman"/>
          <w:b/>
          <w:bCs/>
          <w:color w:val="00188F"/>
          <w:sz w:val="18"/>
        </w:rPr>
        <w:t>Die folgenden Servicelevels und Servicegutschriften gelten für die Nutzung von Microsoft Playwright Testing durch den Kunden:</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8568A4" w:rsidRPr="00FD37EB" w14:paraId="3BA91A29" w14:textId="77777777" w:rsidTr="00C412BD">
        <w:trPr>
          <w:trHeight w:val="249"/>
          <w:tblHeader/>
        </w:trPr>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40F474C3" w14:textId="77777777" w:rsidR="008568A4" w:rsidRPr="00FD37EB" w:rsidRDefault="008568A4" w:rsidP="00C412BD">
            <w:pPr>
              <w:tabs>
                <w:tab w:val="left" w:pos="360"/>
                <w:tab w:val="left" w:pos="720"/>
                <w:tab w:val="left" w:pos="1080"/>
              </w:tabs>
              <w:spacing w:before="20" w:after="20" w:line="252" w:lineRule="auto"/>
              <w:ind w:left="-14" w:right="-101"/>
              <w:jc w:val="center"/>
              <w:rPr>
                <w:rFonts w:ascii="Calibri" w:eastAsia="Calibri" w:hAnsi="Calibri" w:cs="Times New Roman"/>
                <w:color w:val="FFFFFF"/>
                <w:sz w:val="16"/>
              </w:rPr>
            </w:pPr>
            <w:r>
              <w:rPr>
                <w:rFonts w:ascii="Calibri" w:eastAsia="Calibri" w:hAnsi="Calibri" w:cs="Times New Roman"/>
                <w:color w:val="FFFFFF"/>
                <w:sz w:val="16"/>
              </w:rPr>
              <w:t>Betriebszeitprozentsatz</w:t>
            </w:r>
          </w:p>
        </w:tc>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7D302930" w14:textId="77777777" w:rsidR="008568A4" w:rsidRPr="00FD37EB" w:rsidRDefault="008568A4" w:rsidP="00C412BD">
            <w:pPr>
              <w:tabs>
                <w:tab w:val="left" w:pos="360"/>
                <w:tab w:val="left" w:pos="720"/>
                <w:tab w:val="left" w:pos="1080"/>
              </w:tabs>
              <w:spacing w:before="20" w:after="20" w:line="252" w:lineRule="auto"/>
              <w:ind w:left="-14" w:right="-101"/>
              <w:jc w:val="center"/>
              <w:rPr>
                <w:rFonts w:ascii="Calibri" w:eastAsia="Calibri" w:hAnsi="Calibri" w:cs="Times New Roman"/>
                <w:color w:val="FFFFFF"/>
                <w:sz w:val="16"/>
              </w:rPr>
            </w:pPr>
            <w:r>
              <w:rPr>
                <w:rFonts w:ascii="Calibri" w:eastAsia="Calibri" w:hAnsi="Calibri" w:cs="Times New Roman"/>
                <w:color w:val="FFFFFF"/>
                <w:sz w:val="16"/>
              </w:rPr>
              <w:t>Servicegutschrift</w:t>
            </w:r>
          </w:p>
        </w:tc>
      </w:tr>
      <w:tr w:rsidR="008568A4" w:rsidRPr="00FD37EB" w14:paraId="6AE65A1D" w14:textId="77777777" w:rsidTr="00C412BD">
        <w:trPr>
          <w:trHeight w:val="242"/>
        </w:trPr>
        <w:tc>
          <w:tcPr>
            <w:tcW w:w="5400" w:type="dxa"/>
            <w:tcBorders>
              <w:top w:val="single" w:sz="4" w:space="0" w:color="000000"/>
              <w:left w:val="single" w:sz="4" w:space="0" w:color="000000"/>
              <w:bottom w:val="single" w:sz="4" w:space="0" w:color="000000"/>
              <w:right w:val="single" w:sz="4" w:space="0" w:color="000000"/>
            </w:tcBorders>
            <w:hideMark/>
          </w:tcPr>
          <w:p w14:paraId="615D7D52" w14:textId="77777777" w:rsidR="008568A4" w:rsidRPr="00FD37EB" w:rsidRDefault="008568A4"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&lt; 99,9 %</w:t>
            </w:r>
          </w:p>
        </w:tc>
        <w:tc>
          <w:tcPr>
            <w:tcW w:w="5400" w:type="dxa"/>
            <w:tcBorders>
              <w:top w:val="single" w:sz="4" w:space="0" w:color="000000"/>
              <w:left w:val="single" w:sz="4" w:space="0" w:color="000000"/>
              <w:bottom w:val="single" w:sz="4" w:space="0" w:color="000000"/>
              <w:right w:val="single" w:sz="4" w:space="0" w:color="000000"/>
            </w:tcBorders>
            <w:hideMark/>
          </w:tcPr>
          <w:p w14:paraId="5A9D983E" w14:textId="77777777" w:rsidR="008568A4" w:rsidRPr="00FD37EB" w:rsidRDefault="008568A4"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10 %</w:t>
            </w:r>
          </w:p>
        </w:tc>
      </w:tr>
      <w:tr w:rsidR="008568A4" w:rsidRPr="00FD37EB" w14:paraId="7E8B4B54" w14:textId="77777777" w:rsidTr="00C412BD">
        <w:trPr>
          <w:trHeight w:val="249"/>
        </w:trPr>
        <w:tc>
          <w:tcPr>
            <w:tcW w:w="5400" w:type="dxa"/>
            <w:tcBorders>
              <w:top w:val="single" w:sz="4" w:space="0" w:color="000000"/>
              <w:left w:val="single" w:sz="4" w:space="0" w:color="000000"/>
              <w:bottom w:val="single" w:sz="4" w:space="0" w:color="000000"/>
              <w:right w:val="single" w:sz="4" w:space="0" w:color="000000"/>
            </w:tcBorders>
            <w:hideMark/>
          </w:tcPr>
          <w:p w14:paraId="221BF157" w14:textId="77777777" w:rsidR="008568A4" w:rsidRPr="00FD37EB" w:rsidRDefault="008568A4"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&lt; 99 %</w:t>
            </w:r>
          </w:p>
        </w:tc>
        <w:tc>
          <w:tcPr>
            <w:tcW w:w="5400" w:type="dxa"/>
            <w:tcBorders>
              <w:top w:val="single" w:sz="4" w:space="0" w:color="000000"/>
              <w:left w:val="single" w:sz="4" w:space="0" w:color="000000"/>
              <w:bottom w:val="single" w:sz="4" w:space="0" w:color="000000"/>
              <w:right w:val="single" w:sz="4" w:space="0" w:color="000000"/>
            </w:tcBorders>
            <w:hideMark/>
          </w:tcPr>
          <w:p w14:paraId="2506522D" w14:textId="77777777" w:rsidR="008568A4" w:rsidRPr="00FD37EB" w:rsidRDefault="008568A4"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25 %</w:t>
            </w:r>
          </w:p>
        </w:tc>
      </w:tr>
    </w:tbl>
    <w:p w14:paraId="1EE451F2" w14:textId="77777777" w:rsidR="008568A4" w:rsidRPr="00CF77C2" w:rsidRDefault="008568A4" w:rsidP="008568A4">
      <w:pPr>
        <w:pStyle w:val="ProductList-Body"/>
        <w:shd w:val="clear" w:color="auto" w:fill="808080" w:themeFill="background1" w:themeFillShade="80"/>
        <w:tabs>
          <w:tab w:val="clear" w:pos="360"/>
          <w:tab w:val="clear" w:pos="720"/>
          <w:tab w:val="clear" w:pos="1080"/>
        </w:tabs>
        <w:spacing w:before="120" w:after="240"/>
        <w:jc w:val="right"/>
        <w:rPr>
          <w:rFonts w:ascii="Calibri" w:hAnsi="Calibri" w:cs="Calibri"/>
          <w:sz w:val="16"/>
          <w:szCs w:val="16"/>
        </w:rPr>
      </w:pPr>
      <w:hyperlink w:anchor="TOC" w:tooltip="Inhalt" w:history="1">
        <w:r>
          <w:rPr>
            <w:rStyle w:val="Hyperlink"/>
            <w:rFonts w:ascii="Calibri" w:hAnsi="Calibri" w:cs="Calibri"/>
            <w:sz w:val="16"/>
            <w:szCs w:val="16"/>
          </w:rPr>
          <w:t>Inhaltsverzeichnis</w:t>
        </w:r>
      </w:hyperlink>
      <w:r>
        <w:rPr>
          <w:rFonts w:ascii="Calibri" w:hAnsi="Calibri" w:cs="Calibri"/>
          <w:sz w:val="16"/>
          <w:szCs w:val="16"/>
        </w:rPr>
        <w:t xml:space="preserve"> / </w:t>
      </w:r>
      <w:hyperlink w:anchor="Begriffsbestimmungen" w:tooltip="Begriffsbestimmungen" w:history="1">
        <w:r>
          <w:rPr>
            <w:rStyle w:val="Hyperlink"/>
            <w:rFonts w:ascii="Calibri" w:hAnsi="Calibri" w:cs="Calibri"/>
            <w:sz w:val="16"/>
            <w:szCs w:val="16"/>
          </w:rPr>
          <w:t>Definitionen</w:t>
        </w:r>
      </w:hyperlink>
    </w:p>
    <w:p w14:paraId="495B2E84" w14:textId="29756DF1" w:rsidR="00995A2A" w:rsidRPr="00995A2A" w:rsidRDefault="00995A2A" w:rsidP="00995A2A">
      <w:pPr>
        <w:pStyle w:val="ProductList-Offering2Heading"/>
        <w:keepNext/>
        <w:tabs>
          <w:tab w:val="clear" w:pos="360"/>
          <w:tab w:val="clear" w:pos="720"/>
          <w:tab w:val="clear" w:pos="1080"/>
        </w:tabs>
        <w:outlineLvl w:val="2"/>
      </w:pPr>
      <w:bookmarkStart w:id="488" w:name="_Toc195543190"/>
      <w:bookmarkStart w:id="489" w:name="_Toc237449051"/>
      <w:r>
        <w:t>Azure Private Link</w:t>
      </w:r>
      <w:bookmarkEnd w:id="488"/>
      <w:bookmarkEnd w:id="489"/>
    </w:p>
    <w:p w14:paraId="4A145F82" w14:textId="77777777" w:rsidR="00995A2A" w:rsidRPr="00995A2A" w:rsidRDefault="00995A2A" w:rsidP="00995A2A">
      <w:pPr>
        <w:pStyle w:val="ProductList-Body"/>
        <w:rPr>
          <w:b/>
          <w:bCs/>
          <w:color w:val="00188F"/>
        </w:rPr>
      </w:pPr>
      <w:r>
        <w:rPr>
          <w:b/>
          <w:bCs/>
          <w:color w:val="00188F"/>
        </w:rPr>
        <w:t>Zusätzliche Definitionen</w:t>
      </w:r>
    </w:p>
    <w:p w14:paraId="0AA0EB1A" w14:textId="77777777" w:rsidR="00995A2A" w:rsidRDefault="00995A2A" w:rsidP="00995A2A">
      <w:pPr>
        <w:pStyle w:val="ProductList-Body"/>
      </w:pPr>
      <w:r>
        <w:t>„</w:t>
      </w:r>
      <w:r>
        <w:rPr>
          <w:b/>
          <w:bCs/>
          <w:color w:val="00188F"/>
        </w:rPr>
        <w:t>Azure Private Link-Dienst</w:t>
      </w:r>
      <w:r>
        <w:t>“ ist der Verweis auf Ihren eigenen Dienst, der für Azure Private Link aktiviert ist und in Ihrem eigenen virtuellen Netzwerk eingesetzt wird.</w:t>
      </w:r>
    </w:p>
    <w:p w14:paraId="612ECF73" w14:textId="77777777" w:rsidR="00995A2A" w:rsidRDefault="00995A2A" w:rsidP="00995A2A">
      <w:pPr>
        <w:pStyle w:val="ProductList-Body"/>
      </w:pPr>
      <w:r>
        <w:t>„</w:t>
      </w:r>
      <w:r>
        <w:rPr>
          <w:b/>
          <w:bCs/>
          <w:color w:val="00188F"/>
        </w:rPr>
        <w:t>Azure Private Endpoint</w:t>
      </w:r>
      <w:r>
        <w:t>“ ist eine Netzwerkschnittstelle, die Ihren für Azure Private Link aktivierten Dienst mit einer privaten IP-Adresse in Ihrem virtuellen Netzwerk verbindet.</w:t>
      </w:r>
    </w:p>
    <w:p w14:paraId="3AC93B4D" w14:textId="45542685" w:rsidR="00995A2A" w:rsidRPr="00995A2A" w:rsidRDefault="00EE6E3C" w:rsidP="00B67865">
      <w:pPr>
        <w:pStyle w:val="ProductList-Body"/>
        <w:rPr>
          <w:b/>
          <w:bCs/>
          <w:color w:val="00188F"/>
        </w:rPr>
      </w:pPr>
      <w:r>
        <w:rPr>
          <w:b/>
          <w:bCs/>
          <w:color w:val="00188F"/>
        </w:rPr>
        <w:t>Berechnung der Betriebszeit</w:t>
      </w:r>
    </w:p>
    <w:p w14:paraId="54F4DAFA" w14:textId="48568F90" w:rsidR="00995A2A" w:rsidRDefault="00995A2A" w:rsidP="00995A2A">
      <w:pPr>
        <w:pStyle w:val="ProductList-Body"/>
      </w:pPr>
      <w:r>
        <w:t>„</w:t>
      </w:r>
      <w:r>
        <w:rPr>
          <w:b/>
          <w:bCs/>
          <w:color w:val="00188F"/>
        </w:rPr>
        <w:t>Maximal Verfügbare Minuten</w:t>
      </w:r>
      <w:r>
        <w:t>“ ist die Summe der kumulierten Minuten in einem Anwendbaren Zeitraum, in denen der Azure Private Link-Dienst oder Azure Private Endpoint in einem Microsoft Azure-Abonnement bereitgestellt wird.</w:t>
      </w:r>
    </w:p>
    <w:p w14:paraId="16DCB845" w14:textId="45054274" w:rsidR="00995A2A" w:rsidRDefault="00995A2A" w:rsidP="00995A2A">
      <w:pPr>
        <w:pStyle w:val="ProductList-Body"/>
      </w:pPr>
      <w:r>
        <w:t>„</w:t>
      </w:r>
      <w:r>
        <w:rPr>
          <w:b/>
          <w:bCs/>
          <w:color w:val="00188F"/>
        </w:rPr>
        <w:t>Ausfallzeit</w:t>
      </w:r>
      <w:r w:rsidR="00445B42">
        <w:t>“</w:t>
      </w:r>
      <w:r>
        <w:t xml:space="preserve"> ist die Summe der Maximal Verfügbaren Minuten in einem Anwendbaren Zeitraum für einen bestimmten Azure Private Link-Dienst oder Azure Private Endpoint, in denen der Azure Private Link-Dienst oder Azure Private Endpoint nicht verfügbar ist. Eine Minute gilt als nicht verfügbar, wenn alle Verbindungsversuche über Azure Private Endpoint während der gesamten Minute erfolglos bleiben.</w:t>
      </w:r>
    </w:p>
    <w:p w14:paraId="1181CDBC" w14:textId="40B6E7C8" w:rsidR="00995A2A" w:rsidRDefault="00995A2A" w:rsidP="00995A2A">
      <w:pPr>
        <w:pStyle w:val="ProductList-Body"/>
      </w:pPr>
      <w:r>
        <w:t>„</w:t>
      </w:r>
      <w:r>
        <w:rPr>
          <w:b/>
          <w:bCs/>
          <w:color w:val="00188F"/>
        </w:rPr>
        <w:t>Betriebszeitprozentsatz</w:t>
      </w:r>
      <w:r w:rsidR="00445B42">
        <w:t>“</w:t>
      </w:r>
      <w:r w:rsidRPr="0008262F">
        <w:rPr>
          <w:b/>
          <w:bCs/>
          <w:color w:val="00188F"/>
        </w:rPr>
        <w:t>:</w:t>
      </w:r>
      <w:r>
        <w:t xml:space="preserve"> Der Betriebszeitprozentsatz errechnet sich nach folgender Formel:</w:t>
      </w:r>
    </w:p>
    <w:p w14:paraId="7F689305" w14:textId="3B845E81" w:rsidR="00995A2A" w:rsidRPr="00246AD4" w:rsidRDefault="00000000" w:rsidP="00B67865">
      <w:pPr>
        <w:pStyle w:val="ListParagraph"/>
        <w:spacing w:before="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95A2A" w:rsidRPr="00B44CF9" w14:paraId="42380E04" w14:textId="77777777" w:rsidTr="00277097">
        <w:trPr>
          <w:tblHeader/>
        </w:trPr>
        <w:tc>
          <w:tcPr>
            <w:tcW w:w="5400" w:type="dxa"/>
            <w:shd w:val="clear" w:color="auto" w:fill="0072C6"/>
          </w:tcPr>
          <w:p w14:paraId="704BCFAA" w14:textId="5724F4E2" w:rsidR="00995A2A" w:rsidRPr="005A3C16"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276AAB3D" w14:textId="77777777" w:rsidR="00995A2A" w:rsidRPr="005A3C16" w:rsidRDefault="00995A2A" w:rsidP="000F31B4">
            <w:pPr>
              <w:pStyle w:val="ProductList-OfferingBody"/>
              <w:jc w:val="center"/>
              <w:rPr>
                <w:color w:val="FFFFFF" w:themeColor="background1"/>
              </w:rPr>
            </w:pPr>
            <w:r>
              <w:rPr>
                <w:color w:val="FFFFFF" w:themeColor="background1"/>
              </w:rPr>
              <w:t>Servicegutschrift</w:t>
            </w:r>
          </w:p>
        </w:tc>
      </w:tr>
      <w:tr w:rsidR="00995A2A" w:rsidRPr="00B44CF9" w14:paraId="4B4F241F" w14:textId="77777777" w:rsidTr="00277097">
        <w:tc>
          <w:tcPr>
            <w:tcW w:w="5400" w:type="dxa"/>
          </w:tcPr>
          <w:p w14:paraId="7B7E7489" w14:textId="40A57C82" w:rsidR="00995A2A" w:rsidRPr="005A3C16" w:rsidRDefault="00995A2A" w:rsidP="000F31B4">
            <w:pPr>
              <w:pStyle w:val="ProductList-OfferingBody"/>
              <w:jc w:val="center"/>
            </w:pPr>
            <w:r>
              <w:t>&lt; 99,99 %</w:t>
            </w:r>
          </w:p>
        </w:tc>
        <w:tc>
          <w:tcPr>
            <w:tcW w:w="5400" w:type="dxa"/>
          </w:tcPr>
          <w:p w14:paraId="3D4997BE" w14:textId="77777777" w:rsidR="00995A2A" w:rsidRPr="005A3C16" w:rsidRDefault="00995A2A" w:rsidP="000F31B4">
            <w:pPr>
              <w:pStyle w:val="ProductList-OfferingBody"/>
              <w:jc w:val="center"/>
            </w:pPr>
            <w:r>
              <w:t>10 %</w:t>
            </w:r>
          </w:p>
        </w:tc>
      </w:tr>
      <w:tr w:rsidR="00995A2A" w:rsidRPr="00B44CF9" w14:paraId="26F40E8F" w14:textId="77777777" w:rsidTr="00277097">
        <w:tc>
          <w:tcPr>
            <w:tcW w:w="5400" w:type="dxa"/>
          </w:tcPr>
          <w:p w14:paraId="362999C5" w14:textId="77777777" w:rsidR="00995A2A" w:rsidRPr="005A3C16" w:rsidRDefault="00995A2A" w:rsidP="000F31B4">
            <w:pPr>
              <w:pStyle w:val="ProductList-OfferingBody"/>
              <w:jc w:val="center"/>
            </w:pPr>
            <w:r>
              <w:t>&lt; 99 %</w:t>
            </w:r>
          </w:p>
        </w:tc>
        <w:tc>
          <w:tcPr>
            <w:tcW w:w="5400" w:type="dxa"/>
          </w:tcPr>
          <w:p w14:paraId="74FCF29B" w14:textId="77777777" w:rsidR="00995A2A" w:rsidRPr="005A3C16" w:rsidRDefault="00995A2A" w:rsidP="000F31B4">
            <w:pPr>
              <w:pStyle w:val="ProductList-OfferingBody"/>
              <w:jc w:val="center"/>
            </w:pPr>
            <w:r>
              <w:t>25 %</w:t>
            </w:r>
          </w:p>
        </w:tc>
      </w:tr>
    </w:tbl>
    <w:p w14:paraId="63E5F588" w14:textId="3430AB94" w:rsidR="00135354" w:rsidRPr="00D67F75" w:rsidRDefault="005F7C2C" w:rsidP="001353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31807CB1" w14:textId="77777777" w:rsidR="00FC1DF8" w:rsidRDefault="00FC1DF8" w:rsidP="00FC1DF8">
      <w:pPr>
        <w:pStyle w:val="ProductList-Offering2Heading"/>
        <w:keepNext/>
        <w:tabs>
          <w:tab w:val="clear" w:pos="360"/>
        </w:tabs>
        <w:outlineLvl w:val="2"/>
      </w:pPr>
      <w:bookmarkStart w:id="490" w:name="_Toc195543191"/>
      <w:bookmarkStart w:id="491" w:name="_Toc237449052"/>
      <w:r>
        <w:lastRenderedPageBreak/>
        <w:t>Microsoft Purview</w:t>
      </w:r>
      <w:bookmarkEnd w:id="490"/>
      <w:bookmarkEnd w:id="491"/>
    </w:p>
    <w:p w14:paraId="293C6207" w14:textId="77777777" w:rsidR="00FC1DF8" w:rsidRDefault="00FC1DF8" w:rsidP="00FC1DF8">
      <w:pPr>
        <w:pStyle w:val="ProductList-Body"/>
        <w:rPr>
          <w:b/>
          <w:color w:val="00188F"/>
        </w:rPr>
      </w:pPr>
      <w:r>
        <w:rPr>
          <w:b/>
          <w:color w:val="00188F"/>
        </w:rPr>
        <w:t>Zusätzliche Definitionen</w:t>
      </w:r>
      <w:r w:rsidRPr="0008262F">
        <w:rPr>
          <w:b/>
          <w:bCs/>
          <w:color w:val="00188F"/>
        </w:rPr>
        <w:t>:</w:t>
      </w:r>
    </w:p>
    <w:p w14:paraId="0C896436" w14:textId="3FD35845" w:rsidR="00FC1DF8" w:rsidRDefault="00FC1DF8" w:rsidP="00B67865">
      <w:pPr>
        <w:pStyle w:val="ProductList-Body"/>
      </w:pPr>
      <w:r>
        <w:t>„</w:t>
      </w:r>
      <w:r>
        <w:rPr>
          <w:b/>
          <w:color w:val="00188F"/>
        </w:rPr>
        <w:t>Gesamtzahl der Anforderungen</w:t>
      </w:r>
      <w:r>
        <w:t>“ ist die Zahl aller authentifizierten API-Anforderungen, mit Ausnahme von Ausgeschlossenen Anforderungen, zur Durchführung von Microsoft Purview-Operationen während eines Anwendbaren Zeitraums für ein bestimmtes Microsoft Azure-Abonnement.</w:t>
      </w:r>
    </w:p>
    <w:p w14:paraId="0DD631E7" w14:textId="77777777" w:rsidR="00FC1DF8" w:rsidRDefault="00FC1DF8" w:rsidP="00B67865">
      <w:pPr>
        <w:pStyle w:val="ProductList-Body"/>
      </w:pPr>
      <w:r>
        <w:t>„</w:t>
      </w:r>
      <w:r>
        <w:rPr>
          <w:b/>
          <w:color w:val="00188F"/>
        </w:rPr>
        <w:t>Ausgeschlossene Anforderungen</w:t>
      </w:r>
      <w:r>
        <w:t>“ ist die Zahl aller Anforderungen, deren Ergebnis ein HTTP 4xx-Statuscode ist.</w:t>
      </w:r>
    </w:p>
    <w:p w14:paraId="6D452CED" w14:textId="77777777" w:rsidR="00FC1DF8" w:rsidRDefault="00FC1DF8" w:rsidP="00B67865">
      <w:pPr>
        <w:pStyle w:val="ProductList-Body"/>
      </w:pPr>
      <w:r>
        <w:t>„</w:t>
      </w:r>
      <w:r>
        <w:rPr>
          <w:b/>
          <w:color w:val="00188F"/>
        </w:rPr>
        <w:t>Fehlerhafte Anforderungen</w:t>
      </w:r>
      <w:r>
        <w:t>“ ist die Zahl aller Anforderungen innerhalb der Gesamtzahl der Anforderungen, die einen Fehlercode zurückgeben.</w:t>
      </w:r>
    </w:p>
    <w:p w14:paraId="11D98147" w14:textId="2FFD6575" w:rsidR="00FC1DF8" w:rsidRDefault="00FC1DF8" w:rsidP="00B67865">
      <w:pPr>
        <w:pStyle w:val="ProductList-Body"/>
      </w:pPr>
      <w:r>
        <w:t>Der „</w:t>
      </w:r>
      <w:r>
        <w:rPr>
          <w:b/>
          <w:color w:val="00188F"/>
        </w:rPr>
        <w:t>Betriebszeitprozentsatz</w:t>
      </w:r>
      <w:r>
        <w:t>“ für die API-Aufrufe an den Microsoft Purview-Dienst wird berechnet als Gesamtzahl der Anforderungen abzüglich der Fehlerhaften Anforderungen geteilt durch die Gesamtzahl der Anforderungen in einem Anwendbaren Zeitraum für ein bestimmtes Microsoft Azure-Abonnement.</w:t>
      </w:r>
    </w:p>
    <w:p w14:paraId="415982E9" w14:textId="0FB71C60" w:rsidR="00FC1DF8" w:rsidRDefault="00AC48A7" w:rsidP="00FC1DF8">
      <w:pPr>
        <w:pStyle w:val="ProductList-Body"/>
      </w:pPr>
      <w:r>
        <w:rPr>
          <w:b/>
          <w:color w:val="00188F"/>
        </w:rPr>
        <w:t>Betriebszeitprozentsatz</w:t>
      </w:r>
      <w:r w:rsidRPr="0008262F">
        <w:rPr>
          <w:b/>
          <w:bCs/>
          <w:color w:val="00188F"/>
        </w:rPr>
        <w:t>:</w:t>
      </w:r>
      <w:r>
        <w:t xml:space="preserve"> Der Betriebszeitprozentsatz errechnet sich nach folgender Formel:</w:t>
      </w:r>
    </w:p>
    <w:p w14:paraId="73CFF85B" w14:textId="1AD8E8E4" w:rsidR="00FC1DF8" w:rsidRPr="007E787D" w:rsidRDefault="00000000" w:rsidP="00FC411E">
      <w:pPr>
        <w:pStyle w:val="ListParagraph"/>
        <w:spacing w:before="120" w:after="120" w:line="240" w:lineRule="auto"/>
        <w:rPr>
          <w:rFonts w:ascii="Cambria Math" w:hAnsi="Cambria Math" w:cs="Tahoma"/>
          <w:i/>
          <w:sz w:val="12"/>
          <w:szCs w:val="12"/>
        </w:rPr>
      </w:pPr>
      <m:oMathPara>
        <m:oMathParaPr>
          <m:jc m:val="center"/>
        </m:oMathParaPr>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Gesamtzahl der Anforderungen abzüglich Fehlerhafte Anforderungen</m:t>
              </m:r>
            </m:num>
            <m:den>
              <m:r>
                <m:rPr>
                  <m:nor/>
                </m:rPr>
                <w:rPr>
                  <w:rFonts w:ascii="Cambria Math" w:hAnsi="Cambria Math" w:cs="Tahoma"/>
                  <w:i/>
                  <w:color w:val="000000" w:themeColor="text1"/>
                  <w:sz w:val="18"/>
                  <w:szCs w:val="18"/>
                </w:rPr>
                <m:t>Gesamtzahl der Anforderungen</m:t>
              </m:r>
            </m:den>
          </m:f>
          <m:r>
            <w:rPr>
              <w:rFonts w:ascii="Cambria Math" w:hAnsi="Cambria Math" w:cs="Tahoma"/>
              <w:color w:val="000000" w:themeColor="text1"/>
              <w:sz w:val="18"/>
              <w:szCs w:val="18"/>
            </w:rPr>
            <m:t xml:space="preserve"> x 100</m:t>
          </m:r>
        </m:oMath>
      </m:oMathPara>
    </w:p>
    <w:p w14:paraId="0C77AE14" w14:textId="77777777" w:rsidR="00FC1DF8" w:rsidRDefault="00FC1DF8" w:rsidP="00FC1DF8">
      <w:pPr>
        <w:pStyle w:val="ProductList-Body"/>
        <w:spacing w:before="120"/>
      </w:pPr>
      <w:r>
        <w:rPr>
          <w:b/>
          <w:color w:val="00188F"/>
        </w:rPr>
        <w:t>Die folgenden Servicegutschriften gelten für die Nutzung von API-Aufrufen innerhalb des Microsoft Purview*-Dienstes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C1DF8" w14:paraId="44D8821D" w14:textId="77777777" w:rsidTr="00FC1DF8">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665DE1D9" w14:textId="7EC840B3" w:rsidR="00FC1DF8" w:rsidRDefault="00AC48A7">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Betriebszeitprozentsatz</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AAE1E98" w14:textId="77777777" w:rsidR="00FC1DF8" w:rsidRDefault="00FC1DF8">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Servicegutschrift</w:t>
            </w:r>
          </w:p>
        </w:tc>
      </w:tr>
      <w:tr w:rsidR="00FC1DF8" w14:paraId="039BE984" w14:textId="77777777" w:rsidTr="00FC1DF8">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0464A8" w14:textId="77777777" w:rsidR="00FC1DF8" w:rsidRDefault="00FC1DF8">
            <w:pPr>
              <w:pStyle w:val="ProductList-OfferingBody"/>
              <w:spacing w:line="256" w:lineRule="auto"/>
              <w:jc w:val="center"/>
              <w:rPr>
                <w:kern w:val="2"/>
                <w14:ligatures w14:val="standardContextual"/>
              </w:rPr>
            </w:pPr>
            <w:r>
              <w:rPr>
                <w14:ligatures w14:val="standardContextual"/>
              </w:rP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965DDE" w14:textId="77777777" w:rsidR="00FC1DF8" w:rsidRDefault="00FC1DF8">
            <w:pPr>
              <w:pStyle w:val="ProductList-OfferingBody"/>
              <w:spacing w:line="256" w:lineRule="auto"/>
              <w:jc w:val="center"/>
              <w:rPr>
                <w:kern w:val="2"/>
                <w14:ligatures w14:val="standardContextual"/>
              </w:rPr>
            </w:pPr>
            <w:r>
              <w:rPr>
                <w14:ligatures w14:val="standardContextual"/>
              </w:rPr>
              <w:t>10 %</w:t>
            </w:r>
          </w:p>
        </w:tc>
      </w:tr>
      <w:tr w:rsidR="00FC1DF8" w14:paraId="3625DE84" w14:textId="77777777" w:rsidTr="00FC1DF8">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5A1498" w14:textId="77777777" w:rsidR="00FC1DF8" w:rsidRDefault="00FC1DF8">
            <w:pPr>
              <w:pStyle w:val="ProductList-OfferingBody"/>
              <w:spacing w:line="256" w:lineRule="auto"/>
              <w:jc w:val="center"/>
              <w:rPr>
                <w:kern w:val="2"/>
                <w14:ligatures w14:val="standardContextual"/>
              </w:rPr>
            </w:pPr>
            <w:r>
              <w:rPr>
                <w14:ligatures w14:val="standardContextual"/>
              </w:rP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D4C212" w14:textId="77777777" w:rsidR="00FC1DF8" w:rsidRDefault="00FC1DF8">
            <w:pPr>
              <w:pStyle w:val="ProductList-OfferingBody"/>
              <w:spacing w:line="256" w:lineRule="auto"/>
              <w:jc w:val="center"/>
              <w:rPr>
                <w:kern w:val="2"/>
                <w14:ligatures w14:val="standardContextual"/>
              </w:rPr>
            </w:pPr>
            <w:r>
              <w:rPr>
                <w14:ligatures w14:val="standardContextual"/>
              </w:rPr>
              <w:t>25 %</w:t>
            </w:r>
          </w:p>
        </w:tc>
      </w:tr>
    </w:tbl>
    <w:p w14:paraId="65D64DB6" w14:textId="32411F93" w:rsidR="00FC1DF8" w:rsidRDefault="00FC1DF8" w:rsidP="00B67865">
      <w:pPr>
        <w:spacing w:before="120" w:after="0" w:line="240" w:lineRule="auto"/>
        <w:rPr>
          <w:sz w:val="18"/>
        </w:rPr>
      </w:pPr>
      <w:r>
        <w:rPr>
          <w:sz w:val="18"/>
        </w:rPr>
        <w:t>*Die oben genannten Servicegutschriften sind nur für Teile von Microsoft Purview verfügbar, die auf Abonnementbasis angeboten werden (früher</w:t>
      </w:r>
      <w:r w:rsidR="00F90059">
        <w:rPr>
          <w:sz w:val="18"/>
        </w:rPr>
        <w:t> </w:t>
      </w:r>
      <w:r>
        <w:rPr>
          <w:sz w:val="18"/>
        </w:rPr>
        <w:t>bekannt als Azure Purview).</w:t>
      </w:r>
    </w:p>
    <w:p w14:paraId="28222CEF" w14:textId="2F4932A8"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7C7403B8" w14:textId="77777777" w:rsidR="00E1785C" w:rsidRPr="00E1785C" w:rsidRDefault="00E1785C" w:rsidP="00CA5260">
      <w:pPr>
        <w:pStyle w:val="ProductList-Offering2Heading"/>
        <w:keepNext/>
        <w:tabs>
          <w:tab w:val="clear" w:pos="360"/>
          <w:tab w:val="clear" w:pos="720"/>
          <w:tab w:val="clear" w:pos="1080"/>
        </w:tabs>
        <w:outlineLvl w:val="2"/>
      </w:pPr>
      <w:bookmarkStart w:id="492" w:name="_Toc195543192"/>
      <w:bookmarkStart w:id="493" w:name="_Toc237449053"/>
      <w:r>
        <w:t>Azure Red Hat OpenShift</w:t>
      </w:r>
      <w:bookmarkEnd w:id="492"/>
      <w:bookmarkEnd w:id="493"/>
    </w:p>
    <w:p w14:paraId="09BF9392" w14:textId="77777777" w:rsidR="00E1785C" w:rsidRPr="00E1785C" w:rsidRDefault="00E1785C" w:rsidP="00E1785C">
      <w:pPr>
        <w:pStyle w:val="ProductList-Body"/>
        <w:rPr>
          <w:b/>
          <w:bCs/>
          <w:color w:val="00188F"/>
        </w:rPr>
      </w:pPr>
      <w:r>
        <w:rPr>
          <w:b/>
          <w:bCs/>
          <w:color w:val="00188F"/>
        </w:rPr>
        <w:t>Zusätzliche Definitionen</w:t>
      </w:r>
    </w:p>
    <w:p w14:paraId="158D06E8" w14:textId="63670B36" w:rsidR="00E1785C" w:rsidRDefault="00E1785C" w:rsidP="00E1785C">
      <w:pPr>
        <w:pStyle w:val="ProductList-Body"/>
      </w:pPr>
      <w:r>
        <w:t>„</w:t>
      </w:r>
      <w:r>
        <w:rPr>
          <w:b/>
          <w:bCs/>
          <w:color w:val="00188F"/>
        </w:rPr>
        <w:t>Maximal Verfügbare Minuten</w:t>
      </w:r>
      <w:r>
        <w:t>“ ist die Gesamtzahl der Minuten innerhalb eines Anwendbaren Zeitraums, in denen ein bestimmter Azure Red Hat OpenShift-Cluster im Rahmen eines Microsoft Azure-Abonnements bereitgestellt wird.</w:t>
      </w:r>
    </w:p>
    <w:p w14:paraId="0C815AE6" w14:textId="638BF2E5" w:rsidR="00E1785C" w:rsidRDefault="00E1785C" w:rsidP="00E1785C">
      <w:pPr>
        <w:pStyle w:val="ProductList-Body"/>
      </w:pPr>
      <w:r>
        <w:t>„</w:t>
      </w:r>
      <w:r>
        <w:rPr>
          <w:b/>
          <w:bCs/>
          <w:color w:val="00188F"/>
        </w:rPr>
        <w:t>Ausfallzeit</w:t>
      </w:r>
      <w:r>
        <w:t>“ ist die Summe der kumulierten Maximal Verfügbaren Minuten während eines Anwendbaren Zeitraums, in denen ein bestimmter Azure Red Hat OpenShift-Cluster-API-Endpunkt nicht verfügbar ist. Eine bestimmte Minute gilt als nicht verfügbar, wenn alle Versuche, während der Minute eine Verbindung zum Cluster API-Endpunkt herzustellen, erfolglos sind.</w:t>
      </w:r>
    </w:p>
    <w:p w14:paraId="739FA18C" w14:textId="05374BDE" w:rsidR="00E1785C" w:rsidRDefault="00E1785C" w:rsidP="00E1785C">
      <w:pPr>
        <w:pStyle w:val="ProductList-Body"/>
      </w:pPr>
      <w:r>
        <w:t>„</w:t>
      </w:r>
      <w:r>
        <w:rPr>
          <w:b/>
          <w:bCs/>
          <w:color w:val="00188F"/>
        </w:rPr>
        <w:t>Betriebszeitprozentsatz</w:t>
      </w:r>
      <w:r w:rsidR="00445B42">
        <w:t>“</w:t>
      </w:r>
      <w:r w:rsidRPr="0008262F">
        <w:rPr>
          <w:b/>
          <w:bCs/>
          <w:color w:val="00188F"/>
        </w:rPr>
        <w:t>:</w:t>
      </w:r>
      <w:r>
        <w:t xml:space="preserve"> Der Betriebszeitprozentsatz errechnet sich nach folgender Formel:</w:t>
      </w:r>
    </w:p>
    <w:p w14:paraId="60406EC3" w14:textId="0E6B3BE3" w:rsidR="00E1785C" w:rsidRPr="00246AD4" w:rsidRDefault="00000000" w:rsidP="004444A0">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1785C" w:rsidRPr="00B44CF9" w14:paraId="26E0B1E1" w14:textId="77777777" w:rsidTr="00277097">
        <w:trPr>
          <w:tblHeader/>
        </w:trPr>
        <w:tc>
          <w:tcPr>
            <w:tcW w:w="5400" w:type="dxa"/>
            <w:shd w:val="clear" w:color="auto" w:fill="0072C6"/>
          </w:tcPr>
          <w:p w14:paraId="70E7B187" w14:textId="6EEF84E9" w:rsidR="00E1785C" w:rsidRPr="005A3C16"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0392840E" w14:textId="77777777" w:rsidR="00E1785C" w:rsidRPr="005A3C16" w:rsidRDefault="00E1785C" w:rsidP="000F31B4">
            <w:pPr>
              <w:pStyle w:val="ProductList-OfferingBody"/>
              <w:jc w:val="center"/>
              <w:rPr>
                <w:color w:val="FFFFFF" w:themeColor="background1"/>
              </w:rPr>
            </w:pPr>
            <w:r>
              <w:rPr>
                <w:color w:val="FFFFFF" w:themeColor="background1"/>
              </w:rPr>
              <w:t>Servicegutschrift</w:t>
            </w:r>
          </w:p>
        </w:tc>
      </w:tr>
      <w:tr w:rsidR="00E1785C" w:rsidRPr="00B44CF9" w14:paraId="1F4416AC" w14:textId="77777777" w:rsidTr="00277097">
        <w:tc>
          <w:tcPr>
            <w:tcW w:w="5400" w:type="dxa"/>
          </w:tcPr>
          <w:p w14:paraId="1514BF56" w14:textId="3ED04E7C" w:rsidR="00E1785C" w:rsidRPr="005A3C16" w:rsidRDefault="00E1785C" w:rsidP="000F31B4">
            <w:pPr>
              <w:pStyle w:val="ProductList-OfferingBody"/>
              <w:jc w:val="center"/>
            </w:pPr>
            <w:r>
              <w:t>&lt; 99,95 %</w:t>
            </w:r>
          </w:p>
        </w:tc>
        <w:tc>
          <w:tcPr>
            <w:tcW w:w="5400" w:type="dxa"/>
          </w:tcPr>
          <w:p w14:paraId="57FCFB5D" w14:textId="77777777" w:rsidR="00E1785C" w:rsidRPr="005A3C16" w:rsidRDefault="00E1785C" w:rsidP="000F31B4">
            <w:pPr>
              <w:pStyle w:val="ProductList-OfferingBody"/>
              <w:jc w:val="center"/>
            </w:pPr>
            <w:r>
              <w:t>10 %</w:t>
            </w:r>
          </w:p>
        </w:tc>
      </w:tr>
      <w:tr w:rsidR="00E1785C" w:rsidRPr="00B44CF9" w14:paraId="2327B809" w14:textId="77777777" w:rsidTr="00277097">
        <w:tc>
          <w:tcPr>
            <w:tcW w:w="5400" w:type="dxa"/>
          </w:tcPr>
          <w:p w14:paraId="12268FF1" w14:textId="77777777" w:rsidR="00E1785C" w:rsidRPr="005A3C16" w:rsidRDefault="00E1785C" w:rsidP="000F31B4">
            <w:pPr>
              <w:pStyle w:val="ProductList-OfferingBody"/>
              <w:jc w:val="center"/>
            </w:pPr>
            <w:r>
              <w:t>&lt; 99 %</w:t>
            </w:r>
          </w:p>
        </w:tc>
        <w:tc>
          <w:tcPr>
            <w:tcW w:w="5400" w:type="dxa"/>
          </w:tcPr>
          <w:p w14:paraId="6C6CC0A7" w14:textId="77777777" w:rsidR="00E1785C" w:rsidRPr="005A3C16" w:rsidRDefault="00E1785C" w:rsidP="000F31B4">
            <w:pPr>
              <w:pStyle w:val="ProductList-OfferingBody"/>
              <w:jc w:val="center"/>
            </w:pPr>
            <w:r>
              <w:t>25 %</w:t>
            </w:r>
          </w:p>
        </w:tc>
      </w:tr>
    </w:tbl>
    <w:p w14:paraId="42229E6C" w14:textId="4E5950F6"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1C3A82C1" w14:textId="77777777" w:rsidR="000C7D2A" w:rsidRPr="000C7D2A" w:rsidRDefault="000C7D2A" w:rsidP="000C7D2A">
      <w:pPr>
        <w:pStyle w:val="ProductList-Offering2Heading"/>
        <w:keepNext/>
        <w:tabs>
          <w:tab w:val="clear" w:pos="360"/>
          <w:tab w:val="clear" w:pos="720"/>
          <w:tab w:val="clear" w:pos="1080"/>
        </w:tabs>
        <w:outlineLvl w:val="2"/>
      </w:pPr>
      <w:bookmarkStart w:id="494" w:name="_Toc195543193"/>
      <w:bookmarkStart w:id="495" w:name="_Toc237449054"/>
      <w:r>
        <w:t>Remote Rendering</w:t>
      </w:r>
      <w:bookmarkEnd w:id="494"/>
      <w:bookmarkEnd w:id="495"/>
    </w:p>
    <w:p w14:paraId="0BB6D47F" w14:textId="77777777" w:rsidR="000C7D2A" w:rsidRPr="000C7D2A" w:rsidRDefault="000C7D2A" w:rsidP="000C7D2A">
      <w:pPr>
        <w:pStyle w:val="ProductList-Body"/>
        <w:rPr>
          <w:b/>
          <w:bCs/>
          <w:color w:val="00188F"/>
        </w:rPr>
      </w:pPr>
      <w:r>
        <w:rPr>
          <w:b/>
          <w:bCs/>
          <w:color w:val="00188F"/>
        </w:rPr>
        <w:t>Zusätzliche Definitionen</w:t>
      </w:r>
    </w:p>
    <w:p w14:paraId="0002D053" w14:textId="77777777" w:rsidR="000C7D2A" w:rsidRDefault="000C7D2A" w:rsidP="000C7D2A">
      <w:pPr>
        <w:pStyle w:val="ProductList-Body"/>
      </w:pPr>
      <w:r>
        <w:t>„</w:t>
      </w:r>
      <w:r>
        <w:rPr>
          <w:b/>
          <w:bCs/>
          <w:color w:val="00188F"/>
        </w:rPr>
        <w:t>Konvertierung</w:t>
      </w:r>
      <w:r>
        <w:t>“ bezieht sich auf einen Prozess, der 3D-Modelle in das während einer Rendering-Sitzung benötigte Format transformiert.</w:t>
      </w:r>
    </w:p>
    <w:p w14:paraId="75ED25C2" w14:textId="77777777" w:rsidR="000C7D2A" w:rsidRDefault="000C7D2A" w:rsidP="000C7D2A">
      <w:pPr>
        <w:pStyle w:val="ProductList-Body"/>
      </w:pPr>
      <w:r>
        <w:t>„</w:t>
      </w:r>
      <w:r>
        <w:rPr>
          <w:b/>
          <w:bCs/>
          <w:color w:val="00188F"/>
        </w:rPr>
        <w:t>Rendering-Sitzung</w:t>
      </w:r>
      <w:r>
        <w:t>“ bezieht sich auf eine Interaktion mit dem Remote Rendering-Dienst.</w:t>
      </w:r>
    </w:p>
    <w:p w14:paraId="7FF93858" w14:textId="75CADDB8" w:rsidR="000C7D2A" w:rsidRPr="000C7D2A" w:rsidRDefault="00EE6E3C" w:rsidP="000C7D2A">
      <w:pPr>
        <w:pStyle w:val="ProductList-Body"/>
        <w:spacing w:before="120"/>
        <w:rPr>
          <w:b/>
          <w:bCs/>
          <w:color w:val="00188F"/>
        </w:rPr>
      </w:pPr>
      <w:r>
        <w:rPr>
          <w:b/>
          <w:bCs/>
          <w:color w:val="00188F"/>
        </w:rPr>
        <w:t>Berechnung der Betriebszeit und Service-Levels für REST API-Konvertierungstransaktionen</w:t>
      </w:r>
    </w:p>
    <w:p w14:paraId="16F38F71" w14:textId="12FDC5E1" w:rsidR="000C7D2A" w:rsidRDefault="000C7D2A" w:rsidP="000C7D2A">
      <w:pPr>
        <w:pStyle w:val="ProductList-Body"/>
      </w:pPr>
      <w:r>
        <w:t>„</w:t>
      </w:r>
      <w:r>
        <w:rPr>
          <w:b/>
          <w:bCs/>
          <w:color w:val="00188F"/>
        </w:rPr>
        <w:t>Gesamttransaktionsversuche</w:t>
      </w:r>
      <w:r>
        <w:t>“ ist die Gesamtzahl der authentifizierten REST API-Anfragen für die Konvertierungsfunktionalität im Azure Remote Rendering-Dienst, die vom Kunden während eines Anwendbaren Zeitraums für ein Abonnement durchgeführt werden. Zur Gesamtzahl der Transaktionsversuche zählen keine REST API-Anforderungen, die einen Fehlercode zurückgeben und in einem 5-Minuten-Zeitraum nach Erhalt des</w:t>
      </w:r>
      <w:r w:rsidR="000B5EBF">
        <w:t> </w:t>
      </w:r>
      <w:r>
        <w:t>ersten Fehlercodes fortlaufend wiederholt werden.</w:t>
      </w:r>
    </w:p>
    <w:p w14:paraId="641512D0" w14:textId="77777777" w:rsidR="000C7D2A" w:rsidRDefault="000C7D2A" w:rsidP="000C7D2A">
      <w:pPr>
        <w:pStyle w:val="ProductList-Body"/>
      </w:pPr>
      <w:r>
        <w:t>„</w:t>
      </w:r>
      <w:r>
        <w:rPr>
          <w:b/>
          <w:bCs/>
          <w:color w:val="00188F"/>
        </w:rPr>
        <w:t>Fehlerhafte Transaktionen</w:t>
      </w:r>
      <w:r>
        <w:t>“ ist die Gesamtheit aller Anforderungen innerhalb der Gesamtzahl der Transaktionsversuche, die innerhalb von 30 Sekunden nach Eingang der Anforderung bei Microsoft einen Fehlercode zurücksenden.</w:t>
      </w:r>
    </w:p>
    <w:p w14:paraId="1761C96A" w14:textId="3F127CCD" w:rsidR="000C7D2A" w:rsidRDefault="000C7D2A" w:rsidP="000C7D2A">
      <w:pPr>
        <w:pStyle w:val="ProductList-Body"/>
      </w:pPr>
      <w:r>
        <w:t>Der „</w:t>
      </w:r>
      <w:r>
        <w:rPr>
          <w:b/>
          <w:bCs/>
          <w:color w:val="00188F"/>
        </w:rPr>
        <w:t>Betriebszeitprozentsatz</w:t>
      </w:r>
      <w:r>
        <w:t>“ für den Azure Remote Rendering-Dienst wird berechnet als Gesamtzahl der Transaktionsversuche abzüglich der Fehlgeschlagenen Transaktionen, geteilt durch die Gesamtzahl der Transaktionsversuche in einem Anwendbaren Zeitraum für ein bestimmtes Microsoft Azure-Abonnement. Der Betriebszeitprozentsatz wird durch die folgende Formel ermittelt:</w:t>
      </w:r>
    </w:p>
    <w:p w14:paraId="1C1B87E9" w14:textId="42E52AC3" w:rsidR="000C7D2A" w:rsidRPr="00EF7CF9" w:rsidRDefault="00000000" w:rsidP="004444A0">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Gesamtzahl der Transaktionsversuche abzüglich Fehlerhafte Transaktionen</m:t>
              </m:r>
            </m:num>
            <m:den>
              <m:r>
                <m:rPr>
                  <m:nor/>
                </m:rPr>
                <w:rPr>
                  <w:rFonts w:ascii="Cambria Math" w:hAnsi="Cambria Math" w:cs="Tahoma"/>
                  <w:i/>
                  <w:color w:val="000000" w:themeColor="text1"/>
                  <w:sz w:val="18"/>
                  <w:szCs w:val="18"/>
                </w:rPr>
                <m:t>Gesamtzahl der Transaktionsversuche</m:t>
              </m:r>
            </m:den>
          </m:f>
          <m:r>
            <w:rPr>
              <w:rFonts w:ascii="Cambria Math" w:hAnsi="Cambria Math" w:cs="Tahoma"/>
              <w:color w:val="000000" w:themeColor="text1"/>
              <w:sz w:val="18"/>
              <w:szCs w:val="18"/>
            </w:rPr>
            <m:t xml:space="preserve"> x 100</m:t>
          </m:r>
        </m:oMath>
      </m:oMathPara>
    </w:p>
    <w:p w14:paraId="3E979A7C" w14:textId="77777777" w:rsidR="000C7D2A" w:rsidRPr="000C7D2A" w:rsidRDefault="000C7D2A" w:rsidP="000C7D2A">
      <w:pPr>
        <w:pStyle w:val="ProductList-Body"/>
        <w:rPr>
          <w:b/>
          <w:bCs/>
          <w:color w:val="00188F"/>
        </w:rPr>
      </w:pPr>
      <w:r>
        <w:rPr>
          <w:b/>
          <w:bCs/>
          <w:color w:val="00188F"/>
        </w:rPr>
        <w:t>Folgende Servicelevels und Servicegutschriften gelten für die Nutzung der Konvertierungsfunktionalität des Azure Remote Rendering-Dienstes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7D2A" w:rsidRPr="00B44CF9" w14:paraId="6E29C3E9" w14:textId="77777777" w:rsidTr="00277097">
        <w:trPr>
          <w:tblHeader/>
        </w:trPr>
        <w:tc>
          <w:tcPr>
            <w:tcW w:w="5400" w:type="dxa"/>
            <w:shd w:val="clear" w:color="auto" w:fill="0072C6"/>
          </w:tcPr>
          <w:p w14:paraId="7F8907B4" w14:textId="434AACEC" w:rsidR="000C7D2A" w:rsidRPr="005A3C16"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46F989D6" w14:textId="77777777" w:rsidR="000C7D2A" w:rsidRPr="005A3C16" w:rsidRDefault="000C7D2A" w:rsidP="000F31B4">
            <w:pPr>
              <w:pStyle w:val="ProductList-OfferingBody"/>
              <w:jc w:val="center"/>
              <w:rPr>
                <w:color w:val="FFFFFF" w:themeColor="background1"/>
              </w:rPr>
            </w:pPr>
            <w:r>
              <w:rPr>
                <w:color w:val="FFFFFF" w:themeColor="background1"/>
              </w:rPr>
              <w:t>Servicegutschrift</w:t>
            </w:r>
          </w:p>
        </w:tc>
      </w:tr>
      <w:tr w:rsidR="000C7D2A" w:rsidRPr="00B44CF9" w14:paraId="68A9EAD2" w14:textId="77777777" w:rsidTr="00277097">
        <w:tc>
          <w:tcPr>
            <w:tcW w:w="5400" w:type="dxa"/>
          </w:tcPr>
          <w:p w14:paraId="534DB46F" w14:textId="5C786BC4" w:rsidR="000C7D2A" w:rsidRPr="005A3C16" w:rsidRDefault="000C7D2A" w:rsidP="000F31B4">
            <w:pPr>
              <w:pStyle w:val="ProductList-OfferingBody"/>
              <w:jc w:val="center"/>
            </w:pPr>
            <w:r>
              <w:t>&lt; 99,9 %</w:t>
            </w:r>
          </w:p>
        </w:tc>
        <w:tc>
          <w:tcPr>
            <w:tcW w:w="5400" w:type="dxa"/>
          </w:tcPr>
          <w:p w14:paraId="670FEAA7" w14:textId="77777777" w:rsidR="000C7D2A" w:rsidRPr="005A3C16" w:rsidRDefault="000C7D2A" w:rsidP="000F31B4">
            <w:pPr>
              <w:pStyle w:val="ProductList-OfferingBody"/>
              <w:jc w:val="center"/>
            </w:pPr>
            <w:r>
              <w:t>10 %</w:t>
            </w:r>
          </w:p>
        </w:tc>
      </w:tr>
      <w:tr w:rsidR="000C7D2A" w:rsidRPr="00B44CF9" w14:paraId="51B0FEA5" w14:textId="77777777" w:rsidTr="00277097">
        <w:tc>
          <w:tcPr>
            <w:tcW w:w="5400" w:type="dxa"/>
          </w:tcPr>
          <w:p w14:paraId="59A2788B" w14:textId="77777777" w:rsidR="000C7D2A" w:rsidRPr="005A3C16" w:rsidRDefault="000C7D2A" w:rsidP="000F31B4">
            <w:pPr>
              <w:pStyle w:val="ProductList-OfferingBody"/>
              <w:jc w:val="center"/>
            </w:pPr>
            <w:r>
              <w:t>&lt; 99 %</w:t>
            </w:r>
          </w:p>
        </w:tc>
        <w:tc>
          <w:tcPr>
            <w:tcW w:w="5400" w:type="dxa"/>
          </w:tcPr>
          <w:p w14:paraId="48F748CF" w14:textId="77777777" w:rsidR="000C7D2A" w:rsidRPr="005A3C16" w:rsidRDefault="000C7D2A" w:rsidP="000F31B4">
            <w:pPr>
              <w:pStyle w:val="ProductList-OfferingBody"/>
              <w:jc w:val="center"/>
            </w:pPr>
            <w:r>
              <w:t>25 %</w:t>
            </w:r>
          </w:p>
        </w:tc>
      </w:tr>
    </w:tbl>
    <w:p w14:paraId="636C9D1C" w14:textId="22D8BB85" w:rsidR="000C7D2A" w:rsidRPr="004E4800" w:rsidRDefault="00EE6E3C" w:rsidP="00A56CF3">
      <w:pPr>
        <w:pStyle w:val="ProductList-Body"/>
        <w:spacing w:before="120"/>
        <w:rPr>
          <w:b/>
          <w:bCs/>
          <w:color w:val="00188F"/>
        </w:rPr>
      </w:pPr>
      <w:r>
        <w:rPr>
          <w:b/>
          <w:bCs/>
          <w:color w:val="00188F"/>
        </w:rPr>
        <w:t>Berechnung der Betriebszeit und Service-Levels für Rendering-Sitzungen</w:t>
      </w:r>
    </w:p>
    <w:p w14:paraId="58D414EF" w14:textId="3161EAB4" w:rsidR="000C7D2A" w:rsidRDefault="000C7D2A" w:rsidP="000C7D2A">
      <w:pPr>
        <w:pStyle w:val="ProductList-Body"/>
      </w:pPr>
      <w:r>
        <w:t>„</w:t>
      </w:r>
      <w:r>
        <w:rPr>
          <w:b/>
          <w:bCs/>
          <w:color w:val="00188F"/>
        </w:rPr>
        <w:t>Bereitstellungsminuten</w:t>
      </w:r>
      <w:r>
        <w:t>“ ist die Gesamtzahl der Minuten einer Rendering-Sitzung, gemessen von dem Zeitpunkt, an dem eine Rendering-Sitzung aufgrund einer vom Kunden initiierten Aktion zugewiesen wurde, bis zu dem Zeitpunkt, an dem der Kunde eine Aktion initiiert hat, die zu einer Beendigung der Sitzung während eines Anwendbaren Zeitraums führen würde.</w:t>
      </w:r>
    </w:p>
    <w:p w14:paraId="75D2D956" w14:textId="1475CB0B" w:rsidR="000C7D2A" w:rsidRDefault="000C7D2A" w:rsidP="000C7D2A">
      <w:pPr>
        <w:pStyle w:val="ProductList-Body"/>
      </w:pPr>
      <w:r>
        <w:t>„</w:t>
      </w:r>
      <w:r>
        <w:rPr>
          <w:b/>
          <w:bCs/>
          <w:color w:val="00188F"/>
        </w:rPr>
        <w:t>Maximal Verfügbare Minuten</w:t>
      </w:r>
      <w:r>
        <w:t>“ ist die Summe aller Bereitstellungsminuten in allen Rendering-Sitzungen während eines Anwendbaren Zeitraums.</w:t>
      </w:r>
    </w:p>
    <w:p w14:paraId="5D2CD3DA" w14:textId="77777777" w:rsidR="000C7D2A" w:rsidRDefault="000C7D2A" w:rsidP="000C7D2A">
      <w:pPr>
        <w:pStyle w:val="ProductList-Body"/>
      </w:pPr>
      <w:r>
        <w:t>„</w:t>
      </w:r>
      <w:r>
        <w:rPr>
          <w:b/>
          <w:bCs/>
          <w:color w:val="00188F"/>
        </w:rPr>
        <w:t>Ausfallzeit</w:t>
      </w:r>
      <w:r>
        <w:t>“ ist die Summe der kumulierten Bereitstellungsminuten, in denen der Remote Rendering-Dienst nicht verfügbar ist. Eine Minute gilt für eine bestimmte Rendering-Sitzung als nicht verfügbar, wenn die Rendering-Sitzung während dieser Minute keine Externe Konnektivität hat.</w:t>
      </w:r>
    </w:p>
    <w:p w14:paraId="6B5C2F46" w14:textId="0E26E22E" w:rsidR="000C7D2A" w:rsidRDefault="000C7D2A" w:rsidP="000C7D2A">
      <w:pPr>
        <w:pStyle w:val="ProductList-Body"/>
      </w:pPr>
      <w:r>
        <w:t>„</w:t>
      </w:r>
      <w:r>
        <w:rPr>
          <w:b/>
          <w:bCs/>
          <w:color w:val="00188F"/>
        </w:rPr>
        <w:t>Betriebszeitprozentsatz</w:t>
      </w:r>
      <w:r>
        <w:t>“ für die Rendering-Sitzung wird berechnet als Maximal Verfügbare Minuten abzüglich der Ausfallzeit, geteilt durch die Maximal Verfügbaren Minuten in einem Anwendbaren Zeitraum für ein bestimmtes Azure-Abonnement. Der Betriebszeitprozentsatz wird durch die folgende Formel ermittelt:</w:t>
      </w:r>
    </w:p>
    <w:p w14:paraId="22235A21" w14:textId="6CA656A0" w:rsidR="00381981" w:rsidRPr="00EF7CF9" w:rsidRDefault="00000000" w:rsidP="00A56CF3">
      <w:pPr>
        <w:spacing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0E3B2938" w14:textId="412C7947" w:rsidR="000C7D2A" w:rsidRPr="00CF7B6D" w:rsidRDefault="000C7D2A" w:rsidP="004B20AC">
      <w:pPr>
        <w:pStyle w:val="ProductList-Body"/>
        <w:rPr>
          <w:b/>
          <w:bCs/>
          <w:color w:val="00188F"/>
        </w:rPr>
      </w:pPr>
      <w:r>
        <w:rPr>
          <w:b/>
          <w:bCs/>
          <w:color w:val="00188F"/>
        </w:rPr>
        <w:t>Folgende Servicelevels und Servicegutschriften gelten für die Nutzung der Rendering-Sitzungen im Azure Remote Rendering-Dienst durch den</w:t>
      </w:r>
      <w:r w:rsidR="004B20AC">
        <w:rPr>
          <w:b/>
          <w:bCs/>
          <w:color w:val="00188F"/>
        </w:rPr>
        <w:t> </w:t>
      </w:r>
      <w:r>
        <w:rPr>
          <w:b/>
          <w:bCs/>
          <w:color w:val="00188F"/>
        </w:rPr>
        <w:t>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81981" w:rsidRPr="00B44CF9" w14:paraId="0923EBC0" w14:textId="77777777" w:rsidTr="00277097">
        <w:trPr>
          <w:tblHeader/>
        </w:trPr>
        <w:tc>
          <w:tcPr>
            <w:tcW w:w="5400" w:type="dxa"/>
            <w:shd w:val="clear" w:color="auto" w:fill="0072C6"/>
          </w:tcPr>
          <w:p w14:paraId="561F2020" w14:textId="04BFB6B0" w:rsidR="00381981" w:rsidRPr="005A3C16"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03204C83" w14:textId="77777777" w:rsidR="00381981" w:rsidRPr="005A3C16" w:rsidRDefault="00381981" w:rsidP="000F31B4">
            <w:pPr>
              <w:pStyle w:val="ProductList-OfferingBody"/>
              <w:jc w:val="center"/>
              <w:rPr>
                <w:color w:val="FFFFFF" w:themeColor="background1"/>
              </w:rPr>
            </w:pPr>
            <w:r>
              <w:rPr>
                <w:color w:val="FFFFFF" w:themeColor="background1"/>
              </w:rPr>
              <w:t>Servicegutschrift</w:t>
            </w:r>
          </w:p>
        </w:tc>
      </w:tr>
      <w:tr w:rsidR="00381981" w:rsidRPr="00B44CF9" w14:paraId="2E8116D2" w14:textId="77777777" w:rsidTr="00277097">
        <w:tc>
          <w:tcPr>
            <w:tcW w:w="5400" w:type="dxa"/>
          </w:tcPr>
          <w:p w14:paraId="4217D408" w14:textId="77777777" w:rsidR="00381981" w:rsidRPr="005A3C16" w:rsidRDefault="00381981" w:rsidP="000F31B4">
            <w:pPr>
              <w:pStyle w:val="ProductList-OfferingBody"/>
              <w:jc w:val="center"/>
            </w:pPr>
            <w:r>
              <w:t>&lt; 99,9 %</w:t>
            </w:r>
          </w:p>
        </w:tc>
        <w:tc>
          <w:tcPr>
            <w:tcW w:w="5400" w:type="dxa"/>
          </w:tcPr>
          <w:p w14:paraId="272E18FB" w14:textId="77777777" w:rsidR="00381981" w:rsidRPr="005A3C16" w:rsidRDefault="00381981" w:rsidP="000F31B4">
            <w:pPr>
              <w:pStyle w:val="ProductList-OfferingBody"/>
              <w:jc w:val="center"/>
            </w:pPr>
            <w:r>
              <w:t>10 %</w:t>
            </w:r>
          </w:p>
        </w:tc>
      </w:tr>
      <w:tr w:rsidR="00381981" w:rsidRPr="00B44CF9" w14:paraId="0C18A53A" w14:textId="77777777" w:rsidTr="00277097">
        <w:tc>
          <w:tcPr>
            <w:tcW w:w="5400" w:type="dxa"/>
          </w:tcPr>
          <w:p w14:paraId="295554A0" w14:textId="77777777" w:rsidR="00381981" w:rsidRPr="005A3C16" w:rsidRDefault="00381981" w:rsidP="000F31B4">
            <w:pPr>
              <w:pStyle w:val="ProductList-OfferingBody"/>
              <w:jc w:val="center"/>
            </w:pPr>
            <w:r>
              <w:t>&lt; 99 %</w:t>
            </w:r>
          </w:p>
        </w:tc>
        <w:tc>
          <w:tcPr>
            <w:tcW w:w="5400" w:type="dxa"/>
          </w:tcPr>
          <w:p w14:paraId="499C4BE6" w14:textId="77777777" w:rsidR="00381981" w:rsidRPr="005A3C16" w:rsidRDefault="00381981" w:rsidP="000F31B4">
            <w:pPr>
              <w:pStyle w:val="ProductList-OfferingBody"/>
              <w:jc w:val="center"/>
            </w:pPr>
            <w:r>
              <w:t>25 %</w:t>
            </w:r>
          </w:p>
        </w:tc>
      </w:tr>
    </w:tbl>
    <w:p w14:paraId="5F7058AD" w14:textId="2712A54D"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38EB8223" w14:textId="77777777" w:rsidR="00A82CB1" w:rsidRPr="00A82CB1" w:rsidRDefault="00A82CB1" w:rsidP="00A82CB1">
      <w:pPr>
        <w:pStyle w:val="ProductList-Offering2Heading"/>
        <w:keepNext/>
        <w:tabs>
          <w:tab w:val="clear" w:pos="360"/>
          <w:tab w:val="clear" w:pos="720"/>
          <w:tab w:val="clear" w:pos="1080"/>
        </w:tabs>
        <w:outlineLvl w:val="2"/>
      </w:pPr>
      <w:bookmarkStart w:id="496" w:name="_Toc195543194"/>
      <w:bookmarkStart w:id="497" w:name="_Toc237449055"/>
      <w:r>
        <w:t>Azure-Routeserver</w:t>
      </w:r>
      <w:bookmarkEnd w:id="496"/>
      <w:bookmarkEnd w:id="497"/>
    </w:p>
    <w:p w14:paraId="3DEC4CEF" w14:textId="49D02559" w:rsidR="00A82CB1" w:rsidRPr="00A82CB1" w:rsidRDefault="00EE6E3C" w:rsidP="00A82CB1">
      <w:pPr>
        <w:pStyle w:val="ProductList-Body"/>
        <w:keepNext/>
        <w:rPr>
          <w:b/>
          <w:bCs/>
          <w:color w:val="00188F"/>
        </w:rPr>
      </w:pPr>
      <w:r>
        <w:rPr>
          <w:b/>
          <w:bCs/>
          <w:color w:val="00188F"/>
        </w:rPr>
        <w:t>Berechnung der Betriebszeit</w:t>
      </w:r>
    </w:p>
    <w:p w14:paraId="2D504CF5" w14:textId="5135B600" w:rsidR="00A82CB1" w:rsidRDefault="00A82CB1" w:rsidP="00A82CB1">
      <w:pPr>
        <w:pStyle w:val="ProductList-Body"/>
      </w:pPr>
      <w:r>
        <w:t>„</w:t>
      </w:r>
      <w:r>
        <w:rPr>
          <w:b/>
          <w:bCs/>
          <w:color w:val="00188F"/>
        </w:rPr>
        <w:t>Maximal Verfügbare Minuten</w:t>
      </w:r>
      <w:r>
        <w:t>“ ist die Gesamtzahl der Minuten innerhalb eines Anwendbaren Zeitraums, in denen ein bestimmter Azure Route Server im Rahmen eines Microsoft Azure-Abonnements bereitgestellt wird.</w:t>
      </w:r>
    </w:p>
    <w:p w14:paraId="67F8492A" w14:textId="0603BA00" w:rsidR="00A82CB1" w:rsidRDefault="00A82CB1" w:rsidP="00A82CB1">
      <w:pPr>
        <w:pStyle w:val="ProductList-Body"/>
      </w:pPr>
      <w:r>
        <w:t>„</w:t>
      </w:r>
      <w:r>
        <w:rPr>
          <w:b/>
          <w:bCs/>
          <w:color w:val="00188F"/>
        </w:rPr>
        <w:t>Ausfallzeit</w:t>
      </w:r>
      <w:r>
        <w:t>“ ist die Gesamtzahl der Maximal verfügbaren Minuten, während derer ein Azure-Routeserver nicht verfügbar ist. Eine Minute gilt als</w:t>
      </w:r>
      <w:r w:rsidR="00415009">
        <w:t> </w:t>
      </w:r>
      <w:r>
        <w:t>nicht verfügbar, wenn alle Versuche innerhalb dieser Minute, eine Verbindung mit dem Azure Route Server herzustellen, erfolglos bleiben.</w:t>
      </w:r>
    </w:p>
    <w:p w14:paraId="3255F05B" w14:textId="4E46D9D4" w:rsidR="00A82CB1" w:rsidRDefault="00A82CB1" w:rsidP="00A82CB1">
      <w:pPr>
        <w:pStyle w:val="ProductList-Body"/>
      </w:pPr>
      <w:r>
        <w:t>„</w:t>
      </w:r>
      <w:r>
        <w:rPr>
          <w:b/>
          <w:bCs/>
          <w:color w:val="00188F"/>
        </w:rPr>
        <w:t>Betriebszeitprozentsatz</w:t>
      </w:r>
      <w:r>
        <w:t>“ für einen bestimmten Azure Route Server wird berechnet als Maximal Verfügbare Minuten abzüglich der Ausfallzeit geteilt durch die Maximal Verfügbaren Minuten in einem Anwendbaren Zeitraum für ein bestimmtes Microsoft Azure-Abonnement. Der Betriebszeitprozentsatz wird durch die folgende Formel ermittelt:</w:t>
      </w:r>
    </w:p>
    <w:p w14:paraId="35981088" w14:textId="44562585" w:rsidR="00A82CB1" w:rsidRPr="00EF7CF9" w:rsidRDefault="00000000" w:rsidP="004444A0">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17224F44" w14:textId="77777777" w:rsidR="00A82CB1" w:rsidRPr="00A82CB1" w:rsidRDefault="00A82CB1" w:rsidP="00A82CB1">
      <w:pPr>
        <w:pStyle w:val="ProductList-Body"/>
        <w:rPr>
          <w:b/>
          <w:bCs/>
          <w:color w:val="00188F"/>
        </w:rPr>
      </w:pPr>
      <w:r>
        <w:rPr>
          <w:b/>
          <w:bCs/>
          <w:color w:val="00188F"/>
        </w:rPr>
        <w:t>Die folgenden Service-Levels und Servicegutschriften gelten für die Nutzung jedes Azure Route Servers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82CB1" w:rsidRPr="00B44CF9" w14:paraId="70116CD5" w14:textId="77777777" w:rsidTr="00277097">
        <w:trPr>
          <w:tblHeader/>
        </w:trPr>
        <w:tc>
          <w:tcPr>
            <w:tcW w:w="5400" w:type="dxa"/>
            <w:shd w:val="clear" w:color="auto" w:fill="0072C6"/>
          </w:tcPr>
          <w:p w14:paraId="4DC6BDBF" w14:textId="0F1F7834" w:rsidR="00A82CB1" w:rsidRPr="005A3C16"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5C6A2B71" w14:textId="77777777" w:rsidR="00A82CB1" w:rsidRPr="005A3C16" w:rsidRDefault="00A82CB1" w:rsidP="000F31B4">
            <w:pPr>
              <w:pStyle w:val="ProductList-OfferingBody"/>
              <w:jc w:val="center"/>
              <w:rPr>
                <w:color w:val="FFFFFF" w:themeColor="background1"/>
              </w:rPr>
            </w:pPr>
            <w:r>
              <w:rPr>
                <w:color w:val="FFFFFF" w:themeColor="background1"/>
              </w:rPr>
              <w:t>Servicegutschrift</w:t>
            </w:r>
          </w:p>
        </w:tc>
      </w:tr>
      <w:tr w:rsidR="00A82CB1" w:rsidRPr="00B44CF9" w14:paraId="4A47106F" w14:textId="77777777" w:rsidTr="00277097">
        <w:tc>
          <w:tcPr>
            <w:tcW w:w="5400" w:type="dxa"/>
          </w:tcPr>
          <w:p w14:paraId="67891EF6" w14:textId="3A77A409" w:rsidR="00A82CB1" w:rsidRPr="005A3C16" w:rsidRDefault="00A82CB1" w:rsidP="000F31B4">
            <w:pPr>
              <w:pStyle w:val="ProductList-OfferingBody"/>
              <w:jc w:val="center"/>
            </w:pPr>
            <w:r>
              <w:t>&lt; 99,95 %</w:t>
            </w:r>
          </w:p>
        </w:tc>
        <w:tc>
          <w:tcPr>
            <w:tcW w:w="5400" w:type="dxa"/>
          </w:tcPr>
          <w:p w14:paraId="1275BFAD" w14:textId="77777777" w:rsidR="00A82CB1" w:rsidRPr="005A3C16" w:rsidRDefault="00A82CB1" w:rsidP="000F31B4">
            <w:pPr>
              <w:pStyle w:val="ProductList-OfferingBody"/>
              <w:jc w:val="center"/>
            </w:pPr>
            <w:r>
              <w:t>10 %</w:t>
            </w:r>
          </w:p>
        </w:tc>
      </w:tr>
      <w:tr w:rsidR="00A82CB1" w:rsidRPr="00B44CF9" w14:paraId="26BCF7B5" w14:textId="77777777" w:rsidTr="00277097">
        <w:tc>
          <w:tcPr>
            <w:tcW w:w="5400" w:type="dxa"/>
          </w:tcPr>
          <w:p w14:paraId="234E6232" w14:textId="77777777" w:rsidR="00A82CB1" w:rsidRPr="005A3C16" w:rsidRDefault="00A82CB1" w:rsidP="000F31B4">
            <w:pPr>
              <w:pStyle w:val="ProductList-OfferingBody"/>
              <w:jc w:val="center"/>
            </w:pPr>
            <w:r>
              <w:t>&lt; 99 %</w:t>
            </w:r>
          </w:p>
        </w:tc>
        <w:tc>
          <w:tcPr>
            <w:tcW w:w="5400" w:type="dxa"/>
          </w:tcPr>
          <w:p w14:paraId="1119D2E9" w14:textId="77777777" w:rsidR="00A82CB1" w:rsidRPr="005A3C16" w:rsidRDefault="00A82CB1" w:rsidP="000F31B4">
            <w:pPr>
              <w:pStyle w:val="ProductList-OfferingBody"/>
              <w:jc w:val="center"/>
            </w:pPr>
            <w:r>
              <w:t>25 %</w:t>
            </w:r>
          </w:p>
        </w:tc>
      </w:tr>
    </w:tbl>
    <w:bookmarkStart w:id="498" w:name="_Toc510793702"/>
    <w:bookmarkStart w:id="499" w:name="_Toc52348978"/>
    <w:p w14:paraId="607999AB" w14:textId="653B4CF8"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1E054843" w14:textId="75CB8944" w:rsidR="00A1353F" w:rsidRDefault="00A1353F" w:rsidP="00EF42FD">
      <w:pPr>
        <w:pStyle w:val="ProductList-Offering2Heading"/>
        <w:tabs>
          <w:tab w:val="clear" w:pos="360"/>
          <w:tab w:val="clear" w:pos="720"/>
          <w:tab w:val="clear" w:pos="1080"/>
        </w:tabs>
        <w:outlineLvl w:val="2"/>
      </w:pPr>
      <w:bookmarkStart w:id="500" w:name="_Toc195543195"/>
      <w:bookmarkStart w:id="501" w:name="_Toc237449056"/>
      <w:r>
        <w:t>SAP HANA auf Azure</w:t>
      </w:r>
      <w:bookmarkEnd w:id="498"/>
      <w:bookmarkEnd w:id="499"/>
      <w:r>
        <w:t xml:space="preserve"> Große Instanzen</w:t>
      </w:r>
      <w:bookmarkEnd w:id="500"/>
      <w:bookmarkEnd w:id="501"/>
    </w:p>
    <w:p w14:paraId="4BB1F540" w14:textId="77777777" w:rsidR="00A1353F" w:rsidRDefault="00A1353F" w:rsidP="00A1353F">
      <w:pPr>
        <w:pStyle w:val="ProductList-Body"/>
      </w:pPr>
      <w:r>
        <w:rPr>
          <w:b/>
          <w:color w:val="00188F"/>
        </w:rPr>
        <w:t>Zusätzliche Definitionen</w:t>
      </w:r>
      <w:r w:rsidRPr="0008262F">
        <w:rPr>
          <w:b/>
          <w:bCs/>
          <w:color w:val="00188F"/>
        </w:rPr>
        <w:t>:</w:t>
      </w:r>
    </w:p>
    <w:p w14:paraId="051A79F6" w14:textId="77777777" w:rsidR="00A1353F" w:rsidRPr="00B44CF9" w:rsidRDefault="00A1353F" w:rsidP="00A1353F">
      <w:pPr>
        <w:spacing w:after="0" w:line="252" w:lineRule="auto"/>
        <w:rPr>
          <w:sz w:val="18"/>
          <w:szCs w:val="18"/>
        </w:rPr>
      </w:pPr>
      <w:r>
        <w:rPr>
          <w:sz w:val="18"/>
        </w:rPr>
        <w:t>„</w:t>
      </w:r>
      <w:r>
        <w:rPr>
          <w:b/>
          <w:color w:val="00188F"/>
          <w:sz w:val="18"/>
        </w:rPr>
        <w:t>Angekündigte Wartung einer Einzelinstanz</w:t>
      </w:r>
      <w:r>
        <w:rPr>
          <w:sz w:val="18"/>
        </w:rPr>
        <w:t>“ bezeichnet Ausfallzeiten im Zusammenhang mit Netzwerk-, Hardware- oder Dienstwartungen oder -aktualisierungen, die sich auf Einzelinstanzen auswirken. Wir werden diese Zeiten mindestens fünf (5) Tage vor Beginn als Ausfallzeiten veröffentlichen oder Ihnen ankündigen.</w:t>
      </w:r>
    </w:p>
    <w:p w14:paraId="63C58072" w14:textId="77777777" w:rsidR="00A1353F" w:rsidRPr="0069715D" w:rsidRDefault="00A1353F" w:rsidP="00A1353F">
      <w:pPr>
        <w:spacing w:after="0" w:line="252" w:lineRule="auto"/>
        <w:rPr>
          <w:sz w:val="18"/>
        </w:rPr>
      </w:pPr>
      <w:r>
        <w:rPr>
          <w:sz w:val="18"/>
        </w:rPr>
        <w:t>„</w:t>
      </w:r>
      <w:r>
        <w:rPr>
          <w:b/>
          <w:color w:val="00188F"/>
          <w:sz w:val="18"/>
        </w:rPr>
        <w:t>Hochverfügbarkeitspaar</w:t>
      </w:r>
      <w:r>
        <w:rPr>
          <w:sz w:val="18"/>
        </w:rPr>
        <w:t>“</w:t>
      </w:r>
      <w:r>
        <w:rPr>
          <w:sz w:val="18"/>
          <w:szCs w:val="18"/>
        </w:rPr>
        <w:t xml:space="preserve"> </w:t>
      </w:r>
      <w:r>
        <w:rPr>
          <w:sz w:val="18"/>
        </w:rPr>
        <w:t>bezieht sich auf zwei oder mehr identische SAP HANA auf Azure-Große Instanzen, die in derselben Region bereitgestellt und vom Kunden für die Systemreplikation auf Anwendungsebene konfiguriert werden. Kunden müssen die Mitglieder eines Hochverfügbarkeitspaars während des Architekturentwurfsprozesses bei Microsoft angeben.</w:t>
      </w:r>
    </w:p>
    <w:p w14:paraId="2ADD8A74" w14:textId="77777777" w:rsidR="00A1353F" w:rsidRDefault="00A1353F" w:rsidP="00A1353F">
      <w:pPr>
        <w:spacing w:after="0" w:line="252" w:lineRule="auto"/>
        <w:rPr>
          <w:sz w:val="18"/>
        </w:rPr>
      </w:pPr>
      <w:r>
        <w:rPr>
          <w:sz w:val="18"/>
        </w:rPr>
        <w:lastRenderedPageBreak/>
        <w:t>„</w:t>
      </w:r>
      <w:r>
        <w:rPr>
          <w:b/>
          <w:color w:val="00188F"/>
          <w:sz w:val="18"/>
        </w:rPr>
        <w:t>SAP HANA auf Azure-Konnektivität</w:t>
      </w:r>
      <w:r>
        <w:rPr>
          <w:sz w:val="18"/>
        </w:rPr>
        <w:t>“</w:t>
      </w:r>
      <w:r>
        <w:rPr>
          <w:sz w:val="18"/>
          <w:szCs w:val="18"/>
        </w:rPr>
        <w:t xml:space="preserve"> </w:t>
      </w:r>
      <w:r>
        <w:rPr>
          <w:sz w:val="18"/>
        </w:rPr>
        <w:t>ist bidirektionaler Netzwerkverkehr zwischen der großen SAP HANA auf Azure-Instanz und anderen IP-Adressen unter Verwendung von TCP- oder UDP-Netzwerkprotokollen, in denen die Instanz für zulässigen Verkehr konfiguriert ist. Die IP-Adressen müssen mit denen des Virtuellen Netzwerks der verknüpften Azure-Abonnements identisch sein.</w:t>
      </w:r>
    </w:p>
    <w:p w14:paraId="10155358" w14:textId="2A8938E3" w:rsidR="00A1353F" w:rsidRDefault="00A1353F" w:rsidP="00A1353F">
      <w:pPr>
        <w:spacing w:after="0" w:line="252" w:lineRule="auto"/>
        <w:rPr>
          <w:sz w:val="18"/>
        </w:rPr>
      </w:pPr>
      <w:r>
        <w:rPr>
          <w:sz w:val="18"/>
        </w:rPr>
        <w:t>„</w:t>
      </w:r>
      <w:r>
        <w:rPr>
          <w:b/>
          <w:color w:val="00188F"/>
          <w:sz w:val="18"/>
        </w:rPr>
        <w:t>Einzelinstanz</w:t>
      </w:r>
      <w:r w:rsidR="00445B42" w:rsidRPr="00445B42">
        <w:rPr>
          <w:sz w:val="18"/>
        </w:rPr>
        <w:t>“</w:t>
      </w:r>
      <w:r>
        <w:rPr>
          <w:sz w:val="18"/>
        </w:rPr>
        <w:t xml:space="preserve"> wird definiert als jeder einzelnen Computer mit einer Großen Microsoft SAP HANA auf Azure-Instanz, der nicht in einem Hochverfügbarkeitspaar zur Verfügung gestellt wird.</w:t>
      </w:r>
    </w:p>
    <w:p w14:paraId="1D2B0A39" w14:textId="77777777" w:rsidR="00A1353F" w:rsidRDefault="00A1353F" w:rsidP="00A1353F">
      <w:pPr>
        <w:spacing w:after="0" w:line="252" w:lineRule="auto"/>
        <w:rPr>
          <w:sz w:val="18"/>
        </w:rPr>
      </w:pPr>
    </w:p>
    <w:p w14:paraId="1733E97A" w14:textId="455322BB" w:rsidR="00A1353F" w:rsidRPr="00522FF8" w:rsidRDefault="00EE6E3C" w:rsidP="00A1353F">
      <w:pPr>
        <w:spacing w:after="0" w:line="252" w:lineRule="auto"/>
        <w:rPr>
          <w:b/>
          <w:color w:val="00188F"/>
          <w:sz w:val="18"/>
        </w:rPr>
      </w:pPr>
      <w:r>
        <w:rPr>
          <w:b/>
          <w:color w:val="00188F"/>
          <w:sz w:val="18"/>
        </w:rPr>
        <w:t>Berechnung der Betriebszeit und Service-Levels für Hochverfügbarkeitspaar von SAP HANA auf Azure</w:t>
      </w:r>
    </w:p>
    <w:p w14:paraId="3D90ACB6" w14:textId="66849F34" w:rsidR="00A1353F" w:rsidRPr="0069715D" w:rsidRDefault="00A1353F" w:rsidP="004B20AC">
      <w:pPr>
        <w:spacing w:after="0" w:line="252" w:lineRule="auto"/>
        <w:ind w:left="720"/>
        <w:rPr>
          <w:sz w:val="18"/>
        </w:rPr>
      </w:pPr>
      <w:r>
        <w:rPr>
          <w:sz w:val="18"/>
        </w:rPr>
        <w:t>„</w:t>
      </w:r>
      <w:r>
        <w:rPr>
          <w:b/>
          <w:color w:val="0072C6"/>
          <w:sz w:val="18"/>
        </w:rPr>
        <w:t>Maximal Verfügbare Minuten</w:t>
      </w:r>
      <w:r>
        <w:rPr>
          <w:sz w:val="18"/>
        </w:rPr>
        <w:t>“</w:t>
      </w:r>
      <w:r>
        <w:rPr>
          <w:sz w:val="18"/>
          <w:szCs w:val="18"/>
        </w:rPr>
        <w:t xml:space="preserve"> </w:t>
      </w:r>
      <w:r>
        <w:rPr>
          <w:sz w:val="18"/>
        </w:rPr>
        <w:t>bezeichnet die Summe der kumulierten Minuten während eines Anwendbaren Zeitraums für alle SAP</w:t>
      </w:r>
      <w:r w:rsidR="00A37796">
        <w:rPr>
          <w:sz w:val="18"/>
        </w:rPr>
        <w:t> </w:t>
      </w:r>
      <w:r>
        <w:rPr>
          <w:sz w:val="18"/>
        </w:rPr>
        <w:t>HANA auf Azure-Instanzen, die in demselben Hochverfügbarkeitspaar bereitgestellt werden. Die Maximal verfügbaren Minuten werden ab dem Zeitpunkt gemessen, zu dem zwei oder mehr Instanzen im gleichen Hochverfügbarkeitspaar als Ergebnis einer vom Kunden initiierten Aktion gestartet sind, und bis zu dem Zeitpunkt, an dem der Kunde eine Aktion eingeleitet hat, die zum Stoppen der</w:t>
      </w:r>
      <w:r w:rsidR="00A37796">
        <w:rPr>
          <w:sz w:val="18"/>
        </w:rPr>
        <w:t> </w:t>
      </w:r>
      <w:r>
        <w:rPr>
          <w:sz w:val="18"/>
        </w:rPr>
        <w:t>Instanzen</w:t>
      </w:r>
      <w:r w:rsidR="004B20AC">
        <w:rPr>
          <w:sz w:val="18"/>
        </w:rPr>
        <w:t> </w:t>
      </w:r>
      <w:r>
        <w:rPr>
          <w:sz w:val="18"/>
        </w:rPr>
        <w:t>führt.</w:t>
      </w:r>
    </w:p>
    <w:p w14:paraId="65092DA9" w14:textId="77777777" w:rsidR="00A1353F" w:rsidRPr="0069715D" w:rsidRDefault="00A1353F" w:rsidP="001846CE">
      <w:pPr>
        <w:spacing w:after="0" w:line="252" w:lineRule="auto"/>
        <w:ind w:left="720" w:right="144"/>
        <w:rPr>
          <w:sz w:val="18"/>
        </w:rPr>
      </w:pPr>
      <w:r>
        <w:rPr>
          <w:sz w:val="18"/>
        </w:rPr>
        <w:t>„</w:t>
      </w:r>
      <w:r>
        <w:rPr>
          <w:b/>
          <w:color w:val="0072C6"/>
          <w:sz w:val="18"/>
        </w:rPr>
        <w:t>Ausfallzeit</w:t>
      </w:r>
      <w:r>
        <w:rPr>
          <w:sz w:val="18"/>
        </w:rPr>
        <w:t>“ ist die Gesamtzahl der Minuten unter den Maximal Verfügbaren Minuten, für die keine Verbindung mit SAP HANA auf Azure besteht.</w:t>
      </w:r>
    </w:p>
    <w:p w14:paraId="517F6CEA" w14:textId="11EFCCE5" w:rsidR="00A1353F" w:rsidRDefault="00AC48A7" w:rsidP="00A1353F">
      <w:pPr>
        <w:pStyle w:val="ProductList-Body"/>
        <w:ind w:left="720"/>
      </w:pPr>
      <w:r>
        <w:rPr>
          <w:b/>
          <w:color w:val="0072C6"/>
        </w:rPr>
        <w:t>Betriebszeitprozentsatz</w:t>
      </w:r>
      <w:r w:rsidRPr="0008262F">
        <w:rPr>
          <w:b/>
          <w:color w:val="0072C6"/>
        </w:rPr>
        <w:t xml:space="preserve">: </w:t>
      </w:r>
      <w:r>
        <w:t>Der Betriebszeitprozentsatz für Hochverfügbarkeitspaar von SAP HANA auf Azure wird anhand der folgenden Formel berechnet:</w:t>
      </w:r>
    </w:p>
    <w:p w14:paraId="3D77D4BA" w14:textId="37EA40A6" w:rsidR="00A1353F" w:rsidRPr="00246AD4" w:rsidRDefault="00000000" w:rsidP="004444A0">
      <w:pPr>
        <w:pStyle w:val="ListParagraph"/>
        <w:spacing w:after="120" w:line="240" w:lineRule="auto"/>
        <w:ind w:left="1440"/>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3928B8EA" w14:textId="77777777" w:rsidR="00A1353F" w:rsidRPr="0008262F" w:rsidRDefault="00A1353F" w:rsidP="00A1353F">
      <w:pPr>
        <w:pStyle w:val="ProductList-Body"/>
        <w:ind w:left="720"/>
        <w:rPr>
          <w:b/>
          <w:color w:val="00188F"/>
        </w:rPr>
      </w:pPr>
      <w:r>
        <w:rPr>
          <w:b/>
          <w:color w:val="00188F"/>
        </w:rPr>
        <w:t>Servicegutschrift für Hochverfügbarkeitspaar von SAP HANA auf Azure</w:t>
      </w:r>
      <w:r w:rsidRPr="0008262F">
        <w:rPr>
          <w:b/>
          <w:color w:val="00188F"/>
        </w:rPr>
        <w:t>:</w:t>
      </w:r>
    </w:p>
    <w:tbl>
      <w:tblPr>
        <w:tblW w:w="999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4950"/>
      </w:tblGrid>
      <w:tr w:rsidR="00A1353F" w:rsidRPr="00B44CF9" w14:paraId="0B9B2A7D" w14:textId="77777777" w:rsidTr="000F31B4">
        <w:trPr>
          <w:trHeight w:val="235"/>
          <w:tblHeader/>
        </w:trPr>
        <w:tc>
          <w:tcPr>
            <w:tcW w:w="5040" w:type="dxa"/>
            <w:shd w:val="clear" w:color="auto" w:fill="0072C6"/>
          </w:tcPr>
          <w:p w14:paraId="6A4ABE93" w14:textId="37943353" w:rsidR="00A1353F" w:rsidRPr="001A0074" w:rsidRDefault="00AC48A7" w:rsidP="000F31B4">
            <w:pPr>
              <w:pStyle w:val="ProductList-OfferingBody"/>
              <w:jc w:val="center"/>
              <w:rPr>
                <w:color w:val="FFFFFF" w:themeColor="background1"/>
              </w:rPr>
            </w:pPr>
            <w:r>
              <w:rPr>
                <w:color w:val="FFFFFF" w:themeColor="background1"/>
              </w:rPr>
              <w:t>Betriebszeitprozentsatz</w:t>
            </w:r>
          </w:p>
        </w:tc>
        <w:tc>
          <w:tcPr>
            <w:tcW w:w="4950" w:type="dxa"/>
            <w:shd w:val="clear" w:color="auto" w:fill="0072C6"/>
          </w:tcPr>
          <w:p w14:paraId="507DF7E0" w14:textId="77777777" w:rsidR="00A1353F" w:rsidRPr="001A0074" w:rsidRDefault="00A1353F" w:rsidP="000F31B4">
            <w:pPr>
              <w:pStyle w:val="ProductList-OfferingBody"/>
              <w:jc w:val="center"/>
              <w:rPr>
                <w:color w:val="FFFFFF" w:themeColor="background1"/>
              </w:rPr>
            </w:pPr>
            <w:r>
              <w:rPr>
                <w:color w:val="FFFFFF" w:themeColor="background1"/>
              </w:rPr>
              <w:t>Servicegutschrift</w:t>
            </w:r>
          </w:p>
        </w:tc>
      </w:tr>
      <w:tr w:rsidR="00A1353F" w:rsidRPr="00B44CF9" w14:paraId="1562CE3C" w14:textId="77777777" w:rsidTr="000F31B4">
        <w:trPr>
          <w:trHeight w:val="235"/>
        </w:trPr>
        <w:tc>
          <w:tcPr>
            <w:tcW w:w="5040" w:type="dxa"/>
          </w:tcPr>
          <w:p w14:paraId="5AB9B648" w14:textId="77777777" w:rsidR="00A1353F" w:rsidRPr="0076238C" w:rsidRDefault="00A1353F" w:rsidP="000F31B4">
            <w:pPr>
              <w:pStyle w:val="ProductList-OfferingBody"/>
              <w:jc w:val="center"/>
            </w:pPr>
            <w:r>
              <w:t>&lt; 99,99 %</w:t>
            </w:r>
          </w:p>
        </w:tc>
        <w:tc>
          <w:tcPr>
            <w:tcW w:w="4950" w:type="dxa"/>
          </w:tcPr>
          <w:p w14:paraId="2192BCD4" w14:textId="77777777" w:rsidR="00A1353F" w:rsidRPr="0076238C" w:rsidRDefault="00A1353F" w:rsidP="000F31B4">
            <w:pPr>
              <w:pStyle w:val="ProductList-OfferingBody"/>
              <w:jc w:val="center"/>
            </w:pPr>
            <w:r>
              <w:t>10 %</w:t>
            </w:r>
          </w:p>
        </w:tc>
      </w:tr>
      <w:tr w:rsidR="00A1353F" w:rsidRPr="00B44CF9" w14:paraId="73383C6B" w14:textId="77777777" w:rsidTr="000F31B4">
        <w:trPr>
          <w:trHeight w:val="236"/>
        </w:trPr>
        <w:tc>
          <w:tcPr>
            <w:tcW w:w="5040" w:type="dxa"/>
          </w:tcPr>
          <w:p w14:paraId="0A8E96A3" w14:textId="77777777" w:rsidR="00A1353F" w:rsidRPr="0076238C" w:rsidRDefault="00A1353F" w:rsidP="000F31B4">
            <w:pPr>
              <w:pStyle w:val="ProductList-OfferingBody"/>
              <w:jc w:val="center"/>
            </w:pPr>
            <w:r>
              <w:t>&lt; 99,9 %</w:t>
            </w:r>
          </w:p>
        </w:tc>
        <w:tc>
          <w:tcPr>
            <w:tcW w:w="4950" w:type="dxa"/>
          </w:tcPr>
          <w:p w14:paraId="1B359F98" w14:textId="77777777" w:rsidR="00A1353F" w:rsidRPr="0076238C" w:rsidRDefault="00A1353F" w:rsidP="000F31B4">
            <w:pPr>
              <w:pStyle w:val="ProductList-OfferingBody"/>
              <w:jc w:val="center"/>
            </w:pPr>
            <w:r>
              <w:t>25 %</w:t>
            </w:r>
          </w:p>
        </w:tc>
      </w:tr>
    </w:tbl>
    <w:p w14:paraId="01AA5F92" w14:textId="4B81D197" w:rsidR="00A1353F" w:rsidRPr="00F60A8A" w:rsidRDefault="00EE6E3C" w:rsidP="00665EEE">
      <w:pPr>
        <w:spacing w:before="120" w:after="0" w:line="240" w:lineRule="auto"/>
        <w:rPr>
          <w:b/>
          <w:color w:val="00188F"/>
          <w:sz w:val="18"/>
        </w:rPr>
      </w:pPr>
      <w:r>
        <w:rPr>
          <w:b/>
          <w:color w:val="00188F"/>
          <w:sz w:val="18"/>
        </w:rPr>
        <w:t>Berechnung der Betriebszeit und Service-Levels für Einzelinstanz SAP HANA auf Azure</w:t>
      </w:r>
    </w:p>
    <w:p w14:paraId="00210C81" w14:textId="44BF3516" w:rsidR="00A1353F" w:rsidRDefault="00A1353F" w:rsidP="00A1353F">
      <w:pPr>
        <w:spacing w:after="0" w:line="252" w:lineRule="auto"/>
        <w:ind w:left="720"/>
        <w:rPr>
          <w:sz w:val="18"/>
        </w:rPr>
      </w:pPr>
      <w:r>
        <w:rPr>
          <w:sz w:val="18"/>
        </w:rPr>
        <w:t>„</w:t>
      </w:r>
      <w:r>
        <w:rPr>
          <w:b/>
          <w:color w:val="0072C6"/>
          <w:sz w:val="18"/>
        </w:rPr>
        <w:t>Maximal Verfügbare Minuten</w:t>
      </w:r>
      <w:r>
        <w:rPr>
          <w:sz w:val="18"/>
        </w:rPr>
        <w:t>“ ist die Summe der kumulierten Minuten für alle Einzelinstanzen von SAP HANA auf Azure, die vom</w:t>
      </w:r>
      <w:r w:rsidR="00176AAE">
        <w:rPr>
          <w:sz w:val="18"/>
        </w:rPr>
        <w:t> </w:t>
      </w:r>
      <w:r>
        <w:rPr>
          <w:sz w:val="18"/>
        </w:rPr>
        <w:t xml:space="preserve">Kunden während eines Anwendbaren Zeitraums für ein bestimmtes Microsoft Azure-Abonnement bereitgestellt werden. </w:t>
      </w:r>
    </w:p>
    <w:p w14:paraId="2B39C096" w14:textId="071150CD" w:rsidR="00A1353F" w:rsidRDefault="00A1353F" w:rsidP="001846CE">
      <w:pPr>
        <w:spacing w:after="0" w:line="252" w:lineRule="auto"/>
        <w:ind w:left="720" w:right="144"/>
        <w:rPr>
          <w:sz w:val="18"/>
        </w:rPr>
      </w:pPr>
      <w:r>
        <w:rPr>
          <w:sz w:val="18"/>
        </w:rPr>
        <w:t>„</w:t>
      </w:r>
      <w:r>
        <w:rPr>
          <w:b/>
          <w:color w:val="0072C6"/>
          <w:sz w:val="18"/>
        </w:rPr>
        <w:t>Ausfallzeit</w:t>
      </w:r>
      <w:r>
        <w:rPr>
          <w:sz w:val="18"/>
        </w:rPr>
        <w:t>“ ist die Gesamtzahl der Minuten unter den Maximal Verfügbaren Minuten, für die keine Verbindung mit SAP HANA auf</w:t>
      </w:r>
      <w:r w:rsidR="00176AAE">
        <w:rPr>
          <w:sz w:val="18"/>
        </w:rPr>
        <w:t> </w:t>
      </w:r>
      <w:r>
        <w:rPr>
          <w:sz w:val="18"/>
        </w:rPr>
        <w:t>Azure besteht. Angekündigte Wartungen von Einzelinstanzen werden nicht zur Ausfallzeit gezählt.</w:t>
      </w:r>
    </w:p>
    <w:p w14:paraId="06346CF0" w14:textId="7EB9422E" w:rsidR="00A1353F" w:rsidRDefault="00AC48A7" w:rsidP="00A1353F">
      <w:pPr>
        <w:spacing w:after="0" w:line="252" w:lineRule="auto"/>
        <w:ind w:left="720"/>
        <w:rPr>
          <w:sz w:val="18"/>
        </w:rPr>
      </w:pPr>
      <w:r>
        <w:rPr>
          <w:b/>
          <w:color w:val="0072C6"/>
          <w:sz w:val="18"/>
        </w:rPr>
        <w:t>Betriebszeitprozentsatz</w:t>
      </w:r>
      <w:r w:rsidRPr="0008262F">
        <w:rPr>
          <w:b/>
          <w:color w:val="0072C6"/>
          <w:sz w:val="18"/>
        </w:rPr>
        <w:t xml:space="preserve">: </w:t>
      </w:r>
      <w:r>
        <w:rPr>
          <w:sz w:val="18"/>
        </w:rPr>
        <w:t>Der Betriebszeitprozentsatz für Einzelinstanz von SAP HANA auf Azure wird anhand der folgenden Formel berechnet:</w:t>
      </w:r>
    </w:p>
    <w:p w14:paraId="2443E2EB" w14:textId="30BEF846" w:rsidR="00A1353F" w:rsidRPr="00246AD4" w:rsidRDefault="00000000" w:rsidP="007F3B5E">
      <w:pPr>
        <w:pStyle w:val="ListParagraph"/>
        <w:spacing w:after="120" w:line="240" w:lineRule="auto"/>
        <w:ind w:left="1440"/>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5B651FE5" w14:textId="664C8416" w:rsidR="00A1353F" w:rsidRPr="00665EEE" w:rsidRDefault="00A1353F" w:rsidP="00665EEE">
      <w:pPr>
        <w:pStyle w:val="ProductList-Body"/>
        <w:ind w:left="720"/>
        <w:rPr>
          <w:b/>
          <w:color w:val="00188F"/>
        </w:rPr>
      </w:pPr>
      <w:r w:rsidRPr="00665EEE">
        <w:rPr>
          <w:b/>
          <w:color w:val="00188F"/>
        </w:rPr>
        <w:t>Die folgenden Service-Levels und Servicegutschriften gelten für die Nutzung von Einzelinstanzen von SAP HANA auf Azure durch den</w:t>
      </w:r>
      <w:r w:rsidR="009E6613" w:rsidRPr="00665EEE">
        <w:rPr>
          <w:b/>
          <w:color w:val="00188F"/>
        </w:rPr>
        <w:t> </w:t>
      </w:r>
      <w:r w:rsidRPr="00665EEE">
        <w:rPr>
          <w:b/>
          <w:color w:val="00188F"/>
        </w:rPr>
        <w:t>Kunden:</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30"/>
        <w:gridCol w:w="4950"/>
      </w:tblGrid>
      <w:tr w:rsidR="00A1353F" w:rsidRPr="00B44CF9" w14:paraId="5C67F509" w14:textId="77777777" w:rsidTr="000F31B4">
        <w:trPr>
          <w:trHeight w:val="248"/>
          <w:tblHeader/>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1857BD1" w14:textId="67DB0F7A" w:rsidR="00A1353F" w:rsidRDefault="00AC48A7" w:rsidP="000F31B4">
            <w:pPr>
              <w:pStyle w:val="ProductList-OfferingBody"/>
              <w:spacing w:line="256" w:lineRule="auto"/>
              <w:jc w:val="center"/>
              <w:rPr>
                <w:color w:val="FFFFFF" w:themeColor="background1"/>
              </w:rPr>
            </w:pPr>
            <w:r>
              <w:rPr>
                <w:color w:val="FFFFFF" w:themeColor="background1"/>
              </w:rPr>
              <w:t>Betriebszeitprozentsatz</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8EBE2C9" w14:textId="77777777" w:rsidR="00A1353F" w:rsidRDefault="00A1353F" w:rsidP="000F31B4">
            <w:pPr>
              <w:pStyle w:val="ProductList-OfferingBody"/>
              <w:spacing w:line="256" w:lineRule="auto"/>
              <w:jc w:val="center"/>
              <w:rPr>
                <w:color w:val="FFFFFF" w:themeColor="background1"/>
              </w:rPr>
            </w:pPr>
            <w:r>
              <w:rPr>
                <w:color w:val="FFFFFF" w:themeColor="background1"/>
              </w:rPr>
              <w:t>Servicegutschrift</w:t>
            </w:r>
          </w:p>
        </w:tc>
      </w:tr>
      <w:tr w:rsidR="00A1353F" w:rsidRPr="00B44CF9" w14:paraId="2DA0C933" w14:textId="77777777" w:rsidTr="000F31B4">
        <w:trPr>
          <w:trHeight w:val="248"/>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304711" w14:textId="77777777" w:rsidR="00A1353F" w:rsidRDefault="00A1353F" w:rsidP="000F31B4">
            <w:pPr>
              <w:pStyle w:val="ProductList-OfferingBody"/>
              <w:spacing w:line="256" w:lineRule="auto"/>
              <w:jc w:val="center"/>
            </w:pPr>
            <w:r>
              <w:t>&lt; 99,9 %</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232720" w14:textId="77777777" w:rsidR="00A1353F" w:rsidRDefault="00A1353F" w:rsidP="000F31B4">
            <w:pPr>
              <w:pStyle w:val="ProductList-OfferingBody"/>
              <w:spacing w:line="256" w:lineRule="auto"/>
              <w:jc w:val="center"/>
            </w:pPr>
            <w:r>
              <w:t>10 %</w:t>
            </w:r>
          </w:p>
        </w:tc>
      </w:tr>
      <w:tr w:rsidR="00A1353F" w:rsidRPr="00B44CF9" w14:paraId="0358E243" w14:textId="77777777" w:rsidTr="000F31B4">
        <w:trPr>
          <w:trHeight w:val="249"/>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536373" w14:textId="77777777" w:rsidR="00A1353F" w:rsidRDefault="00A1353F" w:rsidP="000F31B4">
            <w:pPr>
              <w:pStyle w:val="ProductList-OfferingBody"/>
              <w:spacing w:line="256" w:lineRule="auto"/>
              <w:jc w:val="center"/>
            </w:pPr>
            <w:r>
              <w:t>&lt; 99 %</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1AF5E9" w14:textId="77777777" w:rsidR="00A1353F" w:rsidRDefault="00A1353F" w:rsidP="000F31B4">
            <w:pPr>
              <w:pStyle w:val="ProductList-OfferingBody"/>
              <w:spacing w:line="256" w:lineRule="auto"/>
              <w:jc w:val="center"/>
            </w:pPr>
            <w:r>
              <w:t>25 %</w:t>
            </w:r>
          </w:p>
        </w:tc>
      </w:tr>
      <w:tr w:rsidR="00A1353F" w:rsidRPr="00B44CF9" w14:paraId="3724AEC7" w14:textId="77777777" w:rsidTr="000F31B4">
        <w:trPr>
          <w:trHeight w:val="249"/>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ECC623" w14:textId="00A62D0A" w:rsidR="00A1353F" w:rsidRDefault="00A1353F" w:rsidP="000F31B4">
            <w:pPr>
              <w:pStyle w:val="ProductList-OfferingBody"/>
              <w:spacing w:line="256" w:lineRule="auto"/>
              <w:jc w:val="center"/>
            </w:pPr>
            <w:r>
              <w:t>&lt;</w:t>
            </w:r>
            <w:r w:rsidR="00EA5BFD">
              <w:t xml:space="preserve"> </w:t>
            </w:r>
            <w:r>
              <w:t>95 %</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79DD1F" w14:textId="77777777" w:rsidR="00A1353F" w:rsidRDefault="00A1353F" w:rsidP="000F31B4">
            <w:pPr>
              <w:pStyle w:val="ProductList-OfferingBody"/>
              <w:spacing w:line="256" w:lineRule="auto"/>
              <w:jc w:val="center"/>
            </w:pPr>
            <w:r>
              <w:t>100 %</w:t>
            </w:r>
          </w:p>
        </w:tc>
      </w:tr>
    </w:tbl>
    <w:p w14:paraId="1551CAD5" w14:textId="05A49401" w:rsidR="00A1353F" w:rsidRPr="00EF7CF9" w:rsidRDefault="005F7C2C" w:rsidP="00E077E7">
      <w:pPr>
        <w:shd w:val="clear" w:color="auto" w:fill="808080" w:themeFill="background1" w:themeFillShade="80"/>
        <w:spacing w:before="120" w:after="240" w:line="240" w:lineRule="auto"/>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08D9EF78" w14:textId="77777777" w:rsidR="008A01B3" w:rsidRPr="00EF7CF9" w:rsidRDefault="008A01B3" w:rsidP="008A01B3">
      <w:pPr>
        <w:pStyle w:val="ProductList-Offering2Heading"/>
        <w:tabs>
          <w:tab w:val="clear" w:pos="360"/>
          <w:tab w:val="clear" w:pos="720"/>
          <w:tab w:val="clear" w:pos="1080"/>
        </w:tabs>
        <w:outlineLvl w:val="2"/>
      </w:pPr>
      <w:bookmarkStart w:id="502" w:name="_Toc457821569"/>
      <w:bookmarkStart w:id="503" w:name="_Toc52348979"/>
      <w:bookmarkStart w:id="504" w:name="_Toc195543196"/>
      <w:bookmarkStart w:id="505" w:name="_Toc237449057"/>
      <w:r>
        <w:t>Planer</w:t>
      </w:r>
      <w:bookmarkEnd w:id="502"/>
      <w:bookmarkEnd w:id="503"/>
      <w:bookmarkEnd w:id="504"/>
      <w:bookmarkEnd w:id="505"/>
    </w:p>
    <w:p w14:paraId="2BC47509" w14:textId="77777777" w:rsidR="008A01B3" w:rsidRPr="0008262F" w:rsidRDefault="008A01B3" w:rsidP="008A01B3">
      <w:pPr>
        <w:pStyle w:val="ProductList-Body"/>
        <w:rPr>
          <w:b/>
          <w:color w:val="00188F"/>
        </w:rPr>
      </w:pPr>
      <w:r>
        <w:rPr>
          <w:b/>
          <w:color w:val="00188F"/>
        </w:rPr>
        <w:t>Zusätzliche Definitionen</w:t>
      </w:r>
      <w:r w:rsidRPr="0008262F">
        <w:rPr>
          <w:b/>
          <w:color w:val="00188F"/>
        </w:rPr>
        <w:t>:</w:t>
      </w:r>
    </w:p>
    <w:p w14:paraId="2ACA94B7" w14:textId="59EDB228" w:rsidR="008A01B3" w:rsidRPr="00EF7CF9" w:rsidRDefault="008A01B3" w:rsidP="00322067">
      <w:pPr>
        <w:pStyle w:val="ProductList-Body"/>
      </w:pPr>
      <w:r>
        <w:t>„</w:t>
      </w:r>
      <w:r>
        <w:rPr>
          <w:b/>
          <w:color w:val="00188F"/>
        </w:rPr>
        <w:t>Maximal Verfügbare Minuten</w:t>
      </w:r>
      <w:r>
        <w:t>“ ist die Gesamtzahl der Minuten in einem Anwendbaren Zeitraum.</w:t>
      </w:r>
    </w:p>
    <w:p w14:paraId="38B7FE08" w14:textId="77777777" w:rsidR="008A01B3" w:rsidRPr="00EF7CF9" w:rsidRDefault="008A01B3" w:rsidP="00322067">
      <w:pPr>
        <w:pStyle w:val="ProductList-Body"/>
      </w:pPr>
      <w:r>
        <w:t>„</w:t>
      </w:r>
      <w:r>
        <w:rPr>
          <w:b/>
          <w:color w:val="00188F"/>
        </w:rPr>
        <w:t>Geplante Ausführungszeit</w:t>
      </w:r>
      <w:r>
        <w:t>“ ist ein Zeitpunkt, zu dem ein Job mit der Ausführung beginnen soll.</w:t>
      </w:r>
    </w:p>
    <w:p w14:paraId="059952AD" w14:textId="77777777" w:rsidR="008A01B3" w:rsidRPr="00EF7CF9" w:rsidRDefault="008A01B3" w:rsidP="00322067">
      <w:pPr>
        <w:pStyle w:val="ProductList-Body"/>
      </w:pPr>
      <w:r>
        <w:t>„</w:t>
      </w:r>
      <w:r>
        <w:rPr>
          <w:b/>
          <w:color w:val="00188F"/>
        </w:rPr>
        <w:t>Geplanter Job</w:t>
      </w:r>
      <w:r>
        <w:t>“ bezeichnet eine von Ihnen festgelegte Aktion, die innerhalb von Microsoft Azure nach einem bestimmten Zeitplan ausgeführt werden soll.</w:t>
      </w:r>
    </w:p>
    <w:p w14:paraId="76881DF2" w14:textId="0ED88585" w:rsidR="008A01B3" w:rsidRPr="00EF7CF9" w:rsidRDefault="008A01B3" w:rsidP="00322067">
      <w:pPr>
        <w:pStyle w:val="ProductList-Body"/>
      </w:pPr>
      <w:r>
        <w:rPr>
          <w:b/>
          <w:color w:val="00188F"/>
        </w:rPr>
        <w:t>Ausfallzeit</w:t>
      </w:r>
      <w:r w:rsidRPr="0008262F">
        <w:rPr>
          <w:b/>
          <w:color w:val="00188F"/>
        </w:rPr>
        <w:t>:</w:t>
      </w:r>
      <w:r>
        <w:t xml:space="preserve"> Die kumulierten Gesamtminuten in einem Anwendbaren Zeitraum, in denen sich mindestens einer Ihrer Geplanten Jobs in einem Zustand der verzögerten Ausführung befindet. Ein bestimmter Geplanter Job befindet sich in einem Status mit verzögerter Ausführung, wenn seine Ausführung nach der Geplanten Ausführungszeit noch nicht begonnen hat. Eine verzögerte Ausführungszeit wird nicht als Ausfallzeit betrachtet, wenn die Ausführung des Geplanten Jobs innerhalb von dreißig (30) Minuten nach der Geplanten Ausführungszeit beginnt.</w:t>
      </w:r>
    </w:p>
    <w:p w14:paraId="7B8ADE56" w14:textId="0D816BE0" w:rsidR="008A01B3" w:rsidRPr="00EF7CF9" w:rsidRDefault="00AC48A7" w:rsidP="008A01B3">
      <w:pPr>
        <w:pStyle w:val="ProductList-Body"/>
      </w:pPr>
      <w:r>
        <w:rPr>
          <w:b/>
          <w:color w:val="00188F"/>
        </w:rPr>
        <w:t>Betriebszeitprozentsatz</w:t>
      </w:r>
      <w:r w:rsidRPr="0008262F">
        <w:rPr>
          <w:b/>
          <w:color w:val="00188F"/>
        </w:rPr>
        <w:t>:</w:t>
      </w:r>
      <w:r>
        <w:t xml:space="preserve"> Der Betriebszeitprozentsatz errechnet sich nach folgender Formel:</w:t>
      </w:r>
    </w:p>
    <w:p w14:paraId="6F73F6C8" w14:textId="6C4E61AD" w:rsidR="008A01B3" w:rsidRPr="00246AD4" w:rsidRDefault="00000000" w:rsidP="004444A0">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4ECF4B18" w14:textId="77777777" w:rsidR="008A01B3" w:rsidRPr="00EF7CF9" w:rsidRDefault="008A01B3" w:rsidP="008A01B3">
      <w:pPr>
        <w:pStyle w:val="ProductList-Body"/>
      </w:pPr>
      <w:r>
        <w:rPr>
          <w:b/>
          <w:color w:val="00188F"/>
        </w:rPr>
        <w:t>Servicegutschrift</w:t>
      </w:r>
      <w:r w:rsidRPr="0008262F">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A01B3" w:rsidRPr="00B44CF9" w14:paraId="1A2971D9" w14:textId="77777777" w:rsidTr="00277097">
        <w:trPr>
          <w:tblHeader/>
        </w:trPr>
        <w:tc>
          <w:tcPr>
            <w:tcW w:w="5400" w:type="dxa"/>
            <w:shd w:val="clear" w:color="auto" w:fill="0072C6"/>
          </w:tcPr>
          <w:p w14:paraId="0180BC0D" w14:textId="391427F9" w:rsidR="008A01B3" w:rsidRPr="00EF7CF9" w:rsidRDefault="00AC48A7" w:rsidP="000F31B4">
            <w:pPr>
              <w:pStyle w:val="ProductList-OfferingBody"/>
              <w:jc w:val="center"/>
              <w:rPr>
                <w:color w:val="FFFFFF" w:themeColor="background1"/>
              </w:rPr>
            </w:pPr>
            <w:r>
              <w:rPr>
                <w:color w:val="FFFFFF" w:themeColor="background1"/>
              </w:rPr>
              <w:lastRenderedPageBreak/>
              <w:t>Betriebszeitprozentsatz</w:t>
            </w:r>
          </w:p>
        </w:tc>
        <w:tc>
          <w:tcPr>
            <w:tcW w:w="5400" w:type="dxa"/>
            <w:shd w:val="clear" w:color="auto" w:fill="0072C6"/>
          </w:tcPr>
          <w:p w14:paraId="42BAFA84" w14:textId="77777777" w:rsidR="008A01B3" w:rsidRPr="00EF7CF9" w:rsidRDefault="008A01B3" w:rsidP="000F31B4">
            <w:pPr>
              <w:pStyle w:val="ProductList-OfferingBody"/>
              <w:jc w:val="center"/>
              <w:rPr>
                <w:color w:val="FFFFFF" w:themeColor="background1"/>
              </w:rPr>
            </w:pPr>
            <w:r>
              <w:rPr>
                <w:color w:val="FFFFFF" w:themeColor="background1"/>
              </w:rPr>
              <w:t>Servicegutschrift</w:t>
            </w:r>
          </w:p>
        </w:tc>
      </w:tr>
      <w:tr w:rsidR="008A01B3" w:rsidRPr="00B44CF9" w14:paraId="42193A91" w14:textId="77777777" w:rsidTr="00277097">
        <w:tc>
          <w:tcPr>
            <w:tcW w:w="5400" w:type="dxa"/>
          </w:tcPr>
          <w:p w14:paraId="4301533F" w14:textId="77777777" w:rsidR="008A01B3" w:rsidRPr="00EF7CF9" w:rsidRDefault="008A01B3" w:rsidP="000F31B4">
            <w:pPr>
              <w:pStyle w:val="ProductList-OfferingBody"/>
              <w:jc w:val="center"/>
            </w:pPr>
            <w:r>
              <w:t>&lt; 99,9 %</w:t>
            </w:r>
          </w:p>
        </w:tc>
        <w:tc>
          <w:tcPr>
            <w:tcW w:w="5400" w:type="dxa"/>
          </w:tcPr>
          <w:p w14:paraId="24E36152" w14:textId="77777777" w:rsidR="008A01B3" w:rsidRPr="00EF7CF9" w:rsidRDefault="008A01B3" w:rsidP="000F31B4">
            <w:pPr>
              <w:pStyle w:val="ProductList-OfferingBody"/>
              <w:jc w:val="center"/>
            </w:pPr>
            <w:r>
              <w:t>10 %</w:t>
            </w:r>
          </w:p>
        </w:tc>
      </w:tr>
      <w:tr w:rsidR="008A01B3" w:rsidRPr="00B44CF9" w14:paraId="196DBFBE" w14:textId="77777777" w:rsidTr="00277097">
        <w:tc>
          <w:tcPr>
            <w:tcW w:w="5400" w:type="dxa"/>
          </w:tcPr>
          <w:p w14:paraId="5CE893DB" w14:textId="77777777" w:rsidR="008A01B3" w:rsidRPr="00EF7CF9" w:rsidRDefault="008A01B3" w:rsidP="000F31B4">
            <w:pPr>
              <w:pStyle w:val="ProductList-OfferingBody"/>
              <w:jc w:val="center"/>
            </w:pPr>
            <w:r>
              <w:t>&lt; 99 %</w:t>
            </w:r>
          </w:p>
        </w:tc>
        <w:tc>
          <w:tcPr>
            <w:tcW w:w="5400" w:type="dxa"/>
          </w:tcPr>
          <w:p w14:paraId="617D27D3" w14:textId="77777777" w:rsidR="008A01B3" w:rsidRPr="00EF7CF9" w:rsidRDefault="008A01B3" w:rsidP="000F31B4">
            <w:pPr>
              <w:pStyle w:val="ProductList-OfferingBody"/>
              <w:jc w:val="center"/>
            </w:pPr>
            <w:r>
              <w:t>25 %</w:t>
            </w:r>
          </w:p>
        </w:tc>
      </w:tr>
    </w:tbl>
    <w:bookmarkStart w:id="506" w:name="_Toc457821574"/>
    <w:bookmarkStart w:id="507" w:name="_Toc52348984"/>
    <w:bookmarkStart w:id="508" w:name="ServiceBusServiceRelays"/>
    <w:p w14:paraId="69035CA3" w14:textId="7FC11140"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1551E196" w14:textId="5F3D7988" w:rsidR="008A01B3" w:rsidRPr="00EF7CF9" w:rsidRDefault="008A01B3" w:rsidP="00BE21E9">
      <w:pPr>
        <w:pStyle w:val="ProductList-Offering2Heading"/>
        <w:keepNext/>
        <w:tabs>
          <w:tab w:val="clear" w:pos="360"/>
          <w:tab w:val="clear" w:pos="720"/>
          <w:tab w:val="clear" w:pos="1080"/>
        </w:tabs>
        <w:outlineLvl w:val="2"/>
      </w:pPr>
      <w:bookmarkStart w:id="509" w:name="_Toc195543197"/>
      <w:bookmarkStart w:id="510" w:name="_Toc237449058"/>
      <w:r>
        <w:t>Service-Bus</w:t>
      </w:r>
      <w:bookmarkEnd w:id="506"/>
      <w:bookmarkEnd w:id="507"/>
      <w:bookmarkEnd w:id="509"/>
      <w:bookmarkEnd w:id="510"/>
    </w:p>
    <w:bookmarkEnd w:id="508"/>
    <w:p w14:paraId="0147F982" w14:textId="77777777" w:rsidR="008A01B3" w:rsidRPr="00EF7CF9" w:rsidRDefault="008A01B3" w:rsidP="001846CE">
      <w:pPr>
        <w:pStyle w:val="ProductList-Body"/>
        <w:keepNext/>
        <w:keepLines/>
      </w:pPr>
      <w:r>
        <w:rPr>
          <w:b/>
          <w:color w:val="00188F"/>
        </w:rPr>
        <w:t>Zusätzliche Definitionen</w:t>
      </w:r>
      <w:r w:rsidRPr="0008262F">
        <w:rPr>
          <w:b/>
          <w:color w:val="00188F"/>
        </w:rPr>
        <w:t>:</w:t>
      </w:r>
    </w:p>
    <w:p w14:paraId="166D0296" w14:textId="77777777" w:rsidR="007E7B7A" w:rsidRPr="00D6124B" w:rsidRDefault="007E7B7A" w:rsidP="007E7B7A">
      <w:pPr>
        <w:pStyle w:val="ProductList-Body"/>
        <w:rPr>
          <w:rFonts w:ascii="Calibri" w:hAnsi="Calibri" w:cs="Calibri"/>
        </w:rPr>
      </w:pPr>
      <w:bookmarkStart w:id="511" w:name="_Toc526859711"/>
      <w:bookmarkStart w:id="512" w:name="_Toc52348985"/>
      <w:bookmarkStart w:id="513" w:name="_Toc457821577"/>
      <w:r>
        <w:rPr>
          <w:rFonts w:ascii="Calibri" w:hAnsi="Calibri" w:cs="Calibri"/>
        </w:rPr>
        <w:t>„</w:t>
      </w:r>
      <w:r>
        <w:rPr>
          <w:rFonts w:ascii="Calibri" w:hAnsi="Calibri" w:cs="Calibri"/>
          <w:b/>
          <w:color w:val="00188F"/>
        </w:rPr>
        <w:t>Nachricht</w:t>
      </w:r>
      <w:r>
        <w:rPr>
          <w:rFonts w:ascii="Calibri" w:hAnsi="Calibri" w:cs="Calibri"/>
        </w:rPr>
        <w:t>“ sind alle benutzerdefinierten Inhalte, die mithilfe eines von Service Bus unterstützten Protokolls über Service Bus-Relais, Warteschlangen oder Themen gesendet oder empfangen werden.</w:t>
      </w:r>
    </w:p>
    <w:p w14:paraId="6F08FDB2" w14:textId="77777777" w:rsidR="007E7B7A" w:rsidRPr="00D6124B" w:rsidRDefault="007E7B7A" w:rsidP="007E7B7A">
      <w:pPr>
        <w:pStyle w:val="ProductList-Body"/>
        <w:rPr>
          <w:rFonts w:ascii="Calibri" w:hAnsi="Calibri" w:cs="Calibri"/>
        </w:rPr>
      </w:pPr>
      <w:r>
        <w:rPr>
          <w:rFonts w:ascii="Calibri" w:hAnsi="Calibri" w:cs="Calibri"/>
        </w:rPr>
        <w:t>„</w:t>
      </w:r>
      <w:r>
        <w:rPr>
          <w:rFonts w:ascii="Calibri" w:hAnsi="Calibri" w:cs="Calibri"/>
          <w:b/>
          <w:bCs/>
          <w:color w:val="00188F"/>
        </w:rPr>
        <w:t>Verfügbarkeitszone</w:t>
      </w:r>
      <w:r>
        <w:rPr>
          <w:rFonts w:ascii="Calibri" w:hAnsi="Calibri" w:cs="Calibri"/>
        </w:rPr>
        <w:t>“ ist ein fehlerisolierter Bereich in einer Azure-Region, der redundante Stromversorgung, Kühlung und Vernetzung zur Verfügung stellt.</w:t>
      </w:r>
    </w:p>
    <w:p w14:paraId="46F98143" w14:textId="77777777" w:rsidR="007E7B7A" w:rsidRPr="00D6124B" w:rsidRDefault="007E7B7A" w:rsidP="007E7B7A">
      <w:pPr>
        <w:pStyle w:val="ProductList-Body"/>
        <w:rPr>
          <w:rFonts w:ascii="Calibri" w:hAnsi="Calibri" w:cs="Calibri"/>
          <w:color w:val="000000" w:themeColor="text1"/>
        </w:rPr>
      </w:pPr>
      <w:r>
        <w:rPr>
          <w:rFonts w:ascii="Calibri" w:hAnsi="Calibri" w:cs="Calibri"/>
          <w:color w:val="000000" w:themeColor="text1"/>
        </w:rPr>
        <w:t>„</w:t>
      </w:r>
      <w:r>
        <w:rPr>
          <w:rFonts w:ascii="Calibri" w:hAnsi="Calibri" w:cs="Calibri"/>
          <w:b/>
          <w:bCs/>
          <w:color w:val="00188F"/>
        </w:rPr>
        <w:t>Bereitstellungsminuten</w:t>
      </w:r>
      <w:r>
        <w:rPr>
          <w:rFonts w:ascii="Calibri" w:hAnsi="Calibri" w:cs="Calibri"/>
          <w:color w:val="000000" w:themeColor="text1"/>
        </w:rPr>
        <w:t>“ ist die Gesamtzahl der Minuten, in denen ein bestimmtes Relais, eine bestimmte Warteschlange oder ein bestimmtes Thema während eines anwendbaren Zeitraums in Microsoft Azure bereitgestellt wird.</w:t>
      </w:r>
    </w:p>
    <w:p w14:paraId="6CE0BAE2" w14:textId="77777777" w:rsidR="007E7B7A" w:rsidRPr="00D6124B" w:rsidRDefault="007E7B7A" w:rsidP="007E7B7A">
      <w:pPr>
        <w:pStyle w:val="ProductList-Body"/>
        <w:rPr>
          <w:rFonts w:ascii="Calibri" w:hAnsi="Calibri" w:cs="Calibri"/>
          <w:color w:val="000000" w:themeColor="text1"/>
        </w:rPr>
      </w:pPr>
      <w:r>
        <w:rPr>
          <w:rFonts w:ascii="Calibri" w:hAnsi="Calibri" w:cs="Calibri"/>
          <w:color w:val="000000" w:themeColor="text1"/>
        </w:rPr>
        <w:t>„</w:t>
      </w:r>
      <w:r>
        <w:rPr>
          <w:rFonts w:ascii="Calibri" w:hAnsi="Calibri" w:cs="Calibri"/>
          <w:b/>
          <w:bCs/>
          <w:color w:val="00188F"/>
        </w:rPr>
        <w:t>Maximal verfügbare Minuten</w:t>
      </w:r>
      <w:r>
        <w:rPr>
          <w:rFonts w:ascii="Calibri" w:hAnsi="Calibri" w:cs="Calibri"/>
          <w:color w:val="000000" w:themeColor="text1"/>
        </w:rPr>
        <w:t>“ bezeichnet die Summe aller Bereitstellungsminuten für alle Relais, Warteschlangen und Themen, die von Ihnen in einem bestimmten Microsoft Azure-Abonnement während eines anwendbaren Zeitraums bereitgestellt werden.</w:t>
      </w:r>
    </w:p>
    <w:p w14:paraId="046E5E40" w14:textId="77777777" w:rsidR="007E7B7A" w:rsidRPr="00D6124B" w:rsidRDefault="007E7B7A" w:rsidP="007E7B7A">
      <w:pPr>
        <w:pStyle w:val="ProductList-Body"/>
        <w:rPr>
          <w:rFonts w:ascii="Calibri" w:hAnsi="Calibri" w:cs="Calibri"/>
          <w:color w:val="000000" w:themeColor="text1"/>
        </w:rPr>
      </w:pPr>
      <w:r>
        <w:rPr>
          <w:rFonts w:ascii="Calibri" w:hAnsi="Calibri" w:cs="Calibri"/>
          <w:b/>
          <w:bCs/>
          <w:color w:val="00188F"/>
        </w:rPr>
        <w:t>Ausfallzeit:</w:t>
      </w:r>
      <w:r>
        <w:rPr>
          <w:rFonts w:ascii="Calibri" w:hAnsi="Calibri" w:cs="Calibri"/>
          <w:color w:val="000000" w:themeColor="text1"/>
        </w:rPr>
        <w:t xml:space="preserve"> Die Gesamtzahl der Bereitstellungsminuten aller Relais, Warteschlangen und Themen, die von Ihnen in einem bestimmten Microsoft Azure-Abonnement bereitgestellt werden, während derer das Relais, die Warteschlange oder das Thema nicht verfügbar ist. Eine Minute gilt für ein bestimmtes Relais, eine bestimmte Warteschlange oder ein bestimmtes Thema als nicht verfügbar, wenn alle kontinuierlichen Versuche, während dieser Minute Nachrichten zu senden oder zu empfangen oder andere Vorgänge in Bezug auf das Relais, die Warteschlange oder das Thema durchzuführen, entweder einen Fehlercode zurückgeben oder innerhalb von fünf Minuten nicht zu einem Erfolgscode führen.</w:t>
      </w:r>
    </w:p>
    <w:p w14:paraId="19227154" w14:textId="77777777" w:rsidR="007E7B7A" w:rsidRPr="00D6124B" w:rsidRDefault="007E7B7A" w:rsidP="007E7B7A">
      <w:pPr>
        <w:pStyle w:val="ProductList-Body"/>
        <w:rPr>
          <w:rFonts w:ascii="Calibri" w:hAnsi="Calibri" w:cs="Calibri"/>
          <w:color w:val="000000" w:themeColor="text1"/>
        </w:rPr>
      </w:pPr>
      <w:r>
        <w:rPr>
          <w:rFonts w:ascii="Calibri" w:hAnsi="Calibri" w:cs="Calibri"/>
          <w:b/>
          <w:bCs/>
          <w:color w:val="00188F"/>
        </w:rPr>
        <w:t>Betriebszeitprozentsatz:</w:t>
      </w:r>
      <w:r>
        <w:rPr>
          <w:rFonts w:ascii="Calibri" w:hAnsi="Calibri" w:cs="Calibri"/>
          <w:color w:val="000000" w:themeColor="text1"/>
        </w:rPr>
        <w:t xml:space="preserve"> für Relais, Warteschlangen und Themen wird berechnet als maximal verfügbare Minuten abzüglich Ausfallzeit geteilt durch die maximal verfügbaren Minuten in einem anwendbaren Zeitraum für ein bestimmtes Microsoft Azure-Abonnement.</w:t>
      </w:r>
    </w:p>
    <w:p w14:paraId="59626035" w14:textId="77777777" w:rsidR="007E7B7A" w:rsidRPr="00D6124B" w:rsidRDefault="007E7B7A" w:rsidP="007E7B7A">
      <w:pPr>
        <w:pStyle w:val="ProductList-Body"/>
        <w:rPr>
          <w:rFonts w:ascii="Calibri" w:hAnsi="Calibri" w:cs="Calibri"/>
          <w:color w:val="000000" w:themeColor="text1"/>
        </w:rPr>
      </w:pPr>
      <w:r>
        <w:rPr>
          <w:rFonts w:ascii="Calibri" w:hAnsi="Calibri" w:cs="Calibri"/>
          <w:color w:val="000000" w:themeColor="text1"/>
        </w:rPr>
        <w:t>Der Betriebszeitprozentsatz wird durch die folgende Formel ermittelt:</w:t>
      </w:r>
    </w:p>
    <w:p w14:paraId="2E11B00A" w14:textId="77777777" w:rsidR="007E7B7A" w:rsidRPr="00EF7CF9" w:rsidRDefault="00000000" w:rsidP="007E7B7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Maximal verfügbare Minuten – Ausfallzeit</m:t>
              </m:r>
            </m:num>
            <m:den>
              <m:r>
                <m:rPr>
                  <m:nor/>
                </m:rPr>
                <w:rPr>
                  <w:rFonts w:ascii="Cambria Math" w:hAnsi="Cambria Math" w:cs="Tahoma"/>
                  <w:i/>
                  <w:sz w:val="18"/>
                  <w:szCs w:val="18"/>
                </w:rPr>
                <m:t>Maximal verfügbare Minuten</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79B40DA" w14:textId="77777777" w:rsidR="007E7B7A" w:rsidRPr="00513FBB" w:rsidRDefault="007E7B7A" w:rsidP="007E7B7A">
      <w:pPr>
        <w:pStyle w:val="ProductList-Body"/>
        <w:rPr>
          <w:rFonts w:ascii="Calibri" w:hAnsi="Calibri" w:cs="Calibri"/>
          <w:b/>
          <w:bCs/>
          <w:color w:val="00188F"/>
        </w:rPr>
      </w:pPr>
      <w:r>
        <w:rPr>
          <w:rFonts w:ascii="Calibri" w:hAnsi="Calibri" w:cs="Calibri"/>
          <w:b/>
          <w:bCs/>
          <w:color w:val="00188F"/>
        </w:rPr>
        <w:t>Berechnung der Betriebszeit und Service-Levels für Warteschlangen und Themen</w:t>
      </w:r>
    </w:p>
    <w:p w14:paraId="1A13E781" w14:textId="77777777" w:rsidR="007E7B7A" w:rsidRDefault="007E7B7A" w:rsidP="007E7B7A">
      <w:pPr>
        <w:pStyle w:val="ProductList-Body"/>
        <w:rPr>
          <w:rFonts w:ascii="Calibri" w:hAnsi="Calibri" w:cs="Calibri"/>
          <w:b/>
          <w:bCs/>
          <w:color w:val="00188F"/>
        </w:rPr>
      </w:pPr>
      <w:r>
        <w:rPr>
          <w:rFonts w:ascii="Calibri" w:hAnsi="Calibri" w:cs="Calibri"/>
          <w:b/>
          <w:bCs/>
          <w:color w:val="00188F"/>
        </w:rPr>
        <w:t>Die folgenden Servicelevel und Servicegutschriften gelten für die Nutzung von Warteschlangen und Themen durch den Kunden in allen Stufen mit Bereitstellung außerhalb von Regionen mit Verfügbarkeitszonenunterstützung: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E7B7A" w:rsidRPr="00EF7CF9" w14:paraId="7850A3F0" w14:textId="77777777" w:rsidTr="001255D6">
        <w:trPr>
          <w:tblHeader/>
        </w:trPr>
        <w:tc>
          <w:tcPr>
            <w:tcW w:w="5400" w:type="dxa"/>
            <w:shd w:val="clear" w:color="auto" w:fill="0072C6"/>
          </w:tcPr>
          <w:p w14:paraId="08A50088" w14:textId="77777777" w:rsidR="007E7B7A" w:rsidRPr="00C311B3" w:rsidRDefault="007E7B7A"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Betriebszeitprozentsatz</w:t>
            </w:r>
          </w:p>
        </w:tc>
        <w:tc>
          <w:tcPr>
            <w:tcW w:w="5400" w:type="dxa"/>
            <w:shd w:val="clear" w:color="auto" w:fill="0072C6"/>
          </w:tcPr>
          <w:p w14:paraId="3D120B84" w14:textId="77777777" w:rsidR="007E7B7A" w:rsidRPr="00C311B3" w:rsidRDefault="007E7B7A"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Servicegutschrift</w:t>
            </w:r>
          </w:p>
        </w:tc>
      </w:tr>
      <w:tr w:rsidR="007E7B7A" w:rsidRPr="00EF7CF9" w14:paraId="43352015" w14:textId="77777777" w:rsidTr="001255D6">
        <w:tc>
          <w:tcPr>
            <w:tcW w:w="5400" w:type="dxa"/>
          </w:tcPr>
          <w:p w14:paraId="48AE17FC" w14:textId="77777777" w:rsidR="007E7B7A" w:rsidRPr="00C311B3" w:rsidRDefault="007E7B7A" w:rsidP="001255D6">
            <w:pPr>
              <w:pStyle w:val="ProductList-OfferingBody"/>
              <w:jc w:val="center"/>
              <w:rPr>
                <w:rFonts w:ascii="Calibri" w:hAnsi="Calibri" w:cs="Calibri"/>
                <w:szCs w:val="16"/>
              </w:rPr>
            </w:pPr>
            <w:r>
              <w:rPr>
                <w:rFonts w:ascii="Calibri" w:hAnsi="Calibri" w:cs="Calibri"/>
                <w:szCs w:val="16"/>
              </w:rPr>
              <w:t>&lt; 99,9 %</w:t>
            </w:r>
          </w:p>
        </w:tc>
        <w:tc>
          <w:tcPr>
            <w:tcW w:w="5400" w:type="dxa"/>
          </w:tcPr>
          <w:p w14:paraId="59DB0AAB" w14:textId="77777777" w:rsidR="007E7B7A" w:rsidRPr="00C311B3" w:rsidRDefault="007E7B7A" w:rsidP="001255D6">
            <w:pPr>
              <w:pStyle w:val="ProductList-OfferingBody"/>
              <w:jc w:val="center"/>
              <w:rPr>
                <w:rFonts w:ascii="Calibri" w:hAnsi="Calibri" w:cs="Calibri"/>
                <w:szCs w:val="16"/>
              </w:rPr>
            </w:pPr>
            <w:r>
              <w:rPr>
                <w:rFonts w:ascii="Calibri" w:hAnsi="Calibri" w:cs="Calibri"/>
                <w:szCs w:val="16"/>
              </w:rPr>
              <w:t>10 %</w:t>
            </w:r>
          </w:p>
        </w:tc>
      </w:tr>
      <w:tr w:rsidR="007E7B7A" w:rsidRPr="00EF7CF9" w14:paraId="6D36328E" w14:textId="77777777" w:rsidTr="001255D6">
        <w:tc>
          <w:tcPr>
            <w:tcW w:w="5400" w:type="dxa"/>
          </w:tcPr>
          <w:p w14:paraId="681C96ED" w14:textId="77777777" w:rsidR="007E7B7A" w:rsidRPr="00C311B3" w:rsidRDefault="007E7B7A" w:rsidP="001255D6">
            <w:pPr>
              <w:pStyle w:val="ProductList-OfferingBody"/>
              <w:jc w:val="center"/>
              <w:rPr>
                <w:rFonts w:ascii="Calibri" w:hAnsi="Calibri" w:cs="Calibri"/>
                <w:szCs w:val="16"/>
              </w:rPr>
            </w:pPr>
            <w:r>
              <w:rPr>
                <w:rFonts w:ascii="Calibri" w:hAnsi="Calibri" w:cs="Calibri"/>
                <w:szCs w:val="16"/>
              </w:rPr>
              <w:t>&lt; 99 %</w:t>
            </w:r>
          </w:p>
        </w:tc>
        <w:tc>
          <w:tcPr>
            <w:tcW w:w="5400" w:type="dxa"/>
          </w:tcPr>
          <w:p w14:paraId="2BD6DF03" w14:textId="77777777" w:rsidR="007E7B7A" w:rsidRPr="00C311B3" w:rsidRDefault="007E7B7A" w:rsidP="001255D6">
            <w:pPr>
              <w:pStyle w:val="ProductList-OfferingBody"/>
              <w:jc w:val="center"/>
              <w:rPr>
                <w:rFonts w:ascii="Calibri" w:hAnsi="Calibri" w:cs="Calibri"/>
                <w:szCs w:val="16"/>
              </w:rPr>
            </w:pPr>
            <w:r>
              <w:rPr>
                <w:rFonts w:ascii="Calibri" w:hAnsi="Calibri" w:cs="Calibri"/>
                <w:szCs w:val="16"/>
              </w:rPr>
              <w:t>25 %</w:t>
            </w:r>
          </w:p>
        </w:tc>
      </w:tr>
    </w:tbl>
    <w:p w14:paraId="533E61D4" w14:textId="77777777" w:rsidR="007E7B7A" w:rsidRPr="00C311B3" w:rsidRDefault="007E7B7A" w:rsidP="007E7B7A">
      <w:pPr>
        <w:pStyle w:val="ProductList-Body"/>
        <w:spacing w:before="120"/>
        <w:rPr>
          <w:rFonts w:ascii="Calibri" w:hAnsi="Calibri" w:cs="Calibri"/>
          <w:b/>
          <w:bCs/>
          <w:color w:val="00188F"/>
        </w:rPr>
      </w:pPr>
      <w:r>
        <w:rPr>
          <w:rFonts w:ascii="Calibri" w:hAnsi="Calibri" w:cs="Calibri"/>
          <w:b/>
          <w:bCs/>
          <w:color w:val="00188F"/>
        </w:rPr>
        <w:t>Die folgenden Servicelevel und Servicegutschriften gelten für die Nutzung von Warteschlangen und Themen durch den Kunden in der Premium-Stufe mit Bereitstellung in Regionen mit Verfügbarkeitszonenunterstützung: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E7B7A" w:rsidRPr="00EF7CF9" w14:paraId="1ED75D24" w14:textId="77777777" w:rsidTr="001255D6">
        <w:trPr>
          <w:tblHeader/>
        </w:trPr>
        <w:tc>
          <w:tcPr>
            <w:tcW w:w="5400" w:type="dxa"/>
            <w:shd w:val="clear" w:color="auto" w:fill="0072C6"/>
          </w:tcPr>
          <w:p w14:paraId="1B3BDFC1" w14:textId="77777777" w:rsidR="007E7B7A" w:rsidRPr="00C311B3" w:rsidRDefault="007E7B7A"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Betriebszeitprozentsatz</w:t>
            </w:r>
          </w:p>
        </w:tc>
        <w:tc>
          <w:tcPr>
            <w:tcW w:w="5400" w:type="dxa"/>
            <w:shd w:val="clear" w:color="auto" w:fill="0072C6"/>
          </w:tcPr>
          <w:p w14:paraId="6303AB81" w14:textId="77777777" w:rsidR="007E7B7A" w:rsidRPr="00C311B3" w:rsidRDefault="007E7B7A"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Servicegutschrift</w:t>
            </w:r>
          </w:p>
        </w:tc>
      </w:tr>
      <w:tr w:rsidR="007E7B7A" w:rsidRPr="00EF7CF9" w14:paraId="47DAE9E3" w14:textId="77777777" w:rsidTr="001255D6">
        <w:tc>
          <w:tcPr>
            <w:tcW w:w="5400" w:type="dxa"/>
          </w:tcPr>
          <w:p w14:paraId="471CE96C" w14:textId="77777777" w:rsidR="007E7B7A" w:rsidRPr="00C311B3" w:rsidRDefault="007E7B7A" w:rsidP="001255D6">
            <w:pPr>
              <w:pStyle w:val="ProductList-OfferingBody"/>
              <w:jc w:val="center"/>
              <w:rPr>
                <w:rFonts w:ascii="Calibri" w:hAnsi="Calibri" w:cs="Calibri"/>
                <w:szCs w:val="16"/>
              </w:rPr>
            </w:pPr>
            <w:r>
              <w:rPr>
                <w:rFonts w:ascii="Calibri" w:hAnsi="Calibri" w:cs="Calibri"/>
                <w:szCs w:val="16"/>
              </w:rPr>
              <w:t>&lt; 99,99 %</w:t>
            </w:r>
          </w:p>
        </w:tc>
        <w:tc>
          <w:tcPr>
            <w:tcW w:w="5400" w:type="dxa"/>
          </w:tcPr>
          <w:p w14:paraId="3B33A8AE" w14:textId="77777777" w:rsidR="007E7B7A" w:rsidRPr="00C311B3" w:rsidRDefault="007E7B7A" w:rsidP="001255D6">
            <w:pPr>
              <w:pStyle w:val="ProductList-OfferingBody"/>
              <w:jc w:val="center"/>
              <w:rPr>
                <w:rFonts w:ascii="Calibri" w:hAnsi="Calibri" w:cs="Calibri"/>
                <w:szCs w:val="16"/>
              </w:rPr>
            </w:pPr>
            <w:r>
              <w:rPr>
                <w:rFonts w:ascii="Calibri" w:hAnsi="Calibri" w:cs="Calibri"/>
                <w:szCs w:val="16"/>
              </w:rPr>
              <w:t>10 %</w:t>
            </w:r>
          </w:p>
        </w:tc>
      </w:tr>
      <w:tr w:rsidR="007E7B7A" w:rsidRPr="00EF7CF9" w14:paraId="77327EA4" w14:textId="77777777" w:rsidTr="001255D6">
        <w:tc>
          <w:tcPr>
            <w:tcW w:w="5400" w:type="dxa"/>
          </w:tcPr>
          <w:p w14:paraId="344B78AA" w14:textId="77777777" w:rsidR="007E7B7A" w:rsidRPr="00C311B3" w:rsidRDefault="007E7B7A" w:rsidP="001255D6">
            <w:pPr>
              <w:pStyle w:val="ProductList-OfferingBody"/>
              <w:jc w:val="center"/>
              <w:rPr>
                <w:rFonts w:ascii="Calibri" w:hAnsi="Calibri" w:cs="Calibri"/>
                <w:szCs w:val="16"/>
              </w:rPr>
            </w:pPr>
            <w:r>
              <w:rPr>
                <w:rFonts w:ascii="Calibri" w:hAnsi="Calibri" w:cs="Calibri"/>
                <w:szCs w:val="16"/>
              </w:rPr>
              <w:t>&lt; 99 %</w:t>
            </w:r>
          </w:p>
        </w:tc>
        <w:tc>
          <w:tcPr>
            <w:tcW w:w="5400" w:type="dxa"/>
          </w:tcPr>
          <w:p w14:paraId="4E60EB5F" w14:textId="77777777" w:rsidR="007E7B7A" w:rsidRPr="00C311B3" w:rsidRDefault="007E7B7A" w:rsidP="001255D6">
            <w:pPr>
              <w:pStyle w:val="ProductList-OfferingBody"/>
              <w:jc w:val="center"/>
              <w:rPr>
                <w:rFonts w:ascii="Calibri" w:hAnsi="Calibri" w:cs="Calibri"/>
                <w:szCs w:val="16"/>
              </w:rPr>
            </w:pPr>
            <w:r>
              <w:rPr>
                <w:rFonts w:ascii="Calibri" w:hAnsi="Calibri" w:cs="Calibri"/>
                <w:szCs w:val="16"/>
              </w:rPr>
              <w:t>25 %</w:t>
            </w:r>
          </w:p>
        </w:tc>
      </w:tr>
    </w:tbl>
    <w:p w14:paraId="67313F54" w14:textId="77777777" w:rsidR="007E7B7A" w:rsidRPr="00C311B3" w:rsidRDefault="007E7B7A" w:rsidP="007E7B7A">
      <w:pPr>
        <w:pStyle w:val="ProductList-Body"/>
        <w:spacing w:before="120"/>
        <w:rPr>
          <w:rFonts w:ascii="Calibri" w:hAnsi="Calibri" w:cs="Calibri"/>
          <w:szCs w:val="18"/>
        </w:rPr>
      </w:pPr>
      <w:r>
        <w:rPr>
          <w:rFonts w:ascii="Calibri" w:hAnsi="Calibri" w:cs="Calibri"/>
          <w:b/>
          <w:color w:val="00188F"/>
          <w:szCs w:val="18"/>
        </w:rPr>
        <w:t>Die folgenden Servicelevels und Servicegutschriften gelten für die Nutzung von Relais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E7B7A" w:rsidRPr="00B44CF9" w14:paraId="187278B7" w14:textId="77777777" w:rsidTr="001255D6">
        <w:trPr>
          <w:tblHeader/>
        </w:trPr>
        <w:tc>
          <w:tcPr>
            <w:tcW w:w="5400" w:type="dxa"/>
            <w:shd w:val="clear" w:color="auto" w:fill="0072C6"/>
          </w:tcPr>
          <w:p w14:paraId="67576D21" w14:textId="77777777" w:rsidR="007E7B7A" w:rsidRPr="00C311B3" w:rsidRDefault="007E7B7A"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Betriebszeitprozentsatz</w:t>
            </w:r>
          </w:p>
        </w:tc>
        <w:tc>
          <w:tcPr>
            <w:tcW w:w="5400" w:type="dxa"/>
            <w:shd w:val="clear" w:color="auto" w:fill="0072C6"/>
          </w:tcPr>
          <w:p w14:paraId="20026F3F" w14:textId="77777777" w:rsidR="007E7B7A" w:rsidRPr="00C311B3" w:rsidRDefault="007E7B7A"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Servicegutschrift</w:t>
            </w:r>
          </w:p>
        </w:tc>
      </w:tr>
      <w:tr w:rsidR="007E7B7A" w:rsidRPr="00B44CF9" w14:paraId="36AEDC24" w14:textId="77777777" w:rsidTr="001255D6">
        <w:tc>
          <w:tcPr>
            <w:tcW w:w="5400" w:type="dxa"/>
          </w:tcPr>
          <w:p w14:paraId="7A8DBA20" w14:textId="77777777" w:rsidR="007E7B7A" w:rsidRPr="00C311B3" w:rsidRDefault="007E7B7A" w:rsidP="001255D6">
            <w:pPr>
              <w:pStyle w:val="ProductList-OfferingBody"/>
              <w:jc w:val="center"/>
              <w:rPr>
                <w:rFonts w:ascii="Calibri" w:hAnsi="Calibri" w:cs="Calibri"/>
                <w:szCs w:val="16"/>
              </w:rPr>
            </w:pPr>
            <w:r>
              <w:rPr>
                <w:rFonts w:ascii="Calibri" w:hAnsi="Calibri" w:cs="Calibri"/>
                <w:szCs w:val="16"/>
              </w:rPr>
              <w:t>&lt; 99,9 %</w:t>
            </w:r>
          </w:p>
        </w:tc>
        <w:tc>
          <w:tcPr>
            <w:tcW w:w="5400" w:type="dxa"/>
          </w:tcPr>
          <w:p w14:paraId="2A2A5FED" w14:textId="77777777" w:rsidR="007E7B7A" w:rsidRPr="00C311B3" w:rsidRDefault="007E7B7A" w:rsidP="001255D6">
            <w:pPr>
              <w:pStyle w:val="ProductList-OfferingBody"/>
              <w:jc w:val="center"/>
              <w:rPr>
                <w:rFonts w:ascii="Calibri" w:hAnsi="Calibri" w:cs="Calibri"/>
                <w:szCs w:val="16"/>
              </w:rPr>
            </w:pPr>
            <w:r>
              <w:rPr>
                <w:rFonts w:ascii="Calibri" w:hAnsi="Calibri" w:cs="Calibri"/>
                <w:szCs w:val="16"/>
              </w:rPr>
              <w:t>10 %</w:t>
            </w:r>
          </w:p>
        </w:tc>
      </w:tr>
      <w:tr w:rsidR="007E7B7A" w:rsidRPr="00B44CF9" w14:paraId="5A0F1362" w14:textId="77777777" w:rsidTr="001255D6">
        <w:tc>
          <w:tcPr>
            <w:tcW w:w="5400" w:type="dxa"/>
          </w:tcPr>
          <w:p w14:paraId="6D403122" w14:textId="77777777" w:rsidR="007E7B7A" w:rsidRPr="00C311B3" w:rsidRDefault="007E7B7A" w:rsidP="001255D6">
            <w:pPr>
              <w:pStyle w:val="ProductList-OfferingBody"/>
              <w:jc w:val="center"/>
              <w:rPr>
                <w:rFonts w:ascii="Calibri" w:hAnsi="Calibri" w:cs="Calibri"/>
                <w:szCs w:val="16"/>
              </w:rPr>
            </w:pPr>
            <w:r>
              <w:rPr>
                <w:rFonts w:ascii="Calibri" w:hAnsi="Calibri" w:cs="Calibri"/>
                <w:szCs w:val="16"/>
              </w:rPr>
              <w:t>&lt; 99 %</w:t>
            </w:r>
          </w:p>
        </w:tc>
        <w:tc>
          <w:tcPr>
            <w:tcW w:w="5400" w:type="dxa"/>
          </w:tcPr>
          <w:p w14:paraId="52A9E04F" w14:textId="77777777" w:rsidR="007E7B7A" w:rsidRPr="00C311B3" w:rsidRDefault="007E7B7A" w:rsidP="001255D6">
            <w:pPr>
              <w:pStyle w:val="ProductList-OfferingBody"/>
              <w:jc w:val="center"/>
              <w:rPr>
                <w:rFonts w:ascii="Calibri" w:hAnsi="Calibri" w:cs="Calibri"/>
                <w:szCs w:val="16"/>
              </w:rPr>
            </w:pPr>
            <w:r>
              <w:rPr>
                <w:rFonts w:ascii="Calibri" w:hAnsi="Calibri" w:cs="Calibri"/>
                <w:szCs w:val="16"/>
              </w:rPr>
              <w:t>25 %</w:t>
            </w:r>
          </w:p>
        </w:tc>
      </w:tr>
    </w:tbl>
    <w:p w14:paraId="2B6E7EA1" w14:textId="4024F601" w:rsidR="00214882" w:rsidRPr="00082A1E" w:rsidRDefault="00082A1E" w:rsidP="00082A1E">
      <w:pPr>
        <w:shd w:val="clear" w:color="auto" w:fill="808080"/>
        <w:spacing w:before="120" w:after="240" w:line="240" w:lineRule="auto"/>
        <w:jc w:val="right"/>
        <w:rPr>
          <w:rFonts w:ascii="Calibri" w:eastAsia="Calibri" w:hAnsi="Calibri" w:cs="Arial"/>
          <w:sz w:val="16"/>
          <w:szCs w:val="16"/>
        </w:rPr>
      </w:pPr>
      <w:hyperlink w:anchor="TOC" w:tooltip="Inhalt" w:history="1">
        <w:r>
          <w:rPr>
            <w:rFonts w:ascii="Calibri" w:eastAsia="Calibri" w:hAnsi="Calibri" w:cs="Arial"/>
            <w:color w:val="0563C1"/>
            <w:sz w:val="16"/>
            <w:szCs w:val="16"/>
            <w:u w:val="single"/>
          </w:rPr>
          <w:t>Inhaltsverzeichnis</w:t>
        </w:r>
      </w:hyperlink>
      <w:r>
        <w:rPr>
          <w:rFonts w:ascii="Calibri" w:eastAsia="Calibri" w:hAnsi="Calibri" w:cs="Arial"/>
          <w:sz w:val="16"/>
          <w:szCs w:val="16"/>
        </w:rPr>
        <w:t xml:space="preserve"> / </w:t>
      </w:r>
      <w:hyperlink w:anchor="Begriffsbestimmungen" w:tooltip="Begriffsbestimmungen" w:history="1">
        <w:r>
          <w:rPr>
            <w:rFonts w:ascii="Calibri" w:eastAsia="Calibri" w:hAnsi="Calibri" w:cs="Arial"/>
            <w:color w:val="0563C1"/>
            <w:sz w:val="16"/>
            <w:szCs w:val="16"/>
            <w:u w:val="single"/>
          </w:rPr>
          <w:t>Definitionen</w:t>
        </w:r>
      </w:hyperlink>
    </w:p>
    <w:p w14:paraId="1BB21621" w14:textId="5D11134A" w:rsidR="008A01B3" w:rsidRPr="00EF7CF9" w:rsidRDefault="008A01B3" w:rsidP="008A01B3">
      <w:pPr>
        <w:pStyle w:val="ProductList-Offering2Heading"/>
        <w:tabs>
          <w:tab w:val="clear" w:pos="360"/>
          <w:tab w:val="clear" w:pos="720"/>
          <w:tab w:val="clear" w:pos="1080"/>
        </w:tabs>
        <w:outlineLvl w:val="2"/>
      </w:pPr>
      <w:bookmarkStart w:id="514" w:name="_Toc195543198"/>
      <w:bookmarkStart w:id="515" w:name="_Toc237449059"/>
      <w:r>
        <w:t>Azure SignalR-Dienst</w:t>
      </w:r>
      <w:bookmarkEnd w:id="511"/>
      <w:bookmarkEnd w:id="512"/>
      <w:bookmarkEnd w:id="514"/>
      <w:bookmarkEnd w:id="515"/>
    </w:p>
    <w:p w14:paraId="1A07B706" w14:textId="77777777" w:rsidR="008A01B3" w:rsidRPr="0022248D" w:rsidRDefault="008A01B3" w:rsidP="008A01B3">
      <w:pPr>
        <w:pStyle w:val="ProductList-Body"/>
        <w:rPr>
          <w:b/>
          <w:color w:val="00188F"/>
        </w:rPr>
      </w:pPr>
      <w:r>
        <w:rPr>
          <w:b/>
          <w:color w:val="00188F"/>
        </w:rPr>
        <w:t>Zusätzliche Definitionen</w:t>
      </w:r>
      <w:r w:rsidRPr="0008262F">
        <w:rPr>
          <w:b/>
          <w:color w:val="00188F"/>
        </w:rPr>
        <w:t>:</w:t>
      </w:r>
    </w:p>
    <w:p w14:paraId="35051C26" w14:textId="7DFC100F" w:rsidR="008A01B3" w:rsidRPr="00B44CF9" w:rsidRDefault="008A01B3" w:rsidP="004444A0">
      <w:pPr>
        <w:autoSpaceDE w:val="0"/>
        <w:autoSpaceDN w:val="0"/>
        <w:spacing w:after="0" w:line="240" w:lineRule="auto"/>
        <w:rPr>
          <w:rFonts w:ascii="Segoe UI" w:eastAsiaTheme="minorEastAsia" w:hAnsi="Segoe UI" w:cs="Segoe UI"/>
          <w:sz w:val="18"/>
          <w:szCs w:val="18"/>
          <w:lang w:eastAsia="zh-TW"/>
        </w:rPr>
      </w:pPr>
      <w:bookmarkStart w:id="516" w:name="_Hlk525654755"/>
      <w:r>
        <w:rPr>
          <w:sz w:val="18"/>
        </w:rPr>
        <w:t>„</w:t>
      </w:r>
      <w:r>
        <w:rPr>
          <w:b/>
          <w:color w:val="00188F"/>
          <w:sz w:val="18"/>
        </w:rPr>
        <w:t>Ausfallzeit</w:t>
      </w:r>
      <w:r>
        <w:rPr>
          <w:sz w:val="18"/>
        </w:rPr>
        <w:t>“</w:t>
      </w:r>
      <w:r>
        <w:rPr>
          <w:sz w:val="18"/>
          <w:szCs w:val="18"/>
        </w:rPr>
        <w:t xml:space="preserve"> </w:t>
      </w:r>
      <w:r>
        <w:rPr>
          <w:sz w:val="18"/>
        </w:rPr>
        <w:t>ist die Summe der kumulierten Maximal Verfügbaren Minuten während eines Anwendbaren Zeitraums für den SignalR Service, in denen der SignalR Service nicht verfügbar ist. Eine Minute gilt als nicht verfügbar, wenn alle Versuche zum Senden von SignalR-Transaktionen während der gesamten Minute entweder einen Fehlercode ausgeben oder nicht innerhalb einer Minute zu einem Erfolgscode führen.</w:t>
      </w:r>
    </w:p>
    <w:p w14:paraId="2015B5C6" w14:textId="488D6EF4" w:rsidR="008A01B3" w:rsidRPr="00EF7CF9" w:rsidRDefault="008A01B3" w:rsidP="004444A0">
      <w:pPr>
        <w:pStyle w:val="ProductList-Body"/>
        <w:ind w:right="144"/>
      </w:pPr>
      <w:r>
        <w:t>„</w:t>
      </w:r>
      <w:r>
        <w:rPr>
          <w:b/>
          <w:color w:val="00188F"/>
        </w:rPr>
        <w:t>Maximal Verfügbare Minuten</w:t>
      </w:r>
      <w:r>
        <w:t>“ ist die Gesamtzahl der Minuten, in denen der SignalR Service vom Kunden in einem bestimmten Microsoft Azure-Abonnement während eines Anwendbaren Zeitraums bereitgestellt wird.</w:t>
      </w:r>
    </w:p>
    <w:p w14:paraId="7BEB29D8" w14:textId="77777777" w:rsidR="008A01B3" w:rsidRPr="0022248D" w:rsidRDefault="008A01B3" w:rsidP="004444A0">
      <w:pPr>
        <w:pStyle w:val="ProductList-Body"/>
      </w:pPr>
      <w:r>
        <w:t>„</w:t>
      </w:r>
      <w:r>
        <w:rPr>
          <w:b/>
          <w:color w:val="00188F"/>
        </w:rPr>
        <w:t>SignalR-Dienst-Endpunkt</w:t>
      </w:r>
      <w:r>
        <w:t>“ ist der Hostname, von dem aus Server oder Clients auf den SignalR-Dienst zugreifen, um SignalR-Transaktionen durchzuführen.</w:t>
      </w:r>
    </w:p>
    <w:p w14:paraId="07B13729" w14:textId="77777777" w:rsidR="008A01B3" w:rsidRPr="00EF7CF9" w:rsidRDefault="008A01B3" w:rsidP="004444A0">
      <w:pPr>
        <w:pStyle w:val="ProductList-Body"/>
      </w:pPr>
      <w:r>
        <w:lastRenderedPageBreak/>
        <w:t>„</w:t>
      </w:r>
      <w:r>
        <w:rPr>
          <w:b/>
          <w:color w:val="00188F"/>
        </w:rPr>
        <w:t>SignalR-Transaktionen</w:t>
      </w:r>
      <w:r>
        <w:t>“ bezeichnet die Reihe von Transaktionsanforderungen, die über einen SignalR Service-Endpunkt vom Client an den Server oder vom Server an den Client gesendet werden.</w:t>
      </w:r>
    </w:p>
    <w:bookmarkEnd w:id="516"/>
    <w:p w14:paraId="285D972F" w14:textId="473DC744" w:rsidR="008A01B3" w:rsidRPr="00EF7CF9" w:rsidRDefault="00AC48A7" w:rsidP="008A01B3">
      <w:pPr>
        <w:pStyle w:val="ProductList-Body"/>
      </w:pPr>
      <w:r>
        <w:rPr>
          <w:b/>
          <w:color w:val="00188F"/>
        </w:rPr>
        <w:t>Betriebszeitprozentsatz</w:t>
      </w:r>
      <w:r w:rsidRPr="0008262F">
        <w:rPr>
          <w:b/>
          <w:color w:val="00188F"/>
        </w:rPr>
        <w:t>:</w:t>
      </w:r>
      <w:r>
        <w:t xml:space="preserve"> Der Betriebszeitprozentsatz errechnet sich nach folgender Formel:</w:t>
      </w:r>
    </w:p>
    <w:p w14:paraId="52DA437F" w14:textId="18C6E5B7" w:rsidR="008A01B3" w:rsidRPr="00246AD4" w:rsidRDefault="00000000" w:rsidP="004444A0">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60F10A3F" w14:textId="6D4CEC83" w:rsidR="008A01B3" w:rsidRPr="00665EEE" w:rsidRDefault="008A01B3" w:rsidP="001235AF">
      <w:pPr>
        <w:pStyle w:val="ProductList-Body"/>
        <w:rPr>
          <w:rFonts w:ascii="Calibri" w:eastAsia="Calibri" w:hAnsi="Calibri" w:cs="Arial"/>
          <w:b/>
          <w:color w:val="00188F"/>
        </w:rPr>
      </w:pPr>
      <w:r w:rsidRPr="00665EEE">
        <w:rPr>
          <w:rFonts w:ascii="Calibri" w:eastAsia="Calibri" w:hAnsi="Calibri" w:cs="Arial"/>
          <w:b/>
          <w:color w:val="00188F"/>
        </w:rPr>
        <w:t>Die folgenden Service-Levels und Servicegutschriften gelten für die Nutzung der Standard-Stufen des SignalR Service durch den Kunden.</w:t>
      </w:r>
    </w:p>
    <w:p w14:paraId="1A23005C" w14:textId="77777777" w:rsidR="008A01B3" w:rsidRPr="00EF7CF9" w:rsidRDefault="008A01B3" w:rsidP="00D9543D">
      <w:pPr>
        <w:pStyle w:val="ProductList-Body"/>
        <w:keepNext/>
      </w:pPr>
      <w:r>
        <w:rPr>
          <w:b/>
          <w:color w:val="00188F"/>
        </w:rPr>
        <w:t>Servicegutschrift</w:t>
      </w:r>
      <w:r w:rsidRPr="0008262F">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A01B3" w:rsidRPr="00B44CF9" w14:paraId="5735405B" w14:textId="77777777" w:rsidTr="00277097">
        <w:trPr>
          <w:tblHeader/>
        </w:trPr>
        <w:tc>
          <w:tcPr>
            <w:tcW w:w="5400" w:type="dxa"/>
            <w:shd w:val="clear" w:color="auto" w:fill="0072C6"/>
          </w:tcPr>
          <w:p w14:paraId="4BD18B5C" w14:textId="28125B3D" w:rsidR="008A01B3" w:rsidRPr="005A3C16"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40DC1C44" w14:textId="77777777" w:rsidR="008A01B3" w:rsidRPr="005A3C16" w:rsidRDefault="008A01B3" w:rsidP="000F31B4">
            <w:pPr>
              <w:pStyle w:val="ProductList-OfferingBody"/>
              <w:jc w:val="center"/>
              <w:rPr>
                <w:color w:val="FFFFFF" w:themeColor="background1"/>
              </w:rPr>
            </w:pPr>
            <w:r>
              <w:rPr>
                <w:color w:val="FFFFFF" w:themeColor="background1"/>
              </w:rPr>
              <w:t>Servicegutschrift</w:t>
            </w:r>
          </w:p>
        </w:tc>
      </w:tr>
      <w:tr w:rsidR="008A01B3" w:rsidRPr="00B44CF9" w14:paraId="4571EEE1" w14:textId="77777777" w:rsidTr="00277097">
        <w:tc>
          <w:tcPr>
            <w:tcW w:w="5400" w:type="dxa"/>
          </w:tcPr>
          <w:p w14:paraId="30F2D33A" w14:textId="77777777" w:rsidR="008A01B3" w:rsidRPr="005A3C16" w:rsidRDefault="008A01B3" w:rsidP="000F31B4">
            <w:pPr>
              <w:pStyle w:val="ProductList-OfferingBody"/>
              <w:jc w:val="center"/>
            </w:pPr>
            <w:r>
              <w:t>&lt; 99,9 %</w:t>
            </w:r>
          </w:p>
        </w:tc>
        <w:tc>
          <w:tcPr>
            <w:tcW w:w="5400" w:type="dxa"/>
          </w:tcPr>
          <w:p w14:paraId="6E9E2EAF" w14:textId="77777777" w:rsidR="008A01B3" w:rsidRPr="005A3C16" w:rsidRDefault="008A01B3" w:rsidP="000F31B4">
            <w:pPr>
              <w:pStyle w:val="ProductList-OfferingBody"/>
              <w:jc w:val="center"/>
            </w:pPr>
            <w:r>
              <w:t>10 %</w:t>
            </w:r>
          </w:p>
        </w:tc>
      </w:tr>
      <w:tr w:rsidR="008A01B3" w:rsidRPr="00B44CF9" w14:paraId="707209F1" w14:textId="77777777" w:rsidTr="00277097">
        <w:tc>
          <w:tcPr>
            <w:tcW w:w="5400" w:type="dxa"/>
          </w:tcPr>
          <w:p w14:paraId="3EE5F898" w14:textId="77777777" w:rsidR="008A01B3" w:rsidRPr="005A3C16" w:rsidRDefault="008A01B3" w:rsidP="000F31B4">
            <w:pPr>
              <w:pStyle w:val="ProductList-OfferingBody"/>
              <w:jc w:val="center"/>
            </w:pPr>
            <w:r>
              <w:t>&lt; 99 %</w:t>
            </w:r>
          </w:p>
        </w:tc>
        <w:tc>
          <w:tcPr>
            <w:tcW w:w="5400" w:type="dxa"/>
          </w:tcPr>
          <w:p w14:paraId="177EA44E" w14:textId="77777777" w:rsidR="008A01B3" w:rsidRPr="005A3C16" w:rsidRDefault="008A01B3" w:rsidP="000F31B4">
            <w:pPr>
              <w:pStyle w:val="ProductList-OfferingBody"/>
              <w:jc w:val="center"/>
            </w:pPr>
            <w:r>
              <w:t>25 %</w:t>
            </w:r>
          </w:p>
        </w:tc>
      </w:tr>
    </w:tbl>
    <w:bookmarkStart w:id="517" w:name="AzureSiteRecoveryService_OnPremtoAzure"/>
    <w:bookmarkStart w:id="518" w:name="_Toc52349007"/>
    <w:bookmarkEnd w:id="513"/>
    <w:p w14:paraId="74431FEC" w14:textId="0732B058"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53FE2B6D" w14:textId="02926C42" w:rsidR="00A601A1" w:rsidRPr="00EF7CF9" w:rsidRDefault="00A601A1" w:rsidP="00992B90">
      <w:pPr>
        <w:pStyle w:val="ProductList-Offering2Heading"/>
        <w:keepNext/>
        <w:tabs>
          <w:tab w:val="clear" w:pos="360"/>
          <w:tab w:val="clear" w:pos="720"/>
          <w:tab w:val="clear" w:pos="1080"/>
        </w:tabs>
        <w:outlineLvl w:val="2"/>
      </w:pPr>
      <w:bookmarkStart w:id="519" w:name="_Toc195543199"/>
      <w:bookmarkStart w:id="520" w:name="_Toc237449060"/>
      <w:r>
        <w:t>Azure-Site-Wiederherstellung</w:t>
      </w:r>
      <w:bookmarkEnd w:id="517"/>
      <w:bookmarkEnd w:id="518"/>
      <w:bookmarkEnd w:id="519"/>
      <w:bookmarkEnd w:id="520"/>
    </w:p>
    <w:p w14:paraId="226E38CD" w14:textId="77777777" w:rsidR="00232528" w:rsidRPr="00053A2B" w:rsidRDefault="00232528" w:rsidP="00232528">
      <w:pPr>
        <w:pStyle w:val="ProductList-Body"/>
        <w:rPr>
          <w:rFonts w:ascii="Calibri" w:hAnsi="Calibri" w:cs="Calibri"/>
        </w:rPr>
      </w:pPr>
      <w:r>
        <w:rPr>
          <w:rFonts w:ascii="Calibri" w:hAnsi="Calibri" w:cs="Calibri"/>
          <w:b/>
          <w:color w:val="00188F"/>
        </w:rPr>
        <w:t>Zusätzliche Definitionen</w:t>
      </w:r>
      <w:r w:rsidRPr="00430007">
        <w:rPr>
          <w:rFonts w:ascii="Calibri" w:hAnsi="Calibri" w:cs="Calibri"/>
          <w:b/>
          <w:bCs/>
        </w:rPr>
        <w:t>:</w:t>
      </w:r>
    </w:p>
    <w:p w14:paraId="7985D93A" w14:textId="77777777" w:rsidR="00232528" w:rsidRPr="00053A2B" w:rsidRDefault="00232528" w:rsidP="00232528">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Failover</w:t>
      </w:r>
      <w:r>
        <w:rPr>
          <w:rFonts w:ascii="Calibri" w:hAnsi="Calibri" w:cs="Calibri"/>
          <w:szCs w:val="18"/>
        </w:rPr>
        <w:t>“ ist die simulierte oder tatsächliche Übertragung der Steuerung einer geschützten Instanz von einem Primärstandort auf einen Sekundärstandort.</w:t>
      </w:r>
    </w:p>
    <w:p w14:paraId="1EEB6E39" w14:textId="77777777" w:rsidR="00232528" w:rsidRPr="00053A2B" w:rsidRDefault="00232528" w:rsidP="00232528">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On-Premises-to-Azure-Failover</w:t>
      </w:r>
      <w:r>
        <w:rPr>
          <w:rFonts w:ascii="Calibri" w:hAnsi="Calibri" w:cs="Calibri"/>
          <w:szCs w:val="18"/>
        </w:rPr>
        <w:t>“ ist der Failover einer Geschützten Instanz von einem Nicht-Azure-Primärstandort zu einem Azure-Sekundärstandort.</w:t>
      </w:r>
    </w:p>
    <w:p w14:paraId="48F046C4" w14:textId="77777777" w:rsidR="00232528" w:rsidRPr="00053A2B" w:rsidRDefault="00232528" w:rsidP="00232528">
      <w:pPr>
        <w:pStyle w:val="ProductList-Body"/>
        <w:rPr>
          <w:rFonts w:ascii="Calibri" w:hAnsi="Calibri" w:cs="Calibri"/>
          <w:color w:val="505050"/>
          <w:szCs w:val="18"/>
          <w:highlight w:val="yellow"/>
        </w:rPr>
      </w:pPr>
      <w:r>
        <w:rPr>
          <w:rFonts w:ascii="Calibri" w:hAnsi="Calibri" w:cs="Calibri"/>
          <w:szCs w:val="18"/>
        </w:rPr>
        <w:t>„</w:t>
      </w:r>
      <w:r>
        <w:rPr>
          <w:rFonts w:ascii="Calibri" w:hAnsi="Calibri" w:cs="Calibri"/>
          <w:b/>
          <w:color w:val="00188F"/>
          <w:szCs w:val="18"/>
        </w:rPr>
        <w:t>Azure-to-Azure Failover</w:t>
      </w:r>
      <w:r>
        <w:rPr>
          <w:rFonts w:ascii="Calibri" w:hAnsi="Calibri" w:cs="Calibri"/>
          <w:szCs w:val="18"/>
        </w:rPr>
        <w:t>“</w:t>
      </w:r>
      <w:r>
        <w:rPr>
          <w:rFonts w:ascii="Calibri" w:hAnsi="Calibri" w:cs="Calibri"/>
          <w:color w:val="505050"/>
          <w:szCs w:val="18"/>
        </w:rPr>
        <w:t xml:space="preserve"> </w:t>
      </w:r>
      <w:r>
        <w:rPr>
          <w:rFonts w:ascii="Calibri" w:hAnsi="Calibri" w:cs="Calibri"/>
          <w:szCs w:val="18"/>
        </w:rPr>
        <w:t>ist das Failover einer Geschützten Instanz von einem Azure-Primärstandort auf einen Azure-Sekundärstandort.</w:t>
      </w:r>
      <w:r>
        <w:rPr>
          <w:rFonts w:ascii="Calibri" w:hAnsi="Calibri" w:cs="Calibri"/>
          <w:color w:val="505050"/>
          <w:szCs w:val="18"/>
          <w:highlight w:val="yellow"/>
        </w:rPr>
        <w:t xml:space="preserve"> </w:t>
      </w:r>
    </w:p>
    <w:p w14:paraId="44D7A0AC" w14:textId="77777777" w:rsidR="00232528" w:rsidRPr="00053A2B" w:rsidRDefault="00232528" w:rsidP="00232528">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Geschützte Instanz</w:t>
      </w:r>
      <w:r>
        <w:rPr>
          <w:rFonts w:ascii="Calibri" w:hAnsi="Calibri" w:cs="Calibri"/>
          <w:szCs w:val="18"/>
        </w:rPr>
        <w:t>“ bezieht sich auf einen virtuellen oder physischen Computer, der für die Replikation durch den Site-Wiederherstellungsdienst von einem primären Standort zu einem sekundären Standort konfiguriert ist. Geschützte Instanzen werden im Verwaltungsportal, Abschnitt „Wiederherstellungsdienste“, auf der Registerkarte „Geschützte Elemente“ aufgelistet.</w:t>
      </w:r>
    </w:p>
    <w:p w14:paraId="1F3BCDAA" w14:textId="77777777" w:rsidR="00232528" w:rsidRPr="00053A2B" w:rsidRDefault="00232528" w:rsidP="00232528">
      <w:pPr>
        <w:pStyle w:val="ProductList-Body"/>
        <w:rPr>
          <w:rFonts w:ascii="Calibri" w:hAnsi="Calibri" w:cs="Calibri"/>
          <w:b/>
          <w:color w:val="00188F"/>
          <w:szCs w:val="18"/>
        </w:rPr>
      </w:pPr>
      <w:r>
        <w:rPr>
          <w:rFonts w:ascii="Calibri" w:hAnsi="Calibri" w:cs="Calibri"/>
          <w:b/>
          <w:color w:val="00188F"/>
          <w:szCs w:val="18"/>
        </w:rPr>
        <w:t>Berechnung der Betriebszeit und Servicelevels für Azure-zu-Azure- oder On-Premises-zu-Azure-Failover</w:t>
      </w:r>
    </w:p>
    <w:p w14:paraId="544DAACE" w14:textId="77777777" w:rsidR="00232528" w:rsidRPr="00053A2B" w:rsidRDefault="00232528" w:rsidP="00232528">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Failover-Minuten</w:t>
      </w:r>
      <w:r>
        <w:rPr>
          <w:rFonts w:ascii="Calibri" w:hAnsi="Calibri" w:cs="Calibri"/>
          <w:szCs w:val="18"/>
        </w:rPr>
        <w:t>“ ist die Gesamtzahl der Minuten in einem Anwendbaren Zeitraum, in denen ein Failover einer Geschützten Instanz, die für eine On-Premises-to-On-Premises-Replikation konfiguriert ist, versucht, aber nicht abgeschlossen wurde.</w:t>
      </w:r>
    </w:p>
    <w:p w14:paraId="429E7594" w14:textId="77777777" w:rsidR="00232528" w:rsidRPr="00053A2B" w:rsidRDefault="00232528" w:rsidP="00232528">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Maximal Verfügbare Minuten</w:t>
      </w:r>
      <w:r>
        <w:rPr>
          <w:rFonts w:ascii="Calibri" w:hAnsi="Calibri" w:cs="Calibri"/>
          <w:szCs w:val="18"/>
        </w:rPr>
        <w:t>“ ist die Gesamtzahl der Minuten, in denen eine bestimmte Geschützte Instanz vom Azure Site Recovery Service während eines Anwendbaren Zeitraums für die Azure-zu-Azure- oder On-Premises-zu-Azure-Replikation konfiguriert wurde.</w:t>
      </w:r>
    </w:p>
    <w:p w14:paraId="54119950" w14:textId="77777777" w:rsidR="00232528" w:rsidRPr="00053A2B" w:rsidRDefault="00232528" w:rsidP="00232528">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Geschützte Instanz</w:t>
      </w:r>
      <w:r>
        <w:rPr>
          <w:rFonts w:ascii="Calibri" w:hAnsi="Calibri" w:cs="Calibri"/>
          <w:szCs w:val="18"/>
        </w:rPr>
        <w:t>“ bezieht sich auf einen virtuellen oder physischen Computer, der für die Replikation durch den Azure Site Recovery Service von einem primären Standort zu einem sekundären Standort konfiguriert ist. Geschützte Instanzen werden im Verwaltungsportal, Abschnitt „Wiederherstellungsdienste“, auf der Registerkarte „Geschützte Elemente“ aufgelistet.</w:t>
      </w:r>
    </w:p>
    <w:p w14:paraId="42337724" w14:textId="77777777" w:rsidR="00232528" w:rsidRPr="00053A2B" w:rsidRDefault="00232528" w:rsidP="00232528">
      <w:pPr>
        <w:pStyle w:val="ProductList-Body"/>
        <w:rPr>
          <w:rFonts w:ascii="Calibri" w:hAnsi="Calibri" w:cs="Calibri"/>
          <w:szCs w:val="18"/>
        </w:rPr>
      </w:pPr>
      <w:r>
        <w:rPr>
          <w:rFonts w:ascii="Calibri" w:hAnsi="Calibri" w:cs="Calibri"/>
          <w:b/>
          <w:color w:val="00188F"/>
          <w:szCs w:val="18"/>
        </w:rPr>
        <w:t>Ausfallzeit</w:t>
      </w:r>
      <w:r w:rsidRPr="00CE61A4">
        <w:rPr>
          <w:rFonts w:ascii="Calibri" w:hAnsi="Calibri" w:cs="Calibri"/>
          <w:b/>
          <w:bCs/>
          <w:szCs w:val="18"/>
        </w:rPr>
        <w:t>:</w:t>
      </w:r>
      <w:r>
        <w:rPr>
          <w:rFonts w:ascii="Calibri" w:hAnsi="Calibri" w:cs="Calibri"/>
          <w:szCs w:val="18"/>
        </w:rPr>
        <w:t xml:space="preserve"> ist die Summe der kumulierten Failover-Minuten, in denen die Ausfallsicherung einer geschützten Instanz aufgrund der Nichtverfügbarkeit des Azure Site-Wiederherstellungsdienstes nicht erfolgreich ist, vorausgesetzt, dass erneute Versuche kontinuierlich mindestens einmal alle 30 Minuten gemacht werden.</w:t>
      </w:r>
    </w:p>
    <w:p w14:paraId="4B6E7B31" w14:textId="77777777" w:rsidR="00232528" w:rsidRPr="00053A2B" w:rsidRDefault="00232528" w:rsidP="00C672FB">
      <w:pPr>
        <w:pStyle w:val="ProductList-Body"/>
        <w:rPr>
          <w:rFonts w:ascii="Calibri" w:hAnsi="Calibri" w:cs="Calibri"/>
          <w:szCs w:val="18"/>
        </w:rPr>
      </w:pPr>
      <w:r>
        <w:rPr>
          <w:rFonts w:ascii="Calibri" w:hAnsi="Calibri" w:cs="Calibri"/>
          <w:b/>
          <w:color w:val="00188F"/>
          <w:szCs w:val="18"/>
        </w:rPr>
        <w:t>Betriebszeitprozentsatz</w:t>
      </w:r>
      <w:r w:rsidRPr="00CE61A4">
        <w:rPr>
          <w:rFonts w:ascii="Calibri" w:hAnsi="Calibri" w:cs="Calibri"/>
          <w:b/>
          <w:bCs/>
          <w:szCs w:val="18"/>
        </w:rPr>
        <w:t>:</w:t>
      </w:r>
      <w:r>
        <w:rPr>
          <w:rFonts w:ascii="Calibri" w:hAnsi="Calibri" w:cs="Calibri"/>
          <w:szCs w:val="18"/>
        </w:rPr>
        <w:t xml:space="preserve"> für Azure-zu-Azure- oder On-Premises-zu-Azure-Failover einer spezifischen Geschützten Instanz in einem Anwendbaren Zeitraum wird berechnet als Maximal Verfügbare Minuten abzüglich Ausfallzeit geteilt durch Maximal Verfügbare Minuten. </w:t>
      </w:r>
    </w:p>
    <w:p w14:paraId="6878DBD8" w14:textId="77777777" w:rsidR="00232528" w:rsidRPr="00053A2B" w:rsidRDefault="00232528" w:rsidP="00C672FB">
      <w:pPr>
        <w:pStyle w:val="ProductList-Body"/>
        <w:rPr>
          <w:rFonts w:ascii="Calibri" w:hAnsi="Calibri" w:cs="Calibri"/>
          <w:szCs w:val="18"/>
        </w:rPr>
      </w:pPr>
      <w:r>
        <w:rPr>
          <w:rFonts w:ascii="Calibri" w:hAnsi="Calibri" w:cs="Calibri"/>
          <w:szCs w:val="18"/>
        </w:rPr>
        <w:t>Der Betriebszeitprozentsatz errechnet sich nach folgender Formel:</w:t>
      </w:r>
    </w:p>
    <w:p w14:paraId="575788A3" w14:textId="77777777" w:rsidR="00232528" w:rsidRPr="00EF7CF9" w:rsidRDefault="00000000" w:rsidP="00C672F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Maximal-verfügbare-Minuten-Ausfallzeit</m:t>
              </m:r>
            </m:num>
            <m:den>
              <m:r>
                <m:rPr>
                  <m:nor/>
                </m:rPr>
                <w:rPr>
                  <w:rFonts w:ascii="Cambria Math" w:hAnsi="Cambria Math" w:cs="Tahoma"/>
                  <w:i/>
                  <w:sz w:val="18"/>
                  <w:szCs w:val="18"/>
                </w:rPr>
                <m:t>Maximal Verfügbare Minuten</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421B1E6" w14:textId="77777777" w:rsidR="00232528" w:rsidRPr="00053A2B" w:rsidRDefault="00232528" w:rsidP="00232528">
      <w:pPr>
        <w:pStyle w:val="ProductList-Body"/>
        <w:rPr>
          <w:rFonts w:ascii="Calibri" w:hAnsi="Calibri" w:cs="Calibri"/>
        </w:rPr>
      </w:pPr>
      <w:r>
        <w:rPr>
          <w:rFonts w:ascii="Calibri" w:hAnsi="Calibri" w:cs="Calibri"/>
          <w:b/>
          <w:color w:val="00188F"/>
        </w:rPr>
        <w:t>Die folgenden Servicelevels und Servicegutschriften gelten für die Nutzung der einzelnen geschützten Instanzen durch den Kunden innerhalb des Site-Wiederherstellungsdienstes für Azure-zu-Azure- oder On-Premises-zu-Azure-Failover: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32528" w:rsidRPr="00B44CF9" w14:paraId="39767E94" w14:textId="77777777" w:rsidTr="009D172D">
        <w:trPr>
          <w:tblHeader/>
        </w:trPr>
        <w:tc>
          <w:tcPr>
            <w:tcW w:w="5400" w:type="dxa"/>
            <w:shd w:val="clear" w:color="auto" w:fill="0072C6"/>
          </w:tcPr>
          <w:p w14:paraId="2BB2B8D8" w14:textId="77777777" w:rsidR="00232528" w:rsidRPr="00053A2B" w:rsidRDefault="00232528" w:rsidP="009D172D">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Betriebszeitprozentsatz</w:t>
            </w:r>
          </w:p>
        </w:tc>
        <w:tc>
          <w:tcPr>
            <w:tcW w:w="5400" w:type="dxa"/>
            <w:shd w:val="clear" w:color="auto" w:fill="0072C6"/>
          </w:tcPr>
          <w:p w14:paraId="026A0CB7" w14:textId="77777777" w:rsidR="00232528" w:rsidRPr="00053A2B" w:rsidRDefault="00232528" w:rsidP="009D172D">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Servicegutschrift</w:t>
            </w:r>
          </w:p>
        </w:tc>
      </w:tr>
      <w:tr w:rsidR="00232528" w:rsidRPr="00B44CF9" w14:paraId="24257EC8" w14:textId="77777777" w:rsidTr="009D172D">
        <w:tc>
          <w:tcPr>
            <w:tcW w:w="5400" w:type="dxa"/>
          </w:tcPr>
          <w:p w14:paraId="11E2D328" w14:textId="77777777" w:rsidR="00232528" w:rsidRPr="00053A2B" w:rsidRDefault="00232528" w:rsidP="009D172D">
            <w:pPr>
              <w:pStyle w:val="ProductList-OfferingBody"/>
              <w:jc w:val="center"/>
              <w:rPr>
                <w:rFonts w:ascii="Calibri" w:hAnsi="Calibri" w:cs="Calibri"/>
                <w:szCs w:val="16"/>
              </w:rPr>
            </w:pPr>
            <w:r>
              <w:rPr>
                <w:rFonts w:ascii="Calibri" w:hAnsi="Calibri" w:cs="Calibri"/>
                <w:szCs w:val="16"/>
              </w:rPr>
              <w:t>&lt; 99,9 %</w:t>
            </w:r>
          </w:p>
        </w:tc>
        <w:tc>
          <w:tcPr>
            <w:tcW w:w="5400" w:type="dxa"/>
          </w:tcPr>
          <w:p w14:paraId="45CB526A" w14:textId="77777777" w:rsidR="00232528" w:rsidRPr="00053A2B" w:rsidRDefault="00232528" w:rsidP="009D172D">
            <w:pPr>
              <w:pStyle w:val="ProductList-OfferingBody"/>
              <w:jc w:val="center"/>
              <w:rPr>
                <w:rFonts w:ascii="Calibri" w:hAnsi="Calibri" w:cs="Calibri"/>
                <w:szCs w:val="16"/>
              </w:rPr>
            </w:pPr>
            <w:r>
              <w:rPr>
                <w:rFonts w:ascii="Calibri" w:hAnsi="Calibri" w:cs="Calibri"/>
                <w:szCs w:val="16"/>
              </w:rPr>
              <w:t>10 %</w:t>
            </w:r>
          </w:p>
        </w:tc>
      </w:tr>
      <w:tr w:rsidR="00232528" w:rsidRPr="00B44CF9" w14:paraId="761DBEDB" w14:textId="77777777" w:rsidTr="009D172D">
        <w:tc>
          <w:tcPr>
            <w:tcW w:w="5400" w:type="dxa"/>
          </w:tcPr>
          <w:p w14:paraId="4D7D8311" w14:textId="77777777" w:rsidR="00232528" w:rsidRPr="00053A2B" w:rsidRDefault="00232528" w:rsidP="009D172D">
            <w:pPr>
              <w:pStyle w:val="ProductList-OfferingBody"/>
              <w:jc w:val="center"/>
              <w:rPr>
                <w:rFonts w:ascii="Calibri" w:hAnsi="Calibri" w:cs="Calibri"/>
                <w:szCs w:val="16"/>
              </w:rPr>
            </w:pPr>
            <w:r>
              <w:rPr>
                <w:rFonts w:ascii="Calibri" w:hAnsi="Calibri" w:cs="Calibri"/>
                <w:szCs w:val="16"/>
              </w:rPr>
              <w:t>&lt; 99 %</w:t>
            </w:r>
          </w:p>
        </w:tc>
        <w:tc>
          <w:tcPr>
            <w:tcW w:w="5400" w:type="dxa"/>
          </w:tcPr>
          <w:p w14:paraId="6319F6CB" w14:textId="77777777" w:rsidR="00232528" w:rsidRPr="00053A2B" w:rsidRDefault="00232528" w:rsidP="009D172D">
            <w:pPr>
              <w:pStyle w:val="ProductList-OfferingBody"/>
              <w:jc w:val="center"/>
              <w:rPr>
                <w:rFonts w:ascii="Calibri" w:hAnsi="Calibri" w:cs="Calibri"/>
                <w:szCs w:val="16"/>
              </w:rPr>
            </w:pPr>
            <w:r>
              <w:rPr>
                <w:rFonts w:ascii="Calibri" w:hAnsi="Calibri" w:cs="Calibri"/>
                <w:szCs w:val="16"/>
              </w:rPr>
              <w:t>25 %</w:t>
            </w:r>
          </w:p>
        </w:tc>
      </w:tr>
    </w:tbl>
    <w:p w14:paraId="6E2FD416" w14:textId="77777777" w:rsidR="00232528" w:rsidRPr="00053A2B" w:rsidRDefault="00232528" w:rsidP="00232528">
      <w:pPr>
        <w:pStyle w:val="ProductList-Body"/>
        <w:spacing w:before="120"/>
        <w:rPr>
          <w:rFonts w:ascii="Calibri" w:hAnsi="Calibri" w:cs="Calibri"/>
          <w:b/>
          <w:bCs/>
          <w:color w:val="00188F"/>
        </w:rPr>
      </w:pPr>
      <w:r>
        <w:rPr>
          <w:rFonts w:ascii="Calibri" w:hAnsi="Calibri" w:cs="Calibri"/>
          <w:b/>
          <w:bCs/>
          <w:color w:val="00188F"/>
        </w:rPr>
        <w:t>Wiederherstellungssollzeit und Service-Level für On-Premises-to-Azure Failover</w:t>
      </w:r>
    </w:p>
    <w:p w14:paraId="3BE84C00" w14:textId="77777777" w:rsidR="00232528" w:rsidRPr="00053A2B" w:rsidRDefault="00232528" w:rsidP="00232528">
      <w:pPr>
        <w:pStyle w:val="ProductList-Body"/>
        <w:rPr>
          <w:rFonts w:ascii="Calibri" w:hAnsi="Calibri" w:cs="Calibri"/>
        </w:rPr>
      </w:pPr>
      <w:r>
        <w:rPr>
          <w:rFonts w:ascii="Calibri" w:hAnsi="Calibri" w:cs="Calibri"/>
        </w:rPr>
        <w:t>„</w:t>
      </w:r>
      <w:r>
        <w:rPr>
          <w:rFonts w:ascii="Calibri" w:hAnsi="Calibri" w:cs="Calibri"/>
          <w:b/>
          <w:color w:val="00188F"/>
        </w:rPr>
        <w:t>Wiederherstellungssollzeit („Recovery Time Objective“ oder „RTO“)</w:t>
      </w:r>
      <w:r>
        <w:rPr>
          <w:rFonts w:ascii="Calibri" w:hAnsi="Calibri" w:cs="Calibri"/>
        </w:rPr>
        <w:t>“ bezeichnet den Zeitraum ab dem Zeitpunkt, an dem der Kunde das Failover einer geschützten Instanz initiiert, die entweder einen geplanten oder ungeplanten Ausfall für die Replikation von On-Premises-to-Azure erlebt, bis zu dem Zeitpunkt, an dem die geschützte Instanz als virtueller Computer in Microsoft Azure ausgeführt wird, ausschließlich der Zeit, die mit manuellen Maßnahmen oder der Ausführung von Kundenskripts verbunden ist.</w:t>
      </w:r>
    </w:p>
    <w:p w14:paraId="59B86727" w14:textId="77777777" w:rsidR="00232528" w:rsidRPr="0018346E" w:rsidRDefault="00232528" w:rsidP="00232528">
      <w:pPr>
        <w:pStyle w:val="ProductList-Body"/>
        <w:rPr>
          <w:rFonts w:ascii="Calibri" w:hAnsi="Calibri" w:cs="Calibri"/>
        </w:rPr>
      </w:pPr>
      <w:r>
        <w:rPr>
          <w:rFonts w:ascii="Calibri" w:hAnsi="Calibri" w:cs="Calibri"/>
        </w:rPr>
        <w:t>„</w:t>
      </w:r>
      <w:r>
        <w:rPr>
          <w:rFonts w:ascii="Calibri" w:hAnsi="Calibri" w:cs="Calibri"/>
          <w:b/>
          <w:color w:val="00188F"/>
        </w:rPr>
        <w:t>Wiederherstellungssollzeit</w:t>
      </w:r>
      <w:r>
        <w:rPr>
          <w:rFonts w:ascii="Calibri" w:hAnsi="Calibri" w:cs="Calibri"/>
        </w:rPr>
        <w:t>“</w:t>
      </w:r>
      <w:r w:rsidRPr="002E1159">
        <w:rPr>
          <w:rFonts w:ascii="Calibri" w:hAnsi="Calibri" w:cs="Calibri"/>
          <w:b/>
          <w:bCs/>
        </w:rPr>
        <w:t>:</w:t>
      </w:r>
      <w:r>
        <w:rPr>
          <w:rFonts w:ascii="Calibri" w:hAnsi="Calibri" w:cs="Calibri"/>
        </w:rPr>
        <w:t xml:space="preserve"> Für eine bestimmte Geschützte Instanz, die für die On-Premises-to-Azure-Replikation konfiguriert ist, beträgt der Anwendbare Zeitraum eine Stunde.</w:t>
      </w:r>
    </w:p>
    <w:p w14:paraId="2728BB1D" w14:textId="77777777" w:rsidR="00232528" w:rsidRDefault="00232528" w:rsidP="007D2372">
      <w:pPr>
        <w:pStyle w:val="ProductList-Body"/>
        <w:spacing w:before="120"/>
        <w:rPr>
          <w:rFonts w:ascii="Calibri" w:hAnsi="Calibri" w:cs="Calibri"/>
          <w:b/>
          <w:bCs/>
        </w:rPr>
      </w:pPr>
      <w:r>
        <w:rPr>
          <w:rFonts w:ascii="Calibri" w:hAnsi="Calibri" w:cs="Calibri"/>
          <w:b/>
          <w:color w:val="00188F"/>
        </w:rPr>
        <w:t>Die folgenden Servicelevels und Servicegutschriften gelten für die Nutzung jeder Geschützten Instanz innerhalb des Site-Wiederherstellungsdienstes für On-Premises-to-Azure Failover durch den Kunden.</w:t>
      </w:r>
      <w:r w:rsidRPr="00C41EAC">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32528" w:rsidRPr="00B44CF9" w14:paraId="2481B763" w14:textId="77777777" w:rsidTr="009D172D">
        <w:trPr>
          <w:tblHeader/>
        </w:trPr>
        <w:tc>
          <w:tcPr>
            <w:tcW w:w="5400" w:type="dxa"/>
            <w:shd w:val="clear" w:color="auto" w:fill="0072C6"/>
          </w:tcPr>
          <w:p w14:paraId="609F190E" w14:textId="77777777" w:rsidR="00232528" w:rsidRPr="00EF7CF9" w:rsidRDefault="00232528" w:rsidP="009D172D">
            <w:pPr>
              <w:pStyle w:val="ProductList-OfferingBody"/>
              <w:jc w:val="center"/>
              <w:rPr>
                <w:color w:val="FFFFFF" w:themeColor="background1"/>
              </w:rPr>
            </w:pPr>
            <w:r>
              <w:rPr>
                <w:color w:val="FFFFFF" w:themeColor="background1"/>
              </w:rPr>
              <w:lastRenderedPageBreak/>
              <w:t>Wiederherstellungssollzeit</w:t>
            </w:r>
          </w:p>
        </w:tc>
        <w:tc>
          <w:tcPr>
            <w:tcW w:w="5400" w:type="dxa"/>
            <w:shd w:val="clear" w:color="auto" w:fill="0072C6"/>
          </w:tcPr>
          <w:p w14:paraId="52911FE7" w14:textId="77777777" w:rsidR="00232528" w:rsidRPr="00EF7CF9" w:rsidRDefault="00232528" w:rsidP="009D172D">
            <w:pPr>
              <w:pStyle w:val="ProductList-OfferingBody"/>
              <w:jc w:val="center"/>
              <w:rPr>
                <w:color w:val="FFFFFF" w:themeColor="background1"/>
              </w:rPr>
            </w:pPr>
            <w:r>
              <w:rPr>
                <w:color w:val="FFFFFF" w:themeColor="background1"/>
              </w:rPr>
              <w:t>Servicegutschrift</w:t>
            </w:r>
          </w:p>
        </w:tc>
      </w:tr>
      <w:tr w:rsidR="00232528" w:rsidRPr="00B44CF9" w14:paraId="58195843" w14:textId="77777777" w:rsidTr="009D172D">
        <w:tc>
          <w:tcPr>
            <w:tcW w:w="5400" w:type="dxa"/>
          </w:tcPr>
          <w:p w14:paraId="1F651BF8" w14:textId="77777777" w:rsidR="00232528" w:rsidRPr="00053A2B" w:rsidRDefault="00232528" w:rsidP="009D172D">
            <w:pPr>
              <w:pStyle w:val="ProductList-OfferingBody"/>
              <w:jc w:val="center"/>
              <w:rPr>
                <w:rFonts w:ascii="Calibri" w:hAnsi="Calibri" w:cs="Calibri"/>
                <w:szCs w:val="16"/>
              </w:rPr>
            </w:pPr>
            <w:r>
              <w:rPr>
                <w:rFonts w:ascii="Calibri" w:hAnsi="Calibri" w:cs="Calibri"/>
                <w:szCs w:val="16"/>
              </w:rPr>
              <w:t>&gt; 1 Stunde</w:t>
            </w:r>
          </w:p>
        </w:tc>
        <w:tc>
          <w:tcPr>
            <w:tcW w:w="5400" w:type="dxa"/>
          </w:tcPr>
          <w:p w14:paraId="04EECC1E" w14:textId="77777777" w:rsidR="00232528" w:rsidRPr="00053A2B" w:rsidRDefault="00232528" w:rsidP="009D172D">
            <w:pPr>
              <w:pStyle w:val="ProductList-OfferingBody"/>
              <w:jc w:val="center"/>
              <w:rPr>
                <w:rFonts w:ascii="Calibri" w:hAnsi="Calibri" w:cs="Calibri"/>
                <w:szCs w:val="16"/>
              </w:rPr>
            </w:pPr>
            <w:r>
              <w:rPr>
                <w:rFonts w:ascii="Calibri" w:hAnsi="Calibri" w:cs="Calibri"/>
                <w:szCs w:val="16"/>
              </w:rPr>
              <w:t>100 %</w:t>
            </w:r>
          </w:p>
        </w:tc>
      </w:tr>
    </w:tbl>
    <w:p w14:paraId="5F5BF979" w14:textId="77777777" w:rsidR="00232528" w:rsidRPr="00053A2B" w:rsidRDefault="00232528" w:rsidP="00232528">
      <w:pPr>
        <w:pStyle w:val="ProductList-Body"/>
        <w:spacing w:before="120"/>
        <w:rPr>
          <w:rFonts w:ascii="Calibri" w:hAnsi="Calibri" w:cs="Calibri"/>
          <w:b/>
          <w:bCs/>
          <w:color w:val="00188F"/>
          <w:szCs w:val="18"/>
        </w:rPr>
      </w:pPr>
      <w:r>
        <w:rPr>
          <w:rFonts w:ascii="Calibri" w:hAnsi="Calibri" w:cs="Calibri"/>
          <w:b/>
          <w:bCs/>
          <w:color w:val="00188F"/>
          <w:szCs w:val="18"/>
        </w:rPr>
        <w:t>Wiederherstellungssollzeit und Service-Level für Azure-to-Azure-Failover</w:t>
      </w:r>
    </w:p>
    <w:p w14:paraId="667E8FD0" w14:textId="77777777" w:rsidR="00232528" w:rsidRPr="00053A2B" w:rsidRDefault="00232528" w:rsidP="00232528">
      <w:pPr>
        <w:pStyle w:val="ProductList-Body"/>
        <w:rPr>
          <w:rFonts w:ascii="Calibri" w:hAnsi="Calibri" w:cs="Calibri"/>
          <w:szCs w:val="18"/>
        </w:rPr>
      </w:pPr>
      <w:r>
        <w:rPr>
          <w:rFonts w:ascii="Calibri" w:hAnsi="Calibri" w:cs="Calibri"/>
          <w:bCs/>
          <w:szCs w:val="18"/>
        </w:rPr>
        <w:t>„</w:t>
      </w:r>
      <w:r>
        <w:rPr>
          <w:rFonts w:ascii="Calibri" w:hAnsi="Calibri" w:cs="Calibri"/>
          <w:b/>
          <w:bCs/>
          <w:color w:val="00188F"/>
          <w:szCs w:val="18"/>
        </w:rPr>
        <w:t>Wiederherstellungssollzeit (RTO)</w:t>
      </w:r>
      <w:r>
        <w:rPr>
          <w:rFonts w:ascii="Calibri" w:hAnsi="Calibri" w:cs="Calibri"/>
          <w:szCs w:val="18"/>
        </w:rPr>
        <w:t>“</w:t>
      </w:r>
      <w:r>
        <w:rPr>
          <w:rFonts w:ascii="Calibri" w:hAnsi="Calibri" w:cs="Calibri"/>
          <w:color w:val="00188F"/>
          <w:szCs w:val="18"/>
        </w:rPr>
        <w:t xml:space="preserve"> </w:t>
      </w:r>
      <w:r>
        <w:rPr>
          <w:rFonts w:ascii="Calibri" w:hAnsi="Calibri" w:cs="Calibri"/>
          <w:szCs w:val="18"/>
        </w:rPr>
        <w:t>bezeichnet den Zeitraum, der beginnt, wenn der Kunde ein Failover einer Geschützten Instanz für die Azure-to-Azure-Replikation initiiert, und endet, wenn die Geschützte Instanz als virtueller Computer in einem sekundären Azure-Bereich läuft, mit Ausnahme der Zeit, die mit manuellen Aktionen oder der Ausführung von Kundenskripts verbunden ist.</w:t>
      </w:r>
    </w:p>
    <w:p w14:paraId="20601E3E" w14:textId="77777777" w:rsidR="00232528" w:rsidRPr="00695D9C" w:rsidRDefault="00232528" w:rsidP="00232528">
      <w:pPr>
        <w:spacing w:after="120" w:line="240" w:lineRule="auto"/>
        <w:rPr>
          <w:rFonts w:ascii="Calibri" w:hAnsi="Calibri" w:cs="Calibri"/>
          <w:color w:val="00188F"/>
          <w:sz w:val="18"/>
          <w:szCs w:val="18"/>
        </w:rPr>
      </w:pPr>
      <w:r w:rsidRPr="00695D9C">
        <w:rPr>
          <w:rFonts w:ascii="Calibri" w:hAnsi="Calibri" w:cs="Calibri"/>
          <w:sz w:val="18"/>
          <w:szCs w:val="18"/>
        </w:rPr>
        <w:t>Die „</w:t>
      </w:r>
      <w:r w:rsidRPr="00695D9C">
        <w:rPr>
          <w:rFonts w:ascii="Calibri" w:hAnsi="Calibri" w:cs="Calibri"/>
          <w:b/>
          <w:bCs/>
          <w:color w:val="00188F"/>
          <w:sz w:val="18"/>
          <w:szCs w:val="18"/>
        </w:rPr>
        <w:t>Wiederherstellungssollzeit</w:t>
      </w:r>
      <w:r w:rsidRPr="00695D9C">
        <w:rPr>
          <w:rFonts w:ascii="Calibri" w:hAnsi="Calibri" w:cs="Calibri"/>
          <w:sz w:val="18"/>
          <w:szCs w:val="18"/>
        </w:rPr>
        <w:t>“</w:t>
      </w:r>
      <w:r w:rsidRPr="00695D9C">
        <w:rPr>
          <w:rFonts w:ascii="Calibri" w:hAnsi="Calibri" w:cs="Calibri"/>
          <w:b/>
          <w:color w:val="00188F"/>
          <w:sz w:val="18"/>
          <w:szCs w:val="18"/>
        </w:rPr>
        <w:t xml:space="preserve"> </w:t>
      </w:r>
      <w:r w:rsidRPr="00695D9C">
        <w:rPr>
          <w:rFonts w:ascii="Calibri" w:hAnsi="Calibri" w:cs="Calibri"/>
          <w:sz w:val="18"/>
          <w:szCs w:val="18"/>
        </w:rPr>
        <w:t>für eine spezifische Geschützte Instanz, die in einem Anwendbaren Zeitraum für die Azure-to-Azure-Replikation konfiguriert ist, beträgt eine Stunde.</w:t>
      </w:r>
    </w:p>
    <w:p w14:paraId="2274F7C8" w14:textId="77777777" w:rsidR="00232528" w:rsidRPr="00053A2B" w:rsidRDefault="00232528" w:rsidP="00232528">
      <w:pPr>
        <w:pStyle w:val="ProductList-Body"/>
        <w:rPr>
          <w:rFonts w:ascii="Calibri" w:hAnsi="Calibri" w:cs="Calibri"/>
          <w:szCs w:val="18"/>
        </w:rPr>
      </w:pPr>
      <w:r>
        <w:rPr>
          <w:rFonts w:ascii="Calibri" w:hAnsi="Calibri" w:cs="Calibri"/>
          <w:b/>
          <w:color w:val="00188F"/>
          <w:szCs w:val="18"/>
        </w:rPr>
        <w:t>Die folgenden Servicelevels und Servicegutschriften gelten für die Nutzung jeder Geschützten Instanz innerhalb des Site-Wiederherstellungsdienstes für Azure-to-Azure-Failover durch den Kunden</w:t>
      </w:r>
      <w:r w:rsidRPr="00C201FD">
        <w:rPr>
          <w:rFonts w:ascii="Calibri" w:hAnsi="Calibri" w:cs="Calibri"/>
          <w:b/>
          <w:bCs/>
          <w:szCs w:val="18"/>
        </w:rPr>
        <w:t xml:space="preserv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32528" w14:paraId="27486535" w14:textId="77777777" w:rsidTr="009D172D">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C528387" w14:textId="77777777" w:rsidR="00232528" w:rsidRPr="00053A2B" w:rsidRDefault="00232528" w:rsidP="009D172D">
            <w:pPr>
              <w:pStyle w:val="ProductList-OfferingBody"/>
              <w:spacing w:line="254" w:lineRule="auto"/>
              <w:jc w:val="center"/>
              <w:rPr>
                <w:rFonts w:ascii="Calibri" w:hAnsi="Calibri" w:cs="Calibri"/>
                <w:bCs/>
                <w:color w:val="FFFFFF" w:themeColor="background1"/>
                <w:szCs w:val="16"/>
              </w:rPr>
            </w:pPr>
            <w:r>
              <w:rPr>
                <w:rFonts w:ascii="Calibri" w:hAnsi="Calibri" w:cs="Calibri"/>
                <w:bCs/>
                <w:color w:val="FFFFFF" w:themeColor="background1"/>
                <w:szCs w:val="16"/>
              </w:rPr>
              <w:t>Wiederherstellungssollzeit</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48CC403" w14:textId="77777777" w:rsidR="00232528" w:rsidRPr="00053A2B" w:rsidRDefault="00232528" w:rsidP="009D172D">
            <w:pPr>
              <w:pStyle w:val="ProductList-OfferingBody"/>
              <w:spacing w:line="254" w:lineRule="auto"/>
              <w:jc w:val="center"/>
              <w:rPr>
                <w:rFonts w:ascii="Calibri" w:hAnsi="Calibri" w:cs="Calibri"/>
                <w:bCs/>
                <w:color w:val="FFFFFF" w:themeColor="background1"/>
                <w:szCs w:val="16"/>
              </w:rPr>
            </w:pPr>
            <w:r>
              <w:rPr>
                <w:rFonts w:ascii="Calibri" w:hAnsi="Calibri" w:cs="Calibri"/>
                <w:bCs/>
                <w:color w:val="FFFFFF" w:themeColor="background1"/>
                <w:szCs w:val="16"/>
              </w:rPr>
              <w:t>Servicegutschrift</w:t>
            </w:r>
          </w:p>
        </w:tc>
      </w:tr>
      <w:tr w:rsidR="00232528" w14:paraId="672FC539" w14:textId="77777777" w:rsidTr="009D172D">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5F6BFC" w14:textId="77777777" w:rsidR="00232528" w:rsidRPr="00053A2B" w:rsidRDefault="00232528" w:rsidP="009D172D">
            <w:pPr>
              <w:pStyle w:val="ProductList-OfferingBody"/>
              <w:spacing w:line="254" w:lineRule="auto"/>
              <w:jc w:val="center"/>
              <w:rPr>
                <w:rFonts w:ascii="Calibri" w:hAnsi="Calibri" w:cs="Calibri"/>
                <w:szCs w:val="16"/>
              </w:rPr>
            </w:pPr>
            <w:r>
              <w:rPr>
                <w:rFonts w:ascii="Calibri" w:hAnsi="Calibri" w:cs="Calibri"/>
                <w:szCs w:val="16"/>
              </w:rPr>
              <w:t>&gt; 1 Stunde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BE7233" w14:textId="77777777" w:rsidR="00232528" w:rsidRPr="00053A2B" w:rsidRDefault="00232528" w:rsidP="009D172D">
            <w:pPr>
              <w:pStyle w:val="ProductList-OfferingBody"/>
              <w:spacing w:line="254" w:lineRule="auto"/>
              <w:jc w:val="center"/>
              <w:rPr>
                <w:rFonts w:ascii="Calibri" w:hAnsi="Calibri" w:cs="Calibri"/>
                <w:szCs w:val="16"/>
              </w:rPr>
            </w:pPr>
            <w:r>
              <w:rPr>
                <w:rFonts w:ascii="Calibri" w:hAnsi="Calibri" w:cs="Calibri"/>
                <w:szCs w:val="16"/>
              </w:rPr>
              <w:t>100 %</w:t>
            </w:r>
          </w:p>
        </w:tc>
      </w:tr>
    </w:tbl>
    <w:p w14:paraId="2EAE0C7A" w14:textId="3AB35BFC" w:rsidR="00232528" w:rsidRPr="00053A2B" w:rsidRDefault="00232528" w:rsidP="004C75EC">
      <w:pPr>
        <w:spacing w:before="120" w:after="0" w:line="240" w:lineRule="auto"/>
        <w:rPr>
          <w:rFonts w:ascii="Calibri" w:hAnsi="Calibri" w:cs="Calibri"/>
          <w:sz w:val="18"/>
          <w:szCs w:val="18"/>
        </w:rPr>
      </w:pPr>
      <w:r>
        <w:rPr>
          <w:rFonts w:ascii="Calibri" w:hAnsi="Calibri" w:cs="Calibri"/>
          <w:b/>
          <w:bCs/>
          <w:color w:val="00188F"/>
          <w:sz w:val="18"/>
          <w:szCs w:val="18"/>
        </w:rPr>
        <w:t>Hinweis:</w:t>
      </w:r>
      <w:r>
        <w:rPr>
          <w:rFonts w:ascii="Calibri" w:hAnsi="Calibri" w:cs="Calibri"/>
          <w:sz w:val="18"/>
          <w:szCs w:val="18"/>
        </w:rPr>
        <w:t xml:space="preserve"> Servicegutschriften für Fehler beim Failover werden nicht angewendet, wenn in der sekundären Region keine Rechenkapazität verfügbar ist.</w:t>
      </w:r>
    </w:p>
    <w:p w14:paraId="104587F1" w14:textId="1C42C4B6"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37748417" w14:textId="77777777" w:rsidR="004F034D" w:rsidRPr="004F034D" w:rsidRDefault="004F034D" w:rsidP="00BC5957">
      <w:pPr>
        <w:pStyle w:val="ProductList-Offering2Heading"/>
        <w:keepNext/>
        <w:tabs>
          <w:tab w:val="clear" w:pos="360"/>
          <w:tab w:val="clear" w:pos="720"/>
          <w:tab w:val="clear" w:pos="1080"/>
        </w:tabs>
        <w:outlineLvl w:val="2"/>
      </w:pPr>
      <w:bookmarkStart w:id="521" w:name="_Toc195543200"/>
      <w:bookmarkStart w:id="522" w:name="_Toc237449061"/>
      <w:r>
        <w:t>Spatial Anchors</w:t>
      </w:r>
      <w:bookmarkEnd w:id="521"/>
      <w:bookmarkEnd w:id="522"/>
    </w:p>
    <w:p w14:paraId="0BFC321D" w14:textId="77777777" w:rsidR="004F034D" w:rsidRPr="00405BA5" w:rsidRDefault="004F034D" w:rsidP="00BC5957">
      <w:pPr>
        <w:pStyle w:val="ProductList-Body"/>
        <w:keepNext/>
        <w:rPr>
          <w:b/>
          <w:bCs/>
          <w:color w:val="00188F"/>
        </w:rPr>
      </w:pPr>
      <w:r>
        <w:rPr>
          <w:b/>
          <w:bCs/>
          <w:color w:val="00188F"/>
        </w:rPr>
        <w:t>Zusätzliche Definitionen</w:t>
      </w:r>
    </w:p>
    <w:p w14:paraId="651B2826" w14:textId="01AC50D2" w:rsidR="004F034D" w:rsidRDefault="004F034D" w:rsidP="004F034D">
      <w:pPr>
        <w:pStyle w:val="ProductList-Body"/>
      </w:pPr>
      <w:r>
        <w:t>„</w:t>
      </w:r>
      <w:r>
        <w:rPr>
          <w:b/>
          <w:bCs/>
          <w:color w:val="00188F"/>
        </w:rPr>
        <w:t>Gesamtzahl der Transaktionsversuche</w:t>
      </w:r>
      <w:r>
        <w:t>“ ist die Gesamtzahl der authentifizierten API-Anforderungen in Bezug auf Azure Spatial Anchors, die</w:t>
      </w:r>
      <w:r w:rsidR="003848D3">
        <w:t> </w:t>
      </w:r>
      <w:r>
        <w:t>vom</w:t>
      </w:r>
      <w:r w:rsidR="003848D3">
        <w:t> </w:t>
      </w:r>
      <w:r>
        <w:t>Kunden während eines Anwendbaren Zeitraums für eine bestimmte Azure Spatial Anchors-API gestellt wurden. Die Gesamtzahl der Transaktionsversuche umfasst nicht die API-Anforderungen, die einen Fehlercode zurückgeben und innerhalb eines Fünf-Minuten-Fensters nach</w:t>
      </w:r>
      <w:r w:rsidR="003848D3">
        <w:t> </w:t>
      </w:r>
      <w:r>
        <w:t>Erhalt des ersten Fehlercodes kontinuierlich wiederholt werden.</w:t>
      </w:r>
    </w:p>
    <w:p w14:paraId="796CA674" w14:textId="2B54CB25" w:rsidR="004F034D" w:rsidRDefault="004F034D" w:rsidP="004F034D">
      <w:pPr>
        <w:pStyle w:val="ProductList-Body"/>
      </w:pPr>
      <w:r>
        <w:t>„</w:t>
      </w:r>
      <w:r>
        <w:rPr>
          <w:b/>
          <w:bCs/>
          <w:color w:val="00188F"/>
        </w:rPr>
        <w:t>Fehlerhafte Transaktionen</w:t>
      </w:r>
      <w:r>
        <w:t>“ ist die Menge aller Anforderungen an die Azure Spatial Anchors API innerhalb der Gesamttransaktionsversuche, die</w:t>
      </w:r>
      <w:r w:rsidR="00B536CD">
        <w:t> </w:t>
      </w:r>
      <w:r>
        <w:t>einen Fehlercode zurückgeben.</w:t>
      </w:r>
    </w:p>
    <w:p w14:paraId="5DEAF8F5" w14:textId="33CFCAAA" w:rsidR="004F034D" w:rsidRPr="001012EB" w:rsidRDefault="00EE6E3C" w:rsidP="001012EB">
      <w:pPr>
        <w:pStyle w:val="ProductList-Body"/>
        <w:keepNext/>
        <w:rPr>
          <w:b/>
          <w:bCs/>
          <w:color w:val="00188F"/>
        </w:rPr>
      </w:pPr>
      <w:r>
        <w:rPr>
          <w:b/>
          <w:bCs/>
          <w:color w:val="00188F"/>
        </w:rPr>
        <w:t>Berechnung der Betriebszeit</w:t>
      </w:r>
    </w:p>
    <w:p w14:paraId="1A5DAFF7" w14:textId="1DB12F6E" w:rsidR="004F034D" w:rsidRDefault="004F034D" w:rsidP="004F034D">
      <w:pPr>
        <w:pStyle w:val="ProductList-Body"/>
      </w:pPr>
      <w:r>
        <w:t>„</w:t>
      </w:r>
      <w:r>
        <w:rPr>
          <w:b/>
          <w:bCs/>
          <w:color w:val="00188F"/>
        </w:rPr>
        <w:t>Betriebszeitprozentsatz</w:t>
      </w:r>
      <w:r>
        <w:t>“ für Azure Spatial Anchors wird berechnet als Gesamtzahl der Transaktionsversuche abzüglich der Fehlgeschlagenen Transaktionen geteilt durch die Gesamtzahl der Transaktionsversuche in einem Anwendbaren Zeitraum für ein bestimmtes Microsoft Azure-Abonnement. Der Betriebszeitprozentsatz wird durch die folgende Formel ermittelt:</w:t>
      </w:r>
    </w:p>
    <w:p w14:paraId="02BCFA38" w14:textId="5F02C8AA" w:rsidR="00F21F65" w:rsidRPr="00EF7CF9" w:rsidRDefault="00000000" w:rsidP="006F0662">
      <w:pPr>
        <w:spacing w:before="120" w:line="240" w:lineRule="auto"/>
        <w:rPr>
          <w:rFonts w:ascii="Cambria Math" w:hAnsi="Cambria Math" w:cs="Tahoma"/>
          <w:i/>
          <w:color w:val="000000" w:themeColor="text1"/>
          <w:sz w:val="18"/>
          <w:szCs w:val="18"/>
        </w:rPr>
      </w:pPr>
      <m:oMathPara>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Gesamtzahl der Transaktionsversuche abzüglich Fehlerhafte Transaktionen</m:t>
              </m:r>
            </m:num>
            <m:den>
              <m:r>
                <m:rPr>
                  <m:nor/>
                </m:rPr>
                <w:rPr>
                  <w:rFonts w:ascii="Cambria Math" w:hAnsi="Cambria Math" w:cs="Tahoma"/>
                  <w:i/>
                  <w:color w:val="000000" w:themeColor="text1"/>
                  <w:sz w:val="18"/>
                  <w:szCs w:val="18"/>
                </w:rPr>
                <m:t>Gesamtzahl der Transaktionsversuche</m:t>
              </m:r>
            </m:den>
          </m:f>
          <m:r>
            <w:rPr>
              <w:rFonts w:ascii="Cambria Math" w:hAnsi="Cambria Math" w:cs="Tahoma"/>
              <w:color w:val="000000" w:themeColor="text1"/>
              <w:sz w:val="18"/>
              <w:szCs w:val="18"/>
            </w:rPr>
            <m:t xml:space="preserve"> x 100</m:t>
          </m:r>
        </m:oMath>
      </m:oMathPara>
    </w:p>
    <w:p w14:paraId="1269FB19" w14:textId="77777777" w:rsidR="004F034D" w:rsidRPr="00D83D15" w:rsidRDefault="004F034D" w:rsidP="004F034D">
      <w:pPr>
        <w:pStyle w:val="ProductList-Body"/>
        <w:rPr>
          <w:b/>
          <w:bCs/>
          <w:color w:val="00188F"/>
        </w:rPr>
      </w:pPr>
      <w:r>
        <w:rPr>
          <w:b/>
          <w:bCs/>
          <w:color w:val="00188F"/>
        </w:rPr>
        <w:t>Folgende Servicelevels und Servicegutschriften gelten für Azure Spatial Anchors APIs: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638F" w:rsidRPr="00B44CF9" w14:paraId="2A64F92D" w14:textId="77777777" w:rsidTr="00277097">
        <w:trPr>
          <w:tblHeader/>
        </w:trPr>
        <w:tc>
          <w:tcPr>
            <w:tcW w:w="5400" w:type="dxa"/>
            <w:shd w:val="clear" w:color="auto" w:fill="0072C6"/>
          </w:tcPr>
          <w:p w14:paraId="4BB37E10" w14:textId="317549EE" w:rsidR="005C638F"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3FF80F05" w14:textId="77777777" w:rsidR="005C638F" w:rsidRPr="00EF7CF9" w:rsidRDefault="005C638F" w:rsidP="000F31B4">
            <w:pPr>
              <w:pStyle w:val="ProductList-OfferingBody"/>
              <w:jc w:val="center"/>
              <w:rPr>
                <w:color w:val="FFFFFF" w:themeColor="background1"/>
              </w:rPr>
            </w:pPr>
            <w:r>
              <w:rPr>
                <w:color w:val="FFFFFF" w:themeColor="background1"/>
              </w:rPr>
              <w:t>Servicegutschrift</w:t>
            </w:r>
          </w:p>
        </w:tc>
      </w:tr>
      <w:tr w:rsidR="005C638F" w:rsidRPr="00B44CF9" w14:paraId="1100463E" w14:textId="77777777" w:rsidTr="00277097">
        <w:tc>
          <w:tcPr>
            <w:tcW w:w="5400" w:type="dxa"/>
          </w:tcPr>
          <w:p w14:paraId="7EB7FC53" w14:textId="77777777" w:rsidR="005C638F" w:rsidRPr="00EF7CF9" w:rsidRDefault="005C638F" w:rsidP="000F31B4">
            <w:pPr>
              <w:pStyle w:val="ProductList-OfferingBody"/>
              <w:jc w:val="center"/>
            </w:pPr>
            <w:r>
              <w:t>&lt; 99,9 %</w:t>
            </w:r>
          </w:p>
        </w:tc>
        <w:tc>
          <w:tcPr>
            <w:tcW w:w="5400" w:type="dxa"/>
          </w:tcPr>
          <w:p w14:paraId="7357F934" w14:textId="77777777" w:rsidR="005C638F" w:rsidRPr="00EF7CF9" w:rsidRDefault="005C638F" w:rsidP="000F31B4">
            <w:pPr>
              <w:pStyle w:val="ProductList-OfferingBody"/>
              <w:jc w:val="center"/>
            </w:pPr>
            <w:r>
              <w:t>10 %</w:t>
            </w:r>
          </w:p>
        </w:tc>
      </w:tr>
      <w:tr w:rsidR="005C638F" w:rsidRPr="00B44CF9" w14:paraId="4DC15696" w14:textId="77777777" w:rsidTr="00277097">
        <w:tc>
          <w:tcPr>
            <w:tcW w:w="5400" w:type="dxa"/>
          </w:tcPr>
          <w:p w14:paraId="52935FDC" w14:textId="77777777" w:rsidR="005C638F" w:rsidRPr="00EF7CF9" w:rsidRDefault="005C638F" w:rsidP="000F31B4">
            <w:pPr>
              <w:pStyle w:val="ProductList-OfferingBody"/>
              <w:jc w:val="center"/>
            </w:pPr>
            <w:r>
              <w:t>&lt; 99 %</w:t>
            </w:r>
          </w:p>
        </w:tc>
        <w:tc>
          <w:tcPr>
            <w:tcW w:w="5400" w:type="dxa"/>
          </w:tcPr>
          <w:p w14:paraId="7AD1629F" w14:textId="77777777" w:rsidR="005C638F" w:rsidRPr="00EF7CF9" w:rsidRDefault="005C638F" w:rsidP="000F31B4">
            <w:pPr>
              <w:pStyle w:val="ProductList-OfferingBody"/>
              <w:jc w:val="center"/>
            </w:pPr>
            <w:r>
              <w:t>25 %</w:t>
            </w:r>
          </w:p>
        </w:tc>
      </w:tr>
    </w:tbl>
    <w:p w14:paraId="18140566" w14:textId="7A2A13DC"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70D3B8C1" w14:textId="77777777" w:rsidR="004731F2" w:rsidRPr="004731F2" w:rsidRDefault="004731F2" w:rsidP="004731F2">
      <w:pPr>
        <w:pStyle w:val="ProductList-Offering2Heading"/>
        <w:keepNext/>
        <w:tabs>
          <w:tab w:val="clear" w:pos="360"/>
          <w:tab w:val="clear" w:pos="720"/>
          <w:tab w:val="clear" w:pos="1080"/>
        </w:tabs>
        <w:outlineLvl w:val="2"/>
      </w:pPr>
      <w:bookmarkStart w:id="523" w:name="_Toc195543201"/>
      <w:bookmarkStart w:id="524" w:name="_Toc237449062"/>
      <w:r>
        <w:t>Azure Spring Apps</w:t>
      </w:r>
      <w:bookmarkEnd w:id="523"/>
      <w:bookmarkEnd w:id="524"/>
    </w:p>
    <w:p w14:paraId="0563B350" w14:textId="77777777" w:rsidR="004731F2" w:rsidRPr="004731F2" w:rsidRDefault="004731F2" w:rsidP="004731F2">
      <w:pPr>
        <w:pStyle w:val="ProductList-Body"/>
        <w:rPr>
          <w:b/>
          <w:bCs/>
          <w:color w:val="00188F"/>
        </w:rPr>
      </w:pPr>
      <w:r>
        <w:rPr>
          <w:b/>
          <w:bCs/>
          <w:color w:val="00188F"/>
        </w:rPr>
        <w:t>Zusätzliche Definitionen</w:t>
      </w:r>
    </w:p>
    <w:p w14:paraId="5CE2A674" w14:textId="77777777" w:rsidR="004731F2" w:rsidRDefault="004731F2" w:rsidP="004731F2">
      <w:pPr>
        <w:pStyle w:val="ProductList-Body"/>
      </w:pPr>
      <w:r>
        <w:t>„</w:t>
      </w:r>
      <w:r>
        <w:rPr>
          <w:b/>
          <w:bCs/>
          <w:color w:val="00188F"/>
        </w:rPr>
        <w:t>App</w:t>
      </w:r>
      <w:r>
        <w:t>“ ist eine Spring Boot App, die vom Kunden innerhalb von Azure Spring Apps bereitgestellt wird. Mit Ausnahme von Apps in der Basisstufe.</w:t>
      </w:r>
    </w:p>
    <w:p w14:paraId="10973B28" w14:textId="77777777" w:rsidR="004731F2" w:rsidRDefault="004731F2" w:rsidP="004731F2">
      <w:pPr>
        <w:pStyle w:val="ProductList-Body"/>
      </w:pPr>
      <w:r>
        <w:t>„</w:t>
      </w:r>
      <w:r>
        <w:rPr>
          <w:b/>
          <w:bCs/>
          <w:color w:val="00188F"/>
        </w:rPr>
        <w:t>Laufzeit des Spring Apps-Dienstes</w:t>
      </w:r>
      <w:r>
        <w:t>“ ist eine Sammlung von Spring Apps-Komponenten (z. B. Spring Apps Config Server, Spring Apps Registry), die von Microsoft gehostet werden.</w:t>
      </w:r>
    </w:p>
    <w:p w14:paraId="6C47BC19" w14:textId="7BA2076C" w:rsidR="004731F2" w:rsidRPr="004731F2" w:rsidRDefault="00EE6E3C" w:rsidP="007D2372">
      <w:pPr>
        <w:pStyle w:val="ProductList-Body"/>
        <w:rPr>
          <w:b/>
          <w:bCs/>
          <w:color w:val="00188F"/>
        </w:rPr>
      </w:pPr>
      <w:r>
        <w:rPr>
          <w:b/>
          <w:bCs/>
          <w:color w:val="00188F"/>
        </w:rPr>
        <w:t>Berechnung der Betriebszeit und Service-Levels für Azure Spring Apps</w:t>
      </w:r>
    </w:p>
    <w:p w14:paraId="17080AFD" w14:textId="1203C3E1" w:rsidR="004731F2" w:rsidRDefault="004731F2" w:rsidP="004731F2">
      <w:pPr>
        <w:pStyle w:val="ProductList-Body"/>
      </w:pPr>
      <w:r>
        <w:t>„</w:t>
      </w:r>
      <w:r>
        <w:rPr>
          <w:b/>
          <w:bCs/>
          <w:color w:val="00188F"/>
        </w:rPr>
        <w:t>Bereitstellungsminuten</w:t>
      </w:r>
      <w:r>
        <w:t>“ ist die Gesamtzahl der Minuten, in denen eine bestimmte App während eines Anwendbaren Zeitraums in Microsoft Azure ausgeführt wird. Bereitstellungsminuten werden von dem Zeitpunkt, zu dem die App erstellt wurde oder der Kunde eine Aktion initiiert hat, die zur Ausführung der App führt, bis zu dem Zeitpunkt gemessen, zu dem der Kunde eine Aktion initiiert hat, die zum Anhalten oder Löschen der App führt.</w:t>
      </w:r>
    </w:p>
    <w:p w14:paraId="7ADA867F" w14:textId="357E5C24" w:rsidR="004731F2" w:rsidRDefault="004731F2" w:rsidP="004731F2">
      <w:pPr>
        <w:pStyle w:val="ProductList-Body"/>
      </w:pPr>
      <w:r>
        <w:t>„</w:t>
      </w:r>
      <w:r>
        <w:rPr>
          <w:b/>
          <w:bCs/>
          <w:color w:val="00188F"/>
        </w:rPr>
        <w:t>Maximal Verfügbare Minuten</w:t>
      </w:r>
      <w:r>
        <w:t>“ ist die Summe aller Bereitstellungsminuten für alle vom Kunden in einem bestimmten Microsoft Azure-Abonnement während eines Anwendbaren Zeitraums bereitgestellten Apps.</w:t>
      </w:r>
    </w:p>
    <w:p w14:paraId="78D8D718" w14:textId="579EA643" w:rsidR="004731F2" w:rsidRPr="001846CE" w:rsidRDefault="004731F2" w:rsidP="004731F2">
      <w:pPr>
        <w:pStyle w:val="ProductList-Body"/>
        <w:rPr>
          <w:spacing w:val="-2"/>
        </w:rPr>
      </w:pPr>
      <w:r w:rsidRPr="001846CE">
        <w:rPr>
          <w:spacing w:val="-2"/>
        </w:rPr>
        <w:t>„</w:t>
      </w:r>
      <w:r w:rsidRPr="001846CE">
        <w:rPr>
          <w:b/>
          <w:bCs/>
          <w:color w:val="00188F"/>
          <w:spacing w:val="-2"/>
        </w:rPr>
        <w:t>Ausfallzeit</w:t>
      </w:r>
      <w:r w:rsidRPr="001846CE">
        <w:rPr>
          <w:spacing w:val="-2"/>
        </w:rPr>
        <w:t>“ ist die Summe der Bereitstellungsminuten aller Apps, die vom Kunden in einem bestimmten Microsoft Azure-Abonnement während eines</w:t>
      </w:r>
      <w:r w:rsidR="003D2807">
        <w:rPr>
          <w:spacing w:val="-2"/>
        </w:rPr>
        <w:t> </w:t>
      </w:r>
      <w:r w:rsidRPr="001846CE">
        <w:rPr>
          <w:spacing w:val="-2"/>
        </w:rPr>
        <w:t>Anwendbaren Zeitraums, in dem die App nicht verfügbar ist, bereitgestellt werden. Eine Minute gilt für eine bestimmte App als nicht verfügbar, wenn alle kontinuierlichen Verbindungsversuche zwischen der App und dem Internetgateway von Microsoft oder der Laufzeit des Azure Spring Apps-Dienstes während dieser Minute entweder zu einem Fehlercode führen oder innerhalb von fünf Minuten keinen Erfolgscode zurückgeben.</w:t>
      </w:r>
    </w:p>
    <w:p w14:paraId="480E1E8E" w14:textId="4377ED92" w:rsidR="004731F2" w:rsidRDefault="004731F2" w:rsidP="004731F2">
      <w:pPr>
        <w:pStyle w:val="ProductList-Body"/>
      </w:pPr>
      <w:r>
        <w:lastRenderedPageBreak/>
        <w:t>„</w:t>
      </w:r>
      <w:r>
        <w:rPr>
          <w:b/>
          <w:bCs/>
          <w:color w:val="00188F"/>
        </w:rPr>
        <w:t>Betriebszeitprozentsatz</w:t>
      </w:r>
      <w:r w:rsidR="00445B42">
        <w:t>“</w:t>
      </w:r>
      <w:r w:rsidRPr="0008262F">
        <w:rPr>
          <w:b/>
          <w:color w:val="00188F"/>
        </w:rPr>
        <w:t>:</w:t>
      </w:r>
      <w:r>
        <w:t xml:space="preserve"> Der Betriebszeitprozentsatz errechnet sich nach folgender Formel:</w:t>
      </w:r>
    </w:p>
    <w:p w14:paraId="0ECF3A39" w14:textId="177F0BCD" w:rsidR="004731F2" w:rsidRPr="00246AD4" w:rsidRDefault="00000000" w:rsidP="006F0662">
      <w:pPr>
        <w:pStyle w:val="ListParagraph"/>
        <w:spacing w:before="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38F62620" w14:textId="08C893A0" w:rsidR="004731F2" w:rsidRPr="004731F2" w:rsidRDefault="00DE237E" w:rsidP="004731F2">
      <w:pPr>
        <w:pStyle w:val="ProductList-Body"/>
        <w:rPr>
          <w:b/>
          <w:bCs/>
          <w:color w:val="00188F"/>
        </w:rPr>
      </w:pPr>
      <w:r>
        <w:rPr>
          <w:b/>
          <w:bCs/>
          <w:color w:val="00188F"/>
        </w:rPr>
        <w:t>Folgende Service Levels und Servicegutschriften gelten für Standard Tier: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731F2" w:rsidRPr="00B44CF9" w14:paraId="66CC6CC2" w14:textId="77777777" w:rsidTr="00277097">
        <w:trPr>
          <w:tblHeader/>
        </w:trPr>
        <w:tc>
          <w:tcPr>
            <w:tcW w:w="5400" w:type="dxa"/>
            <w:shd w:val="clear" w:color="auto" w:fill="0072C6"/>
          </w:tcPr>
          <w:p w14:paraId="7C8F279A" w14:textId="18CF9446" w:rsidR="004731F2"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1AEF3B8E" w14:textId="77777777" w:rsidR="004731F2" w:rsidRPr="00EF7CF9" w:rsidRDefault="004731F2" w:rsidP="000F31B4">
            <w:pPr>
              <w:pStyle w:val="ProductList-OfferingBody"/>
              <w:jc w:val="center"/>
              <w:rPr>
                <w:color w:val="FFFFFF" w:themeColor="background1"/>
              </w:rPr>
            </w:pPr>
            <w:r>
              <w:rPr>
                <w:color w:val="FFFFFF" w:themeColor="background1"/>
              </w:rPr>
              <w:t>Servicegutschrift</w:t>
            </w:r>
          </w:p>
        </w:tc>
      </w:tr>
      <w:tr w:rsidR="004731F2" w:rsidRPr="00B44CF9" w14:paraId="2CF31537" w14:textId="77777777" w:rsidTr="00277097">
        <w:tc>
          <w:tcPr>
            <w:tcW w:w="5400" w:type="dxa"/>
          </w:tcPr>
          <w:p w14:paraId="4B7534D4" w14:textId="77777777" w:rsidR="004731F2" w:rsidRPr="00EF7CF9" w:rsidRDefault="004731F2" w:rsidP="000F31B4">
            <w:pPr>
              <w:pStyle w:val="ProductList-OfferingBody"/>
              <w:jc w:val="center"/>
            </w:pPr>
            <w:r>
              <w:t>&lt; 99,9 %</w:t>
            </w:r>
          </w:p>
        </w:tc>
        <w:tc>
          <w:tcPr>
            <w:tcW w:w="5400" w:type="dxa"/>
          </w:tcPr>
          <w:p w14:paraId="6A78877F" w14:textId="77777777" w:rsidR="004731F2" w:rsidRPr="00EF7CF9" w:rsidRDefault="004731F2" w:rsidP="000F31B4">
            <w:pPr>
              <w:pStyle w:val="ProductList-OfferingBody"/>
              <w:jc w:val="center"/>
            </w:pPr>
            <w:r>
              <w:t>10 %</w:t>
            </w:r>
          </w:p>
        </w:tc>
      </w:tr>
      <w:tr w:rsidR="004731F2" w:rsidRPr="00B44CF9" w14:paraId="7531695E" w14:textId="77777777" w:rsidTr="00277097">
        <w:tc>
          <w:tcPr>
            <w:tcW w:w="5400" w:type="dxa"/>
          </w:tcPr>
          <w:p w14:paraId="04819F0C" w14:textId="77777777" w:rsidR="004731F2" w:rsidRPr="00EF7CF9" w:rsidRDefault="004731F2" w:rsidP="000F31B4">
            <w:pPr>
              <w:pStyle w:val="ProductList-OfferingBody"/>
              <w:jc w:val="center"/>
            </w:pPr>
            <w:r>
              <w:t>&lt; 99 %</w:t>
            </w:r>
          </w:p>
        </w:tc>
        <w:tc>
          <w:tcPr>
            <w:tcW w:w="5400" w:type="dxa"/>
          </w:tcPr>
          <w:p w14:paraId="7BBF4E72" w14:textId="77777777" w:rsidR="004731F2" w:rsidRPr="00EF7CF9" w:rsidRDefault="004731F2" w:rsidP="000F31B4">
            <w:pPr>
              <w:pStyle w:val="ProductList-OfferingBody"/>
              <w:jc w:val="center"/>
            </w:pPr>
            <w:r>
              <w:t>25 %</w:t>
            </w:r>
          </w:p>
        </w:tc>
      </w:tr>
    </w:tbl>
    <w:p w14:paraId="1785D4EF" w14:textId="7C09F61D" w:rsidR="002B686C" w:rsidRDefault="002B686C" w:rsidP="004C75EC">
      <w:pPr>
        <w:pStyle w:val="ProductList-Body"/>
        <w:keepNext/>
        <w:spacing w:before="120"/>
        <w:rPr>
          <w:b/>
          <w:bCs/>
          <w:color w:val="00188F"/>
        </w:rPr>
      </w:pPr>
      <w:r>
        <w:rPr>
          <w:b/>
          <w:bCs/>
          <w:color w:val="00188F"/>
        </w:rPr>
        <w:t>Folgende Service Levels und Servicegutschriften gelten für Enterprise Tier: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B686C" w14:paraId="274B0D36" w14:textId="77777777" w:rsidTr="002B686C">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446914C" w14:textId="6E78138C" w:rsidR="002B686C" w:rsidRDefault="00AC48A7">
            <w:pPr>
              <w:pStyle w:val="ProductList-OfferingBody"/>
              <w:spacing w:line="256" w:lineRule="auto"/>
              <w:jc w:val="center"/>
              <w:rPr>
                <w:color w:val="FFFFFF" w:themeColor="background1"/>
              </w:rPr>
            </w:pPr>
            <w:r>
              <w:rPr>
                <w:color w:val="FFFFFF" w:themeColor="background1"/>
              </w:rPr>
              <w:t>Betriebszeitprozentsatz</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240B421" w14:textId="77777777" w:rsidR="002B686C" w:rsidRDefault="002B686C">
            <w:pPr>
              <w:pStyle w:val="ProductList-OfferingBody"/>
              <w:spacing w:line="256" w:lineRule="auto"/>
              <w:jc w:val="center"/>
              <w:rPr>
                <w:color w:val="FFFFFF" w:themeColor="background1"/>
              </w:rPr>
            </w:pPr>
            <w:r>
              <w:rPr>
                <w:color w:val="FFFFFF" w:themeColor="background1"/>
              </w:rPr>
              <w:t>Servicegutschrift</w:t>
            </w:r>
          </w:p>
        </w:tc>
      </w:tr>
      <w:tr w:rsidR="002B686C" w14:paraId="40060D10" w14:textId="77777777" w:rsidTr="002B686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46A571" w14:textId="77777777" w:rsidR="002B686C" w:rsidRDefault="002B686C">
            <w:pPr>
              <w:pStyle w:val="ProductList-OfferingBody"/>
              <w:spacing w:line="256" w:lineRule="auto"/>
              <w:jc w:val="center"/>
            </w:pPr>
            <w:r>
              <w:t>&lt; 99,95 %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4584D8" w14:textId="77777777" w:rsidR="002B686C" w:rsidRDefault="002B686C">
            <w:pPr>
              <w:pStyle w:val="ProductList-OfferingBody"/>
              <w:spacing w:line="256" w:lineRule="auto"/>
              <w:jc w:val="center"/>
            </w:pPr>
            <w:r>
              <w:t>10 %</w:t>
            </w:r>
          </w:p>
        </w:tc>
      </w:tr>
      <w:tr w:rsidR="002B686C" w14:paraId="462AA4E3" w14:textId="77777777" w:rsidTr="002B686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2FFA4D" w14:textId="77777777" w:rsidR="002B686C" w:rsidRDefault="002B686C">
            <w:pPr>
              <w:pStyle w:val="ProductList-OfferingBody"/>
              <w:spacing w:line="256"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A24480" w14:textId="77777777" w:rsidR="002B686C" w:rsidRDefault="002B686C">
            <w:pPr>
              <w:pStyle w:val="ProductList-OfferingBody"/>
              <w:spacing w:line="256" w:lineRule="auto"/>
              <w:jc w:val="center"/>
            </w:pPr>
            <w:r>
              <w:t>25 %</w:t>
            </w:r>
          </w:p>
        </w:tc>
      </w:tr>
    </w:tbl>
    <w:bookmarkStart w:id="525" w:name="_Toc52348987"/>
    <w:p w14:paraId="2874EFE7" w14:textId="37361ECC"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11E3AFFC" w14:textId="3C23C0FA" w:rsidR="003D733D" w:rsidRPr="00EF7CF9" w:rsidRDefault="003D733D" w:rsidP="003D733D">
      <w:pPr>
        <w:pStyle w:val="ProductList-Offering2Heading"/>
        <w:tabs>
          <w:tab w:val="clear" w:pos="360"/>
          <w:tab w:val="clear" w:pos="720"/>
          <w:tab w:val="clear" w:pos="1080"/>
        </w:tabs>
        <w:outlineLvl w:val="2"/>
      </w:pPr>
      <w:bookmarkStart w:id="526" w:name="_Toc195543202"/>
      <w:bookmarkStart w:id="527" w:name="_Toc237449063"/>
      <w:r>
        <w:t>Azure SQL-Datenbank</w:t>
      </w:r>
      <w:bookmarkEnd w:id="526"/>
      <w:bookmarkEnd w:id="527"/>
      <w:r>
        <w:t xml:space="preserve"> </w:t>
      </w:r>
      <w:bookmarkEnd w:id="525"/>
    </w:p>
    <w:p w14:paraId="66E30F7E" w14:textId="77777777" w:rsidR="003D733D" w:rsidRPr="00EF7CF9" w:rsidRDefault="003D733D" w:rsidP="003D733D">
      <w:pPr>
        <w:pStyle w:val="ProductList-Body"/>
      </w:pPr>
      <w:r>
        <w:rPr>
          <w:b/>
          <w:color w:val="00188F"/>
        </w:rPr>
        <w:t>Zusätzliche Definitionen</w:t>
      </w:r>
      <w:r w:rsidRPr="0008262F">
        <w:rPr>
          <w:b/>
          <w:color w:val="00188F"/>
        </w:rPr>
        <w:t>:</w:t>
      </w:r>
    </w:p>
    <w:p w14:paraId="2FD63069" w14:textId="77777777" w:rsidR="003D733D" w:rsidRPr="00ED4527" w:rsidRDefault="003D733D" w:rsidP="003D733D">
      <w:pPr>
        <w:pStyle w:val="ProductList-Body"/>
        <w:rPr>
          <w:color w:val="000000" w:themeColor="text1"/>
        </w:rPr>
      </w:pPr>
      <w:r>
        <w:rPr>
          <w:color w:val="000000" w:themeColor="text1"/>
        </w:rPr>
        <w:t>„</w:t>
      </w:r>
      <w:r>
        <w:rPr>
          <w:b/>
          <w:bCs/>
          <w:color w:val="00188F"/>
        </w:rPr>
        <w:t>Verfügbarkeitszone</w:t>
      </w:r>
      <w:r>
        <w:rPr>
          <w:color w:val="000000" w:themeColor="text1"/>
        </w:rPr>
        <w:t>“ ist ein fehlerisolierter Bereich in einer Azure-Region, der redundante Stromversorgung, Kühlung und Vernetzung zur Verfügung stellt.</w:t>
      </w:r>
    </w:p>
    <w:p w14:paraId="470C0B9A" w14:textId="77777777" w:rsidR="003D733D" w:rsidRPr="00ED4527" w:rsidRDefault="003D733D" w:rsidP="003D733D">
      <w:pPr>
        <w:pStyle w:val="ProductList-Body"/>
        <w:rPr>
          <w:color w:val="000000" w:themeColor="text1"/>
        </w:rPr>
      </w:pPr>
      <w:r>
        <w:rPr>
          <w:color w:val="000000" w:themeColor="text1"/>
        </w:rPr>
        <w:t>„</w:t>
      </w:r>
      <w:r>
        <w:rPr>
          <w:b/>
          <w:bCs/>
          <w:color w:val="00188F"/>
        </w:rPr>
        <w:t>Datenbank</w:t>
      </w:r>
      <w:r>
        <w:rPr>
          <w:color w:val="000000" w:themeColor="text1"/>
        </w:rPr>
        <w:t>“ bezeichnet eine beliebige Microsoft Azure SQL-Datenbank, die in einer der Dienststufen erstellt und entweder als einzelne Datenbank oder in einem Pool für elastische Datenbanken bereitgestellt wird.</w:t>
      </w:r>
    </w:p>
    <w:p w14:paraId="3425FC85" w14:textId="77777777" w:rsidR="003D733D" w:rsidRPr="00ED4527" w:rsidRDefault="003D733D" w:rsidP="003D733D">
      <w:pPr>
        <w:pStyle w:val="ProductList-Body"/>
        <w:rPr>
          <w:color w:val="000000" w:themeColor="text1"/>
        </w:rPr>
      </w:pPr>
      <w:r>
        <w:rPr>
          <w:color w:val="000000" w:themeColor="text1"/>
        </w:rPr>
        <w:t>„</w:t>
      </w:r>
      <w:r>
        <w:rPr>
          <w:b/>
          <w:bCs/>
          <w:color w:val="00188F"/>
        </w:rPr>
        <w:t>Zonenredundante Bereitstellung</w:t>
      </w:r>
      <w:r>
        <w:rPr>
          <w:color w:val="000000" w:themeColor="text1"/>
        </w:rPr>
        <w:t>“ ist eine Datenbank, die über mehrere Verfügbarkeitszonen bereitgestellt wird.</w:t>
      </w:r>
    </w:p>
    <w:p w14:paraId="30555189" w14:textId="77777777" w:rsidR="003D733D" w:rsidRPr="00ED4527" w:rsidRDefault="003D733D" w:rsidP="003D733D">
      <w:pPr>
        <w:pStyle w:val="ProductList-Body"/>
        <w:rPr>
          <w:color w:val="000000" w:themeColor="text1"/>
        </w:rPr>
      </w:pPr>
      <w:r>
        <w:rPr>
          <w:color w:val="000000" w:themeColor="text1"/>
        </w:rPr>
        <w:t>„</w:t>
      </w:r>
      <w:r>
        <w:rPr>
          <w:b/>
          <w:bCs/>
          <w:color w:val="00188F"/>
        </w:rPr>
        <w:t>Primär</w:t>
      </w:r>
      <w:r>
        <w:rPr>
          <w:color w:val="000000" w:themeColor="text1"/>
        </w:rPr>
        <w:t>“ bezeichnet jede Datenbank, die eine aktive Georeplikationsbeziehung mit einer Datenbank in anderen Azure-Regionen hat. Primär kann Lese- und Schreibanforderungen aus der Anwendung verarbeiten.</w:t>
      </w:r>
    </w:p>
    <w:p w14:paraId="5425B8BB" w14:textId="77777777" w:rsidR="003D733D" w:rsidRPr="00ED4527" w:rsidRDefault="003D733D" w:rsidP="003D733D">
      <w:pPr>
        <w:pStyle w:val="ProductList-Body"/>
        <w:rPr>
          <w:color w:val="000000" w:themeColor="text1"/>
        </w:rPr>
      </w:pPr>
      <w:r>
        <w:rPr>
          <w:color w:val="000000" w:themeColor="text1"/>
        </w:rPr>
        <w:t>„</w:t>
      </w:r>
      <w:r>
        <w:rPr>
          <w:b/>
          <w:bCs/>
          <w:color w:val="00188F"/>
        </w:rPr>
        <w:t>Sekundär</w:t>
      </w:r>
      <w:r>
        <w:rPr>
          <w:color w:val="000000" w:themeColor="text1"/>
        </w:rPr>
        <w:t>“ bezeichnet jede Datenbank, die eine asynchrone Geo-Replikationsbeziehung mit einer primären Datenbank in einer anderen Azure-Region unterhält und als Failover-Ziel verwendet werden kann. Sekundär kann schreibgeschützte Anforderungen von Anwendungen verarbeiten.</w:t>
      </w:r>
    </w:p>
    <w:p w14:paraId="462CAE1B" w14:textId="77777777" w:rsidR="003D733D" w:rsidRPr="00ED4527" w:rsidRDefault="003D733D" w:rsidP="003D733D">
      <w:pPr>
        <w:pStyle w:val="ProductList-Body"/>
        <w:rPr>
          <w:color w:val="000000" w:themeColor="text1"/>
        </w:rPr>
      </w:pPr>
      <w:r>
        <w:rPr>
          <w:color w:val="000000" w:themeColor="text1"/>
        </w:rPr>
        <w:t>„</w:t>
      </w:r>
      <w:r>
        <w:rPr>
          <w:b/>
          <w:bCs/>
          <w:color w:val="00188F"/>
        </w:rPr>
        <w:t>Sekundär (konform)</w:t>
      </w:r>
      <w:r>
        <w:rPr>
          <w:color w:val="000000" w:themeColor="text1"/>
        </w:rPr>
        <w:t>“ bezeichnet eine Sekundärdatenbank, die mit derselben Konfiguration und auf derselben Dienststufe wie die Primärdatenbank erstellt wurde. Wenn die Sekundärdatenbank in einem Pool für elastische Datenbanken erstellt wird, wird sie als konform betrachtet, wenn sowohl die Primär- als auch die Sekundärdatenbank in Pools für elastische Datenbanken mit passenden Konfigurationen erstellt werden und für eine konforme Konfiguration die Dichte nicht über 250 Datenbanken liegt.</w:t>
      </w:r>
    </w:p>
    <w:p w14:paraId="3B202949" w14:textId="0F92E510" w:rsidR="003D733D" w:rsidRPr="00ED4527" w:rsidRDefault="00EE6E3C" w:rsidP="006F0662">
      <w:pPr>
        <w:pStyle w:val="ProductList-Body"/>
        <w:spacing w:before="120"/>
        <w:rPr>
          <w:b/>
          <w:bCs/>
          <w:color w:val="00188F"/>
        </w:rPr>
      </w:pPr>
      <w:r>
        <w:rPr>
          <w:b/>
          <w:bCs/>
          <w:color w:val="00188F"/>
        </w:rPr>
        <w:t>Berechnung der Betriebszeit und Service-Levels für Azure SQL-Datenbank-Dienst</w:t>
      </w:r>
    </w:p>
    <w:p w14:paraId="5BDCA970" w14:textId="116A4C64" w:rsidR="003D733D" w:rsidRDefault="003D733D" w:rsidP="003D733D">
      <w:pPr>
        <w:pStyle w:val="ProductList-Body"/>
      </w:pPr>
      <w:r>
        <w:t>„</w:t>
      </w:r>
      <w:r>
        <w:rPr>
          <w:b/>
          <w:bCs/>
          <w:color w:val="00188F"/>
        </w:rPr>
        <w:t>Bereitstellungsminuten</w:t>
      </w:r>
      <w:r>
        <w:t>“ ist die Gesamtzahl der Minuten, die eine bestimmte Datenbank während eines Anwendbaren Zeitraums in Microsoft Azure in Betrieb ist.</w:t>
      </w:r>
    </w:p>
    <w:p w14:paraId="3B5D1850" w14:textId="6A0B17E9" w:rsidR="003D733D" w:rsidRPr="00EF7CF9" w:rsidRDefault="003D733D" w:rsidP="003D733D">
      <w:pPr>
        <w:pStyle w:val="ProductList-Body"/>
      </w:pPr>
      <w:r>
        <w:t>„</w:t>
      </w:r>
      <w:r>
        <w:rPr>
          <w:b/>
          <w:color w:val="00188F"/>
        </w:rPr>
        <w:t>Maximal Verfügbare Minuten</w:t>
      </w:r>
      <w:r>
        <w:t>“ ist die Summe aller Bereitstellungsminuten in einem bestimmten Microsoft Azure-Abonnement während eines Anwendbaren Zeitraums.</w:t>
      </w:r>
    </w:p>
    <w:p w14:paraId="7D7A7ABE" w14:textId="4ED214D3" w:rsidR="003D733D" w:rsidRPr="00EF7CF9" w:rsidRDefault="003D733D" w:rsidP="003D733D">
      <w:pPr>
        <w:pStyle w:val="ProductList-Body"/>
      </w:pPr>
      <w:r>
        <w:rPr>
          <w:b/>
          <w:color w:val="00188F"/>
        </w:rPr>
        <w:t>Ausfallzeit</w:t>
      </w:r>
      <w:r w:rsidRPr="0008262F">
        <w:rPr>
          <w:b/>
          <w:color w:val="00188F"/>
        </w:rPr>
        <w:t>:</w:t>
      </w:r>
      <w:r>
        <w:t xml:space="preserve"> ist die Summe der kumulierten Bereitstellungsminuten für alle Datenbanken in einem bestimmten Microsoft Azure-Abonnement, in denen die Datenbank nicht verfügbar ist.  Eine Minute gilt für eine bestimmte Datenbank als nicht verfügbar, wenn alle fortlaufenden Versuche des</w:t>
      </w:r>
      <w:r w:rsidR="0075118F">
        <w:t> </w:t>
      </w:r>
      <w:r>
        <w:t>Kunden innerhalb dieser Minute, eine Verbindung mit der Datenbank herzustellen, erfolglos bleiben.</w:t>
      </w:r>
    </w:p>
    <w:p w14:paraId="5EC3C860" w14:textId="7E23E9B8" w:rsidR="003D733D" w:rsidRDefault="00AC48A7" w:rsidP="003D733D">
      <w:pPr>
        <w:pStyle w:val="ProductList-Body"/>
      </w:pPr>
      <w:r>
        <w:rPr>
          <w:b/>
          <w:color w:val="00188F"/>
        </w:rPr>
        <w:t>Betriebszeitprozentsatz</w:t>
      </w:r>
      <w:r w:rsidRPr="0008262F">
        <w:rPr>
          <w:b/>
          <w:color w:val="00188F"/>
        </w:rPr>
        <w:t>:</w:t>
      </w:r>
      <w:r>
        <w:t xml:space="preserve"> für eine bestimmte Datenbank wird berechnet als Maximal Verfügbare Minuten abzüglich der Ausfallzeit geteilt durch die</w:t>
      </w:r>
      <w:r w:rsidR="00B2608F">
        <w:t> </w:t>
      </w:r>
      <w:r>
        <w:t>Maximal Verfügbaren Minuten in einem Anwendbaren Zeitraum für ein bestimmtes Microsoft Azure-Abonnement.</w:t>
      </w:r>
    </w:p>
    <w:p w14:paraId="17EB06BC" w14:textId="3ECC64E5" w:rsidR="003D733D" w:rsidRPr="00EF7CF9" w:rsidRDefault="003D733D" w:rsidP="001D3675">
      <w:pPr>
        <w:pStyle w:val="ProductList-Body"/>
      </w:pPr>
      <w:r>
        <w:t>Der Betriebszeitprozentsatz errechnet sich nach folgender Formel:</w:t>
      </w:r>
    </w:p>
    <w:bookmarkStart w:id="528" w:name="_Hlk119330778"/>
    <w:p w14:paraId="508605EB" w14:textId="7FF4864B" w:rsidR="003D733D" w:rsidRPr="00246AD4" w:rsidRDefault="00000000" w:rsidP="001D3675">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bookmarkEnd w:id="528"/>
    <w:p w14:paraId="6C7789A9" w14:textId="004B0D34" w:rsidR="00B90D6C" w:rsidRPr="00B90D6C" w:rsidRDefault="00B90D6C" w:rsidP="00B90D6C">
      <w:pPr>
        <w:pStyle w:val="ProductList-Body"/>
        <w:rPr>
          <w:rFonts w:cstheme="minorHAnsi"/>
        </w:rPr>
      </w:pPr>
      <w:r w:rsidRPr="00B90D6C">
        <w:rPr>
          <w:rFonts w:cstheme="minorHAnsi"/>
          <w:b/>
          <w:color w:val="00188F"/>
        </w:rPr>
        <w:t>Die folgenden Servicelevels und Servicegutschriften gelten für die Nutzung der Allgemein-, Unternehmenskritisch-, Premium- oder Hyperscale-Stufe des SQL-Datenbankdienstes durch den Kunden, die nicht für zonenredundante Bereitstellungen konfiguriert ist</w:t>
      </w:r>
      <w:r w:rsidRPr="00B90D6C">
        <w:rPr>
          <w:rFonts w:cstheme="minorHAns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4977D43D" w14:textId="77777777" w:rsidTr="00277097">
        <w:trPr>
          <w:tblHeader/>
        </w:trPr>
        <w:tc>
          <w:tcPr>
            <w:tcW w:w="5400" w:type="dxa"/>
            <w:shd w:val="clear" w:color="auto" w:fill="0072C6"/>
          </w:tcPr>
          <w:p w14:paraId="04BC9AA1" w14:textId="42476DCC" w:rsidR="003D733D"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5284BDF2" w14:textId="77777777" w:rsidR="003D733D" w:rsidRPr="00EF7CF9" w:rsidRDefault="003D733D" w:rsidP="000F31B4">
            <w:pPr>
              <w:pStyle w:val="ProductList-OfferingBody"/>
              <w:jc w:val="center"/>
              <w:rPr>
                <w:color w:val="FFFFFF" w:themeColor="background1"/>
              </w:rPr>
            </w:pPr>
            <w:r>
              <w:rPr>
                <w:color w:val="FFFFFF" w:themeColor="background1"/>
              </w:rPr>
              <w:t>Servicegutschrift</w:t>
            </w:r>
          </w:p>
        </w:tc>
      </w:tr>
      <w:tr w:rsidR="003D733D" w:rsidRPr="00B44CF9" w14:paraId="078649DF" w14:textId="77777777" w:rsidTr="00277097">
        <w:tc>
          <w:tcPr>
            <w:tcW w:w="5400" w:type="dxa"/>
          </w:tcPr>
          <w:p w14:paraId="15161482" w14:textId="77777777" w:rsidR="003D733D" w:rsidRPr="00EF7CF9" w:rsidRDefault="003D733D" w:rsidP="000F31B4">
            <w:pPr>
              <w:pStyle w:val="ProductList-OfferingBody"/>
              <w:jc w:val="center"/>
            </w:pPr>
            <w:r>
              <w:t>&lt; 99,995 %</w:t>
            </w:r>
          </w:p>
        </w:tc>
        <w:tc>
          <w:tcPr>
            <w:tcW w:w="5400" w:type="dxa"/>
          </w:tcPr>
          <w:p w14:paraId="0B1D8BBB" w14:textId="77777777" w:rsidR="003D733D" w:rsidRPr="00EF7CF9" w:rsidRDefault="003D733D" w:rsidP="000F31B4">
            <w:pPr>
              <w:pStyle w:val="ProductList-OfferingBody"/>
              <w:jc w:val="center"/>
            </w:pPr>
            <w:r>
              <w:t>10 %</w:t>
            </w:r>
          </w:p>
        </w:tc>
      </w:tr>
      <w:tr w:rsidR="003D733D" w:rsidRPr="00B44CF9" w14:paraId="42DE5CE5" w14:textId="77777777" w:rsidTr="00277097">
        <w:tc>
          <w:tcPr>
            <w:tcW w:w="5400" w:type="dxa"/>
          </w:tcPr>
          <w:p w14:paraId="45CCA7AF" w14:textId="77777777" w:rsidR="003D733D" w:rsidRPr="00EF7CF9" w:rsidRDefault="003D733D" w:rsidP="000F31B4">
            <w:pPr>
              <w:pStyle w:val="ProductList-OfferingBody"/>
              <w:jc w:val="center"/>
            </w:pPr>
            <w:r>
              <w:t>&lt; 99 %</w:t>
            </w:r>
          </w:p>
        </w:tc>
        <w:tc>
          <w:tcPr>
            <w:tcW w:w="5400" w:type="dxa"/>
          </w:tcPr>
          <w:p w14:paraId="5749BCD7" w14:textId="77777777" w:rsidR="003D733D" w:rsidRPr="00EF7CF9" w:rsidRDefault="003D733D" w:rsidP="000F31B4">
            <w:pPr>
              <w:pStyle w:val="ProductList-OfferingBody"/>
              <w:jc w:val="center"/>
            </w:pPr>
            <w:r>
              <w:t>25 %</w:t>
            </w:r>
          </w:p>
        </w:tc>
      </w:tr>
      <w:tr w:rsidR="003D733D" w:rsidRPr="00B44CF9" w14:paraId="7633BE7C" w14:textId="77777777" w:rsidTr="00277097">
        <w:tc>
          <w:tcPr>
            <w:tcW w:w="5400" w:type="dxa"/>
          </w:tcPr>
          <w:p w14:paraId="679EA065" w14:textId="77777777" w:rsidR="003D733D" w:rsidRPr="00EF7CF9" w:rsidRDefault="003D733D" w:rsidP="000F31B4">
            <w:pPr>
              <w:pStyle w:val="ProductList-OfferingBody"/>
              <w:jc w:val="center"/>
            </w:pPr>
            <w:r>
              <w:t>&lt; 95 %</w:t>
            </w:r>
          </w:p>
        </w:tc>
        <w:tc>
          <w:tcPr>
            <w:tcW w:w="5400" w:type="dxa"/>
          </w:tcPr>
          <w:p w14:paraId="4B7C2F69" w14:textId="77777777" w:rsidR="003D733D" w:rsidRPr="00EF7CF9" w:rsidRDefault="003D733D" w:rsidP="000F31B4">
            <w:pPr>
              <w:pStyle w:val="ProductList-OfferingBody"/>
              <w:jc w:val="center"/>
            </w:pPr>
            <w:r>
              <w:t>100 %</w:t>
            </w:r>
          </w:p>
        </w:tc>
      </w:tr>
    </w:tbl>
    <w:p w14:paraId="3A1F981A" w14:textId="1F365EBB" w:rsidR="003D733D" w:rsidRDefault="003D733D" w:rsidP="003D733D">
      <w:pPr>
        <w:pStyle w:val="ProductList-Body"/>
        <w:spacing w:before="120"/>
        <w:rPr>
          <w:b/>
          <w:color w:val="00188F"/>
        </w:rPr>
      </w:pPr>
      <w:bookmarkStart w:id="529" w:name="_Toc457821579"/>
      <w:r>
        <w:rPr>
          <w:b/>
          <w:color w:val="00188F"/>
        </w:rPr>
        <w:t>Die folgenden Servicelevels und Servicegutschriften gelten für die Nutzung der Hyperscale-, Unternehmenskritisch-, Premium- oder Allgemein-Stufe des SQL-Datenbankdienstes durch den Kunden, die nicht für zonenredundante Bereitstellungen konfiguriert ist</w:t>
      </w:r>
      <w:r w:rsidRPr="0008262F">
        <w:rPr>
          <w:b/>
          <w:color w:val="00188F"/>
        </w:rPr>
        <w:t>:</w:t>
      </w:r>
    </w:p>
    <w:p w14:paraId="1D5E9522" w14:textId="77777777" w:rsidR="0030005B" w:rsidRDefault="0030005B" w:rsidP="003D733D">
      <w:pPr>
        <w:pStyle w:val="ProductList-Body"/>
        <w:spacing w:before="120"/>
        <w:rPr>
          <w:b/>
          <w:color w:val="00188F"/>
        </w:rPr>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0396853B" w14:textId="77777777" w:rsidTr="00277097">
        <w:trPr>
          <w:tblHeader/>
        </w:trPr>
        <w:tc>
          <w:tcPr>
            <w:tcW w:w="5400" w:type="dxa"/>
            <w:shd w:val="clear" w:color="auto" w:fill="0072C6"/>
          </w:tcPr>
          <w:p w14:paraId="691AFD6D" w14:textId="494C0553" w:rsidR="003D733D" w:rsidRPr="00EF7CF9" w:rsidRDefault="00AC48A7" w:rsidP="000F31B4">
            <w:pPr>
              <w:pStyle w:val="ProductList-OfferingBody"/>
              <w:jc w:val="center"/>
              <w:rPr>
                <w:color w:val="FFFFFF" w:themeColor="background1"/>
              </w:rPr>
            </w:pPr>
            <w:r>
              <w:rPr>
                <w:color w:val="FFFFFF" w:themeColor="background1"/>
              </w:rPr>
              <w:lastRenderedPageBreak/>
              <w:t>Betriebszeitprozentsatz</w:t>
            </w:r>
          </w:p>
        </w:tc>
        <w:tc>
          <w:tcPr>
            <w:tcW w:w="5400" w:type="dxa"/>
            <w:shd w:val="clear" w:color="auto" w:fill="0072C6"/>
          </w:tcPr>
          <w:p w14:paraId="4B793296" w14:textId="77777777" w:rsidR="003D733D" w:rsidRPr="00EF7CF9" w:rsidRDefault="003D733D" w:rsidP="000F31B4">
            <w:pPr>
              <w:pStyle w:val="ProductList-OfferingBody"/>
              <w:jc w:val="center"/>
              <w:rPr>
                <w:color w:val="FFFFFF" w:themeColor="background1"/>
              </w:rPr>
            </w:pPr>
            <w:r>
              <w:rPr>
                <w:color w:val="FFFFFF" w:themeColor="background1"/>
              </w:rPr>
              <w:t>Servicegutschrift</w:t>
            </w:r>
          </w:p>
        </w:tc>
      </w:tr>
      <w:tr w:rsidR="003D733D" w:rsidRPr="00B44CF9" w14:paraId="464BEDEA" w14:textId="77777777" w:rsidTr="00277097">
        <w:tc>
          <w:tcPr>
            <w:tcW w:w="5400" w:type="dxa"/>
          </w:tcPr>
          <w:p w14:paraId="4081C8A7" w14:textId="77777777" w:rsidR="003D733D" w:rsidRPr="00EF7CF9" w:rsidRDefault="003D733D" w:rsidP="000F31B4">
            <w:pPr>
              <w:pStyle w:val="ProductList-OfferingBody"/>
              <w:jc w:val="center"/>
            </w:pPr>
            <w:r>
              <w:t>&lt; 99,99 %</w:t>
            </w:r>
          </w:p>
        </w:tc>
        <w:tc>
          <w:tcPr>
            <w:tcW w:w="5400" w:type="dxa"/>
          </w:tcPr>
          <w:p w14:paraId="4DFB8C8D" w14:textId="77777777" w:rsidR="003D733D" w:rsidRPr="00EF7CF9" w:rsidRDefault="003D733D" w:rsidP="000F31B4">
            <w:pPr>
              <w:pStyle w:val="ProductList-OfferingBody"/>
              <w:jc w:val="center"/>
            </w:pPr>
            <w:r>
              <w:t>10 %</w:t>
            </w:r>
          </w:p>
        </w:tc>
      </w:tr>
      <w:tr w:rsidR="003D733D" w:rsidRPr="00B44CF9" w14:paraId="65C87CC1" w14:textId="77777777" w:rsidTr="00277097">
        <w:tc>
          <w:tcPr>
            <w:tcW w:w="5400" w:type="dxa"/>
          </w:tcPr>
          <w:p w14:paraId="69F30B0A" w14:textId="77777777" w:rsidR="003D733D" w:rsidRPr="00EF7CF9" w:rsidRDefault="003D733D" w:rsidP="000F31B4">
            <w:pPr>
              <w:pStyle w:val="ProductList-OfferingBody"/>
              <w:jc w:val="center"/>
            </w:pPr>
            <w:r>
              <w:t>&lt; 99 %</w:t>
            </w:r>
          </w:p>
        </w:tc>
        <w:tc>
          <w:tcPr>
            <w:tcW w:w="5400" w:type="dxa"/>
          </w:tcPr>
          <w:p w14:paraId="2BFB6117" w14:textId="77777777" w:rsidR="003D733D" w:rsidRPr="00EF7CF9" w:rsidRDefault="003D733D" w:rsidP="000F31B4">
            <w:pPr>
              <w:pStyle w:val="ProductList-OfferingBody"/>
              <w:jc w:val="center"/>
            </w:pPr>
            <w:r>
              <w:t>25 %</w:t>
            </w:r>
          </w:p>
        </w:tc>
      </w:tr>
      <w:tr w:rsidR="003D733D" w:rsidRPr="00B44CF9" w14:paraId="4700F7EB" w14:textId="77777777" w:rsidTr="00277097">
        <w:tc>
          <w:tcPr>
            <w:tcW w:w="5400" w:type="dxa"/>
          </w:tcPr>
          <w:p w14:paraId="5766EA4E" w14:textId="77777777" w:rsidR="003D733D" w:rsidRPr="00EF7CF9" w:rsidRDefault="003D733D" w:rsidP="000F31B4">
            <w:pPr>
              <w:pStyle w:val="ProductList-OfferingBody"/>
              <w:jc w:val="center"/>
            </w:pPr>
            <w:r>
              <w:t>&lt; 95 %</w:t>
            </w:r>
          </w:p>
        </w:tc>
        <w:tc>
          <w:tcPr>
            <w:tcW w:w="5400" w:type="dxa"/>
          </w:tcPr>
          <w:p w14:paraId="22378549" w14:textId="77777777" w:rsidR="003D733D" w:rsidRPr="00EF7CF9" w:rsidRDefault="003D733D" w:rsidP="000F31B4">
            <w:pPr>
              <w:pStyle w:val="ProductList-OfferingBody"/>
              <w:jc w:val="center"/>
            </w:pPr>
            <w:r>
              <w:t>100 %</w:t>
            </w:r>
          </w:p>
        </w:tc>
      </w:tr>
    </w:tbl>
    <w:p w14:paraId="0B33C745" w14:textId="77777777" w:rsidR="003D733D" w:rsidRPr="00EF7CF9" w:rsidRDefault="003D733D" w:rsidP="003D733D">
      <w:pPr>
        <w:pStyle w:val="ProductList-Body"/>
        <w:spacing w:before="120"/>
      </w:pPr>
      <w:r>
        <w:rPr>
          <w:b/>
          <w:color w:val="00188F"/>
        </w:rPr>
        <w:t>Die folgenden Servicelevels und Servicegutschriften gelten für die Nutzung der Basis- oder Standard-Stufe des SQL-Datenbankdienstes durch den Kunden</w:t>
      </w:r>
      <w:r w:rsidRPr="0008262F">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048FBB47" w14:textId="77777777" w:rsidTr="00277097">
        <w:trPr>
          <w:tblHeader/>
        </w:trPr>
        <w:tc>
          <w:tcPr>
            <w:tcW w:w="5400" w:type="dxa"/>
            <w:shd w:val="clear" w:color="auto" w:fill="0072C6"/>
          </w:tcPr>
          <w:p w14:paraId="5C704DD3" w14:textId="04750F4E" w:rsidR="003D733D"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5B66747D" w14:textId="77777777" w:rsidR="003D733D" w:rsidRPr="00EF7CF9" w:rsidRDefault="003D733D" w:rsidP="000F31B4">
            <w:pPr>
              <w:pStyle w:val="ProductList-OfferingBody"/>
              <w:jc w:val="center"/>
              <w:rPr>
                <w:color w:val="FFFFFF" w:themeColor="background1"/>
              </w:rPr>
            </w:pPr>
            <w:r>
              <w:rPr>
                <w:color w:val="FFFFFF" w:themeColor="background1"/>
              </w:rPr>
              <w:t>Servicegutschrift</w:t>
            </w:r>
          </w:p>
        </w:tc>
      </w:tr>
      <w:tr w:rsidR="003D733D" w:rsidRPr="00B44CF9" w14:paraId="3E824F53" w14:textId="77777777" w:rsidTr="00277097">
        <w:tc>
          <w:tcPr>
            <w:tcW w:w="5400" w:type="dxa"/>
          </w:tcPr>
          <w:p w14:paraId="19103A6F" w14:textId="77777777" w:rsidR="003D733D" w:rsidRPr="00EF7CF9" w:rsidRDefault="003D733D" w:rsidP="000F31B4">
            <w:pPr>
              <w:pStyle w:val="ProductList-OfferingBody"/>
              <w:jc w:val="center"/>
            </w:pPr>
            <w:r>
              <w:t>&lt; 99,99 %</w:t>
            </w:r>
          </w:p>
        </w:tc>
        <w:tc>
          <w:tcPr>
            <w:tcW w:w="5400" w:type="dxa"/>
          </w:tcPr>
          <w:p w14:paraId="1E9E6B2D" w14:textId="77777777" w:rsidR="003D733D" w:rsidRPr="00EF7CF9" w:rsidRDefault="003D733D" w:rsidP="000F31B4">
            <w:pPr>
              <w:pStyle w:val="ProductList-OfferingBody"/>
              <w:jc w:val="center"/>
            </w:pPr>
            <w:r>
              <w:t>10 %</w:t>
            </w:r>
          </w:p>
        </w:tc>
      </w:tr>
      <w:tr w:rsidR="003D733D" w:rsidRPr="00B44CF9" w14:paraId="1DD063AB" w14:textId="77777777" w:rsidTr="00277097">
        <w:tc>
          <w:tcPr>
            <w:tcW w:w="5400" w:type="dxa"/>
          </w:tcPr>
          <w:p w14:paraId="282A02EA" w14:textId="77777777" w:rsidR="003D733D" w:rsidRPr="00EF7CF9" w:rsidRDefault="003D733D" w:rsidP="000F31B4">
            <w:pPr>
              <w:pStyle w:val="ProductList-OfferingBody"/>
              <w:jc w:val="center"/>
            </w:pPr>
            <w:r>
              <w:t>&lt; 99 %</w:t>
            </w:r>
          </w:p>
        </w:tc>
        <w:tc>
          <w:tcPr>
            <w:tcW w:w="5400" w:type="dxa"/>
          </w:tcPr>
          <w:p w14:paraId="6EBE83BA" w14:textId="77777777" w:rsidR="003D733D" w:rsidRPr="00EF7CF9" w:rsidRDefault="003D733D" w:rsidP="000F31B4">
            <w:pPr>
              <w:pStyle w:val="ProductList-OfferingBody"/>
              <w:jc w:val="center"/>
            </w:pPr>
            <w:r>
              <w:t>25 %</w:t>
            </w:r>
          </w:p>
        </w:tc>
      </w:tr>
      <w:tr w:rsidR="003D733D" w:rsidRPr="00B44CF9" w14:paraId="2C3859C3" w14:textId="77777777" w:rsidTr="00277097">
        <w:tc>
          <w:tcPr>
            <w:tcW w:w="5400" w:type="dxa"/>
          </w:tcPr>
          <w:p w14:paraId="5E8C5C94" w14:textId="77777777" w:rsidR="003D733D" w:rsidRPr="00EF7CF9" w:rsidRDefault="003D733D" w:rsidP="000F31B4">
            <w:pPr>
              <w:pStyle w:val="ProductList-OfferingBody"/>
              <w:jc w:val="center"/>
            </w:pPr>
            <w:r>
              <w:t>&lt; 95 %</w:t>
            </w:r>
          </w:p>
        </w:tc>
        <w:tc>
          <w:tcPr>
            <w:tcW w:w="5400" w:type="dxa"/>
          </w:tcPr>
          <w:p w14:paraId="49C88237" w14:textId="77777777" w:rsidR="003D733D" w:rsidRPr="00EF7CF9" w:rsidRDefault="003D733D" w:rsidP="000F31B4">
            <w:pPr>
              <w:pStyle w:val="ProductList-OfferingBody"/>
              <w:jc w:val="center"/>
            </w:pPr>
            <w:r>
              <w:t>100 %</w:t>
            </w:r>
          </w:p>
        </w:tc>
      </w:tr>
    </w:tbl>
    <w:p w14:paraId="08D86942" w14:textId="77777777" w:rsidR="003D733D" w:rsidRPr="00ED4527" w:rsidRDefault="003D733D" w:rsidP="006F0662">
      <w:pPr>
        <w:pStyle w:val="ProductList-Body"/>
        <w:spacing w:before="120"/>
        <w:rPr>
          <w:b/>
          <w:bCs/>
          <w:color w:val="00188F"/>
        </w:rPr>
      </w:pPr>
      <w:r>
        <w:rPr>
          <w:b/>
          <w:bCs/>
          <w:color w:val="00188F"/>
        </w:rPr>
        <w:t>Wiederherstellungssollzeitpunkt (</w:t>
      </w:r>
      <w:r w:rsidRPr="00C5689E">
        <w:t>„</w:t>
      </w:r>
      <w:r>
        <w:rPr>
          <w:b/>
          <w:bCs/>
          <w:color w:val="00188F"/>
        </w:rPr>
        <w:t>Recovery Point Objective</w:t>
      </w:r>
      <w:r w:rsidRPr="00C5689E">
        <w:t xml:space="preserve">“ </w:t>
      </w:r>
      <w:r>
        <w:rPr>
          <w:b/>
          <w:bCs/>
          <w:color w:val="00188F"/>
        </w:rPr>
        <w:t xml:space="preserve">oder </w:t>
      </w:r>
      <w:r w:rsidRPr="00C5689E">
        <w:t>„</w:t>
      </w:r>
      <w:r>
        <w:rPr>
          <w:b/>
          <w:bCs/>
          <w:color w:val="00188F"/>
        </w:rPr>
        <w:t>RPO</w:t>
      </w:r>
      <w:r w:rsidRPr="00C5689E">
        <w:t>“</w:t>
      </w:r>
      <w:r>
        <w:rPr>
          <w:b/>
          <w:bCs/>
          <w:color w:val="00188F"/>
        </w:rPr>
        <w:t>)</w:t>
      </w:r>
    </w:p>
    <w:p w14:paraId="714AAD2A" w14:textId="77777777" w:rsidR="003D733D" w:rsidRPr="008D4EC5" w:rsidRDefault="003D733D" w:rsidP="003D733D">
      <w:pPr>
        <w:pStyle w:val="ProductList-Body"/>
        <w:rPr>
          <w:color w:val="000000" w:themeColor="text1"/>
        </w:rPr>
      </w:pPr>
      <w:r>
        <w:rPr>
          <w:color w:val="000000" w:themeColor="text1"/>
        </w:rPr>
        <w:t>„</w:t>
      </w:r>
      <w:r>
        <w:rPr>
          <w:b/>
          <w:bCs/>
          <w:color w:val="00188F"/>
        </w:rPr>
        <w:t>Georeplikationsverbindung</w:t>
      </w:r>
      <w:r>
        <w:rPr>
          <w:color w:val="000000" w:themeColor="text1"/>
        </w:rPr>
        <w:t>“ ist ein programmatisches Objekt, das eine Verbindung zwischen einer bestimmten Primär- und der Sekundärdatenbank darstellt.</w:t>
      </w:r>
    </w:p>
    <w:p w14:paraId="58E21A32" w14:textId="77777777" w:rsidR="003D733D" w:rsidRPr="008D4EC5" w:rsidRDefault="003D733D" w:rsidP="003D733D">
      <w:pPr>
        <w:pStyle w:val="ProductList-Body"/>
        <w:rPr>
          <w:color w:val="000000" w:themeColor="text1"/>
        </w:rPr>
      </w:pPr>
      <w:r>
        <w:rPr>
          <w:color w:val="000000" w:themeColor="text1"/>
        </w:rPr>
        <w:t>„</w:t>
      </w:r>
      <w:r>
        <w:rPr>
          <w:b/>
          <w:bCs/>
          <w:color w:val="00188F"/>
        </w:rPr>
        <w:t>Georeplikationsverzögerung</w:t>
      </w:r>
      <w:r>
        <w:rPr>
          <w:color w:val="000000" w:themeColor="text1"/>
        </w:rPr>
        <w:t>“ ist eine Zeitspanne zwischen dem Zeitpunkt der Transaktion bei der Primär- und der Bestätigung durch die Sekundärdatenbank, dass die Aktualisierung des Transaktionsprotokolls bestehen bleibt.</w:t>
      </w:r>
    </w:p>
    <w:p w14:paraId="7513C667" w14:textId="77777777" w:rsidR="003D733D" w:rsidRPr="008D4EC5" w:rsidRDefault="003D733D" w:rsidP="003D733D">
      <w:pPr>
        <w:pStyle w:val="ProductList-Body"/>
        <w:rPr>
          <w:color w:val="000000" w:themeColor="text1"/>
        </w:rPr>
      </w:pPr>
      <w:r>
        <w:rPr>
          <w:color w:val="000000" w:themeColor="text1"/>
        </w:rPr>
        <w:t>„</w:t>
      </w:r>
      <w:r>
        <w:rPr>
          <w:b/>
          <w:bCs/>
          <w:color w:val="00188F"/>
        </w:rPr>
        <w:t>Replikationsverzögerungsprüfung</w:t>
      </w:r>
      <w:r>
        <w:rPr>
          <w:color w:val="000000" w:themeColor="text1"/>
        </w:rPr>
        <w:t>“ ist eine programmatische Methode zur Ermittlung des Wertes der Georeplikationsverzögerung für eine bestimmte Georeplikationsverbindung.</w:t>
      </w:r>
    </w:p>
    <w:p w14:paraId="12AF603F" w14:textId="77777777" w:rsidR="003D733D" w:rsidRPr="008D4EC5" w:rsidRDefault="003D733D" w:rsidP="003D733D">
      <w:pPr>
        <w:pStyle w:val="ProductList-Body"/>
        <w:rPr>
          <w:color w:val="000000" w:themeColor="text1"/>
        </w:rPr>
      </w:pPr>
      <w:r>
        <w:rPr>
          <w:color w:val="000000" w:themeColor="text1"/>
        </w:rPr>
        <w:t>„</w:t>
      </w:r>
      <w:r>
        <w:rPr>
          <w:b/>
          <w:bCs/>
          <w:color w:val="00188F"/>
        </w:rPr>
        <w:t>Wiederherstellungssollzeitpunkt (RPO)</w:t>
      </w:r>
      <w:r>
        <w:rPr>
          <w:color w:val="000000" w:themeColor="text1"/>
        </w:rPr>
        <w:t>“ bedeutet eine Georeplikationsverzögerung, die 5 Sekunden nicht überschreiten darf.</w:t>
      </w:r>
    </w:p>
    <w:p w14:paraId="6D0C0A0E" w14:textId="77777777" w:rsidR="003D733D" w:rsidRPr="008D4EC5" w:rsidRDefault="003D733D" w:rsidP="003D733D">
      <w:pPr>
        <w:pStyle w:val="ProductList-Body"/>
        <w:rPr>
          <w:color w:val="000000" w:themeColor="text1"/>
        </w:rPr>
      </w:pPr>
      <w:r>
        <w:rPr>
          <w:color w:val="000000" w:themeColor="text1"/>
        </w:rPr>
        <w:t>„</w:t>
      </w:r>
      <w:r>
        <w:rPr>
          <w:b/>
          <w:bCs/>
          <w:color w:val="00188F"/>
        </w:rPr>
        <w:t>N</w:t>
      </w:r>
      <w:r>
        <w:rPr>
          <w:color w:val="000000" w:themeColor="text1"/>
        </w:rPr>
        <w:t>“ ist die Anzahl der Replikationsverzögerungsprüfungen für eine bestimmte Georeplikationsverbindung in einer bestimmten Stunde.</w:t>
      </w:r>
    </w:p>
    <w:p w14:paraId="01EAABA2" w14:textId="77777777" w:rsidR="003D733D" w:rsidRPr="008D4EC5" w:rsidRDefault="003D733D" w:rsidP="003D733D">
      <w:pPr>
        <w:pStyle w:val="ProductList-Body"/>
        <w:rPr>
          <w:color w:val="000000" w:themeColor="text1"/>
        </w:rPr>
      </w:pPr>
      <w:r>
        <w:rPr>
          <w:color w:val="000000" w:themeColor="text1"/>
        </w:rPr>
        <w:t>„</w:t>
      </w:r>
      <w:r>
        <w:rPr>
          <w:b/>
          <w:bCs/>
          <w:color w:val="00188F"/>
        </w:rPr>
        <w:t>S</w:t>
      </w:r>
      <w:r>
        <w:rPr>
          <w:color w:val="000000" w:themeColor="text1"/>
        </w:rPr>
        <w:t>“ ist die nach Verzögerung sortierte Menge der Replikationsverzögerungsprüfungsergebnisse in aufsteigender Reihenfolge für eine bestimmte Georeplikationsverbindung in einer bestimmten Stunde.</w:t>
      </w:r>
    </w:p>
    <w:p w14:paraId="22C712BC" w14:textId="77777777" w:rsidR="003D733D" w:rsidRDefault="003D733D" w:rsidP="003D733D">
      <w:pPr>
        <w:pStyle w:val="ProductList-Body"/>
        <w:rPr>
          <w:color w:val="000000" w:themeColor="text1"/>
        </w:rPr>
      </w:pPr>
      <w:r>
        <w:rPr>
          <w:color w:val="000000" w:themeColor="text1"/>
        </w:rPr>
        <w:t>„</w:t>
      </w:r>
      <w:r>
        <w:rPr>
          <w:b/>
          <w:bCs/>
          <w:color w:val="00188F"/>
        </w:rPr>
        <w:t>Ordinaler Rang</w:t>
      </w:r>
      <w:r>
        <w:rPr>
          <w:color w:val="000000" w:themeColor="text1"/>
        </w:rPr>
        <w:t>“ ist das 99. Perzentil unter Verwendung der Methode des nächsten Rangs, die durch die folgende Formel dargestellt wird:</w:t>
      </w:r>
    </w:p>
    <w:p w14:paraId="43522474" w14:textId="77777777" w:rsidR="003D733D" w:rsidRPr="00EF7CF9" w:rsidRDefault="00000000" w:rsidP="008949D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99</m:t>
              </m:r>
            </m:num>
            <m:den>
              <m:r>
                <m:rPr>
                  <m:nor/>
                </m:rPr>
                <w:rPr>
                  <w:rFonts w:ascii="Cambria Math" w:hAnsi="Cambria Math" w:cs="Tahoma"/>
                  <w:i/>
                  <w:sz w:val="18"/>
                  <w:szCs w:val="18"/>
                </w:rPr>
                <m:t>100</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N</m:t>
          </m:r>
        </m:oMath>
      </m:oMathPara>
    </w:p>
    <w:p w14:paraId="414D40B2" w14:textId="77777777" w:rsidR="003D733D" w:rsidRPr="008D4EC5" w:rsidRDefault="003D733D" w:rsidP="003D733D">
      <w:pPr>
        <w:pStyle w:val="ProductList-Body"/>
        <w:rPr>
          <w:color w:val="000000" w:themeColor="text1"/>
        </w:rPr>
      </w:pPr>
      <w:r>
        <w:rPr>
          <w:color w:val="000000" w:themeColor="text1"/>
        </w:rPr>
        <w:t>„</w:t>
      </w:r>
      <w:r>
        <w:rPr>
          <w:b/>
          <w:bCs/>
          <w:color w:val="00188F"/>
        </w:rPr>
        <w:t>P99-Replikationsverzögerung</w:t>
      </w:r>
      <w:r>
        <w:rPr>
          <w:color w:val="000000" w:themeColor="text1"/>
        </w:rPr>
        <w:t>“ ist der Wert im Ordinalrang von S.</w:t>
      </w:r>
    </w:p>
    <w:p w14:paraId="4BB7BC3D" w14:textId="19D8E81F" w:rsidR="003D733D" w:rsidRPr="008D4EC5" w:rsidRDefault="003D733D" w:rsidP="003D733D">
      <w:pPr>
        <w:pStyle w:val="ProductList-Body"/>
        <w:rPr>
          <w:color w:val="000000" w:themeColor="text1"/>
        </w:rPr>
      </w:pPr>
      <w:r>
        <w:rPr>
          <w:color w:val="000000" w:themeColor="text1"/>
        </w:rPr>
        <w:t>„</w:t>
      </w:r>
      <w:r>
        <w:rPr>
          <w:b/>
          <w:bCs/>
          <w:color w:val="00188F"/>
        </w:rPr>
        <w:t>Einsatzzeiten</w:t>
      </w:r>
      <w:r>
        <w:rPr>
          <w:color w:val="000000" w:themeColor="text1"/>
        </w:rPr>
        <w:t>“ ist die Gesamtzahl der Stunden, die eine bestimmte Konforme Sekundärdatenbank für ein bestimmtes Microsoft Azure-Abonnement während eines Anwendbaren Zeitraums in Betrieb ist.</w:t>
      </w:r>
    </w:p>
    <w:p w14:paraId="62BD4640" w14:textId="314DBD5C" w:rsidR="003D733D" w:rsidRPr="008D4EC5" w:rsidRDefault="003D733D" w:rsidP="003D733D">
      <w:pPr>
        <w:pStyle w:val="ProductList-Body"/>
        <w:rPr>
          <w:color w:val="000000" w:themeColor="text1"/>
        </w:rPr>
      </w:pPr>
      <w:r>
        <w:rPr>
          <w:color w:val="000000" w:themeColor="text1"/>
        </w:rPr>
        <w:t>„</w:t>
      </w:r>
      <w:r>
        <w:rPr>
          <w:b/>
          <w:bCs/>
          <w:color w:val="00188F"/>
        </w:rPr>
        <w:t>Übermäßige Verzögerungszeiten</w:t>
      </w:r>
      <w:r>
        <w:rPr>
          <w:color w:val="000000" w:themeColor="text1"/>
        </w:rPr>
        <w:t>“ ist die Gesamtzahl der einstündigen Intervalle, in denen die Replikationsverzögerungsprüfung zu einer P99-Replikationsverzögerung führt, die größer oder gleich dem RPO für ein bestimmtes Microsoft Azure-Abonnement während eines Anwendbaren Zeitraums war. Wenn die Zahl der Replikationsverzögerungsprüfungen in einem bestimmten Ein-Stunden-Intervall = 0 ist, sind die übermäßigen Verzögerungszeiten für dieses Intervall = 0.</w:t>
      </w:r>
    </w:p>
    <w:p w14:paraId="123CFA24" w14:textId="0E6652EF" w:rsidR="003D733D" w:rsidRPr="00ED4527" w:rsidRDefault="003D733D" w:rsidP="003D733D">
      <w:pPr>
        <w:pStyle w:val="ProductList-Body"/>
        <w:tabs>
          <w:tab w:val="clear" w:pos="360"/>
          <w:tab w:val="clear" w:pos="720"/>
          <w:tab w:val="clear" w:pos="1080"/>
        </w:tabs>
        <w:rPr>
          <w:color w:val="000000" w:themeColor="text1"/>
        </w:rPr>
      </w:pPr>
      <w:r>
        <w:t xml:space="preserve">Der </w:t>
      </w:r>
      <w:r>
        <w:rPr>
          <w:color w:val="000000" w:themeColor="text1"/>
        </w:rPr>
        <w:t>„</w:t>
      </w:r>
      <w:r>
        <w:rPr>
          <w:b/>
          <w:bCs/>
          <w:color w:val="00188F"/>
        </w:rPr>
        <w:t>Prozentsatz der RPO-Erreichung</w:t>
      </w:r>
      <w:r>
        <w:rPr>
          <w:color w:val="000000" w:themeColor="text1"/>
        </w:rPr>
        <w:t>“ für eine gegebene Datenbankbereitstellung während eines Anwendbaren Zeitraums wird nach folgender Formel berechnet:</w:t>
      </w:r>
    </w:p>
    <w:p w14:paraId="7EC80375" w14:textId="021A7A34" w:rsidR="003D733D" w:rsidRPr="001846CE" w:rsidRDefault="003D733D" w:rsidP="008949DC">
      <w:pPr>
        <w:pStyle w:val="ListParagraph"/>
        <w:spacing w:after="120" w:line="240" w:lineRule="auto"/>
        <w:contextualSpacing w:val="0"/>
        <w:rPr>
          <w:rFonts w:ascii="Cambria Math" w:hAnsi="Cambria Math" w:cs="Tahoma"/>
          <w:i/>
          <w:sz w:val="12"/>
          <w:szCs w:val="12"/>
        </w:rPr>
      </w:pPr>
      <m:oMathPara>
        <m:oMath>
          <m:r>
            <w:rPr>
              <w:rFonts w:ascii="Cambria Math" w:hAnsi="Cambria Math" w:cs="Tahoma"/>
              <w:sz w:val="18"/>
              <w:szCs w:val="18"/>
            </w:rPr>
            <m:t xml:space="preserve">100 %- </m:t>
          </m:r>
          <m:f>
            <m:fPr>
              <m:ctrlPr>
                <w:rPr>
                  <w:rFonts w:ascii="Cambria Math" w:hAnsi="Cambria Math" w:cs="Tahoma"/>
                  <w:i/>
                  <w:sz w:val="18"/>
                  <w:szCs w:val="18"/>
                </w:rPr>
              </m:ctrlPr>
            </m:fPr>
            <m:num>
              <m:r>
                <m:rPr>
                  <m:nor/>
                </m:rPr>
                <w:rPr>
                  <w:rFonts w:ascii="Cambria Math" w:hAnsi="Cambria Math" w:cs="Tahoma"/>
                  <w:i/>
                  <w:sz w:val="18"/>
                  <w:szCs w:val="18"/>
                </w:rPr>
                <m:t>Übermäßige Verzögerungszeiten</m:t>
              </m:r>
            </m:num>
            <m:den>
              <m:r>
                <m:rPr>
                  <m:nor/>
                </m:rPr>
                <w:rPr>
                  <w:rFonts w:ascii="Cambria Math" w:hAnsi="Cambria Math" w:cs="Tahoma"/>
                  <w:i/>
                  <w:sz w:val="18"/>
                  <w:szCs w:val="18"/>
                </w:rPr>
                <m:t>Einsatzzeiten</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A39A83F" w14:textId="77777777" w:rsidR="003D733D" w:rsidRPr="00EF7CF9" w:rsidRDefault="003D733D" w:rsidP="00445B42">
      <w:pPr>
        <w:pStyle w:val="ProductList-Body"/>
        <w:keepNext/>
        <w:keepLines/>
        <w:spacing w:before="120"/>
      </w:pPr>
      <w:r>
        <w:rPr>
          <w:b/>
          <w:color w:val="00188F"/>
        </w:rPr>
        <w:t>Die folgenden Servicelevels und Servicegutschriften gelten für die Nutzung der aktiven Georeplikationsfunktion durch den Kunden auf der unternehmenskritischen Stufe des Azure SQL-Datenbankdienstes mit einer Konformen Sekundärdatenbank</w:t>
      </w:r>
      <w:r>
        <w:rPr>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613"/>
        <w:gridCol w:w="1447"/>
        <w:gridCol w:w="3780"/>
        <w:gridCol w:w="3960"/>
      </w:tblGrid>
      <w:tr w:rsidR="003D733D" w:rsidRPr="00B44CF9" w14:paraId="7C2E5E45" w14:textId="77777777" w:rsidTr="00277097">
        <w:trPr>
          <w:tblHeader/>
        </w:trPr>
        <w:tc>
          <w:tcPr>
            <w:tcW w:w="1613" w:type="dxa"/>
            <w:shd w:val="clear" w:color="auto" w:fill="0072C6"/>
          </w:tcPr>
          <w:p w14:paraId="70F865C1" w14:textId="77777777" w:rsidR="003D733D" w:rsidRPr="00EF7CF9" w:rsidRDefault="003D733D" w:rsidP="00445B42">
            <w:pPr>
              <w:pStyle w:val="ProductList-OfferingBody"/>
              <w:keepNext/>
              <w:keepLines/>
              <w:jc w:val="center"/>
              <w:rPr>
                <w:color w:val="FFFFFF" w:themeColor="background1"/>
              </w:rPr>
            </w:pPr>
            <w:r>
              <w:rPr>
                <w:color w:val="FFFFFF" w:themeColor="background1"/>
              </w:rPr>
              <w:t>Vorgang</w:t>
            </w:r>
          </w:p>
        </w:tc>
        <w:tc>
          <w:tcPr>
            <w:tcW w:w="1447" w:type="dxa"/>
            <w:shd w:val="clear" w:color="auto" w:fill="0072C6"/>
          </w:tcPr>
          <w:p w14:paraId="04649A66" w14:textId="77777777" w:rsidR="003D733D" w:rsidRPr="00EF7CF9" w:rsidRDefault="003D733D" w:rsidP="00445B42">
            <w:pPr>
              <w:pStyle w:val="ProductList-OfferingBody"/>
              <w:keepNext/>
              <w:keepLines/>
              <w:jc w:val="center"/>
              <w:rPr>
                <w:color w:val="FFFFFF" w:themeColor="background1"/>
              </w:rPr>
            </w:pPr>
            <w:r>
              <w:rPr>
                <w:color w:val="FFFFFF" w:themeColor="background1"/>
              </w:rPr>
              <w:t>RPO</w:t>
            </w:r>
          </w:p>
        </w:tc>
        <w:tc>
          <w:tcPr>
            <w:tcW w:w="3780" w:type="dxa"/>
            <w:shd w:val="clear" w:color="auto" w:fill="0072C6"/>
          </w:tcPr>
          <w:p w14:paraId="2283E325" w14:textId="06884C81" w:rsidR="003D733D" w:rsidRPr="00EF7CF9" w:rsidRDefault="003D733D" w:rsidP="00445B42">
            <w:pPr>
              <w:pStyle w:val="ProductList-OfferingBody"/>
              <w:keepNext/>
              <w:keepLines/>
              <w:jc w:val="center"/>
              <w:rPr>
                <w:color w:val="FFFFFF" w:themeColor="background1"/>
              </w:rPr>
            </w:pPr>
            <w:r>
              <w:rPr>
                <w:color w:val="FFFFFF" w:themeColor="background1"/>
              </w:rPr>
              <w:t>Prozentsatz der RPO-Erreichung</w:t>
            </w:r>
          </w:p>
        </w:tc>
        <w:tc>
          <w:tcPr>
            <w:tcW w:w="3960" w:type="dxa"/>
            <w:shd w:val="clear" w:color="auto" w:fill="0072C6"/>
          </w:tcPr>
          <w:p w14:paraId="38ADBCBD" w14:textId="77777777" w:rsidR="003D733D" w:rsidRPr="00EF7CF9" w:rsidRDefault="003D733D" w:rsidP="00445B42">
            <w:pPr>
              <w:pStyle w:val="ProductList-OfferingBody"/>
              <w:keepNext/>
              <w:keepLines/>
              <w:jc w:val="center"/>
              <w:rPr>
                <w:color w:val="FFFFFF" w:themeColor="background1"/>
              </w:rPr>
            </w:pPr>
            <w:r>
              <w:rPr>
                <w:color w:val="FFFFFF" w:themeColor="background1"/>
              </w:rPr>
              <w:t>Servicegutschrift</w:t>
            </w:r>
          </w:p>
        </w:tc>
      </w:tr>
      <w:tr w:rsidR="003D733D" w:rsidRPr="00B44CF9" w14:paraId="60100A40" w14:textId="77777777" w:rsidTr="00277097">
        <w:tc>
          <w:tcPr>
            <w:tcW w:w="1613" w:type="dxa"/>
            <w:vAlign w:val="center"/>
          </w:tcPr>
          <w:p w14:paraId="19E38570" w14:textId="77777777" w:rsidR="003D733D" w:rsidRPr="00EF7CF9" w:rsidRDefault="003D733D" w:rsidP="00445B42">
            <w:pPr>
              <w:pStyle w:val="ProductList-OfferingBody"/>
              <w:keepNext/>
              <w:keepLines/>
              <w:jc w:val="center"/>
            </w:pPr>
            <w:r>
              <w:t>Georeplikation</w:t>
            </w:r>
          </w:p>
        </w:tc>
        <w:tc>
          <w:tcPr>
            <w:tcW w:w="1447" w:type="dxa"/>
            <w:vAlign w:val="center"/>
          </w:tcPr>
          <w:p w14:paraId="4882E3A4" w14:textId="77777777" w:rsidR="003D733D" w:rsidRPr="00EF7CF9" w:rsidRDefault="003D733D" w:rsidP="00445B42">
            <w:pPr>
              <w:pStyle w:val="ProductList-OfferingBody"/>
              <w:keepNext/>
              <w:keepLines/>
              <w:jc w:val="center"/>
            </w:pPr>
            <w:r>
              <w:t>5 Sekunden</w:t>
            </w:r>
          </w:p>
        </w:tc>
        <w:tc>
          <w:tcPr>
            <w:tcW w:w="3780" w:type="dxa"/>
            <w:vAlign w:val="center"/>
          </w:tcPr>
          <w:p w14:paraId="6063EF21" w14:textId="77777777" w:rsidR="003D733D" w:rsidRPr="00EF7CF9" w:rsidRDefault="003D733D" w:rsidP="00445B42">
            <w:pPr>
              <w:pStyle w:val="ProductList-OfferingBody"/>
              <w:keepNext/>
              <w:keepLines/>
              <w:jc w:val="center"/>
            </w:pPr>
            <w:r>
              <w:t>&lt; 100 %</w:t>
            </w:r>
          </w:p>
        </w:tc>
        <w:tc>
          <w:tcPr>
            <w:tcW w:w="3960" w:type="dxa"/>
            <w:vAlign w:val="center"/>
          </w:tcPr>
          <w:p w14:paraId="74D9BC0C" w14:textId="35EBB4C0" w:rsidR="003D733D" w:rsidRPr="00EF7CF9" w:rsidRDefault="003D733D" w:rsidP="00445B42">
            <w:pPr>
              <w:pStyle w:val="ProductList-OfferingBody"/>
              <w:keepNext/>
              <w:keepLines/>
              <w:jc w:val="center"/>
            </w:pPr>
            <w:r>
              <w:t>10 % der Gesamtkosten für Konforme Sekundärprodukte während des Anwendbaren Zeitraums</w:t>
            </w:r>
          </w:p>
        </w:tc>
      </w:tr>
    </w:tbl>
    <w:p w14:paraId="626616AF" w14:textId="77777777" w:rsidR="003D733D" w:rsidRPr="00ED4527" w:rsidRDefault="003D733D" w:rsidP="00800724">
      <w:pPr>
        <w:pStyle w:val="ProductList-Body"/>
        <w:spacing w:before="120"/>
        <w:rPr>
          <w:b/>
          <w:bCs/>
          <w:color w:val="00188F"/>
        </w:rPr>
      </w:pPr>
      <w:r>
        <w:rPr>
          <w:b/>
          <w:bCs/>
          <w:color w:val="00188F"/>
        </w:rPr>
        <w:t>Wiederherstellungssollzeit (RTO)</w:t>
      </w:r>
    </w:p>
    <w:p w14:paraId="018124D3" w14:textId="2B8E363C" w:rsidR="003D733D" w:rsidRPr="009A2713" w:rsidRDefault="003D733D" w:rsidP="003D733D">
      <w:pPr>
        <w:pStyle w:val="ProductList-Body"/>
        <w:rPr>
          <w:color w:val="000000" w:themeColor="text1"/>
        </w:rPr>
      </w:pPr>
      <w:r>
        <w:rPr>
          <w:color w:val="000000" w:themeColor="text1"/>
        </w:rPr>
        <w:t>„</w:t>
      </w:r>
      <w:r>
        <w:rPr>
          <w:b/>
          <w:bCs/>
          <w:color w:val="00188F"/>
        </w:rPr>
        <w:t>Ungeplantes Failover</w:t>
      </w:r>
      <w:r>
        <w:rPr>
          <w:color w:val="000000" w:themeColor="text1"/>
        </w:rPr>
        <w:t>“ ist eine vom Kunden initiierte Aktion, wenn die Primärdatenbank offline ist, um eine Konforme Sekundärdatenbank als</w:t>
      </w:r>
      <w:r w:rsidR="00F35971">
        <w:rPr>
          <w:color w:val="000000" w:themeColor="text1"/>
        </w:rPr>
        <w:t> </w:t>
      </w:r>
      <w:r>
        <w:rPr>
          <w:color w:val="000000" w:themeColor="text1"/>
        </w:rPr>
        <w:t>Primärdatenbank zu aktivieren.</w:t>
      </w:r>
    </w:p>
    <w:p w14:paraId="526E5FAF" w14:textId="77777777" w:rsidR="003D733D" w:rsidRPr="009A2713" w:rsidRDefault="003D733D" w:rsidP="003D733D">
      <w:pPr>
        <w:pStyle w:val="ProductList-Body"/>
        <w:rPr>
          <w:color w:val="000000" w:themeColor="text1"/>
        </w:rPr>
      </w:pPr>
      <w:r>
        <w:rPr>
          <w:color w:val="000000" w:themeColor="text1"/>
        </w:rPr>
        <w:t>„</w:t>
      </w:r>
      <w:r>
        <w:rPr>
          <w:b/>
          <w:bCs/>
          <w:color w:val="00188F"/>
        </w:rPr>
        <w:t>Wiederherstellungszeit</w:t>
      </w:r>
      <w:r>
        <w:rPr>
          <w:color w:val="000000" w:themeColor="text1"/>
        </w:rPr>
        <w:t>“ ist die Zeit, die seit dem ungeplanten Failover verstrichen ist, bis die Sekundärdatenbank als Primärdatenbank fungiert.</w:t>
      </w:r>
    </w:p>
    <w:p w14:paraId="6F599CC8" w14:textId="77777777" w:rsidR="003D733D" w:rsidRPr="009A2713" w:rsidRDefault="003D733D" w:rsidP="003D733D">
      <w:pPr>
        <w:pStyle w:val="ProductList-Body"/>
        <w:rPr>
          <w:color w:val="000000" w:themeColor="text1"/>
        </w:rPr>
      </w:pPr>
      <w:r>
        <w:rPr>
          <w:color w:val="000000" w:themeColor="text1"/>
        </w:rPr>
        <w:t>„</w:t>
      </w:r>
      <w:r>
        <w:rPr>
          <w:b/>
          <w:bCs/>
          <w:color w:val="00188F"/>
        </w:rPr>
        <w:t>Wiederherstellungssollzeit (RTO)</w:t>
      </w:r>
      <w:r>
        <w:rPr>
          <w:color w:val="000000" w:themeColor="text1"/>
        </w:rPr>
        <w:t>“ bedeutet eine maximal zulässige Wiederherstellungszeit, die 30 Sekunden nicht überschreiten darf.</w:t>
      </w:r>
    </w:p>
    <w:p w14:paraId="5BE092A6" w14:textId="77777777" w:rsidR="003D733D" w:rsidRPr="009A2713" w:rsidRDefault="003D733D" w:rsidP="003D733D">
      <w:pPr>
        <w:pStyle w:val="ProductList-Body"/>
        <w:rPr>
          <w:color w:val="000000" w:themeColor="text1"/>
        </w:rPr>
      </w:pPr>
      <w:r>
        <w:rPr>
          <w:color w:val="000000" w:themeColor="text1"/>
        </w:rPr>
        <w:t>„</w:t>
      </w:r>
      <w:r>
        <w:rPr>
          <w:b/>
          <w:bCs/>
          <w:color w:val="00188F"/>
        </w:rPr>
        <w:t>Nicht konformes, ungeplantes Failover</w:t>
      </w:r>
      <w:r>
        <w:rPr>
          <w:color w:val="000000" w:themeColor="text1"/>
        </w:rPr>
        <w:t>“ ist ein ungeplantes Failover, das nicht innerhalb der RTO abgeschlossen werden konnte.</w:t>
      </w:r>
    </w:p>
    <w:p w14:paraId="5166DD05" w14:textId="4A52663D" w:rsidR="003D733D" w:rsidRPr="009A2713" w:rsidRDefault="003D733D" w:rsidP="003D733D">
      <w:pPr>
        <w:pStyle w:val="ProductList-Body"/>
        <w:tabs>
          <w:tab w:val="clear" w:pos="360"/>
          <w:tab w:val="clear" w:pos="720"/>
          <w:tab w:val="clear" w:pos="1080"/>
        </w:tabs>
        <w:rPr>
          <w:color w:val="000000" w:themeColor="text1"/>
        </w:rPr>
      </w:pPr>
      <w:r>
        <w:t xml:space="preserve">Der </w:t>
      </w:r>
      <w:r>
        <w:rPr>
          <w:color w:val="000000" w:themeColor="text1"/>
        </w:rPr>
        <w:t>„</w:t>
      </w:r>
      <w:r>
        <w:rPr>
          <w:b/>
          <w:bCs/>
          <w:color w:val="00188F"/>
        </w:rPr>
        <w:t>Prozentsatz der RTO-Erreichung</w:t>
      </w:r>
      <w:r>
        <w:rPr>
          <w:color w:val="000000" w:themeColor="text1"/>
        </w:rPr>
        <w:t>“ für eine bestimmte Datenbankbereitstellung in einem Anwendbaren Zeitraum für ein bestimmtes Abonnement errechnet sich nach folgender Formel:</w:t>
      </w:r>
    </w:p>
    <w:p w14:paraId="324032A0" w14:textId="138E585C" w:rsidR="003D733D" w:rsidRPr="001846CE" w:rsidRDefault="00000000" w:rsidP="006F0662">
      <w:pPr>
        <w:pStyle w:val="ListParagraph"/>
        <w:spacing w:before="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Gesamtzahl der Ungeplanten Failovers abzüglich Gesamtzahl der Nicht konformen ungeplanten Failovers</m:t>
              </m:r>
            </m:num>
            <m:den>
              <m:r>
                <m:rPr>
                  <m:nor/>
                </m:rPr>
                <w:rPr>
                  <w:rFonts w:ascii="Cambria Math" w:hAnsi="Cambria Math" w:cs="Tahoma"/>
                  <w:i/>
                  <w:sz w:val="18"/>
                  <w:szCs w:val="18"/>
                </w:rPr>
                <m:t>Gesamtzahl der Ungeplanten Failovers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3E2FBB7" w14:textId="77777777" w:rsidR="003D733D" w:rsidRPr="00EF7CF9" w:rsidRDefault="003D733D" w:rsidP="003D733D">
      <w:pPr>
        <w:pStyle w:val="ProductList-Body"/>
        <w:spacing w:before="120"/>
      </w:pPr>
      <w:r>
        <w:rPr>
          <w:b/>
          <w:color w:val="00188F"/>
        </w:rPr>
        <w:t>Die folgenden Servicelevels und Servicegutschriften gelten für die Nutzung der aktiven Georeplikationsfunktion durch den Kunden mit der unternehmenskritischen Stufe des SQL-Datenbankdienstes mit einer Konformen Sekundärdatenbank</w:t>
      </w:r>
      <w:r>
        <w:rPr>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80"/>
        <w:gridCol w:w="1440"/>
        <w:gridCol w:w="2880"/>
        <w:gridCol w:w="3600"/>
      </w:tblGrid>
      <w:tr w:rsidR="003D733D" w:rsidRPr="00B44CF9" w14:paraId="61E89F7A" w14:textId="77777777" w:rsidTr="00277097">
        <w:trPr>
          <w:tblHeader/>
        </w:trPr>
        <w:tc>
          <w:tcPr>
            <w:tcW w:w="2880" w:type="dxa"/>
            <w:shd w:val="clear" w:color="auto" w:fill="0072C6"/>
          </w:tcPr>
          <w:p w14:paraId="15DF8249" w14:textId="77777777" w:rsidR="003D733D" w:rsidRPr="00EF7CF9" w:rsidRDefault="003D733D" w:rsidP="000F31B4">
            <w:pPr>
              <w:pStyle w:val="ProductList-OfferingBody"/>
              <w:jc w:val="center"/>
              <w:rPr>
                <w:color w:val="FFFFFF" w:themeColor="background1"/>
              </w:rPr>
            </w:pPr>
            <w:r>
              <w:rPr>
                <w:color w:val="FFFFFF" w:themeColor="background1"/>
              </w:rPr>
              <w:lastRenderedPageBreak/>
              <w:t>Vorgang</w:t>
            </w:r>
          </w:p>
        </w:tc>
        <w:tc>
          <w:tcPr>
            <w:tcW w:w="1440" w:type="dxa"/>
            <w:shd w:val="clear" w:color="auto" w:fill="0072C6"/>
          </w:tcPr>
          <w:p w14:paraId="3A95E617" w14:textId="77777777" w:rsidR="003D733D" w:rsidRPr="00EF7CF9" w:rsidRDefault="003D733D" w:rsidP="000F31B4">
            <w:pPr>
              <w:pStyle w:val="ProductList-OfferingBody"/>
              <w:jc w:val="center"/>
              <w:rPr>
                <w:color w:val="FFFFFF" w:themeColor="background1"/>
              </w:rPr>
            </w:pPr>
            <w:r>
              <w:rPr>
                <w:color w:val="FFFFFF" w:themeColor="background1"/>
              </w:rPr>
              <w:t>RTO</w:t>
            </w:r>
          </w:p>
        </w:tc>
        <w:tc>
          <w:tcPr>
            <w:tcW w:w="2880" w:type="dxa"/>
            <w:shd w:val="clear" w:color="auto" w:fill="0072C6"/>
          </w:tcPr>
          <w:p w14:paraId="23A8C358" w14:textId="562905B4" w:rsidR="003D733D" w:rsidRPr="00EF7CF9" w:rsidRDefault="003D733D" w:rsidP="000F31B4">
            <w:pPr>
              <w:pStyle w:val="ProductList-OfferingBody"/>
              <w:jc w:val="center"/>
              <w:rPr>
                <w:color w:val="FFFFFF" w:themeColor="background1"/>
              </w:rPr>
            </w:pPr>
            <w:r>
              <w:rPr>
                <w:color w:val="FFFFFF" w:themeColor="background1"/>
              </w:rPr>
              <w:t>Prozentsatz der RTO-Erreichung</w:t>
            </w:r>
          </w:p>
        </w:tc>
        <w:tc>
          <w:tcPr>
            <w:tcW w:w="3600" w:type="dxa"/>
            <w:shd w:val="clear" w:color="auto" w:fill="0072C6"/>
          </w:tcPr>
          <w:p w14:paraId="1C5AC948" w14:textId="77777777" w:rsidR="003D733D" w:rsidRPr="00EF7CF9" w:rsidRDefault="003D733D" w:rsidP="000F31B4">
            <w:pPr>
              <w:pStyle w:val="ProductList-OfferingBody"/>
              <w:jc w:val="center"/>
              <w:rPr>
                <w:color w:val="FFFFFF" w:themeColor="background1"/>
              </w:rPr>
            </w:pPr>
            <w:r>
              <w:rPr>
                <w:color w:val="FFFFFF" w:themeColor="background1"/>
              </w:rPr>
              <w:t>Servicegutschrift</w:t>
            </w:r>
          </w:p>
        </w:tc>
      </w:tr>
      <w:tr w:rsidR="003D733D" w:rsidRPr="00B44CF9" w14:paraId="0F727BF7" w14:textId="77777777" w:rsidTr="00277097">
        <w:tc>
          <w:tcPr>
            <w:tcW w:w="2880" w:type="dxa"/>
            <w:vAlign w:val="center"/>
          </w:tcPr>
          <w:p w14:paraId="343B00BC" w14:textId="77777777" w:rsidR="003D733D" w:rsidRPr="00EF7CF9" w:rsidRDefault="003D733D" w:rsidP="000F31B4">
            <w:pPr>
              <w:pStyle w:val="ProductList-OfferingBody"/>
              <w:jc w:val="center"/>
            </w:pPr>
            <w:r>
              <w:t>Ungeplantes Failover der Einzeldatenbank</w:t>
            </w:r>
          </w:p>
        </w:tc>
        <w:tc>
          <w:tcPr>
            <w:tcW w:w="1440" w:type="dxa"/>
            <w:vAlign w:val="center"/>
          </w:tcPr>
          <w:p w14:paraId="5697F7F9" w14:textId="77777777" w:rsidR="003D733D" w:rsidRPr="00EF7CF9" w:rsidRDefault="003D733D" w:rsidP="000F31B4">
            <w:pPr>
              <w:pStyle w:val="ProductList-OfferingBody"/>
              <w:jc w:val="center"/>
            </w:pPr>
            <w:r>
              <w:t>30 Sekunden</w:t>
            </w:r>
          </w:p>
        </w:tc>
        <w:tc>
          <w:tcPr>
            <w:tcW w:w="2880" w:type="dxa"/>
            <w:vAlign w:val="center"/>
          </w:tcPr>
          <w:p w14:paraId="1F10F6D5" w14:textId="77777777" w:rsidR="003D733D" w:rsidRPr="00EF7CF9" w:rsidRDefault="003D733D" w:rsidP="000F31B4">
            <w:pPr>
              <w:pStyle w:val="ProductList-OfferingBody"/>
              <w:jc w:val="center"/>
            </w:pPr>
            <w:r>
              <w:t>&lt; 100 %</w:t>
            </w:r>
          </w:p>
        </w:tc>
        <w:tc>
          <w:tcPr>
            <w:tcW w:w="3600" w:type="dxa"/>
            <w:vAlign w:val="center"/>
          </w:tcPr>
          <w:p w14:paraId="68DA0804" w14:textId="7ECCB888" w:rsidR="003D733D" w:rsidRPr="00EF7CF9" w:rsidRDefault="003D733D" w:rsidP="000F31B4">
            <w:pPr>
              <w:pStyle w:val="ProductList-OfferingBody"/>
              <w:jc w:val="center"/>
            </w:pPr>
            <w:r>
              <w:t>100 % der Gesamtkosten für Konforme Sekundärprodukte während des Anwendbaren Zeitraums</w:t>
            </w:r>
          </w:p>
        </w:tc>
      </w:tr>
    </w:tbl>
    <w:bookmarkEnd w:id="529"/>
    <w:p w14:paraId="29244537" w14:textId="3D735A6E"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7D682C45" w14:textId="77777777" w:rsidR="00C24853" w:rsidRPr="00C24853" w:rsidRDefault="00C24853" w:rsidP="00C24853">
      <w:pPr>
        <w:pStyle w:val="ProductList-Offering2Heading"/>
        <w:keepNext/>
        <w:tabs>
          <w:tab w:val="clear" w:pos="360"/>
          <w:tab w:val="clear" w:pos="720"/>
          <w:tab w:val="clear" w:pos="1080"/>
        </w:tabs>
        <w:outlineLvl w:val="2"/>
      </w:pPr>
      <w:bookmarkStart w:id="530" w:name="_Toc195543203"/>
      <w:bookmarkStart w:id="531" w:name="_Toc237449064"/>
      <w:r>
        <w:t>Azure SQL-Verwaltete Instanz</w:t>
      </w:r>
      <w:bookmarkEnd w:id="530"/>
      <w:bookmarkEnd w:id="531"/>
    </w:p>
    <w:p w14:paraId="207753A5" w14:textId="77777777" w:rsidR="00C24853" w:rsidRPr="007F34A9" w:rsidRDefault="00C24853" w:rsidP="00C24853">
      <w:pPr>
        <w:pStyle w:val="ProductList-Body"/>
        <w:rPr>
          <w:b/>
          <w:bCs/>
          <w:color w:val="00188F"/>
        </w:rPr>
      </w:pPr>
      <w:r>
        <w:rPr>
          <w:b/>
          <w:bCs/>
          <w:color w:val="00188F"/>
        </w:rPr>
        <w:t>Zusätzliche Definitionen</w:t>
      </w:r>
    </w:p>
    <w:p w14:paraId="1CD0AF18" w14:textId="77777777" w:rsidR="00C24853" w:rsidRDefault="00C24853" w:rsidP="00C24853">
      <w:pPr>
        <w:pStyle w:val="ProductList-Body"/>
      </w:pPr>
      <w:r>
        <w:t>„</w:t>
      </w:r>
      <w:r>
        <w:rPr>
          <w:b/>
          <w:bCs/>
          <w:color w:val="00188F"/>
        </w:rPr>
        <w:t>Instanz</w:t>
      </w:r>
      <w:r>
        <w:t>“ bezeichnet eine beliebige Verwaltete Instanz der Microsoft Azure SQL, die in einer der Dienststufen erstellt und als einzelne Instanz bereitgestellt wird.</w:t>
      </w:r>
    </w:p>
    <w:p w14:paraId="1FEC54F7" w14:textId="77777777" w:rsidR="00C24853" w:rsidRDefault="00C24853" w:rsidP="00C24853">
      <w:pPr>
        <w:pStyle w:val="ProductList-Body"/>
      </w:pPr>
      <w:r>
        <w:t>„</w:t>
      </w:r>
      <w:r>
        <w:rPr>
          <w:b/>
          <w:bCs/>
          <w:color w:val="00188F"/>
        </w:rPr>
        <w:t>Konforme Netzwerkkonfiguration</w:t>
      </w:r>
      <w:r>
        <w:t>“ bedeutet einen vollständigen Satz erforderlicher Konfigurationen der Microsoft Azure Virtual Network-Hosting-Instanz, einschließlich der Sicherheitsregeln der Microsoft Azure Network Security Group für eingehende Daten und der obligatorischen Microsoft Azure User Defined Routes der Microsoft Azure Virtual Network Subnet-Hosting-Instanz, die einen ununterbrochenen Fluss des Verwaltungsdatenverkehrs ermöglichen und den Datenverkehr zum dedizierten Gateway in der Microsoft Azure Virtual Network Subnet-Hosting-Instanz zulassen.</w:t>
      </w:r>
    </w:p>
    <w:p w14:paraId="111F99B3" w14:textId="77777777" w:rsidR="00FD628B" w:rsidRPr="00D2551C" w:rsidRDefault="00FD628B" w:rsidP="00FD628B">
      <w:pPr>
        <w:pStyle w:val="ProductList-Body"/>
        <w:rPr>
          <w:rFonts w:ascii="Calibri" w:hAnsi="Calibri" w:cs="Calibri"/>
        </w:rPr>
      </w:pPr>
      <w:r>
        <w:rPr>
          <w:rFonts w:ascii="Calibri" w:hAnsi="Calibri" w:cs="Calibri"/>
        </w:rPr>
        <w:t>„</w:t>
      </w:r>
      <w:r>
        <w:rPr>
          <w:rFonts w:ascii="Calibri" w:hAnsi="Calibri" w:cs="Calibri"/>
          <w:b/>
          <w:bCs/>
          <w:color w:val="00188F"/>
        </w:rPr>
        <w:t>Verfügbarkeitszone</w:t>
      </w:r>
      <w:r>
        <w:rPr>
          <w:rFonts w:ascii="Calibri" w:hAnsi="Calibri" w:cs="Calibri"/>
        </w:rPr>
        <w:t>“ ist ein fehlerisolierter Bereich in einer Azure-Region, der redundante Stromversorgung, Kühlung und Vernetzung zur Verfügung stellt.</w:t>
      </w:r>
    </w:p>
    <w:p w14:paraId="5B2AB99D" w14:textId="438C4AA6" w:rsidR="00FD628B" w:rsidRPr="00BA24B3" w:rsidRDefault="00FD628B" w:rsidP="00C24853">
      <w:pPr>
        <w:pStyle w:val="ProductList-Body"/>
        <w:rPr>
          <w:rFonts w:ascii="Calibri" w:hAnsi="Calibri" w:cs="Calibri"/>
        </w:rPr>
      </w:pPr>
      <w:r>
        <w:rPr>
          <w:rFonts w:ascii="Calibri" w:hAnsi="Calibri" w:cs="Calibri"/>
        </w:rPr>
        <w:t>„</w:t>
      </w:r>
      <w:r>
        <w:rPr>
          <w:rFonts w:ascii="Calibri" w:hAnsi="Calibri" w:cs="Calibri"/>
          <w:b/>
          <w:bCs/>
          <w:color w:val="00188F"/>
        </w:rPr>
        <w:t>Zonenredundante Bereitstellung</w:t>
      </w:r>
      <w:r>
        <w:rPr>
          <w:rFonts w:ascii="Calibri" w:hAnsi="Calibri" w:cs="Calibri"/>
        </w:rPr>
        <w:t>“ ist eine Instanz, die über mehrere Verfügbarkeitszonen bereitgestellt wird.</w:t>
      </w:r>
    </w:p>
    <w:p w14:paraId="14E0066B" w14:textId="0001ABDC" w:rsidR="00C24853" w:rsidRPr="007F34A9" w:rsidRDefault="00EE6E3C" w:rsidP="00C24853">
      <w:pPr>
        <w:pStyle w:val="ProductList-Body"/>
        <w:rPr>
          <w:b/>
          <w:bCs/>
          <w:color w:val="00188F"/>
        </w:rPr>
      </w:pPr>
      <w:r>
        <w:rPr>
          <w:b/>
          <w:bCs/>
          <w:color w:val="00188F"/>
        </w:rPr>
        <w:t>Berechnung der Betriebszeit und Service-Levels für den Azure SQL Managed Instance Service</w:t>
      </w:r>
    </w:p>
    <w:p w14:paraId="7162FAC1" w14:textId="655026A4" w:rsidR="00C24853" w:rsidRDefault="00C24853" w:rsidP="00C24853">
      <w:pPr>
        <w:pStyle w:val="ProductList-Body"/>
      </w:pPr>
      <w:r>
        <w:t>„</w:t>
      </w:r>
      <w:r>
        <w:rPr>
          <w:b/>
          <w:bCs/>
          <w:color w:val="00188F"/>
        </w:rPr>
        <w:t>Bereitstellungsminuten</w:t>
      </w:r>
      <w:r>
        <w:t>“ ist die Gesamtzahl der Minuten, die eine bestimmte Instanz während eines Anwendbaren Zeitraums in Microsoft Azure in Betrieb ist.</w:t>
      </w:r>
    </w:p>
    <w:p w14:paraId="4F25D7E2" w14:textId="4EE74F93" w:rsidR="00C24853" w:rsidRDefault="00C24853" w:rsidP="00C24853">
      <w:pPr>
        <w:pStyle w:val="ProductList-Body"/>
      </w:pPr>
      <w:r>
        <w:t>„</w:t>
      </w:r>
      <w:r>
        <w:rPr>
          <w:b/>
          <w:bCs/>
          <w:color w:val="00188F"/>
        </w:rPr>
        <w:t>Maximal Verfügbare Minuten</w:t>
      </w:r>
      <w:r>
        <w:t>“ ist die Summe aller Bereitstellungsminuten in einem bestimmten Microsoft Azure-Abonnement während eines Anwendbaren Zeitraums.</w:t>
      </w:r>
    </w:p>
    <w:p w14:paraId="67E0F7ED" w14:textId="77777777" w:rsidR="00C24853" w:rsidRDefault="00C24853" w:rsidP="00C24853">
      <w:pPr>
        <w:pStyle w:val="ProductList-Body"/>
      </w:pPr>
      <w:r>
        <w:t>„</w:t>
      </w:r>
      <w:r>
        <w:rPr>
          <w:b/>
          <w:bCs/>
          <w:color w:val="00188F"/>
        </w:rPr>
        <w:t>Ausfallzeit</w:t>
      </w:r>
      <w:r>
        <w:t>“ ist die Gesamtzahl der kumulierten Bereitstellungsminuten über alle Instanzen in einem bestimmten Microsoft Azure-Abonnement, während derer die Instanz nicht verfügbar ist. Eine Minute gilt für eine bestimmte Instanz als nicht verfügbar, wenn alle kontinuierlichen Versuche des Kunden, innerhalb dieser Minute eine Verbindung mit der Instanz herzustellen, erfolglos bleiben.</w:t>
      </w:r>
    </w:p>
    <w:p w14:paraId="1DCEC456" w14:textId="35E62C50" w:rsidR="00C24853" w:rsidRDefault="00C24853" w:rsidP="00C24853">
      <w:pPr>
        <w:pStyle w:val="ProductList-Body"/>
      </w:pPr>
      <w:r>
        <w:t>Der „</w:t>
      </w:r>
      <w:r>
        <w:rPr>
          <w:b/>
          <w:bCs/>
          <w:color w:val="00188F"/>
        </w:rPr>
        <w:t>Betriebszeitprozentsatz</w:t>
      </w:r>
      <w:r>
        <w:t>“ für eine bestimmte Instanz wird berechnet als Maximal Verfügbare Minuten abzüglich der Ausfallzeit geteilt durch die Maximal Verfügbaren Minuten in einem Anwendbaren Zeitraum für ein bestimmtes Microsoft Azure-Abonnement. Der Betriebszeitprozentsatz wird durch die folgende Formel ermittelt:</w:t>
      </w:r>
    </w:p>
    <w:p w14:paraId="0DCFCAC9" w14:textId="56E070B3" w:rsidR="007F34A9" w:rsidRPr="00246AD4" w:rsidRDefault="00000000" w:rsidP="00BA24B3">
      <w:pPr>
        <w:pStyle w:val="ListParagraph"/>
        <w:spacing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334FF227" w14:textId="77777777" w:rsidR="00300424" w:rsidRDefault="00300424" w:rsidP="00300424">
      <w:pPr>
        <w:spacing w:after="0" w:line="240" w:lineRule="auto"/>
        <w:textAlignment w:val="baseline"/>
        <w:rPr>
          <w:rFonts w:ascii="Calibri" w:hAnsi="Calibri" w:cs="Calibri"/>
          <w:b/>
          <w:bCs/>
          <w:color w:val="00188F"/>
          <w:sz w:val="18"/>
        </w:rPr>
      </w:pPr>
      <w:bookmarkStart w:id="532" w:name="_Toc457821580"/>
      <w:bookmarkStart w:id="533" w:name="_Toc52348989"/>
      <w:bookmarkStart w:id="534" w:name="_Hlk119928622"/>
      <w:r>
        <w:rPr>
          <w:rFonts w:ascii="Calibri" w:hAnsi="Calibri" w:cs="Calibri"/>
          <w:b/>
          <w:bCs/>
          <w:color w:val="00188F"/>
          <w:sz w:val="18"/>
        </w:rPr>
        <w:t>Die folgenden Service-Levels und Servicegutschriften gelten für die Nutzung der geschäftskritischen Stufe des SQL Managed Instance Service, der für zonenredundante Bereitstellungen mit konformer Netzwerkkonfiguration durch den Kunden konfiguriert ist: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00424" w:rsidRPr="00B44CF9" w14:paraId="14E17D88" w14:textId="77777777" w:rsidTr="00EE2D6C">
        <w:trPr>
          <w:tblHeader/>
        </w:trPr>
        <w:tc>
          <w:tcPr>
            <w:tcW w:w="5400" w:type="dxa"/>
            <w:shd w:val="clear" w:color="auto" w:fill="0072C6"/>
          </w:tcPr>
          <w:p w14:paraId="1D098814" w14:textId="77777777" w:rsidR="00300424" w:rsidRPr="005C5594" w:rsidRDefault="00300424"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Betriebszeitprozentsatz</w:t>
            </w:r>
          </w:p>
        </w:tc>
        <w:tc>
          <w:tcPr>
            <w:tcW w:w="5400" w:type="dxa"/>
            <w:shd w:val="clear" w:color="auto" w:fill="0072C6"/>
          </w:tcPr>
          <w:p w14:paraId="11B62CCD" w14:textId="77777777" w:rsidR="00300424" w:rsidRPr="005C5594" w:rsidRDefault="00300424"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Servicegutschrift</w:t>
            </w:r>
          </w:p>
        </w:tc>
      </w:tr>
      <w:tr w:rsidR="00300424" w:rsidRPr="00B44CF9" w14:paraId="1EED55BF" w14:textId="77777777" w:rsidTr="00EE2D6C">
        <w:tc>
          <w:tcPr>
            <w:tcW w:w="5400" w:type="dxa"/>
          </w:tcPr>
          <w:p w14:paraId="299981B4" w14:textId="77777777" w:rsidR="00300424" w:rsidRPr="005C5594" w:rsidRDefault="00300424" w:rsidP="00EE2D6C">
            <w:pPr>
              <w:pStyle w:val="ProductList-OfferingBody"/>
              <w:jc w:val="center"/>
              <w:rPr>
                <w:rFonts w:ascii="Calibri" w:hAnsi="Calibri" w:cs="Calibri"/>
                <w:szCs w:val="16"/>
              </w:rPr>
            </w:pPr>
            <w:r>
              <w:rPr>
                <w:rFonts w:ascii="Calibri" w:hAnsi="Calibri" w:cs="Calibri"/>
                <w:szCs w:val="16"/>
              </w:rPr>
              <w:t>&lt; 99,995 %</w:t>
            </w:r>
          </w:p>
        </w:tc>
        <w:tc>
          <w:tcPr>
            <w:tcW w:w="5400" w:type="dxa"/>
          </w:tcPr>
          <w:p w14:paraId="0111B22F" w14:textId="77777777" w:rsidR="00300424" w:rsidRPr="005C5594" w:rsidRDefault="00300424" w:rsidP="00EE2D6C">
            <w:pPr>
              <w:pStyle w:val="ProductList-OfferingBody"/>
              <w:jc w:val="center"/>
              <w:rPr>
                <w:rFonts w:ascii="Calibri" w:hAnsi="Calibri" w:cs="Calibri"/>
                <w:szCs w:val="16"/>
              </w:rPr>
            </w:pPr>
            <w:r>
              <w:rPr>
                <w:rFonts w:ascii="Calibri" w:hAnsi="Calibri" w:cs="Calibri"/>
                <w:szCs w:val="16"/>
              </w:rPr>
              <w:t>10%</w:t>
            </w:r>
          </w:p>
        </w:tc>
      </w:tr>
      <w:tr w:rsidR="00300424" w:rsidRPr="00B44CF9" w14:paraId="789C079B" w14:textId="77777777" w:rsidTr="00EE2D6C">
        <w:tc>
          <w:tcPr>
            <w:tcW w:w="5400" w:type="dxa"/>
          </w:tcPr>
          <w:p w14:paraId="11FF3B5C" w14:textId="77777777" w:rsidR="00300424" w:rsidRPr="005C5594" w:rsidRDefault="00300424" w:rsidP="00EE2D6C">
            <w:pPr>
              <w:pStyle w:val="ProductList-OfferingBody"/>
              <w:jc w:val="center"/>
              <w:rPr>
                <w:rFonts w:ascii="Calibri" w:hAnsi="Calibri" w:cs="Calibri"/>
                <w:szCs w:val="16"/>
              </w:rPr>
            </w:pPr>
            <w:r>
              <w:rPr>
                <w:rFonts w:ascii="Calibri" w:hAnsi="Calibri" w:cs="Calibri"/>
                <w:szCs w:val="16"/>
              </w:rPr>
              <w:t>&lt; 99 %</w:t>
            </w:r>
          </w:p>
        </w:tc>
        <w:tc>
          <w:tcPr>
            <w:tcW w:w="5400" w:type="dxa"/>
          </w:tcPr>
          <w:p w14:paraId="0794F588" w14:textId="77777777" w:rsidR="00300424" w:rsidRPr="005C5594" w:rsidRDefault="00300424" w:rsidP="00EE2D6C">
            <w:pPr>
              <w:pStyle w:val="ProductList-OfferingBody"/>
              <w:jc w:val="center"/>
              <w:rPr>
                <w:rFonts w:ascii="Calibri" w:hAnsi="Calibri" w:cs="Calibri"/>
                <w:szCs w:val="16"/>
              </w:rPr>
            </w:pPr>
            <w:r>
              <w:rPr>
                <w:rFonts w:ascii="Calibri" w:hAnsi="Calibri" w:cs="Calibri"/>
                <w:szCs w:val="16"/>
              </w:rPr>
              <w:t>25%</w:t>
            </w:r>
          </w:p>
        </w:tc>
      </w:tr>
      <w:tr w:rsidR="00300424" w:rsidRPr="00B44CF9" w14:paraId="0F4FFA53" w14:textId="77777777" w:rsidTr="00EE2D6C">
        <w:tc>
          <w:tcPr>
            <w:tcW w:w="5400" w:type="dxa"/>
          </w:tcPr>
          <w:p w14:paraId="14DCB96A" w14:textId="77777777" w:rsidR="00300424" w:rsidRPr="005C5594" w:rsidRDefault="00300424" w:rsidP="00EE2D6C">
            <w:pPr>
              <w:pStyle w:val="ProductList-OfferingBody"/>
              <w:jc w:val="center"/>
              <w:rPr>
                <w:rFonts w:ascii="Calibri" w:hAnsi="Calibri" w:cs="Calibri"/>
                <w:szCs w:val="16"/>
              </w:rPr>
            </w:pPr>
            <w:r>
              <w:rPr>
                <w:rFonts w:ascii="Calibri" w:hAnsi="Calibri" w:cs="Calibri"/>
                <w:szCs w:val="16"/>
              </w:rPr>
              <w:t>&lt; 95 %</w:t>
            </w:r>
          </w:p>
        </w:tc>
        <w:tc>
          <w:tcPr>
            <w:tcW w:w="5400" w:type="dxa"/>
          </w:tcPr>
          <w:p w14:paraId="72C1C92F" w14:textId="77777777" w:rsidR="00300424" w:rsidRPr="005C5594" w:rsidRDefault="00300424" w:rsidP="00EE2D6C">
            <w:pPr>
              <w:pStyle w:val="ProductList-OfferingBody"/>
              <w:jc w:val="center"/>
              <w:rPr>
                <w:rFonts w:ascii="Calibri" w:hAnsi="Calibri" w:cs="Calibri"/>
                <w:szCs w:val="16"/>
              </w:rPr>
            </w:pPr>
            <w:r>
              <w:rPr>
                <w:rFonts w:ascii="Calibri" w:hAnsi="Calibri" w:cs="Calibri"/>
                <w:szCs w:val="16"/>
              </w:rPr>
              <w:t>100%</w:t>
            </w:r>
          </w:p>
        </w:tc>
      </w:tr>
    </w:tbl>
    <w:p w14:paraId="0A430B83" w14:textId="77777777" w:rsidR="00300424" w:rsidRPr="00802AB3" w:rsidRDefault="00300424" w:rsidP="00300424">
      <w:pPr>
        <w:spacing w:before="120" w:after="0" w:line="240" w:lineRule="auto"/>
        <w:textAlignment w:val="baseline"/>
        <w:rPr>
          <w:rFonts w:ascii="Calibri" w:hAnsi="Calibri" w:cs="Calibri"/>
          <w:b/>
          <w:bCs/>
          <w:color w:val="00188F"/>
          <w:sz w:val="18"/>
        </w:rPr>
      </w:pPr>
      <w:r>
        <w:rPr>
          <w:rFonts w:ascii="Calibri" w:hAnsi="Calibri" w:cs="Calibri"/>
          <w:b/>
          <w:bCs/>
          <w:color w:val="00188F"/>
          <w:sz w:val="18"/>
        </w:rPr>
        <w:t>Die folgenden Service-Levels und Servicegutschriften gelten für die Nutzung der geschäftskritischen Stufe des SQL Managed Instance Service, der nicht für zonenredundante Bereitstellungen mit konformer Netzwerkkonfiguration durch den Kunden konfiguriert ist: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00424" w:rsidRPr="00EF7CF9" w14:paraId="1C204AF4" w14:textId="77777777" w:rsidTr="00EE2D6C">
        <w:trPr>
          <w:tblHeader/>
        </w:trPr>
        <w:tc>
          <w:tcPr>
            <w:tcW w:w="5400" w:type="dxa"/>
            <w:shd w:val="clear" w:color="auto" w:fill="0072C6"/>
          </w:tcPr>
          <w:p w14:paraId="491D4D66" w14:textId="77777777" w:rsidR="00300424" w:rsidRPr="005C5594" w:rsidRDefault="00300424"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Betriebszeitprozentsatz</w:t>
            </w:r>
          </w:p>
        </w:tc>
        <w:tc>
          <w:tcPr>
            <w:tcW w:w="5400" w:type="dxa"/>
            <w:shd w:val="clear" w:color="auto" w:fill="0072C6"/>
          </w:tcPr>
          <w:p w14:paraId="042F0D5D" w14:textId="77777777" w:rsidR="00300424" w:rsidRPr="005C5594" w:rsidRDefault="00300424"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Servicegutschrift</w:t>
            </w:r>
          </w:p>
        </w:tc>
      </w:tr>
      <w:tr w:rsidR="00300424" w:rsidRPr="00EF7CF9" w14:paraId="60400211" w14:textId="77777777" w:rsidTr="00EE2D6C">
        <w:tc>
          <w:tcPr>
            <w:tcW w:w="5400" w:type="dxa"/>
          </w:tcPr>
          <w:p w14:paraId="1DE845E3" w14:textId="77777777" w:rsidR="00300424" w:rsidRPr="005C5594" w:rsidRDefault="00300424" w:rsidP="00EE2D6C">
            <w:pPr>
              <w:pStyle w:val="ProductList-OfferingBody"/>
              <w:jc w:val="center"/>
              <w:rPr>
                <w:rFonts w:ascii="Calibri" w:hAnsi="Calibri" w:cs="Calibri"/>
                <w:szCs w:val="16"/>
              </w:rPr>
            </w:pPr>
            <w:r>
              <w:rPr>
                <w:rFonts w:ascii="Calibri" w:hAnsi="Calibri" w:cs="Calibri"/>
                <w:szCs w:val="16"/>
              </w:rPr>
              <w:t>&lt; 99,99 %</w:t>
            </w:r>
          </w:p>
        </w:tc>
        <w:tc>
          <w:tcPr>
            <w:tcW w:w="5400" w:type="dxa"/>
          </w:tcPr>
          <w:p w14:paraId="72CDE7BC" w14:textId="77777777" w:rsidR="00300424" w:rsidRPr="005C5594" w:rsidRDefault="00300424" w:rsidP="00EE2D6C">
            <w:pPr>
              <w:pStyle w:val="ProductList-OfferingBody"/>
              <w:jc w:val="center"/>
              <w:rPr>
                <w:rFonts w:ascii="Calibri" w:hAnsi="Calibri" w:cs="Calibri"/>
                <w:szCs w:val="16"/>
              </w:rPr>
            </w:pPr>
            <w:r>
              <w:rPr>
                <w:rFonts w:ascii="Calibri" w:hAnsi="Calibri" w:cs="Calibri"/>
                <w:szCs w:val="16"/>
              </w:rPr>
              <w:t>10%</w:t>
            </w:r>
          </w:p>
        </w:tc>
      </w:tr>
      <w:tr w:rsidR="00300424" w:rsidRPr="00EF7CF9" w14:paraId="674E80FF" w14:textId="77777777" w:rsidTr="00EE2D6C">
        <w:tc>
          <w:tcPr>
            <w:tcW w:w="5400" w:type="dxa"/>
          </w:tcPr>
          <w:p w14:paraId="129C403D" w14:textId="77777777" w:rsidR="00300424" w:rsidRPr="005C5594" w:rsidRDefault="00300424" w:rsidP="00EE2D6C">
            <w:pPr>
              <w:pStyle w:val="ProductList-OfferingBody"/>
              <w:jc w:val="center"/>
              <w:rPr>
                <w:rFonts w:ascii="Calibri" w:hAnsi="Calibri" w:cs="Calibri"/>
                <w:szCs w:val="16"/>
              </w:rPr>
            </w:pPr>
            <w:r>
              <w:rPr>
                <w:rFonts w:ascii="Calibri" w:hAnsi="Calibri" w:cs="Calibri"/>
                <w:szCs w:val="16"/>
              </w:rPr>
              <w:t>&lt; 99 %</w:t>
            </w:r>
          </w:p>
        </w:tc>
        <w:tc>
          <w:tcPr>
            <w:tcW w:w="5400" w:type="dxa"/>
          </w:tcPr>
          <w:p w14:paraId="0F591385" w14:textId="77777777" w:rsidR="00300424" w:rsidRPr="005C5594" w:rsidRDefault="00300424" w:rsidP="00EE2D6C">
            <w:pPr>
              <w:pStyle w:val="ProductList-OfferingBody"/>
              <w:jc w:val="center"/>
              <w:rPr>
                <w:rFonts w:ascii="Calibri" w:hAnsi="Calibri" w:cs="Calibri"/>
                <w:szCs w:val="16"/>
              </w:rPr>
            </w:pPr>
            <w:r>
              <w:rPr>
                <w:rFonts w:ascii="Calibri" w:hAnsi="Calibri" w:cs="Calibri"/>
                <w:szCs w:val="16"/>
              </w:rPr>
              <w:t>25%</w:t>
            </w:r>
          </w:p>
        </w:tc>
      </w:tr>
      <w:tr w:rsidR="00300424" w:rsidRPr="00EF7CF9" w14:paraId="21E4EA7B" w14:textId="77777777" w:rsidTr="00EE2D6C">
        <w:tc>
          <w:tcPr>
            <w:tcW w:w="5400" w:type="dxa"/>
          </w:tcPr>
          <w:p w14:paraId="49B7B2DE" w14:textId="77777777" w:rsidR="00300424" w:rsidRPr="005C5594" w:rsidRDefault="00300424" w:rsidP="00EE2D6C">
            <w:pPr>
              <w:pStyle w:val="ProductList-OfferingBody"/>
              <w:jc w:val="center"/>
              <w:rPr>
                <w:rFonts w:ascii="Calibri" w:hAnsi="Calibri" w:cs="Calibri"/>
                <w:szCs w:val="16"/>
              </w:rPr>
            </w:pPr>
            <w:r>
              <w:rPr>
                <w:rFonts w:ascii="Calibri" w:hAnsi="Calibri" w:cs="Calibri"/>
                <w:szCs w:val="16"/>
              </w:rPr>
              <w:t>&lt; 95 %</w:t>
            </w:r>
          </w:p>
        </w:tc>
        <w:tc>
          <w:tcPr>
            <w:tcW w:w="5400" w:type="dxa"/>
          </w:tcPr>
          <w:p w14:paraId="2755CEA2" w14:textId="77777777" w:rsidR="00300424" w:rsidRPr="005C5594" w:rsidRDefault="00300424" w:rsidP="00EE2D6C">
            <w:pPr>
              <w:pStyle w:val="ProductList-OfferingBody"/>
              <w:jc w:val="center"/>
              <w:rPr>
                <w:rFonts w:ascii="Calibri" w:hAnsi="Calibri" w:cs="Calibri"/>
                <w:szCs w:val="16"/>
              </w:rPr>
            </w:pPr>
            <w:r>
              <w:rPr>
                <w:rFonts w:ascii="Calibri" w:hAnsi="Calibri" w:cs="Calibri"/>
                <w:szCs w:val="16"/>
              </w:rPr>
              <w:t>100%</w:t>
            </w:r>
          </w:p>
        </w:tc>
      </w:tr>
    </w:tbl>
    <w:p w14:paraId="66042B0D" w14:textId="77777777" w:rsidR="00300424" w:rsidRPr="00802AB3" w:rsidRDefault="00300424" w:rsidP="00300424">
      <w:pPr>
        <w:pStyle w:val="ProductList-Body"/>
        <w:spacing w:before="120"/>
        <w:rPr>
          <w:rFonts w:ascii="Calibri" w:hAnsi="Calibri" w:cs="Calibri"/>
          <w:b/>
          <w:bCs/>
          <w:color w:val="00188F"/>
        </w:rPr>
      </w:pPr>
      <w:r>
        <w:rPr>
          <w:rFonts w:ascii="Calibri" w:hAnsi="Calibri" w:cs="Calibri"/>
          <w:b/>
          <w:bCs/>
          <w:color w:val="00188F"/>
        </w:rPr>
        <w:t xml:space="preserve">Die folgenden Service-Levels und Servicegutschriften gelten für die Nutzung der Allgemeinstufe des SQL Managed Instance Service, der </w:t>
      </w:r>
      <w:r>
        <w:rPr>
          <w:rFonts w:ascii="Calibri" w:eastAsia="Times New Roman" w:hAnsi="Calibri" w:cs="Calibri"/>
          <w:b/>
          <w:bCs/>
          <w:color w:val="00188F"/>
          <w:szCs w:val="18"/>
        </w:rPr>
        <w:t>für zonenredundante Bereitstellungen mit konformer Netzwerkkonfiguration durch den Kunden konfiguriert ist:</w:t>
      </w:r>
      <w:r>
        <w:rPr>
          <w:rFonts w:ascii="Calibri" w:eastAsia="Times New Roman" w:hAnsi="Calibri" w:cs="Calibri"/>
          <w:color w:val="00188F"/>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00424" w:rsidRPr="00B44CF9" w14:paraId="79B9CB0D" w14:textId="77777777" w:rsidTr="00EE2D6C">
        <w:trPr>
          <w:tblHeader/>
        </w:trPr>
        <w:tc>
          <w:tcPr>
            <w:tcW w:w="5400" w:type="dxa"/>
            <w:shd w:val="clear" w:color="auto" w:fill="0072C6"/>
          </w:tcPr>
          <w:p w14:paraId="48F47EAB" w14:textId="77777777" w:rsidR="00300424" w:rsidRPr="005C5594" w:rsidRDefault="00300424"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Betriebszeitprozentsatz</w:t>
            </w:r>
          </w:p>
        </w:tc>
        <w:tc>
          <w:tcPr>
            <w:tcW w:w="5400" w:type="dxa"/>
            <w:shd w:val="clear" w:color="auto" w:fill="0072C6"/>
          </w:tcPr>
          <w:p w14:paraId="66AC4401" w14:textId="77777777" w:rsidR="00300424" w:rsidRPr="005C5594" w:rsidRDefault="00300424"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Servicegutschrift</w:t>
            </w:r>
          </w:p>
        </w:tc>
      </w:tr>
      <w:tr w:rsidR="00300424" w:rsidRPr="00B44CF9" w14:paraId="3060CE55" w14:textId="77777777" w:rsidTr="00EE2D6C">
        <w:tc>
          <w:tcPr>
            <w:tcW w:w="5400" w:type="dxa"/>
          </w:tcPr>
          <w:p w14:paraId="67AFB91E" w14:textId="77777777" w:rsidR="00300424" w:rsidRPr="005C5594" w:rsidRDefault="00300424" w:rsidP="00EE2D6C">
            <w:pPr>
              <w:pStyle w:val="ProductList-OfferingBody"/>
              <w:jc w:val="center"/>
              <w:rPr>
                <w:rFonts w:ascii="Calibri" w:hAnsi="Calibri" w:cs="Calibri"/>
                <w:szCs w:val="16"/>
              </w:rPr>
            </w:pPr>
            <w:r>
              <w:rPr>
                <w:rFonts w:ascii="Calibri" w:hAnsi="Calibri" w:cs="Calibri"/>
                <w:szCs w:val="16"/>
              </w:rPr>
              <w:t>&lt; 99,995 %</w:t>
            </w:r>
          </w:p>
        </w:tc>
        <w:tc>
          <w:tcPr>
            <w:tcW w:w="5400" w:type="dxa"/>
          </w:tcPr>
          <w:p w14:paraId="5B5D966E" w14:textId="77777777" w:rsidR="00300424" w:rsidRPr="005C5594" w:rsidRDefault="00300424" w:rsidP="00EE2D6C">
            <w:pPr>
              <w:pStyle w:val="ProductList-OfferingBody"/>
              <w:jc w:val="center"/>
              <w:rPr>
                <w:rFonts w:ascii="Calibri" w:hAnsi="Calibri" w:cs="Calibri"/>
                <w:szCs w:val="16"/>
              </w:rPr>
            </w:pPr>
            <w:r>
              <w:rPr>
                <w:rFonts w:ascii="Calibri" w:hAnsi="Calibri" w:cs="Calibri"/>
                <w:szCs w:val="16"/>
              </w:rPr>
              <w:t>10%</w:t>
            </w:r>
          </w:p>
        </w:tc>
      </w:tr>
      <w:tr w:rsidR="00300424" w:rsidRPr="00B44CF9" w14:paraId="2ABDA7CE" w14:textId="77777777" w:rsidTr="00EE2D6C">
        <w:tc>
          <w:tcPr>
            <w:tcW w:w="5400" w:type="dxa"/>
          </w:tcPr>
          <w:p w14:paraId="0CD85A97" w14:textId="77777777" w:rsidR="00300424" w:rsidRPr="005C5594" w:rsidRDefault="00300424" w:rsidP="00EE2D6C">
            <w:pPr>
              <w:pStyle w:val="ProductList-OfferingBody"/>
              <w:jc w:val="center"/>
              <w:rPr>
                <w:rFonts w:ascii="Calibri" w:hAnsi="Calibri" w:cs="Calibri"/>
                <w:szCs w:val="16"/>
              </w:rPr>
            </w:pPr>
            <w:r>
              <w:rPr>
                <w:rFonts w:ascii="Calibri" w:hAnsi="Calibri" w:cs="Calibri"/>
                <w:szCs w:val="16"/>
              </w:rPr>
              <w:t>&lt; 99 %</w:t>
            </w:r>
          </w:p>
        </w:tc>
        <w:tc>
          <w:tcPr>
            <w:tcW w:w="5400" w:type="dxa"/>
          </w:tcPr>
          <w:p w14:paraId="6317FFD0" w14:textId="77777777" w:rsidR="00300424" w:rsidRPr="005C5594" w:rsidRDefault="00300424" w:rsidP="00EE2D6C">
            <w:pPr>
              <w:pStyle w:val="ProductList-OfferingBody"/>
              <w:jc w:val="center"/>
              <w:rPr>
                <w:rFonts w:ascii="Calibri" w:hAnsi="Calibri" w:cs="Calibri"/>
                <w:szCs w:val="16"/>
              </w:rPr>
            </w:pPr>
            <w:r>
              <w:rPr>
                <w:rFonts w:ascii="Calibri" w:hAnsi="Calibri" w:cs="Calibri"/>
                <w:szCs w:val="16"/>
              </w:rPr>
              <w:t>25%</w:t>
            </w:r>
          </w:p>
        </w:tc>
      </w:tr>
      <w:tr w:rsidR="00300424" w:rsidRPr="00B44CF9" w14:paraId="5DF47BFD" w14:textId="77777777" w:rsidTr="00EE2D6C">
        <w:tc>
          <w:tcPr>
            <w:tcW w:w="5400" w:type="dxa"/>
          </w:tcPr>
          <w:p w14:paraId="48DB4A20" w14:textId="77777777" w:rsidR="00300424" w:rsidRPr="005C5594" w:rsidRDefault="00300424" w:rsidP="00EE2D6C">
            <w:pPr>
              <w:pStyle w:val="ProductList-OfferingBody"/>
              <w:jc w:val="center"/>
              <w:rPr>
                <w:rFonts w:ascii="Calibri" w:hAnsi="Calibri" w:cs="Calibri"/>
                <w:szCs w:val="16"/>
              </w:rPr>
            </w:pPr>
            <w:r>
              <w:rPr>
                <w:rFonts w:ascii="Calibri" w:hAnsi="Calibri" w:cs="Calibri"/>
                <w:szCs w:val="16"/>
              </w:rPr>
              <w:t>&lt; 95 %</w:t>
            </w:r>
          </w:p>
        </w:tc>
        <w:tc>
          <w:tcPr>
            <w:tcW w:w="5400" w:type="dxa"/>
          </w:tcPr>
          <w:p w14:paraId="1FB7819F" w14:textId="77777777" w:rsidR="00300424" w:rsidRPr="005C5594" w:rsidRDefault="00300424" w:rsidP="00EE2D6C">
            <w:pPr>
              <w:pStyle w:val="ProductList-OfferingBody"/>
              <w:jc w:val="center"/>
              <w:rPr>
                <w:rFonts w:ascii="Calibri" w:hAnsi="Calibri" w:cs="Calibri"/>
                <w:szCs w:val="16"/>
              </w:rPr>
            </w:pPr>
            <w:r>
              <w:rPr>
                <w:rFonts w:ascii="Calibri" w:hAnsi="Calibri" w:cs="Calibri"/>
                <w:szCs w:val="16"/>
              </w:rPr>
              <w:t>100%</w:t>
            </w:r>
          </w:p>
        </w:tc>
      </w:tr>
    </w:tbl>
    <w:p w14:paraId="074580D7" w14:textId="77777777" w:rsidR="00300424" w:rsidRDefault="00300424" w:rsidP="00300424">
      <w:pPr>
        <w:pStyle w:val="ProductList-Body"/>
        <w:spacing w:before="120"/>
        <w:rPr>
          <w:rFonts w:ascii="Calibri" w:eastAsia="Times New Roman" w:hAnsi="Calibri" w:cs="Calibri"/>
          <w:color w:val="00188F"/>
          <w:szCs w:val="18"/>
        </w:rPr>
      </w:pPr>
      <w:r>
        <w:rPr>
          <w:rFonts w:ascii="Calibri" w:hAnsi="Calibri" w:cs="Calibri"/>
          <w:b/>
          <w:bCs/>
          <w:color w:val="00188F"/>
        </w:rPr>
        <w:t xml:space="preserve">Die folgenden Service-Levels und Servicegutschriften gelten für die Nutzung der Allgemeinstufe des SQL Managed Instance Service, der </w:t>
      </w:r>
      <w:r>
        <w:rPr>
          <w:rFonts w:ascii="Calibri" w:eastAsia="Times New Roman" w:hAnsi="Calibri" w:cs="Calibri"/>
          <w:b/>
          <w:bCs/>
          <w:color w:val="00188F"/>
          <w:szCs w:val="18"/>
        </w:rPr>
        <w:t>nicht für zonenredundante Bereitstellungen mit konformer Netzwerkkonfiguration durch den Kunden konfiguriert ist:</w:t>
      </w:r>
      <w:r>
        <w:rPr>
          <w:rFonts w:ascii="Calibri" w:eastAsia="Times New Roman" w:hAnsi="Calibri" w:cs="Calibri"/>
          <w:color w:val="00188F"/>
          <w:szCs w:val="18"/>
        </w:rPr>
        <w:t> </w:t>
      </w:r>
    </w:p>
    <w:p w14:paraId="4520B414" w14:textId="77777777" w:rsidR="0030005B" w:rsidRDefault="0030005B" w:rsidP="00300424">
      <w:pPr>
        <w:pStyle w:val="ProductList-Body"/>
        <w:spacing w:before="120"/>
        <w:rPr>
          <w:rFonts w:ascii="Calibri" w:eastAsia="Times New Roman" w:hAnsi="Calibri" w:cs="Calibri"/>
          <w:color w:val="00188F"/>
          <w:szCs w:val="18"/>
        </w:rPr>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00424" w:rsidRPr="00B44CF9" w14:paraId="3C795F79" w14:textId="77777777" w:rsidTr="00EE2D6C">
        <w:trPr>
          <w:tblHeader/>
        </w:trPr>
        <w:tc>
          <w:tcPr>
            <w:tcW w:w="5400" w:type="dxa"/>
            <w:shd w:val="clear" w:color="auto" w:fill="0072C6"/>
          </w:tcPr>
          <w:p w14:paraId="106C691D" w14:textId="77777777" w:rsidR="00300424" w:rsidRPr="005C5594" w:rsidRDefault="00300424"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lastRenderedPageBreak/>
              <w:t>Betriebszeitprozentsatz</w:t>
            </w:r>
          </w:p>
        </w:tc>
        <w:tc>
          <w:tcPr>
            <w:tcW w:w="5400" w:type="dxa"/>
            <w:shd w:val="clear" w:color="auto" w:fill="0072C6"/>
          </w:tcPr>
          <w:p w14:paraId="2A092912" w14:textId="77777777" w:rsidR="00300424" w:rsidRPr="005C5594" w:rsidRDefault="00300424"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Servicegutschrift</w:t>
            </w:r>
          </w:p>
        </w:tc>
      </w:tr>
      <w:tr w:rsidR="00300424" w:rsidRPr="00B44CF9" w14:paraId="4FD45A08" w14:textId="77777777" w:rsidTr="00EE2D6C">
        <w:tc>
          <w:tcPr>
            <w:tcW w:w="5400" w:type="dxa"/>
          </w:tcPr>
          <w:p w14:paraId="175066D2" w14:textId="77777777" w:rsidR="00300424" w:rsidRPr="005C5594" w:rsidRDefault="00300424" w:rsidP="00EE2D6C">
            <w:pPr>
              <w:pStyle w:val="ProductList-OfferingBody"/>
              <w:jc w:val="center"/>
              <w:rPr>
                <w:rFonts w:ascii="Calibri" w:hAnsi="Calibri" w:cs="Calibri"/>
                <w:szCs w:val="16"/>
              </w:rPr>
            </w:pPr>
            <w:r>
              <w:rPr>
                <w:rFonts w:ascii="Calibri" w:hAnsi="Calibri" w:cs="Calibri"/>
                <w:szCs w:val="16"/>
              </w:rPr>
              <w:t>&lt; 99,99 %</w:t>
            </w:r>
          </w:p>
        </w:tc>
        <w:tc>
          <w:tcPr>
            <w:tcW w:w="5400" w:type="dxa"/>
          </w:tcPr>
          <w:p w14:paraId="0285532B" w14:textId="77777777" w:rsidR="00300424" w:rsidRPr="005C5594" w:rsidRDefault="00300424" w:rsidP="00EE2D6C">
            <w:pPr>
              <w:pStyle w:val="ProductList-OfferingBody"/>
              <w:jc w:val="center"/>
              <w:rPr>
                <w:rFonts w:ascii="Calibri" w:hAnsi="Calibri" w:cs="Calibri"/>
                <w:szCs w:val="16"/>
              </w:rPr>
            </w:pPr>
            <w:r>
              <w:rPr>
                <w:rFonts w:ascii="Calibri" w:hAnsi="Calibri" w:cs="Calibri"/>
                <w:szCs w:val="16"/>
              </w:rPr>
              <w:t>10%</w:t>
            </w:r>
          </w:p>
        </w:tc>
      </w:tr>
      <w:tr w:rsidR="00300424" w:rsidRPr="00B44CF9" w14:paraId="0E45FE1A" w14:textId="77777777" w:rsidTr="00EE2D6C">
        <w:tc>
          <w:tcPr>
            <w:tcW w:w="5400" w:type="dxa"/>
          </w:tcPr>
          <w:p w14:paraId="208ED4B4" w14:textId="77777777" w:rsidR="00300424" w:rsidRPr="005C5594" w:rsidRDefault="00300424" w:rsidP="00EE2D6C">
            <w:pPr>
              <w:pStyle w:val="ProductList-OfferingBody"/>
              <w:jc w:val="center"/>
              <w:rPr>
                <w:rFonts w:ascii="Calibri" w:hAnsi="Calibri" w:cs="Calibri"/>
                <w:szCs w:val="16"/>
              </w:rPr>
            </w:pPr>
            <w:r>
              <w:rPr>
                <w:rFonts w:ascii="Calibri" w:hAnsi="Calibri" w:cs="Calibri"/>
                <w:szCs w:val="16"/>
              </w:rPr>
              <w:t>&lt; 99 %</w:t>
            </w:r>
          </w:p>
        </w:tc>
        <w:tc>
          <w:tcPr>
            <w:tcW w:w="5400" w:type="dxa"/>
          </w:tcPr>
          <w:p w14:paraId="2282C82C" w14:textId="77777777" w:rsidR="00300424" w:rsidRPr="005C5594" w:rsidRDefault="00300424" w:rsidP="00EE2D6C">
            <w:pPr>
              <w:pStyle w:val="ProductList-OfferingBody"/>
              <w:jc w:val="center"/>
              <w:rPr>
                <w:rFonts w:ascii="Calibri" w:hAnsi="Calibri" w:cs="Calibri"/>
                <w:szCs w:val="16"/>
              </w:rPr>
            </w:pPr>
            <w:r>
              <w:rPr>
                <w:rFonts w:ascii="Calibri" w:hAnsi="Calibri" w:cs="Calibri"/>
                <w:szCs w:val="16"/>
              </w:rPr>
              <w:t>25%</w:t>
            </w:r>
          </w:p>
        </w:tc>
      </w:tr>
      <w:tr w:rsidR="00300424" w:rsidRPr="00B44CF9" w14:paraId="4A55A9B3" w14:textId="77777777" w:rsidTr="00EE2D6C">
        <w:tc>
          <w:tcPr>
            <w:tcW w:w="5400" w:type="dxa"/>
          </w:tcPr>
          <w:p w14:paraId="2E31F52D" w14:textId="77777777" w:rsidR="00300424" w:rsidRPr="005C5594" w:rsidRDefault="00300424" w:rsidP="00EE2D6C">
            <w:pPr>
              <w:pStyle w:val="ProductList-OfferingBody"/>
              <w:jc w:val="center"/>
              <w:rPr>
                <w:rFonts w:ascii="Calibri" w:hAnsi="Calibri" w:cs="Calibri"/>
                <w:szCs w:val="16"/>
              </w:rPr>
            </w:pPr>
            <w:r>
              <w:rPr>
                <w:rFonts w:ascii="Calibri" w:hAnsi="Calibri" w:cs="Calibri"/>
                <w:szCs w:val="16"/>
              </w:rPr>
              <w:t>&lt; 95 %</w:t>
            </w:r>
          </w:p>
        </w:tc>
        <w:tc>
          <w:tcPr>
            <w:tcW w:w="5400" w:type="dxa"/>
          </w:tcPr>
          <w:p w14:paraId="4D978EFF" w14:textId="77777777" w:rsidR="00300424" w:rsidRPr="005C5594" w:rsidRDefault="00300424" w:rsidP="00EE2D6C">
            <w:pPr>
              <w:pStyle w:val="ProductList-OfferingBody"/>
              <w:jc w:val="center"/>
              <w:rPr>
                <w:rFonts w:ascii="Calibri" w:hAnsi="Calibri" w:cs="Calibri"/>
                <w:szCs w:val="16"/>
              </w:rPr>
            </w:pPr>
            <w:r>
              <w:rPr>
                <w:rFonts w:ascii="Calibri" w:hAnsi="Calibri" w:cs="Calibri"/>
                <w:szCs w:val="16"/>
              </w:rPr>
              <w:t>100%</w:t>
            </w:r>
          </w:p>
        </w:tc>
      </w:tr>
    </w:tbl>
    <w:p w14:paraId="4FCE03A5" w14:textId="02E67385"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6D234023" w14:textId="77777777" w:rsidR="0017060C" w:rsidRPr="00EF7CF9" w:rsidRDefault="0017060C" w:rsidP="0017060C">
      <w:pPr>
        <w:pStyle w:val="ProductList-Offering2Heading"/>
        <w:tabs>
          <w:tab w:val="clear" w:pos="360"/>
          <w:tab w:val="clear" w:pos="720"/>
          <w:tab w:val="clear" w:pos="1080"/>
        </w:tabs>
        <w:outlineLvl w:val="2"/>
      </w:pPr>
      <w:bookmarkStart w:id="535" w:name="_Toc195543204"/>
      <w:bookmarkStart w:id="536" w:name="_Toc237449065"/>
      <w:r>
        <w:t>SQL Server Stretch-Datenbank</w:t>
      </w:r>
      <w:bookmarkEnd w:id="532"/>
      <w:bookmarkEnd w:id="533"/>
      <w:bookmarkEnd w:id="535"/>
      <w:bookmarkEnd w:id="536"/>
    </w:p>
    <w:bookmarkEnd w:id="534"/>
    <w:p w14:paraId="7C606DFB" w14:textId="77777777" w:rsidR="0017060C" w:rsidRPr="00EF7CF9" w:rsidRDefault="0017060C" w:rsidP="0017060C">
      <w:pPr>
        <w:pStyle w:val="ProductList-Body"/>
      </w:pPr>
      <w:r>
        <w:rPr>
          <w:b/>
          <w:color w:val="00188F"/>
        </w:rPr>
        <w:t>Zusätzliche Definitionen</w:t>
      </w:r>
      <w:r w:rsidRPr="00633DA0">
        <w:rPr>
          <w:b/>
          <w:color w:val="00188F"/>
        </w:rPr>
        <w:t>:</w:t>
      </w:r>
    </w:p>
    <w:p w14:paraId="1A682C59" w14:textId="77777777" w:rsidR="0017060C" w:rsidRPr="00EF7CF9" w:rsidRDefault="0017060C" w:rsidP="0017060C">
      <w:pPr>
        <w:pStyle w:val="ProductList-Body"/>
      </w:pPr>
      <w:r>
        <w:t>„</w:t>
      </w:r>
      <w:r>
        <w:rPr>
          <w:b/>
          <w:color w:val="00188F"/>
        </w:rPr>
        <w:t>Datenbank</w:t>
      </w:r>
      <w:r>
        <w:t>“ ist eine Instanz der SQL Server Stretch-Datenbank.</w:t>
      </w:r>
    </w:p>
    <w:p w14:paraId="297A170B" w14:textId="4A7C8708" w:rsidR="0017060C" w:rsidRPr="00EF7CF9" w:rsidRDefault="0017060C" w:rsidP="0017060C">
      <w:pPr>
        <w:pStyle w:val="ProductList-Body"/>
      </w:pPr>
      <w:r>
        <w:t>„</w:t>
      </w:r>
      <w:r>
        <w:rPr>
          <w:b/>
          <w:color w:val="00188F"/>
        </w:rPr>
        <w:t>Maximal Verfügbare Minuten</w:t>
      </w:r>
      <w:r w:rsidR="00445B42">
        <w:t>“</w:t>
      </w:r>
      <w:r>
        <w:t xml:space="preserve"> ist die Gesamtzahl der Minuten, in denen eine bestimmte Datenbank während eines Anwendbaren Zeitraums in</w:t>
      </w:r>
      <w:r w:rsidR="006E223C">
        <w:t> </w:t>
      </w:r>
      <w:r>
        <w:t>einem bestimmten Microsoft Azure-Abonnement bereitgestellt wird.</w:t>
      </w:r>
    </w:p>
    <w:p w14:paraId="4BD2CA20" w14:textId="272CA6B4" w:rsidR="0017060C" w:rsidRPr="00EF7CF9" w:rsidRDefault="0017060C" w:rsidP="0017060C">
      <w:pPr>
        <w:pStyle w:val="ProductList-Body"/>
      </w:pPr>
      <w:r>
        <w:rPr>
          <w:b/>
          <w:color w:val="00188F"/>
        </w:rPr>
        <w:t>Ausfallzeit</w:t>
      </w:r>
      <w:r w:rsidRPr="00633DA0">
        <w:rPr>
          <w:b/>
          <w:color w:val="00188F"/>
        </w:rPr>
        <w:t>:</w:t>
      </w:r>
      <w:r>
        <w:t xml:space="preserve"> ist die Gesamtzahl der Minuten in allen Datenbanken, die vom Kunden in einem bestimmten Microsoft Azure-Abonnement bereitgestellt werden, in denen die Datenbank nicht verfügbar ist. Eine Minute gilt für eine bestimmte Datenbank als nicht verfügbar, wenn alle</w:t>
      </w:r>
      <w:r w:rsidR="006E223C">
        <w:t> </w:t>
      </w:r>
      <w:r>
        <w:t>fortlaufenden Versuche des Kunden innerhalb dieser Minute, eine Verbindung mit der Datenbank herzustellen, erfolglos bleiben.</w:t>
      </w:r>
    </w:p>
    <w:p w14:paraId="70A11240" w14:textId="1F1CBBCF" w:rsidR="0017060C" w:rsidRPr="00EF7CF9" w:rsidRDefault="00AC48A7" w:rsidP="0017060C">
      <w:pPr>
        <w:pStyle w:val="ProductList-Body"/>
        <w:keepNext/>
      </w:pPr>
      <w:r>
        <w:rPr>
          <w:b/>
          <w:color w:val="00188F"/>
        </w:rPr>
        <w:t>Betriebszeitprozentsatz</w:t>
      </w:r>
      <w:r w:rsidRPr="00633DA0">
        <w:rPr>
          <w:b/>
          <w:color w:val="00188F"/>
        </w:rPr>
        <w:t>:</w:t>
      </w:r>
      <w:r>
        <w:t xml:space="preserve"> Der Betriebszeitprozentsatz errechnet sich nach folgender Formel:</w:t>
      </w:r>
    </w:p>
    <w:p w14:paraId="132AD4B7" w14:textId="7B507477" w:rsidR="0017060C" w:rsidRPr="00246AD4" w:rsidRDefault="00000000" w:rsidP="004444A0">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6D2F35F0" w14:textId="77777777" w:rsidR="0017060C" w:rsidRPr="00EF7CF9" w:rsidRDefault="0017060C" w:rsidP="0017060C">
      <w:pPr>
        <w:pStyle w:val="ProductList-Body"/>
      </w:pPr>
      <w:r>
        <w:rPr>
          <w:b/>
          <w:color w:val="00188F"/>
        </w:rPr>
        <w:t>Servicegutschrift</w:t>
      </w:r>
      <w:r w:rsidRPr="00633DA0">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7060C" w:rsidRPr="00B44CF9" w14:paraId="02B047CB" w14:textId="77777777" w:rsidTr="00277097">
        <w:trPr>
          <w:tblHeader/>
        </w:trPr>
        <w:tc>
          <w:tcPr>
            <w:tcW w:w="5400" w:type="dxa"/>
            <w:shd w:val="clear" w:color="auto" w:fill="0072C6"/>
          </w:tcPr>
          <w:p w14:paraId="473520A3" w14:textId="2C5DC160" w:rsidR="0017060C"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5C31EF25" w14:textId="77777777" w:rsidR="0017060C" w:rsidRPr="00EF7CF9" w:rsidRDefault="0017060C" w:rsidP="000F31B4">
            <w:pPr>
              <w:pStyle w:val="ProductList-OfferingBody"/>
              <w:jc w:val="center"/>
              <w:rPr>
                <w:color w:val="FFFFFF" w:themeColor="background1"/>
              </w:rPr>
            </w:pPr>
            <w:r>
              <w:rPr>
                <w:color w:val="FFFFFF" w:themeColor="background1"/>
              </w:rPr>
              <w:t>Servicegutschrift</w:t>
            </w:r>
          </w:p>
        </w:tc>
      </w:tr>
      <w:tr w:rsidR="0017060C" w:rsidRPr="00B44CF9" w14:paraId="7DA385FB" w14:textId="77777777" w:rsidTr="00277097">
        <w:tc>
          <w:tcPr>
            <w:tcW w:w="5400" w:type="dxa"/>
          </w:tcPr>
          <w:p w14:paraId="3FBEF90F" w14:textId="77777777" w:rsidR="0017060C" w:rsidRPr="00EF7CF9" w:rsidRDefault="0017060C" w:rsidP="000F31B4">
            <w:pPr>
              <w:pStyle w:val="ProductList-OfferingBody"/>
              <w:jc w:val="center"/>
            </w:pPr>
            <w:r>
              <w:t>&lt; 99,9 %</w:t>
            </w:r>
          </w:p>
        </w:tc>
        <w:tc>
          <w:tcPr>
            <w:tcW w:w="5400" w:type="dxa"/>
          </w:tcPr>
          <w:p w14:paraId="1C6584C7" w14:textId="77777777" w:rsidR="0017060C" w:rsidRPr="00EF7CF9" w:rsidRDefault="0017060C" w:rsidP="000F31B4">
            <w:pPr>
              <w:pStyle w:val="ProductList-OfferingBody"/>
              <w:jc w:val="center"/>
            </w:pPr>
            <w:r>
              <w:t>10 %</w:t>
            </w:r>
          </w:p>
        </w:tc>
      </w:tr>
      <w:tr w:rsidR="0017060C" w:rsidRPr="00B44CF9" w14:paraId="3479755F" w14:textId="77777777" w:rsidTr="00277097">
        <w:tc>
          <w:tcPr>
            <w:tcW w:w="5400" w:type="dxa"/>
          </w:tcPr>
          <w:p w14:paraId="0557D729" w14:textId="77777777" w:rsidR="0017060C" w:rsidRPr="00EF7CF9" w:rsidRDefault="0017060C" w:rsidP="000F31B4">
            <w:pPr>
              <w:pStyle w:val="ProductList-OfferingBody"/>
              <w:jc w:val="center"/>
            </w:pPr>
            <w:r>
              <w:t>&lt; 99 %</w:t>
            </w:r>
          </w:p>
        </w:tc>
        <w:tc>
          <w:tcPr>
            <w:tcW w:w="5400" w:type="dxa"/>
          </w:tcPr>
          <w:p w14:paraId="15E605CE" w14:textId="77777777" w:rsidR="0017060C" w:rsidRPr="00EF7CF9" w:rsidRDefault="0017060C" w:rsidP="000F31B4">
            <w:pPr>
              <w:pStyle w:val="ProductList-OfferingBody"/>
              <w:jc w:val="center"/>
            </w:pPr>
            <w:r>
              <w:t>25 %</w:t>
            </w:r>
          </w:p>
        </w:tc>
      </w:tr>
    </w:tbl>
    <w:p w14:paraId="34150861" w14:textId="28F24D42"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7AABEE67" w14:textId="721BFD31" w:rsidR="0017060C" w:rsidRPr="0017060C" w:rsidRDefault="0017060C" w:rsidP="0017060C">
      <w:pPr>
        <w:pStyle w:val="ProductList-Offering2Heading"/>
        <w:keepNext/>
        <w:tabs>
          <w:tab w:val="clear" w:pos="360"/>
          <w:tab w:val="clear" w:pos="720"/>
          <w:tab w:val="clear" w:pos="1080"/>
        </w:tabs>
        <w:outlineLvl w:val="2"/>
      </w:pPr>
      <w:bookmarkStart w:id="537" w:name="_Toc195543205"/>
      <w:bookmarkStart w:id="538" w:name="_Toc237449066"/>
      <w:r>
        <w:t>Statische Web Apps</w:t>
      </w:r>
      <w:bookmarkEnd w:id="537"/>
      <w:bookmarkEnd w:id="538"/>
    </w:p>
    <w:p w14:paraId="30E5D55D" w14:textId="77777777" w:rsidR="0017060C" w:rsidRPr="0017060C" w:rsidRDefault="0017060C" w:rsidP="0017060C">
      <w:pPr>
        <w:pStyle w:val="ProductList-Body"/>
        <w:rPr>
          <w:b/>
          <w:bCs/>
          <w:color w:val="00188F"/>
        </w:rPr>
      </w:pPr>
      <w:r>
        <w:rPr>
          <w:b/>
          <w:bCs/>
          <w:color w:val="00188F"/>
        </w:rPr>
        <w:t>Zusätzliche Definitionen</w:t>
      </w:r>
    </w:p>
    <w:p w14:paraId="7C3712A5" w14:textId="23D05D2A" w:rsidR="0017060C" w:rsidRDefault="0017060C" w:rsidP="00C672FB">
      <w:pPr>
        <w:pStyle w:val="ProductList-Body"/>
      </w:pPr>
      <w:r>
        <w:t>„</w:t>
      </w:r>
      <w:r>
        <w:rPr>
          <w:b/>
          <w:bCs/>
          <w:color w:val="00188F"/>
        </w:rPr>
        <w:t>Bereitstellungsminuten</w:t>
      </w:r>
      <w:r>
        <w:t>“ ist die Gesamtzahl der Minuten, in denen eine bestimmte App während eines Anwendbaren Zeitraums in Microsoft Azure ausgeführt wird. Bereitstellungsminuten werden von dem Zeitpunkt, zu dem die App erstellt wurde oder der Kunde eine Aktion initiiert hat, die zur Ausführung der App führt, bis zu dem Zeitpunkt gemessen, zu dem der Kunde eine Aktion initiiert hat, die zum Anhalten oder Löschen der App führt.</w:t>
      </w:r>
    </w:p>
    <w:p w14:paraId="2CF8C7A3" w14:textId="0B92CD35" w:rsidR="0017060C" w:rsidRDefault="0017060C" w:rsidP="00C672FB">
      <w:pPr>
        <w:pStyle w:val="ProductList-Body"/>
      </w:pPr>
      <w:r>
        <w:t>„</w:t>
      </w:r>
      <w:r>
        <w:rPr>
          <w:b/>
          <w:bCs/>
          <w:color w:val="00188F"/>
        </w:rPr>
        <w:t>Maximal Verfügbare Minuten</w:t>
      </w:r>
      <w:r>
        <w:t>“ ist die Summe aller Bereitstellungsminuten für alle vom Kunden in einem bestimmten Microsoft Azure-Abonnement während eines Anwendbaren Zeitraums bereitgestellten Apps.</w:t>
      </w:r>
    </w:p>
    <w:p w14:paraId="73041906" w14:textId="77777777" w:rsidR="0017060C" w:rsidRDefault="0017060C" w:rsidP="00C672FB">
      <w:pPr>
        <w:pStyle w:val="ProductList-Body"/>
      </w:pPr>
      <w:r>
        <w:t>„</w:t>
      </w:r>
      <w:r>
        <w:rPr>
          <w:b/>
          <w:bCs/>
          <w:color w:val="00188F"/>
        </w:rPr>
        <w:t>App</w:t>
      </w:r>
      <w:r>
        <w:t>“ ist eine Web-App, die vom Kunden innerhalb der statischen Web-Apps bereitgestellt wird.</w:t>
      </w:r>
    </w:p>
    <w:p w14:paraId="7849AF2E" w14:textId="77777777" w:rsidR="0017060C" w:rsidRDefault="0017060C" w:rsidP="00C672FB">
      <w:pPr>
        <w:pStyle w:val="ProductList-Body"/>
      </w:pPr>
      <w:r>
        <w:rPr>
          <w:b/>
          <w:bCs/>
          <w:color w:val="00188F"/>
        </w:rPr>
        <w:t>Ausfallzeit</w:t>
      </w:r>
      <w:r w:rsidRPr="00633DA0">
        <w:rPr>
          <w:b/>
          <w:color w:val="00188F"/>
        </w:rPr>
        <w:t>:</w:t>
      </w:r>
      <w:r>
        <w:t xml:space="preserve"> Die Gesamtzahl der Bereitstellungsminuten aller Apps, die vom Kunden in einem bestimmten Microsoft Azure-Abonnement bereitgestellt werden, während derer die App nicht verfügbar ist. Eine Minute gilt als nicht verfügbar für eine bestimmte App, wenn keine Konnektivität zwischen der App und dem Internetgateway von Microsoft besteht.</w:t>
      </w:r>
    </w:p>
    <w:p w14:paraId="4C60B400" w14:textId="6CE15D80" w:rsidR="0017060C" w:rsidRDefault="00AC48A7" w:rsidP="0017060C">
      <w:pPr>
        <w:pStyle w:val="ProductList-Body"/>
      </w:pPr>
      <w:r>
        <w:rPr>
          <w:b/>
          <w:bCs/>
          <w:color w:val="00188F"/>
        </w:rPr>
        <w:t>Betriebszeitprozentsatz:</w:t>
      </w:r>
      <w:r>
        <w:t xml:space="preserve"> Der Betriebszeitprozentsatz errechnet sich nach folgender Formel:</w:t>
      </w:r>
    </w:p>
    <w:p w14:paraId="147DC32C" w14:textId="5890F995" w:rsidR="0017060C" w:rsidRPr="00246AD4" w:rsidRDefault="00000000" w:rsidP="004444A0">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763CB418" w14:textId="19DBEB41" w:rsidR="0017060C" w:rsidRPr="00B00BE0" w:rsidRDefault="0017060C" w:rsidP="0017060C">
      <w:pPr>
        <w:pStyle w:val="ProductList-Body"/>
        <w:rPr>
          <w:b/>
          <w:bCs/>
          <w:color w:val="00188F"/>
        </w:rPr>
      </w:pPr>
      <w:r>
        <w:rPr>
          <w:b/>
          <w:bCs/>
          <w:color w:val="00188F"/>
        </w:rPr>
        <w:t>Servicegutschrift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00BE0" w:rsidRPr="00B44CF9" w14:paraId="4C90AFFD" w14:textId="77777777" w:rsidTr="00277097">
        <w:trPr>
          <w:tblHeader/>
        </w:trPr>
        <w:tc>
          <w:tcPr>
            <w:tcW w:w="5400" w:type="dxa"/>
            <w:shd w:val="clear" w:color="auto" w:fill="0072C6"/>
          </w:tcPr>
          <w:p w14:paraId="3F674B2B" w14:textId="1CCCE114" w:rsidR="00B00BE0"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78BB82AA" w14:textId="77777777" w:rsidR="00B00BE0" w:rsidRPr="00EF7CF9" w:rsidRDefault="00B00BE0" w:rsidP="000F31B4">
            <w:pPr>
              <w:pStyle w:val="ProductList-OfferingBody"/>
              <w:jc w:val="center"/>
              <w:rPr>
                <w:color w:val="FFFFFF" w:themeColor="background1"/>
              </w:rPr>
            </w:pPr>
            <w:r>
              <w:rPr>
                <w:color w:val="FFFFFF" w:themeColor="background1"/>
              </w:rPr>
              <w:t>Servicegutschrift</w:t>
            </w:r>
          </w:p>
        </w:tc>
      </w:tr>
      <w:tr w:rsidR="00B00BE0" w:rsidRPr="00B44CF9" w14:paraId="6B1B2870" w14:textId="77777777" w:rsidTr="00277097">
        <w:tc>
          <w:tcPr>
            <w:tcW w:w="5400" w:type="dxa"/>
          </w:tcPr>
          <w:p w14:paraId="65BC5D0B" w14:textId="16428DF9" w:rsidR="00B00BE0" w:rsidRPr="00EF7CF9" w:rsidRDefault="00B00BE0" w:rsidP="000F31B4">
            <w:pPr>
              <w:pStyle w:val="ProductList-OfferingBody"/>
              <w:jc w:val="center"/>
            </w:pPr>
            <w:r>
              <w:t>&lt; 99,95 %</w:t>
            </w:r>
          </w:p>
        </w:tc>
        <w:tc>
          <w:tcPr>
            <w:tcW w:w="5400" w:type="dxa"/>
          </w:tcPr>
          <w:p w14:paraId="064A4A90" w14:textId="77777777" w:rsidR="00B00BE0" w:rsidRPr="00EF7CF9" w:rsidRDefault="00B00BE0" w:rsidP="000F31B4">
            <w:pPr>
              <w:pStyle w:val="ProductList-OfferingBody"/>
              <w:jc w:val="center"/>
            </w:pPr>
            <w:r>
              <w:t>10 %</w:t>
            </w:r>
          </w:p>
        </w:tc>
      </w:tr>
      <w:tr w:rsidR="00B00BE0" w:rsidRPr="00B44CF9" w14:paraId="547B38E5" w14:textId="77777777" w:rsidTr="00277097">
        <w:tc>
          <w:tcPr>
            <w:tcW w:w="5400" w:type="dxa"/>
          </w:tcPr>
          <w:p w14:paraId="0BEB3E63" w14:textId="77777777" w:rsidR="00B00BE0" w:rsidRPr="00EF7CF9" w:rsidRDefault="00B00BE0" w:rsidP="000F31B4">
            <w:pPr>
              <w:pStyle w:val="ProductList-OfferingBody"/>
              <w:jc w:val="center"/>
            </w:pPr>
            <w:r>
              <w:t>&lt; 99 %</w:t>
            </w:r>
          </w:p>
        </w:tc>
        <w:tc>
          <w:tcPr>
            <w:tcW w:w="5400" w:type="dxa"/>
          </w:tcPr>
          <w:p w14:paraId="5AC50C71" w14:textId="77777777" w:rsidR="00B00BE0" w:rsidRPr="00EF7CF9" w:rsidRDefault="00B00BE0" w:rsidP="000F31B4">
            <w:pPr>
              <w:pStyle w:val="ProductList-OfferingBody"/>
              <w:jc w:val="center"/>
            </w:pPr>
            <w:r>
              <w:t>25 %</w:t>
            </w:r>
          </w:p>
        </w:tc>
      </w:tr>
    </w:tbl>
    <w:p w14:paraId="62E029BE" w14:textId="6707758A" w:rsidR="0017060C" w:rsidRDefault="0017060C" w:rsidP="004C75EC">
      <w:pPr>
        <w:pStyle w:val="ProductList-Body"/>
        <w:spacing w:before="120"/>
      </w:pPr>
      <w:r>
        <w:rPr>
          <w:b/>
          <w:bCs/>
          <w:color w:val="00188F"/>
        </w:rPr>
        <w:t>Zusatzbestimmungen:</w:t>
      </w:r>
      <w:r>
        <w:t xml:space="preserve"> Servicegutschriften gelten nur für Gebühren, die Ihrer Nutzung von statischen Web-Apps zurechenbar sind, und nicht für Gebühren, die anderen Arten von verfügbaren Apps zurechenbar sind.</w:t>
      </w:r>
    </w:p>
    <w:p w14:paraId="7BCAFA55" w14:textId="77777777" w:rsidR="00AF0B1D" w:rsidRPr="00D67F75" w:rsidRDefault="00AF0B1D" w:rsidP="00AF0B1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25E1738F" w14:textId="77777777" w:rsidR="00E96EE7" w:rsidRPr="00EF7CF9" w:rsidRDefault="00E96EE7" w:rsidP="001846CE">
      <w:pPr>
        <w:pStyle w:val="ProductList-Offering2Heading"/>
        <w:keepNext/>
        <w:keepLines/>
        <w:tabs>
          <w:tab w:val="clear" w:pos="360"/>
          <w:tab w:val="clear" w:pos="720"/>
          <w:tab w:val="clear" w:pos="1080"/>
        </w:tabs>
        <w:outlineLvl w:val="2"/>
      </w:pPr>
      <w:bookmarkStart w:id="539" w:name="_Toc457821581"/>
      <w:bookmarkStart w:id="540" w:name="_Toc52348990"/>
      <w:bookmarkStart w:id="541" w:name="_Toc195543206"/>
      <w:bookmarkStart w:id="542" w:name="_Toc237449067"/>
      <w:bookmarkStart w:id="543" w:name="StorageService"/>
      <w:r>
        <w:t>Speicher</w:t>
      </w:r>
      <w:bookmarkEnd w:id="539"/>
      <w:bookmarkEnd w:id="540"/>
      <w:r>
        <w:t>konten</w:t>
      </w:r>
      <w:bookmarkEnd w:id="541"/>
      <w:bookmarkEnd w:id="542"/>
    </w:p>
    <w:p w14:paraId="4D123F67" w14:textId="77777777" w:rsidR="00490C75" w:rsidRPr="00851B3D" w:rsidRDefault="00490C75" w:rsidP="00490C75">
      <w:pPr>
        <w:pStyle w:val="ProductList-Body"/>
        <w:rPr>
          <w:rFonts w:ascii="Calibri" w:hAnsi="Calibri" w:cs="Calibri"/>
        </w:rPr>
      </w:pPr>
      <w:bookmarkStart w:id="544" w:name="StorSimple"/>
      <w:bookmarkStart w:id="545" w:name="_Toc52349011"/>
      <w:bookmarkEnd w:id="543"/>
      <w:r>
        <w:rPr>
          <w:rFonts w:ascii="Calibri" w:hAnsi="Calibri" w:cs="Calibri"/>
          <w:b/>
          <w:color w:val="00188F"/>
        </w:rPr>
        <w:t>Zusätzliche Definitionen</w:t>
      </w:r>
      <w:r>
        <w:rPr>
          <w:rFonts w:ascii="Calibri" w:hAnsi="Calibri" w:cs="Calibri"/>
        </w:rPr>
        <w:t>:</w:t>
      </w:r>
    </w:p>
    <w:p w14:paraId="50173300" w14:textId="77777777" w:rsidR="00490C75" w:rsidRPr="00851B3D" w:rsidRDefault="00490C75" w:rsidP="00490C75">
      <w:pPr>
        <w:pStyle w:val="ProductList-Body"/>
        <w:rPr>
          <w:rFonts w:ascii="Calibri" w:hAnsi="Calibri" w:cs="Calibri"/>
        </w:rPr>
      </w:pPr>
      <w:r>
        <w:rPr>
          <w:rFonts w:ascii="Calibri" w:hAnsi="Calibri" w:cs="Calibri"/>
        </w:rPr>
        <w:t>„</w:t>
      </w:r>
      <w:r>
        <w:rPr>
          <w:rFonts w:ascii="Calibri" w:hAnsi="Calibri" w:cs="Calibri"/>
          <w:b/>
          <w:color w:val="00188F"/>
        </w:rPr>
        <w:t>Archive-Access-Level</w:t>
      </w:r>
      <w:r>
        <w:rPr>
          <w:rFonts w:ascii="Calibri" w:hAnsi="Calibri" w:cs="Calibri"/>
        </w:rPr>
        <w:t>“</w:t>
      </w:r>
      <w:r>
        <w:rPr>
          <w:rFonts w:ascii="Calibri" w:hAnsi="Calibri" w:cs="Calibri"/>
          <w:b/>
          <w:color w:val="00188F"/>
        </w:rPr>
        <w:t xml:space="preserve"> </w:t>
      </w:r>
      <w:r>
        <w:rPr>
          <w:rFonts w:ascii="Calibri" w:hAnsi="Calibri" w:cs="Calibri"/>
        </w:rPr>
        <w:t xml:space="preserve">ist eine Stufe, die für die Speicherung von Daten optimiert ist, auf die selten zugegriffen wird, und die flexible Latenzanforderungen im Hinblick auf die Stundenanzahl hat. </w:t>
      </w:r>
    </w:p>
    <w:p w14:paraId="250C6603" w14:textId="77777777" w:rsidR="00490C75" w:rsidRPr="00851B3D" w:rsidRDefault="00490C75" w:rsidP="00490C75">
      <w:pPr>
        <w:pStyle w:val="ProductList-Body"/>
        <w:rPr>
          <w:rFonts w:ascii="Calibri" w:hAnsi="Calibri" w:cs="Calibri"/>
        </w:rPr>
      </w:pPr>
      <w:r w:rsidRPr="00F821CE">
        <w:rPr>
          <w:rFonts w:ascii="Calibri" w:hAnsi="Calibri" w:cs="Calibri"/>
        </w:rPr>
        <w:lastRenderedPageBreak/>
        <w:t>Die</w:t>
      </w:r>
      <w:r>
        <w:t xml:space="preserve"> </w:t>
      </w:r>
      <w:r>
        <w:rPr>
          <w:rFonts w:ascii="Calibri" w:hAnsi="Calibri" w:cs="Calibri"/>
        </w:rPr>
        <w:t>„</w:t>
      </w:r>
      <w:r>
        <w:rPr>
          <w:rFonts w:ascii="Calibri" w:hAnsi="Calibri" w:cs="Calibri"/>
          <w:b/>
          <w:color w:val="00188F"/>
        </w:rPr>
        <w:t>Durchschnittliche Fehlerrate</w:t>
      </w:r>
      <w:r>
        <w:rPr>
          <w:rFonts w:ascii="Calibri" w:hAnsi="Calibri" w:cs="Calibri"/>
        </w:rPr>
        <w:t>“</w:t>
      </w:r>
      <w:r>
        <w:rPr>
          <w:rFonts w:ascii="Calibri" w:hAnsi="Calibri" w:cs="Calibri"/>
          <w:b/>
          <w:color w:val="00188F"/>
        </w:rPr>
        <w:t xml:space="preserve"> </w:t>
      </w:r>
      <w:r>
        <w:rPr>
          <w:rFonts w:ascii="Calibri" w:hAnsi="Calibri" w:cs="Calibri"/>
        </w:rPr>
        <w:t>für</w:t>
      </w:r>
      <w:r>
        <w:rPr>
          <w:rFonts w:ascii="Calibri" w:hAnsi="Calibri" w:cs="Calibri"/>
          <w:b/>
          <w:color w:val="00188F"/>
        </w:rPr>
        <w:t xml:space="preserve"> </w:t>
      </w:r>
      <w:r>
        <w:rPr>
          <w:rFonts w:ascii="Calibri" w:hAnsi="Calibri" w:cs="Calibri"/>
        </w:rPr>
        <w:t xml:space="preserve">einen Anwendbaren Zeitraum ist die Summe der Fehlerraten für jede Stunde im Anwendbaren Zeitraum geteilt durch die Gesamtzahl der Stunden im Anwendbaren Zeitraum. </w:t>
      </w:r>
    </w:p>
    <w:p w14:paraId="67B240DA" w14:textId="77777777" w:rsidR="00490C75" w:rsidRPr="00851B3D" w:rsidRDefault="00490C75" w:rsidP="00490C75">
      <w:pPr>
        <w:pStyle w:val="ProductList-Body"/>
        <w:rPr>
          <w:rFonts w:ascii="Calibri" w:hAnsi="Calibri" w:cs="Calibri"/>
        </w:rPr>
      </w:pPr>
      <w:r>
        <w:rPr>
          <w:rFonts w:ascii="Calibri" w:hAnsi="Calibri" w:cs="Calibri"/>
          <w:bCs/>
        </w:rPr>
        <w:t>„</w:t>
      </w:r>
      <w:r>
        <w:rPr>
          <w:rFonts w:ascii="Calibri" w:hAnsi="Calibri" w:cs="Calibri"/>
          <w:b/>
          <w:bCs/>
          <w:color w:val="00188F"/>
        </w:rPr>
        <w:t>Blob-Speicherkonto</w:t>
      </w:r>
      <w:r>
        <w:rPr>
          <w:rFonts w:ascii="Calibri" w:hAnsi="Calibri" w:cs="Calibri"/>
          <w:bCs/>
        </w:rPr>
        <w:t>“</w:t>
      </w:r>
      <w:r>
        <w:rPr>
          <w:rFonts w:ascii="Calibri" w:hAnsi="Calibri" w:cs="Calibri"/>
        </w:rPr>
        <w:t xml:space="preserve"> ist ein Speicherkonto, das auf die Speicherung von Daten in Form von Blobs spezialisiert ist und die Möglichkeit bietet, eine Zugriffsstufe zu bestimmen, die angibt, wie häufig auf die Daten in diesem Konto zugegriffen wird.</w:t>
      </w:r>
    </w:p>
    <w:p w14:paraId="3C6EDB24" w14:textId="77777777" w:rsidR="00490C75" w:rsidRPr="00851B3D" w:rsidRDefault="00490C75" w:rsidP="00490C75">
      <w:pPr>
        <w:pStyle w:val="ProductList-Body"/>
        <w:rPr>
          <w:rFonts w:ascii="Calibri" w:hAnsi="Calibri" w:cs="Calibri"/>
        </w:rPr>
      </w:pPr>
      <w:r>
        <w:rPr>
          <w:rFonts w:ascii="Calibri" w:hAnsi="Calibri" w:cs="Calibri"/>
          <w:bCs/>
        </w:rPr>
        <w:t>„</w:t>
      </w:r>
      <w:r>
        <w:rPr>
          <w:rFonts w:ascii="Calibri" w:hAnsi="Calibri" w:cs="Calibri"/>
          <w:b/>
          <w:bCs/>
          <w:color w:val="00188F"/>
        </w:rPr>
        <w:t>Block Blob-Speicherkonto</w:t>
      </w:r>
      <w:r>
        <w:rPr>
          <w:rFonts w:ascii="Calibri" w:hAnsi="Calibri" w:cs="Calibri"/>
          <w:bCs/>
        </w:rPr>
        <w:t>“</w:t>
      </w:r>
      <w:r>
        <w:rPr>
          <w:rFonts w:ascii="Calibri" w:hAnsi="Calibri" w:cs="Calibri"/>
        </w:rPr>
        <w:t xml:space="preserve"> ist ein Speicherkonto, das darauf spezialisiert ist, Daten als Block- oder Anfügeblobs auf Festkörperlaufwerken zu speichern.</w:t>
      </w:r>
    </w:p>
    <w:p w14:paraId="03D9B5CB" w14:textId="77777777" w:rsidR="00490C75" w:rsidRPr="00851B3D" w:rsidRDefault="00490C75" w:rsidP="00490C75">
      <w:pPr>
        <w:pStyle w:val="ProductList-Body"/>
        <w:rPr>
          <w:rFonts w:ascii="Calibri" w:hAnsi="Calibri" w:cs="Calibri"/>
        </w:rPr>
      </w:pPr>
      <w:r>
        <w:rPr>
          <w:rFonts w:ascii="Calibri" w:hAnsi="Calibri" w:cs="Calibri"/>
          <w:bCs/>
        </w:rPr>
        <w:t>„</w:t>
      </w:r>
      <w:r>
        <w:rPr>
          <w:rFonts w:ascii="Calibri" w:hAnsi="Calibri" w:cs="Calibri"/>
          <w:b/>
          <w:bCs/>
          <w:color w:val="00188F"/>
        </w:rPr>
        <w:t>Cold-Access-Level</w:t>
      </w:r>
      <w:r>
        <w:rPr>
          <w:rFonts w:ascii="Calibri" w:hAnsi="Calibri" w:cs="Calibri"/>
          <w:bCs/>
        </w:rPr>
        <w:t>“</w:t>
      </w:r>
      <w:r>
        <w:rPr>
          <w:rFonts w:ascii="Calibri" w:hAnsi="Calibri" w:cs="Calibri"/>
        </w:rPr>
        <w:t xml:space="preserve"> ist ein Attribut eines Blobs oder eines Kontos, auf welches nur selten zugegriffen wird und das eine niedrigere Verfügbarkeitsdienstebene aufweist als Blobs im Hot-Access-Level.</w:t>
      </w:r>
    </w:p>
    <w:p w14:paraId="521FEBAF" w14:textId="77777777" w:rsidR="00490C75" w:rsidRPr="00851B3D" w:rsidRDefault="00490C75" w:rsidP="00490C75">
      <w:pPr>
        <w:pStyle w:val="ProductList-Body"/>
        <w:rPr>
          <w:rFonts w:ascii="Calibri" w:hAnsi="Calibri" w:cs="Calibri"/>
        </w:rPr>
      </w:pPr>
      <w:r>
        <w:rPr>
          <w:rFonts w:ascii="Calibri" w:hAnsi="Calibri" w:cs="Calibri"/>
          <w:bCs/>
        </w:rPr>
        <w:t>„</w:t>
      </w:r>
      <w:r>
        <w:rPr>
          <w:rFonts w:ascii="Calibri" w:hAnsi="Calibri" w:cs="Calibri"/>
          <w:b/>
          <w:bCs/>
          <w:color w:val="00188F"/>
        </w:rPr>
        <w:t>Cool-Access-Level</w:t>
      </w:r>
      <w:r>
        <w:rPr>
          <w:rFonts w:ascii="Calibri" w:hAnsi="Calibri" w:cs="Calibri"/>
          <w:bCs/>
        </w:rPr>
        <w:t>“</w:t>
      </w:r>
      <w:r>
        <w:rPr>
          <w:rFonts w:ascii="Calibri" w:hAnsi="Calibri" w:cs="Calibri"/>
        </w:rPr>
        <w:t xml:space="preserve"> ist ein Attribut eines Blobs, einer Dateifreigabe oder eines Kontos, das anzeigt, dass es nur selten aufgerufen wird und eine niedrigere Verfügbarkeitsdienstebene hat als Blobs im Hot-Access-Level.</w:t>
      </w:r>
    </w:p>
    <w:p w14:paraId="2DA18898" w14:textId="77777777" w:rsidR="00490C75" w:rsidRPr="00851B3D" w:rsidRDefault="00490C75" w:rsidP="00490C75">
      <w:pPr>
        <w:pStyle w:val="ProductList-Body"/>
        <w:rPr>
          <w:rFonts w:ascii="Calibri" w:hAnsi="Calibri" w:cs="Calibri"/>
        </w:rPr>
      </w:pPr>
      <w:r>
        <w:rPr>
          <w:rFonts w:ascii="Calibri" w:hAnsi="Calibri" w:cs="Calibri"/>
        </w:rPr>
        <w:t>„</w:t>
      </w:r>
      <w:r>
        <w:rPr>
          <w:rFonts w:ascii="Calibri" w:hAnsi="Calibri" w:cs="Calibri"/>
          <w:b/>
          <w:color w:val="00188F"/>
        </w:rPr>
        <w:t>Hot-Access-Level</w:t>
      </w:r>
      <w:r>
        <w:rPr>
          <w:rFonts w:ascii="Calibri" w:hAnsi="Calibri" w:cs="Calibri"/>
        </w:rPr>
        <w:t>“ ist ein Attribut eines Blobs, einer Dateifreigabe oder eines Kontos, das anzeigt, dass es häufig aufgerufen wird.</w:t>
      </w:r>
    </w:p>
    <w:p w14:paraId="2901F7E7" w14:textId="77777777" w:rsidR="00490C75" w:rsidRPr="00851B3D" w:rsidRDefault="00490C75" w:rsidP="00490C75">
      <w:pPr>
        <w:pStyle w:val="ProductList-Body"/>
        <w:rPr>
          <w:rFonts w:ascii="Calibri" w:hAnsi="Calibri" w:cs="Calibri"/>
        </w:rPr>
      </w:pPr>
      <w:r>
        <w:rPr>
          <w:rFonts w:ascii="Calibri" w:hAnsi="Calibri" w:cs="Calibri"/>
        </w:rPr>
        <w:t>„</w:t>
      </w:r>
      <w:r>
        <w:rPr>
          <w:rFonts w:ascii="Calibri" w:hAnsi="Calibri" w:cs="Calibri"/>
          <w:b/>
          <w:color w:val="00188F"/>
        </w:rPr>
        <w:t>Ausgeschlossene Transaktionen</w:t>
      </w:r>
      <w:r>
        <w:rPr>
          <w:rFonts w:ascii="Calibri" w:hAnsi="Calibri" w:cs="Calibri"/>
        </w:rPr>
        <w:t>“ sind Speichertransaktionen, die weder auf die Gesamtzahl der Speichertransaktionen noch auf Fehlerhafte Speichertransaktionen angerechnet werden. Zu den Ausgeschlossenen Transaktionen zählen Fehler vor der Authentifizierung, Authentifizierungsfehler, versuchte Transaktionen für Speicherkonten über deren festgelegte Kontingente hinaus, Erstellung oder Löschung von Containern, Dateifreigaben, Tabellen oder Warteschlangen, Löschen von Warteschlagen und Kopieren von Blobs oder Dateien zwischen Speicherkonten.</w:t>
      </w:r>
    </w:p>
    <w:p w14:paraId="4B9013BC" w14:textId="77777777" w:rsidR="00490C75" w:rsidRPr="00851B3D" w:rsidRDefault="00490C75" w:rsidP="00490C75">
      <w:pPr>
        <w:pStyle w:val="ProductList-Body"/>
        <w:rPr>
          <w:rFonts w:ascii="Calibri" w:hAnsi="Calibri" w:cs="Calibri"/>
        </w:rPr>
      </w:pPr>
      <w:r>
        <w:rPr>
          <w:rFonts w:ascii="Calibri" w:hAnsi="Calibri" w:cs="Calibri"/>
        </w:rPr>
        <w:t>„</w:t>
      </w:r>
      <w:r>
        <w:rPr>
          <w:rFonts w:ascii="Calibri" w:hAnsi="Calibri" w:cs="Calibri"/>
          <w:b/>
          <w:color w:val="00188F"/>
        </w:rPr>
        <w:t>Fehlerrate</w:t>
      </w:r>
      <w:r>
        <w:rPr>
          <w:rFonts w:ascii="Calibri" w:hAnsi="Calibri" w:cs="Calibri"/>
        </w:rPr>
        <w:t>“ ist die Gesamtzahl der fehlerhaften Speichertransaktionen geteilt durch die Gesamtzahl der Speichertransaktionen in einem festgelegten Zeitintervall (zurzeit eine Stunde). Wenn die Gesamtzahl der Speichertransaktionen in einem bestimmten Ein-Stunden-Intervall = 0 ist, liegt die Fehlerrate für dieses Intervall bei 0%.</w:t>
      </w:r>
    </w:p>
    <w:p w14:paraId="715203B0" w14:textId="77777777" w:rsidR="00490C75" w:rsidRDefault="00490C75" w:rsidP="00490C75">
      <w:pPr>
        <w:pStyle w:val="ProductList-Body"/>
        <w:rPr>
          <w:rFonts w:ascii="Calibri" w:hAnsi="Calibri" w:cs="Calibri"/>
        </w:rPr>
      </w:pPr>
      <w:r>
        <w:rPr>
          <w:rFonts w:ascii="Calibri" w:hAnsi="Calibri" w:cs="Calibri"/>
        </w:rPr>
        <w:t>„</w:t>
      </w:r>
      <w:r>
        <w:rPr>
          <w:rFonts w:ascii="Calibri" w:hAnsi="Calibri" w:cs="Calibri"/>
          <w:b/>
          <w:color w:val="00188F"/>
        </w:rPr>
        <w:t>Fehlerhafte Speichertransaktionen</w:t>
      </w:r>
      <w:r>
        <w:rPr>
          <w:rFonts w:ascii="Calibri" w:hAnsi="Calibri" w:cs="Calibri"/>
        </w:rPr>
        <w:t>“ ist die Menge aller Speichertransaktionen innerhalb der Gesamtheit der Speichertransaktionen, die nicht innerhalb der Maximalen Verarbeitungszeit abgeschlossen werden, die ihrem jeweiligen Transaktionstyp zugeordnet ist, wie in der nachstehenden Tabelle angegeben. Die Maximale Verarbeitungszeit umfasst nur die Zeit, die zum Verarbeiten einer Transaktionsanforderung innerhalb des Speicherdienstes verbraucht wird, und nicht jede sonstige Zeit, die zum Übertragen der Anforderung an den oder vom Speicherdienst benötigt wird.</w:t>
      </w:r>
    </w:p>
    <w:p w14:paraId="12D9D380" w14:textId="77777777" w:rsidR="00C6691B" w:rsidRPr="00851B3D" w:rsidRDefault="00C6691B" w:rsidP="00490C75">
      <w:pPr>
        <w:pStyle w:val="ProductList-Body"/>
        <w:rPr>
          <w:rFonts w:ascii="Calibri" w:hAnsi="Calibri" w:cs="Calibri"/>
        </w:rPr>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90C75" w:rsidRPr="00B44CF9" w14:paraId="51E6811A" w14:textId="77777777" w:rsidTr="00C20A28">
        <w:trPr>
          <w:trHeight w:val="245"/>
          <w:tblHeader/>
        </w:trPr>
        <w:tc>
          <w:tcPr>
            <w:tcW w:w="5400" w:type="dxa"/>
            <w:shd w:val="clear" w:color="auto" w:fill="0072C6"/>
          </w:tcPr>
          <w:p w14:paraId="10221586" w14:textId="77777777" w:rsidR="00490C75" w:rsidRPr="00B01FAB" w:rsidRDefault="00490C75" w:rsidP="00C20A28">
            <w:pPr>
              <w:pStyle w:val="ProductList-OfferingBody"/>
              <w:rPr>
                <w:rFonts w:ascii="Calibri" w:hAnsi="Calibri" w:cs="Calibri"/>
                <w:color w:val="FFFFFF" w:themeColor="background1"/>
                <w:szCs w:val="16"/>
              </w:rPr>
            </w:pPr>
            <w:r>
              <w:rPr>
                <w:rFonts w:ascii="Calibri" w:hAnsi="Calibri" w:cs="Calibri"/>
                <w:color w:val="FFFFFF" w:themeColor="background1"/>
                <w:szCs w:val="16"/>
              </w:rPr>
              <w:t>Transaktionstypen</w:t>
            </w:r>
          </w:p>
        </w:tc>
        <w:tc>
          <w:tcPr>
            <w:tcW w:w="5400" w:type="dxa"/>
            <w:shd w:val="clear" w:color="auto" w:fill="0072C6"/>
          </w:tcPr>
          <w:p w14:paraId="06A06244" w14:textId="77777777" w:rsidR="00490C75" w:rsidRPr="00B01FAB" w:rsidRDefault="00490C75" w:rsidP="00C20A28">
            <w:pPr>
              <w:pStyle w:val="ProductList-OfferingBody"/>
              <w:rPr>
                <w:rFonts w:ascii="Calibri" w:hAnsi="Calibri" w:cs="Calibri"/>
                <w:color w:val="FFFFFF" w:themeColor="background1"/>
                <w:szCs w:val="16"/>
              </w:rPr>
            </w:pPr>
            <w:r>
              <w:rPr>
                <w:rFonts w:ascii="Calibri" w:hAnsi="Calibri" w:cs="Calibri"/>
                <w:color w:val="FFFFFF" w:themeColor="background1"/>
                <w:szCs w:val="16"/>
              </w:rPr>
              <w:t>Maximale Verarbeitungszeit</w:t>
            </w:r>
          </w:p>
        </w:tc>
      </w:tr>
      <w:tr w:rsidR="00490C75" w:rsidRPr="00B44CF9" w14:paraId="6986A3A4" w14:textId="77777777" w:rsidTr="00C20A28">
        <w:trPr>
          <w:trHeight w:val="446"/>
        </w:trPr>
        <w:tc>
          <w:tcPr>
            <w:tcW w:w="5400" w:type="dxa"/>
          </w:tcPr>
          <w:p w14:paraId="12F39758" w14:textId="77777777" w:rsidR="00490C75" w:rsidRPr="00B01FAB" w:rsidRDefault="00490C75" w:rsidP="00C20A28">
            <w:pPr>
              <w:pStyle w:val="ProductList-OfferingBody"/>
              <w:rPr>
                <w:rFonts w:ascii="Calibri" w:hAnsi="Calibri" w:cs="Calibri"/>
                <w:szCs w:val="16"/>
              </w:rPr>
            </w:pPr>
            <w:r>
              <w:rPr>
                <w:rFonts w:ascii="Calibri" w:hAnsi="Calibri" w:cs="Calibri"/>
                <w:szCs w:val="16"/>
              </w:rPr>
              <w:t>PutBlob und GetBlob (umfasst Blocks und Seiten)</w:t>
            </w:r>
          </w:p>
          <w:p w14:paraId="2601B6BB" w14:textId="77777777" w:rsidR="00490C75" w:rsidRPr="00B01FAB" w:rsidRDefault="00490C75" w:rsidP="00C20A28">
            <w:pPr>
              <w:pStyle w:val="ProductList-OfferingBody"/>
              <w:rPr>
                <w:rFonts w:ascii="Calibri" w:hAnsi="Calibri" w:cs="Calibri"/>
                <w:szCs w:val="16"/>
              </w:rPr>
            </w:pPr>
            <w:r>
              <w:rPr>
                <w:rFonts w:ascii="Calibri" w:hAnsi="Calibri" w:cs="Calibri"/>
                <w:szCs w:val="16"/>
              </w:rPr>
              <w:t>Gültige Seiten-Blob-Bereiche abrufen</w:t>
            </w:r>
          </w:p>
        </w:tc>
        <w:tc>
          <w:tcPr>
            <w:tcW w:w="5400" w:type="dxa"/>
          </w:tcPr>
          <w:p w14:paraId="2ACBDA68" w14:textId="77777777" w:rsidR="00490C75" w:rsidRPr="00B01FAB" w:rsidRDefault="00490C75" w:rsidP="00C20A28">
            <w:pPr>
              <w:pStyle w:val="ProductList-OfferingBody"/>
              <w:rPr>
                <w:rFonts w:ascii="Calibri" w:hAnsi="Calibri" w:cs="Calibri"/>
                <w:szCs w:val="16"/>
              </w:rPr>
            </w:pPr>
            <w:r>
              <w:rPr>
                <w:rFonts w:ascii="Calibri" w:eastAsia="Times New Roman" w:hAnsi="Calibri" w:cs="Calibri"/>
                <w:szCs w:val="16"/>
              </w:rPr>
              <w:t>Zwei (2) Sekunden multipliziert mit der Anzahl der während der Verarbeitung der Anforderung übertragenen MBs.</w:t>
            </w:r>
          </w:p>
        </w:tc>
      </w:tr>
      <w:tr w:rsidR="00490C75" w:rsidRPr="00B44CF9" w14:paraId="172C112F" w14:textId="77777777" w:rsidTr="00C20A28">
        <w:trPr>
          <w:trHeight w:val="446"/>
        </w:trPr>
        <w:tc>
          <w:tcPr>
            <w:tcW w:w="5400" w:type="dxa"/>
          </w:tcPr>
          <w:p w14:paraId="6D40BEF0" w14:textId="77777777" w:rsidR="00490C75" w:rsidRPr="00B01FAB" w:rsidRDefault="00490C75" w:rsidP="00C20A28">
            <w:pPr>
              <w:pStyle w:val="ProductList-OfferingBody"/>
              <w:rPr>
                <w:rFonts w:ascii="Calibri" w:hAnsi="Calibri" w:cs="Calibri"/>
                <w:szCs w:val="16"/>
              </w:rPr>
            </w:pPr>
            <w:r>
              <w:rPr>
                <w:rFonts w:ascii="Calibri" w:hAnsi="Calibri" w:cs="Calibri"/>
                <w:szCs w:val="16"/>
              </w:rPr>
              <w:t xml:space="preserve">PutFile und GetFile </w:t>
            </w:r>
          </w:p>
        </w:tc>
        <w:tc>
          <w:tcPr>
            <w:tcW w:w="5400" w:type="dxa"/>
          </w:tcPr>
          <w:p w14:paraId="67EA00C2" w14:textId="77777777" w:rsidR="00490C75" w:rsidRPr="00B01FAB" w:rsidRDefault="00490C75" w:rsidP="00C20A28">
            <w:pPr>
              <w:pStyle w:val="ProductList-OfferingBody"/>
              <w:rPr>
                <w:rFonts w:ascii="Calibri" w:eastAsia="Times New Roman" w:hAnsi="Calibri" w:cs="Calibri"/>
                <w:szCs w:val="16"/>
              </w:rPr>
            </w:pPr>
            <w:r>
              <w:rPr>
                <w:rFonts w:ascii="Calibri" w:hAnsi="Calibri" w:cs="Calibri"/>
                <w:szCs w:val="16"/>
              </w:rPr>
              <w:t>Zwei (2) Sekunden multipliziert mit der Anzahl von während der Bearbeitung der Anforderung übertragenen MBs.</w:t>
            </w:r>
          </w:p>
        </w:tc>
      </w:tr>
      <w:tr w:rsidR="00490C75" w:rsidRPr="00B44CF9" w14:paraId="041544F2" w14:textId="77777777" w:rsidTr="00C20A28">
        <w:trPr>
          <w:trHeight w:val="446"/>
        </w:trPr>
        <w:tc>
          <w:tcPr>
            <w:tcW w:w="5400" w:type="dxa"/>
          </w:tcPr>
          <w:p w14:paraId="109BF179" w14:textId="77777777" w:rsidR="00490C75" w:rsidRPr="00B01FAB" w:rsidRDefault="00490C75" w:rsidP="00C20A28">
            <w:pPr>
              <w:pStyle w:val="ProductList-OfferingBody"/>
              <w:rPr>
                <w:rFonts w:ascii="Calibri" w:hAnsi="Calibri" w:cs="Calibri"/>
                <w:szCs w:val="16"/>
              </w:rPr>
            </w:pPr>
            <w:r>
              <w:rPr>
                <w:rFonts w:ascii="Calibri" w:hAnsi="Calibri" w:cs="Calibri"/>
                <w:szCs w:val="16"/>
              </w:rPr>
              <w:t>BLOB kopieren</w:t>
            </w:r>
          </w:p>
        </w:tc>
        <w:tc>
          <w:tcPr>
            <w:tcW w:w="5400" w:type="dxa"/>
          </w:tcPr>
          <w:p w14:paraId="498B67AD" w14:textId="77777777" w:rsidR="00490C75" w:rsidRPr="00B01FAB" w:rsidRDefault="00490C75" w:rsidP="00C20A28">
            <w:pPr>
              <w:pStyle w:val="ProductList-OfferingBody"/>
              <w:rPr>
                <w:rFonts w:ascii="Calibri" w:hAnsi="Calibri" w:cs="Calibri"/>
                <w:szCs w:val="16"/>
              </w:rPr>
            </w:pPr>
            <w:r>
              <w:rPr>
                <w:rFonts w:ascii="Calibri" w:eastAsia="Times New Roman" w:hAnsi="Calibri" w:cs="Calibri"/>
                <w:szCs w:val="16"/>
              </w:rPr>
              <w:t>Neunzig (90) Sekunden (wobei sich Quell- und Zielblobs auf demselben Speicherkonto befinden)</w:t>
            </w:r>
          </w:p>
        </w:tc>
      </w:tr>
      <w:tr w:rsidR="00490C75" w:rsidRPr="00B44CF9" w14:paraId="7D153825" w14:textId="77777777" w:rsidTr="00C20A28">
        <w:trPr>
          <w:trHeight w:val="446"/>
        </w:trPr>
        <w:tc>
          <w:tcPr>
            <w:tcW w:w="5400" w:type="dxa"/>
          </w:tcPr>
          <w:p w14:paraId="3F02BD5F" w14:textId="77777777" w:rsidR="00490C75" w:rsidRPr="00B01FAB" w:rsidRDefault="00490C75" w:rsidP="00C20A28">
            <w:pPr>
              <w:pStyle w:val="ProductList-OfferingBody"/>
              <w:rPr>
                <w:rFonts w:ascii="Calibri" w:hAnsi="Calibri" w:cs="Calibri"/>
                <w:szCs w:val="16"/>
              </w:rPr>
            </w:pPr>
            <w:r>
              <w:rPr>
                <w:rFonts w:ascii="Calibri" w:hAnsi="Calibri" w:cs="Calibri"/>
                <w:szCs w:val="16"/>
              </w:rPr>
              <w:t>Datei kopieren</w:t>
            </w:r>
          </w:p>
        </w:tc>
        <w:tc>
          <w:tcPr>
            <w:tcW w:w="5400" w:type="dxa"/>
          </w:tcPr>
          <w:p w14:paraId="6727CDF6" w14:textId="77777777" w:rsidR="00490C75" w:rsidRPr="00B01FAB" w:rsidRDefault="00490C75" w:rsidP="00C20A28">
            <w:pPr>
              <w:pStyle w:val="ProductList-OfferingBody"/>
              <w:rPr>
                <w:rFonts w:ascii="Calibri" w:eastAsia="Times New Roman" w:hAnsi="Calibri" w:cs="Calibri"/>
                <w:szCs w:val="16"/>
              </w:rPr>
            </w:pPr>
            <w:r>
              <w:rPr>
                <w:rFonts w:ascii="Calibri" w:hAnsi="Calibri" w:cs="Calibri"/>
                <w:szCs w:val="16"/>
              </w:rPr>
              <w:t>Neunzig (90) Sekunden (wobei sich die Quell- und Zieldateien auf demselben Speicherkonto befinden)</w:t>
            </w:r>
          </w:p>
        </w:tc>
      </w:tr>
      <w:tr w:rsidR="00490C75" w:rsidRPr="00B44CF9" w14:paraId="1CBF2A15" w14:textId="77777777" w:rsidTr="00C20A28">
        <w:trPr>
          <w:trHeight w:val="446"/>
        </w:trPr>
        <w:tc>
          <w:tcPr>
            <w:tcW w:w="5400" w:type="dxa"/>
          </w:tcPr>
          <w:p w14:paraId="3217E538" w14:textId="77777777" w:rsidR="00490C75" w:rsidRPr="00B01FAB" w:rsidRDefault="00490C75" w:rsidP="00C20A28">
            <w:pPr>
              <w:pStyle w:val="ProductList-OfferingBody"/>
              <w:rPr>
                <w:rFonts w:ascii="Calibri" w:eastAsia="Calibri" w:hAnsi="Calibri" w:cs="Calibri"/>
                <w:szCs w:val="16"/>
              </w:rPr>
            </w:pPr>
            <w:r>
              <w:rPr>
                <w:rFonts w:ascii="Calibri" w:hAnsi="Calibri" w:cs="Calibri"/>
                <w:szCs w:val="16"/>
              </w:rPr>
              <w:t xml:space="preserve">PutBlockList </w:t>
            </w:r>
          </w:p>
          <w:p w14:paraId="59C15FE5" w14:textId="77777777" w:rsidR="00490C75" w:rsidRPr="00B01FAB" w:rsidRDefault="00490C75" w:rsidP="00C20A28">
            <w:pPr>
              <w:pStyle w:val="ProductList-OfferingBody"/>
              <w:rPr>
                <w:rFonts w:ascii="Calibri" w:hAnsi="Calibri" w:cs="Calibri"/>
                <w:szCs w:val="16"/>
              </w:rPr>
            </w:pPr>
            <w:r>
              <w:rPr>
                <w:rFonts w:ascii="Calibri" w:hAnsi="Calibri" w:cs="Calibri"/>
                <w:szCs w:val="16"/>
              </w:rPr>
              <w:t>GetBlockList</w:t>
            </w:r>
          </w:p>
        </w:tc>
        <w:tc>
          <w:tcPr>
            <w:tcW w:w="5400" w:type="dxa"/>
          </w:tcPr>
          <w:p w14:paraId="6A88CA20" w14:textId="77777777" w:rsidR="00490C75" w:rsidRPr="00B01FAB" w:rsidRDefault="00490C75" w:rsidP="00C20A28">
            <w:pPr>
              <w:pStyle w:val="ProductList-OfferingBody"/>
              <w:rPr>
                <w:rFonts w:ascii="Calibri" w:hAnsi="Calibri" w:cs="Calibri"/>
                <w:szCs w:val="16"/>
              </w:rPr>
            </w:pPr>
            <w:r>
              <w:rPr>
                <w:rFonts w:ascii="Calibri" w:eastAsia="Times New Roman" w:hAnsi="Calibri" w:cs="Calibri"/>
                <w:szCs w:val="16"/>
              </w:rPr>
              <w:t>Sechzig (60) Sekunden</w:t>
            </w:r>
          </w:p>
        </w:tc>
      </w:tr>
      <w:tr w:rsidR="00490C75" w:rsidRPr="00B44CF9" w14:paraId="24666AD7" w14:textId="77777777" w:rsidTr="00C20A28">
        <w:trPr>
          <w:trHeight w:val="446"/>
        </w:trPr>
        <w:tc>
          <w:tcPr>
            <w:tcW w:w="5400" w:type="dxa"/>
          </w:tcPr>
          <w:p w14:paraId="6CBE3627" w14:textId="77777777" w:rsidR="00490C75" w:rsidRPr="00B01FAB" w:rsidRDefault="00490C75" w:rsidP="00C20A28">
            <w:pPr>
              <w:pStyle w:val="ProductList-OfferingBody"/>
              <w:rPr>
                <w:rFonts w:ascii="Calibri" w:hAnsi="Calibri" w:cs="Calibri"/>
                <w:szCs w:val="16"/>
              </w:rPr>
            </w:pPr>
            <w:r>
              <w:rPr>
                <w:rFonts w:ascii="Calibri" w:hAnsi="Calibri" w:cs="Calibri"/>
                <w:szCs w:val="16"/>
              </w:rPr>
              <w:t>Tabellenabfrage</w:t>
            </w:r>
          </w:p>
          <w:p w14:paraId="58305DCB" w14:textId="77777777" w:rsidR="00490C75" w:rsidRPr="00B01FAB" w:rsidRDefault="00490C75" w:rsidP="00C20A28">
            <w:pPr>
              <w:pStyle w:val="ProductList-OfferingBody"/>
              <w:rPr>
                <w:rFonts w:ascii="Calibri" w:hAnsi="Calibri" w:cs="Calibri"/>
                <w:szCs w:val="16"/>
              </w:rPr>
            </w:pPr>
            <w:r>
              <w:rPr>
                <w:rFonts w:ascii="Calibri" w:hAnsi="Calibri" w:cs="Calibri"/>
                <w:szCs w:val="16"/>
              </w:rPr>
              <w:t>Vorgänge auflisten</w:t>
            </w:r>
          </w:p>
          <w:p w14:paraId="528B16AD" w14:textId="77777777" w:rsidR="00490C75" w:rsidRPr="00B01FAB" w:rsidRDefault="00490C75" w:rsidP="00C20A28">
            <w:pPr>
              <w:pStyle w:val="ProductList-Body"/>
              <w:rPr>
                <w:rFonts w:ascii="Calibri" w:hAnsi="Calibri" w:cs="Calibri"/>
                <w:sz w:val="16"/>
                <w:szCs w:val="16"/>
              </w:rPr>
            </w:pPr>
            <w:r>
              <w:rPr>
                <w:rFonts w:ascii="Calibri" w:hAnsi="Calibri" w:cs="Calibri"/>
                <w:sz w:val="16"/>
                <w:szCs w:val="16"/>
              </w:rPr>
              <w:t>Vorgänge finden</w:t>
            </w:r>
          </w:p>
        </w:tc>
        <w:tc>
          <w:tcPr>
            <w:tcW w:w="5400" w:type="dxa"/>
          </w:tcPr>
          <w:p w14:paraId="3CF1D433" w14:textId="77777777" w:rsidR="00490C75" w:rsidRPr="00B01FAB" w:rsidRDefault="00490C75" w:rsidP="00C20A28">
            <w:pPr>
              <w:pStyle w:val="ProductList-OfferingBody"/>
              <w:rPr>
                <w:rFonts w:ascii="Calibri" w:hAnsi="Calibri" w:cs="Calibri"/>
                <w:szCs w:val="16"/>
              </w:rPr>
            </w:pPr>
            <w:r>
              <w:rPr>
                <w:rFonts w:ascii="Calibri" w:eastAsia="Times New Roman" w:hAnsi="Calibri" w:cs="Calibri"/>
                <w:szCs w:val="16"/>
              </w:rPr>
              <w:t>Zehn (10) Sekunden (zum Abschluss der Verarbeitung oder Rückgabe einer Fortsetzung)</w:t>
            </w:r>
          </w:p>
        </w:tc>
      </w:tr>
      <w:tr w:rsidR="00490C75" w:rsidRPr="00B44CF9" w14:paraId="71E6D7C4" w14:textId="77777777" w:rsidTr="00C20A28">
        <w:trPr>
          <w:trHeight w:val="446"/>
        </w:trPr>
        <w:tc>
          <w:tcPr>
            <w:tcW w:w="5400" w:type="dxa"/>
          </w:tcPr>
          <w:p w14:paraId="081D8A6F" w14:textId="77777777" w:rsidR="00490C75" w:rsidRPr="00B01FAB" w:rsidRDefault="00490C75" w:rsidP="00C20A28">
            <w:pPr>
              <w:pStyle w:val="ProductList-OfferingBody"/>
              <w:rPr>
                <w:rFonts w:ascii="Calibri" w:hAnsi="Calibri" w:cs="Calibri"/>
                <w:szCs w:val="16"/>
              </w:rPr>
            </w:pPr>
            <w:r>
              <w:rPr>
                <w:rFonts w:ascii="Calibri" w:hAnsi="Calibri" w:cs="Calibri"/>
                <w:szCs w:val="16"/>
              </w:rPr>
              <w:t>Batchtabellenvorgänge</w:t>
            </w:r>
          </w:p>
        </w:tc>
        <w:tc>
          <w:tcPr>
            <w:tcW w:w="5400" w:type="dxa"/>
          </w:tcPr>
          <w:p w14:paraId="70546D02" w14:textId="77777777" w:rsidR="00490C75" w:rsidRPr="00B01FAB" w:rsidRDefault="00490C75" w:rsidP="00C20A28">
            <w:pPr>
              <w:pStyle w:val="ProductList-OfferingBody"/>
              <w:rPr>
                <w:rFonts w:ascii="Calibri" w:hAnsi="Calibri" w:cs="Calibri"/>
                <w:szCs w:val="16"/>
              </w:rPr>
            </w:pPr>
            <w:r>
              <w:rPr>
                <w:rFonts w:ascii="Calibri" w:eastAsia="Times New Roman" w:hAnsi="Calibri" w:cs="Calibri"/>
                <w:szCs w:val="16"/>
              </w:rPr>
              <w:t>Dreißig (30) Sekunden</w:t>
            </w:r>
          </w:p>
        </w:tc>
      </w:tr>
      <w:tr w:rsidR="00490C75" w:rsidRPr="00B44CF9" w14:paraId="1938D190" w14:textId="77777777" w:rsidTr="00C20A28">
        <w:trPr>
          <w:trHeight w:val="446"/>
        </w:trPr>
        <w:tc>
          <w:tcPr>
            <w:tcW w:w="5400" w:type="dxa"/>
          </w:tcPr>
          <w:p w14:paraId="3FF065BA" w14:textId="77777777" w:rsidR="00490C75" w:rsidRPr="00B01FAB" w:rsidRDefault="00490C75" w:rsidP="00C20A28">
            <w:pPr>
              <w:pStyle w:val="ProductList-OfferingBody"/>
              <w:rPr>
                <w:rFonts w:ascii="Calibri" w:hAnsi="Calibri" w:cs="Calibri"/>
                <w:szCs w:val="16"/>
              </w:rPr>
            </w:pPr>
            <w:r>
              <w:rPr>
                <w:rFonts w:ascii="Calibri" w:hAnsi="Calibri" w:cs="Calibri"/>
                <w:szCs w:val="16"/>
              </w:rPr>
              <w:t xml:space="preserve">Alle Tabellenvorgänge einer einzelnen Entität </w:t>
            </w:r>
          </w:p>
          <w:p w14:paraId="047B5D3A" w14:textId="77777777" w:rsidR="00490C75" w:rsidRPr="00B01FAB" w:rsidRDefault="00490C75" w:rsidP="00C20A28">
            <w:pPr>
              <w:pStyle w:val="ProductList-OfferingBody"/>
              <w:rPr>
                <w:rFonts w:ascii="Calibri" w:hAnsi="Calibri" w:cs="Calibri"/>
                <w:szCs w:val="16"/>
              </w:rPr>
            </w:pPr>
            <w:r>
              <w:rPr>
                <w:rFonts w:ascii="Calibri" w:hAnsi="Calibri" w:cs="Calibri"/>
                <w:szCs w:val="16"/>
              </w:rPr>
              <w:t>Alle anderen Blobs, Dateien und Nachrichtenvorgänge</w:t>
            </w:r>
          </w:p>
        </w:tc>
        <w:tc>
          <w:tcPr>
            <w:tcW w:w="5400" w:type="dxa"/>
          </w:tcPr>
          <w:p w14:paraId="0BB42695" w14:textId="77777777" w:rsidR="00490C75" w:rsidRPr="00B01FAB" w:rsidRDefault="00490C75" w:rsidP="00C20A28">
            <w:pPr>
              <w:pStyle w:val="ProductList-OfferingBody"/>
              <w:rPr>
                <w:rFonts w:ascii="Calibri" w:hAnsi="Calibri" w:cs="Calibri"/>
                <w:szCs w:val="16"/>
              </w:rPr>
            </w:pPr>
            <w:r>
              <w:rPr>
                <w:rFonts w:ascii="Calibri" w:eastAsia="Times New Roman" w:hAnsi="Calibri" w:cs="Calibri"/>
                <w:szCs w:val="16"/>
              </w:rPr>
              <w:t>Zwei (2) Sekunden</w:t>
            </w:r>
          </w:p>
        </w:tc>
      </w:tr>
    </w:tbl>
    <w:p w14:paraId="33CC33F7" w14:textId="77777777" w:rsidR="00490C75" w:rsidRPr="00C7204B" w:rsidRDefault="00490C75" w:rsidP="00490C75">
      <w:pPr>
        <w:pStyle w:val="ProductList-Body"/>
        <w:spacing w:before="120"/>
        <w:rPr>
          <w:rFonts w:ascii="Calibri" w:hAnsi="Calibri" w:cs="Calibri"/>
        </w:rPr>
      </w:pPr>
      <w:r>
        <w:rPr>
          <w:rFonts w:ascii="Calibri" w:hAnsi="Calibri" w:cs="Calibri"/>
        </w:rPr>
        <w:t>Diese Zahlen stellen maximale Verarbeitungszeiten dar. Es wird von erheblich kürzeren, tatsächlichen und durchschnittlichen Zeiten ausgegangen.</w:t>
      </w:r>
    </w:p>
    <w:p w14:paraId="3BF25C7A" w14:textId="77777777" w:rsidR="00490C75" w:rsidRPr="00C7204B" w:rsidRDefault="00490C75" w:rsidP="00490C75">
      <w:pPr>
        <w:pStyle w:val="ProductList-Body"/>
        <w:rPr>
          <w:rFonts w:ascii="Calibri" w:hAnsi="Calibri" w:cs="Calibri"/>
          <w:szCs w:val="18"/>
        </w:rPr>
      </w:pPr>
    </w:p>
    <w:p w14:paraId="5BD294AD" w14:textId="77777777" w:rsidR="00490C75" w:rsidRPr="00C7204B" w:rsidRDefault="00490C75" w:rsidP="00490C75">
      <w:pPr>
        <w:pStyle w:val="ProductList-Body"/>
        <w:rPr>
          <w:rFonts w:ascii="Calibri" w:hAnsi="Calibri" w:cs="Calibri"/>
        </w:rPr>
      </w:pPr>
      <w:r>
        <w:rPr>
          <w:rFonts w:ascii="Calibri" w:hAnsi="Calibri" w:cs="Calibri"/>
        </w:rPr>
        <w:t>Zu Fehlerhaften Speichertransaktionen zählen nicht:</w:t>
      </w:r>
    </w:p>
    <w:p w14:paraId="389EA151" w14:textId="77777777" w:rsidR="00490C75" w:rsidRPr="00C7204B" w:rsidRDefault="00490C75" w:rsidP="00490C75">
      <w:pPr>
        <w:pStyle w:val="ProductList-Body"/>
        <w:numPr>
          <w:ilvl w:val="0"/>
          <w:numId w:val="4"/>
        </w:numPr>
        <w:rPr>
          <w:rFonts w:ascii="Calibri" w:hAnsi="Calibri" w:cs="Calibri"/>
        </w:rPr>
      </w:pPr>
      <w:r>
        <w:rPr>
          <w:rFonts w:ascii="Calibri" w:hAnsi="Calibri" w:cs="Calibri"/>
        </w:rPr>
        <w:t xml:space="preserve">Transaktionsanforderungen, die vom Speicherdienst aufgrund des Fehlers beim Einhalten geeigneter Backoff-Prinzipien gedrosselt werden. </w:t>
      </w:r>
    </w:p>
    <w:p w14:paraId="389F6C8E" w14:textId="77777777" w:rsidR="00490C75" w:rsidRPr="00C7204B" w:rsidRDefault="00490C75" w:rsidP="00490C75">
      <w:pPr>
        <w:pStyle w:val="ProductList-Body"/>
        <w:numPr>
          <w:ilvl w:val="0"/>
          <w:numId w:val="4"/>
        </w:numPr>
        <w:rPr>
          <w:rFonts w:ascii="Calibri" w:hAnsi="Calibri" w:cs="Calibri"/>
        </w:rPr>
      </w:pPr>
      <w:r>
        <w:rPr>
          <w:rFonts w:ascii="Calibri" w:hAnsi="Calibri" w:cs="Calibri"/>
        </w:rPr>
        <w:t xml:space="preserve">Transaktionsanforderungen, deren Zeitüberschreitungen niedriger als die oben angegebenen Maximalen Verarbeitungszeiten festgelegt sind. </w:t>
      </w:r>
    </w:p>
    <w:p w14:paraId="57144C0A" w14:textId="77777777" w:rsidR="00490C75" w:rsidRPr="00C7204B" w:rsidRDefault="00490C75" w:rsidP="00490C75">
      <w:pPr>
        <w:pStyle w:val="ProductList-Body"/>
        <w:numPr>
          <w:ilvl w:val="0"/>
          <w:numId w:val="4"/>
        </w:numPr>
        <w:rPr>
          <w:rFonts w:ascii="Calibri" w:hAnsi="Calibri" w:cs="Calibri"/>
        </w:rPr>
      </w:pPr>
      <w:r>
        <w:rPr>
          <w:rFonts w:ascii="Calibri" w:hAnsi="Calibri" w:cs="Calibri"/>
        </w:rPr>
        <w:t xml:space="preserve">Lesetransaktionsanforderungen an RA-GRS- und RA-GZRS-Konten, für die Sie nicht versucht haben, die Anforderung in einer Sekundären, dem Speicherkonto zugeordneten Region auszuführen, wenn die Anforderung an die Primäre Region nicht erfolgreich war. </w:t>
      </w:r>
    </w:p>
    <w:p w14:paraId="40B60E46" w14:textId="77777777" w:rsidR="00490C75" w:rsidRPr="00C7204B" w:rsidRDefault="00490C75" w:rsidP="00490C75">
      <w:pPr>
        <w:pStyle w:val="ProductList-Body"/>
        <w:numPr>
          <w:ilvl w:val="0"/>
          <w:numId w:val="4"/>
        </w:numPr>
        <w:rPr>
          <w:rFonts w:ascii="Calibri" w:hAnsi="Calibri" w:cs="Calibri"/>
        </w:rPr>
      </w:pPr>
      <w:r>
        <w:rPr>
          <w:rFonts w:ascii="Calibri" w:hAnsi="Calibri" w:cs="Calibri"/>
        </w:rPr>
        <w:t>Lesetransaktionsanforderungen an RA-GRS- und RA-GZRS-Konten, die aufgrund der Georeplikationsverzögerung fehlschlagen.</w:t>
      </w:r>
    </w:p>
    <w:p w14:paraId="234E69D3" w14:textId="77777777" w:rsidR="00490C75" w:rsidRPr="00C7204B" w:rsidRDefault="00490C75" w:rsidP="00490C75">
      <w:pPr>
        <w:pStyle w:val="ProductList-Body"/>
        <w:rPr>
          <w:rFonts w:ascii="Calibri" w:hAnsi="Calibri" w:cs="Calibri"/>
        </w:rPr>
      </w:pPr>
      <w:r>
        <w:rPr>
          <w:rFonts w:ascii="Calibri" w:hAnsi="Calibri" w:cs="Calibri"/>
        </w:rPr>
        <w:t>„</w:t>
      </w:r>
      <w:r>
        <w:rPr>
          <w:rFonts w:ascii="Calibri" w:hAnsi="Calibri" w:cs="Calibri"/>
          <w:b/>
          <w:color w:val="00188F"/>
        </w:rPr>
        <w:t>Georeplikationsverzögerung</w:t>
      </w:r>
      <w:r>
        <w:rPr>
          <w:rFonts w:ascii="Calibri" w:hAnsi="Calibri" w:cs="Calibri"/>
        </w:rPr>
        <w:t xml:space="preserve">“ für GRS-, GZRS-, RA-GRS- und RA-GZRS-Konten ist die Zeit, die benötigt wird, um die in der Primärregion des Speicherkontos gespeicherten Daten in die Sekundärregion des Speicherkontos zu replizieren. Da GRS-, GZRS-, RA-GRS- und RA-GZRS-Konten asynchron an die Sekundäre Region repliziert werden, sind die Daten, die in die Primäre Region des Speicherkontos geschrieben werden, nicht sofort in der Sekundären Region verfügbar. Sie können die Georeplikationsverzögerung für ein Speicherkonto abfragen, aber Microsoft garantiert </w:t>
      </w:r>
      <w:r>
        <w:rPr>
          <w:rFonts w:ascii="Calibri" w:hAnsi="Calibri" w:cs="Calibri"/>
        </w:rPr>
        <w:lastRenderedPageBreak/>
        <w:t>keine Dauer einer Georeplikationsverzögerung unter dieser SLA. „</w:t>
      </w:r>
      <w:r>
        <w:rPr>
          <w:rFonts w:ascii="Calibri" w:hAnsi="Calibri" w:cs="Calibri"/>
          <w:b/>
          <w:color w:val="00188F"/>
        </w:rPr>
        <w:t>Konto in Bezug auf Geografisch redundanten Speicher („Geographically Redundant Storage“ oder „GRS“)</w:t>
      </w:r>
      <w:r>
        <w:rPr>
          <w:rFonts w:ascii="Calibri" w:hAnsi="Calibri" w:cs="Calibri"/>
        </w:rPr>
        <w:t>“ ist ein Speicherkonto, für das Daten synchron in einer Primärregion und anschließend asynchron in einer Sekundärregion repliziert werden. Sie können keine Daten direkt in der Sekundären Region, die GRS-Konten zugeordnet ist, lesen oder schreiben.</w:t>
      </w:r>
    </w:p>
    <w:p w14:paraId="123E87B1" w14:textId="77777777" w:rsidR="00490C75" w:rsidRPr="00C7204B" w:rsidRDefault="00490C75" w:rsidP="00490C75">
      <w:pPr>
        <w:pStyle w:val="ProductList-Body"/>
        <w:rPr>
          <w:rFonts w:ascii="Calibri" w:hAnsi="Calibri" w:cs="Calibri"/>
        </w:rPr>
      </w:pPr>
      <w:r>
        <w:rPr>
          <w:rFonts w:ascii="Calibri" w:hAnsi="Calibri" w:cs="Calibri"/>
        </w:rPr>
        <w:t>„</w:t>
      </w:r>
      <w:r>
        <w:rPr>
          <w:rFonts w:ascii="Calibri" w:hAnsi="Calibri" w:cs="Calibri"/>
          <w:b/>
          <w:color w:val="00188F"/>
        </w:rPr>
        <w:t>Konto in Bezug auf Lokal redundanten Speicher („Locally Redundant Storage“ oder „LRS“)</w:t>
      </w:r>
      <w:r>
        <w:rPr>
          <w:rFonts w:ascii="Calibri" w:hAnsi="Calibri" w:cs="Calibri"/>
        </w:rPr>
        <w:t>“ ist ein Speicherkonto, für das Daten nur innerhalb einer Primärregion synchron repliziert werden.</w:t>
      </w:r>
    </w:p>
    <w:p w14:paraId="03E84215" w14:textId="77777777" w:rsidR="00490C75" w:rsidRPr="00C7204B" w:rsidRDefault="00490C75" w:rsidP="00490C75">
      <w:pPr>
        <w:pStyle w:val="ProductList-Body"/>
        <w:rPr>
          <w:rFonts w:ascii="Calibri" w:hAnsi="Calibri" w:cs="Calibri"/>
        </w:rPr>
      </w:pPr>
      <w:r>
        <w:rPr>
          <w:rFonts w:ascii="Calibri" w:hAnsi="Calibri" w:cs="Calibri"/>
        </w:rPr>
        <w:t>„</w:t>
      </w:r>
      <w:r>
        <w:rPr>
          <w:rFonts w:ascii="Calibri" w:hAnsi="Calibri" w:cs="Calibri"/>
          <w:b/>
          <w:color w:val="00188F"/>
        </w:rPr>
        <w:t>Primärregion</w:t>
      </w:r>
      <w:r>
        <w:rPr>
          <w:rFonts w:ascii="Calibri" w:hAnsi="Calibri" w:cs="Calibri"/>
        </w:rPr>
        <w:t>“ ist eine geografische Region, in der sich die Daten innerhalb eines Speicherkontos befinden, wie von Ihnen beim Erstellen des Speicherkontos ausgewählt. Sie können Schreibanforderungen nur für Daten ausführen, die in der den Speicherkonten zugeordneten Primären Region gespeichert sind.</w:t>
      </w:r>
    </w:p>
    <w:p w14:paraId="003BDCA0" w14:textId="77777777" w:rsidR="00490C75" w:rsidRPr="00C7204B" w:rsidRDefault="00490C75" w:rsidP="00490C75">
      <w:pPr>
        <w:pStyle w:val="ProductList-Body"/>
        <w:rPr>
          <w:rFonts w:ascii="Calibri" w:hAnsi="Calibri" w:cs="Calibri"/>
        </w:rPr>
      </w:pPr>
      <w:r>
        <w:rPr>
          <w:rFonts w:ascii="Calibri" w:hAnsi="Calibri" w:cs="Calibri"/>
        </w:rPr>
        <w:t>„</w:t>
      </w:r>
      <w:r>
        <w:rPr>
          <w:rFonts w:ascii="Calibri" w:hAnsi="Calibri" w:cs="Calibri"/>
          <w:b/>
          <w:color w:val="00188F"/>
        </w:rPr>
        <w:t>Konto in Bezug auf Lesezugriff Geografisch redundanter Speicher („Read Access Geographically Redundant Storage“ oder „RA-GRS“)</w:t>
      </w:r>
      <w:r>
        <w:rPr>
          <w:rFonts w:ascii="Calibri" w:hAnsi="Calibri" w:cs="Calibri"/>
        </w:rPr>
        <w:t>“ ist ein Speicherkonto, für das Daten synchron in einer Primärregion und anschließend asynchron in einer Sekundärregion repliziert werden. Sie können Daten direkt in der Sekundären Region, die RA-GRS-Konten zugeordnet ist, lesen, aber nicht schreiben.</w:t>
      </w:r>
    </w:p>
    <w:p w14:paraId="138B940F" w14:textId="77777777" w:rsidR="00490C75" w:rsidRPr="00C7204B" w:rsidRDefault="00490C75" w:rsidP="00490C75">
      <w:pPr>
        <w:pStyle w:val="ProductList-Body"/>
        <w:rPr>
          <w:rFonts w:ascii="Calibri" w:hAnsi="Calibri" w:cs="Calibri"/>
        </w:rPr>
      </w:pPr>
      <w:r>
        <w:rPr>
          <w:rFonts w:ascii="Calibri" w:hAnsi="Calibri" w:cs="Calibri"/>
        </w:rPr>
        <w:t>„</w:t>
      </w:r>
      <w:r>
        <w:rPr>
          <w:rFonts w:ascii="Calibri" w:hAnsi="Calibri" w:cs="Calibri"/>
          <w:b/>
          <w:color w:val="00188F"/>
        </w:rPr>
        <w:t>Sekundärregion</w:t>
      </w:r>
      <w:r>
        <w:rPr>
          <w:rFonts w:ascii="Calibri" w:hAnsi="Calibri" w:cs="Calibri"/>
        </w:rPr>
        <w:t>“ ist eine geografische Region, in der Daten innerhalb eines GRS- oder RA-GRS-Kontos repliziert und gespeichert werden, wie von Microsoft Azure auf der Grundlage der mit dem Speicherkonto verbundenen Primärregion zugewiesen. Sie können die den Speicherkonten zugeordnete Sekundäre Region nicht angeben.</w:t>
      </w:r>
    </w:p>
    <w:p w14:paraId="6CBBC430" w14:textId="77777777" w:rsidR="00490C75" w:rsidRPr="00C7204B" w:rsidRDefault="00490C75" w:rsidP="00490C75">
      <w:pPr>
        <w:pStyle w:val="ProductList-Body"/>
        <w:rPr>
          <w:rFonts w:ascii="Calibri" w:hAnsi="Calibri" w:cs="Calibri"/>
        </w:rPr>
      </w:pPr>
      <w:r>
        <w:rPr>
          <w:rFonts w:ascii="Calibri" w:hAnsi="Calibri" w:cs="Calibri"/>
        </w:rPr>
        <w:t>„</w:t>
      </w:r>
      <w:r>
        <w:rPr>
          <w:rFonts w:ascii="Calibri" w:hAnsi="Calibri" w:cs="Calibri"/>
          <w:b/>
          <w:color w:val="00188F"/>
        </w:rPr>
        <w:t>Gesamtzahl der Speichertransaktionen</w:t>
      </w:r>
      <w:r>
        <w:rPr>
          <w:rFonts w:ascii="Calibri" w:hAnsi="Calibri" w:cs="Calibri"/>
        </w:rPr>
        <w:t>“ ist die Menge aller Speichertransaktionen, mit Ausnahme der Ausgeschlossenen Transaktionen, die innerhalb eines einstündigen Intervalls über alle Speicherkonten im Speicherdienst in einem bestimmten Abonnement versucht wurden.</w:t>
      </w:r>
    </w:p>
    <w:p w14:paraId="7A624B3E" w14:textId="77777777" w:rsidR="00490C75" w:rsidRPr="00C7204B" w:rsidRDefault="00490C75" w:rsidP="00490C75">
      <w:pPr>
        <w:pStyle w:val="ProductList-Body"/>
        <w:rPr>
          <w:rFonts w:ascii="Calibri" w:hAnsi="Calibri" w:cs="Calibri"/>
        </w:rPr>
      </w:pPr>
      <w:r>
        <w:rPr>
          <w:rFonts w:ascii="Calibri" w:hAnsi="Calibri" w:cs="Calibri"/>
        </w:rPr>
        <w:t>„</w:t>
      </w:r>
      <w:r>
        <w:rPr>
          <w:rFonts w:ascii="Calibri" w:hAnsi="Calibri" w:cs="Calibri"/>
          <w:b/>
          <w:color w:val="00188F"/>
        </w:rPr>
        <w:t>Für Transaktionen optimiertes Access-Level</w:t>
      </w:r>
      <w:r>
        <w:rPr>
          <w:rFonts w:ascii="Calibri" w:hAnsi="Calibri" w:cs="Calibri"/>
        </w:rPr>
        <w:t>“ ist ein Attribut einer Azure-Dateifreigabe, das anzeigt, dass es häufig aufgerufen wird.</w:t>
      </w:r>
    </w:p>
    <w:p w14:paraId="27ED8BD3" w14:textId="77777777" w:rsidR="00490C75" w:rsidRPr="00C7204B" w:rsidRDefault="00490C75" w:rsidP="00490C75">
      <w:pPr>
        <w:pStyle w:val="ProductList-Body"/>
        <w:rPr>
          <w:rFonts w:ascii="Calibri" w:hAnsi="Calibri" w:cs="Calibri"/>
        </w:rPr>
      </w:pPr>
      <w:r>
        <w:rPr>
          <w:rFonts w:ascii="Calibri" w:hAnsi="Calibri" w:cs="Calibri"/>
        </w:rPr>
        <w:t>„</w:t>
      </w:r>
      <w:r>
        <w:rPr>
          <w:rFonts w:ascii="Calibri" w:hAnsi="Calibri" w:cs="Calibri"/>
          <w:b/>
          <w:color w:val="00188F"/>
        </w:rPr>
        <w:t>Konto in Bezug auf Zonenredundanten Speicher („Zone Redundant Storage“ oder „ZRS“)</w:t>
      </w:r>
      <w:r>
        <w:rPr>
          <w:rFonts w:ascii="Calibri" w:hAnsi="Calibri" w:cs="Calibri"/>
        </w:rPr>
        <w:t>“ ist ein Speicherkonto, für das Daten über mehrere Einrichtungen repliziert werden. Diese Einrichtungen können in der gleichen geografischen Region liegen oder sich über zwei geografische Regionen erstrecken.</w:t>
      </w:r>
    </w:p>
    <w:p w14:paraId="5F19F2B2" w14:textId="77777777" w:rsidR="00490C75" w:rsidRPr="00C7204B" w:rsidRDefault="00490C75" w:rsidP="00490C75">
      <w:pPr>
        <w:pStyle w:val="ProductList-Body"/>
        <w:rPr>
          <w:rFonts w:ascii="Calibri" w:hAnsi="Calibri" w:cs="Calibri"/>
        </w:rPr>
      </w:pPr>
      <w:r>
        <w:rPr>
          <w:rFonts w:ascii="Calibri" w:hAnsi="Calibri" w:cs="Calibri"/>
        </w:rPr>
        <w:t>„</w:t>
      </w:r>
      <w:r>
        <w:rPr>
          <w:rFonts w:ascii="Calibri" w:hAnsi="Calibri" w:cs="Calibri"/>
          <w:b/>
          <w:color w:val="00188F"/>
        </w:rPr>
        <w:t>Konto in Bezug auf Zonenredundanten Speicher („Zone Redundant Storage“ oder „GZRS“)</w:t>
      </w:r>
      <w:r>
        <w:rPr>
          <w:rFonts w:ascii="Calibri" w:hAnsi="Calibri" w:cs="Calibri"/>
        </w:rPr>
        <w:t>“ ist ein Speicherkonto, für das Daten über mehrere Einrichtungen repliziert werden. Diese Einrichtungen können in der gleichen geografischen Region liegen oder sich über zwei geografische Regionen erstrecken. Daten werden auch synchron innerhalb einer Primären Region repliziert und dann asynchron in eine Sekundäre Region repliziert. Sie können keine Daten direkt in der Sekundären Region, die GZRS-Konten zugeordnet ist, lesen oder schreiben.</w:t>
      </w:r>
    </w:p>
    <w:p w14:paraId="018076BA" w14:textId="77777777" w:rsidR="00490C75" w:rsidRPr="00C7204B" w:rsidRDefault="00490C75" w:rsidP="00490C75">
      <w:pPr>
        <w:pStyle w:val="ProductList-Body"/>
        <w:rPr>
          <w:rFonts w:ascii="Calibri" w:hAnsi="Calibri" w:cs="Calibri"/>
        </w:rPr>
      </w:pPr>
      <w:r>
        <w:rPr>
          <w:rFonts w:ascii="Calibri" w:hAnsi="Calibri" w:cs="Calibri"/>
        </w:rPr>
        <w:t>„</w:t>
      </w:r>
      <w:r>
        <w:rPr>
          <w:rFonts w:ascii="Calibri" w:hAnsi="Calibri" w:cs="Calibri"/>
          <w:b/>
          <w:color w:val="00188F"/>
        </w:rPr>
        <w:t>Konto mit Lesezugriff auf Zonenredundanten Speicher („Read Access Geo Zone Redundant Storage“ oder „RA-GZRS“)</w:t>
      </w:r>
      <w:r>
        <w:rPr>
          <w:rFonts w:ascii="Calibri" w:hAnsi="Calibri" w:cs="Calibri"/>
        </w:rPr>
        <w:t>“ ist ein Speicherkonto, für das Daten über mehrere Einrichtungen repliziert werden. Diese Einrichtungen können in der gleichen geografischen Region liegen oder sich über zwei geografische Regionen erstrecken. Daten werden auch synchron innerhalb einer Primären Region repliziert und dann asynchron in eine Sekundäre Region repliziert. Sie können Daten direkt in der Sekundären Region, die RA-GZRS-Konten zugeordnet ist, lesen, aber nicht schreiben.</w:t>
      </w:r>
    </w:p>
    <w:p w14:paraId="38576BCD" w14:textId="77777777" w:rsidR="00490C75" w:rsidRPr="00C7204B" w:rsidRDefault="00490C75" w:rsidP="00490C75">
      <w:pPr>
        <w:pStyle w:val="ProductList-Body"/>
        <w:rPr>
          <w:rFonts w:ascii="Calibri" w:hAnsi="Calibri" w:cs="Calibri"/>
        </w:rPr>
      </w:pPr>
      <w:r>
        <w:rPr>
          <w:rFonts w:ascii="Calibri" w:hAnsi="Calibri" w:cs="Calibri"/>
          <w:b/>
          <w:color w:val="00188F"/>
        </w:rPr>
        <w:t>Betriebszeitprozentsatz</w:t>
      </w:r>
      <w:r>
        <w:rPr>
          <w:rFonts w:ascii="Calibri" w:hAnsi="Calibri" w:cs="Calibri"/>
        </w:rPr>
        <w:t>: Der Betriebszeitprozentsatz wird nach folgender Formel berechnet:</w:t>
      </w:r>
    </w:p>
    <w:p w14:paraId="0DA5426B" w14:textId="77777777" w:rsidR="00490C75" w:rsidRPr="00EF7CF9" w:rsidRDefault="00490C75" w:rsidP="00D7142E">
      <w:pPr>
        <w:pStyle w:val="ListParagraph"/>
        <w:spacing w:before="120" w:after="120" w:line="240" w:lineRule="auto"/>
        <w:contextualSpacing w:val="0"/>
        <w:rPr>
          <w:rFonts w:ascii="Cambria Math" w:hAnsi="Cambria Math" w:cs="Tahoma"/>
          <w:i/>
          <w:sz w:val="12"/>
          <w:szCs w:val="12"/>
        </w:rPr>
      </w:pPr>
      <m:oMathPara>
        <m:oMath>
          <m:r>
            <w:rPr>
              <w:rFonts w:ascii="Cambria Math" w:hAnsi="Cambria Math" w:cs="Tahoma"/>
              <w:sz w:val="18"/>
              <w:szCs w:val="18"/>
            </w:rPr>
            <m:t>100% abzüglich Durchschnittliche Fehlerrate</m:t>
          </m:r>
        </m:oMath>
      </m:oMathPara>
    </w:p>
    <w:p w14:paraId="17F1AEDB" w14:textId="182C512C" w:rsidR="00490C75" w:rsidRPr="00FB0D2C" w:rsidRDefault="00490C75" w:rsidP="00490C75">
      <w:pPr>
        <w:pStyle w:val="ProductList-ClauseHeading"/>
        <w:rPr>
          <w:rFonts w:ascii="Calibri" w:hAnsi="Calibri" w:cs="Calibri"/>
        </w:rPr>
      </w:pPr>
      <w:r>
        <w:rPr>
          <w:rFonts w:ascii="Calibri" w:hAnsi="Calibri" w:cs="Calibri"/>
        </w:rPr>
        <w:t>Access-Levels Hot und für Transaktionen optimiert</w:t>
      </w:r>
    </w:p>
    <w:p w14:paraId="2DCDD2F0" w14:textId="77777777" w:rsidR="00490C75" w:rsidRPr="00FB0D2C" w:rsidRDefault="00490C75" w:rsidP="00490C75">
      <w:pPr>
        <w:pStyle w:val="ProductList-ClauseHeading"/>
        <w:rPr>
          <w:rFonts w:ascii="Calibri" w:hAnsi="Calibri" w:cs="Calibri"/>
        </w:rPr>
      </w:pPr>
      <w:r>
        <w:rPr>
          <w:rFonts w:ascii="Calibri" w:hAnsi="Calibri" w:cs="Calibri"/>
        </w:rPr>
        <w:t>Serviceguthaben – LRS, ZRS, GRS, GZRS, RA-GRS und RA-GZRS (Schreibanforderungen) für Access-Levels Hot und für Transaktionen optimiert</w:t>
      </w:r>
      <w:r>
        <w:rPr>
          <w:rFonts w:ascii="Calibri" w:hAnsi="Calibri" w:cs="Calibri"/>
          <w:b w:val="0"/>
          <w:color w:val="aut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90C75" w:rsidRPr="00B44CF9" w14:paraId="25D3DB76" w14:textId="77777777" w:rsidTr="00C20A28">
        <w:trPr>
          <w:trHeight w:val="245"/>
          <w:tblHeader/>
        </w:trPr>
        <w:tc>
          <w:tcPr>
            <w:tcW w:w="5400" w:type="dxa"/>
            <w:tcBorders>
              <w:bottom w:val="single" w:sz="4" w:space="0" w:color="auto"/>
            </w:tcBorders>
            <w:shd w:val="clear" w:color="auto" w:fill="0072C6"/>
          </w:tcPr>
          <w:p w14:paraId="4C2210B0" w14:textId="77777777" w:rsidR="00490C75" w:rsidRPr="00FB0D2C" w:rsidRDefault="00490C75"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Betriebszeitprozentsatz</w:t>
            </w:r>
          </w:p>
        </w:tc>
        <w:tc>
          <w:tcPr>
            <w:tcW w:w="5400" w:type="dxa"/>
            <w:tcBorders>
              <w:bottom w:val="single" w:sz="4" w:space="0" w:color="auto"/>
            </w:tcBorders>
            <w:shd w:val="clear" w:color="auto" w:fill="0072C6"/>
          </w:tcPr>
          <w:p w14:paraId="51E6FF10" w14:textId="77777777" w:rsidR="00490C75" w:rsidRPr="00FB0D2C" w:rsidRDefault="00490C75"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Servicegutschrift</w:t>
            </w:r>
          </w:p>
        </w:tc>
      </w:tr>
      <w:tr w:rsidR="00490C75" w:rsidRPr="00B44CF9" w14:paraId="036A0D66" w14:textId="77777777" w:rsidTr="00C20A28">
        <w:trPr>
          <w:trHeight w:val="245"/>
        </w:trPr>
        <w:tc>
          <w:tcPr>
            <w:tcW w:w="5400" w:type="dxa"/>
            <w:tcBorders>
              <w:top w:val="single" w:sz="4" w:space="0" w:color="auto"/>
              <w:left w:val="single" w:sz="4" w:space="0" w:color="auto"/>
              <w:bottom w:val="single" w:sz="4" w:space="0" w:color="auto"/>
              <w:right w:val="single" w:sz="4" w:space="0" w:color="auto"/>
            </w:tcBorders>
          </w:tcPr>
          <w:p w14:paraId="4B96FEC1" w14:textId="77777777" w:rsidR="00490C75" w:rsidRPr="00FB0D2C" w:rsidRDefault="00490C75" w:rsidP="00C20A28">
            <w:pPr>
              <w:pStyle w:val="ProductList-OfferingBody"/>
              <w:jc w:val="center"/>
              <w:rPr>
                <w:rFonts w:ascii="Calibri" w:hAnsi="Calibri" w:cs="Calibri"/>
                <w:szCs w:val="16"/>
              </w:rPr>
            </w:pPr>
            <w:r>
              <w:rPr>
                <w:rFonts w:ascii="Calibri" w:hAnsi="Calibri" w:cs="Calibri"/>
                <w:szCs w:val="16"/>
              </w:rPr>
              <w:t>&lt; 99,9%</w:t>
            </w:r>
          </w:p>
        </w:tc>
        <w:tc>
          <w:tcPr>
            <w:tcW w:w="5400" w:type="dxa"/>
            <w:tcBorders>
              <w:top w:val="single" w:sz="4" w:space="0" w:color="auto"/>
              <w:left w:val="single" w:sz="4" w:space="0" w:color="auto"/>
              <w:bottom w:val="single" w:sz="4" w:space="0" w:color="auto"/>
              <w:right w:val="single" w:sz="4" w:space="0" w:color="auto"/>
            </w:tcBorders>
          </w:tcPr>
          <w:p w14:paraId="7AB8177D" w14:textId="77777777" w:rsidR="00490C75" w:rsidRPr="00FB0D2C" w:rsidRDefault="00490C75" w:rsidP="00C20A28">
            <w:pPr>
              <w:pStyle w:val="ProductList-OfferingBody"/>
              <w:jc w:val="center"/>
              <w:rPr>
                <w:rFonts w:ascii="Calibri" w:hAnsi="Calibri" w:cs="Calibri"/>
                <w:szCs w:val="16"/>
              </w:rPr>
            </w:pPr>
            <w:r>
              <w:rPr>
                <w:rFonts w:ascii="Calibri" w:hAnsi="Calibri" w:cs="Calibri"/>
                <w:szCs w:val="16"/>
              </w:rPr>
              <w:t>10%</w:t>
            </w:r>
          </w:p>
        </w:tc>
      </w:tr>
      <w:tr w:rsidR="00490C75" w:rsidRPr="00B44CF9" w14:paraId="32A6CBBA" w14:textId="77777777" w:rsidTr="00C20A28">
        <w:trPr>
          <w:trHeight w:val="245"/>
        </w:trPr>
        <w:tc>
          <w:tcPr>
            <w:tcW w:w="5400" w:type="dxa"/>
            <w:tcBorders>
              <w:top w:val="single" w:sz="4" w:space="0" w:color="auto"/>
              <w:left w:val="single" w:sz="4" w:space="0" w:color="auto"/>
              <w:bottom w:val="single" w:sz="4" w:space="0" w:color="auto"/>
              <w:right w:val="single" w:sz="4" w:space="0" w:color="auto"/>
            </w:tcBorders>
          </w:tcPr>
          <w:p w14:paraId="1690C69E" w14:textId="77777777" w:rsidR="00490C75" w:rsidRPr="00FB0D2C" w:rsidRDefault="00490C75" w:rsidP="00C20A28">
            <w:pPr>
              <w:pStyle w:val="ProductList-OfferingBody"/>
              <w:jc w:val="center"/>
              <w:rPr>
                <w:rFonts w:ascii="Calibri" w:hAnsi="Calibri" w:cs="Calibri"/>
                <w:szCs w:val="16"/>
              </w:rPr>
            </w:pPr>
            <w:r>
              <w:rPr>
                <w:rFonts w:ascii="Calibri" w:hAnsi="Calibri" w:cs="Calibri"/>
                <w:szCs w:val="16"/>
              </w:rPr>
              <w:t>&lt; 99%</w:t>
            </w:r>
          </w:p>
        </w:tc>
        <w:tc>
          <w:tcPr>
            <w:tcW w:w="5400" w:type="dxa"/>
            <w:tcBorders>
              <w:top w:val="single" w:sz="4" w:space="0" w:color="auto"/>
              <w:left w:val="single" w:sz="4" w:space="0" w:color="auto"/>
              <w:bottom w:val="single" w:sz="4" w:space="0" w:color="auto"/>
              <w:right w:val="single" w:sz="4" w:space="0" w:color="auto"/>
            </w:tcBorders>
          </w:tcPr>
          <w:p w14:paraId="4B205697" w14:textId="77777777" w:rsidR="00490C75" w:rsidRPr="00FB0D2C" w:rsidRDefault="00490C75" w:rsidP="00C20A28">
            <w:pPr>
              <w:pStyle w:val="ProductList-OfferingBody"/>
              <w:jc w:val="center"/>
              <w:rPr>
                <w:rFonts w:ascii="Calibri" w:hAnsi="Calibri" w:cs="Calibri"/>
                <w:szCs w:val="16"/>
              </w:rPr>
            </w:pPr>
            <w:r>
              <w:rPr>
                <w:rFonts w:ascii="Calibri" w:hAnsi="Calibri" w:cs="Calibri"/>
                <w:szCs w:val="16"/>
              </w:rPr>
              <w:t>25%</w:t>
            </w:r>
          </w:p>
        </w:tc>
      </w:tr>
    </w:tbl>
    <w:p w14:paraId="43E2757D" w14:textId="77777777" w:rsidR="00490C75" w:rsidRPr="00FB0D2C" w:rsidRDefault="00490C75" w:rsidP="00490C75">
      <w:pPr>
        <w:pStyle w:val="ProductList-ClauseHeading"/>
        <w:spacing w:before="120"/>
        <w:rPr>
          <w:rFonts w:ascii="Calibri" w:hAnsi="Calibri" w:cs="Calibri"/>
        </w:rPr>
      </w:pPr>
      <w:r>
        <w:rPr>
          <w:rFonts w:ascii="Calibri" w:hAnsi="Calibri" w:cs="Calibri"/>
        </w:rPr>
        <w:t xml:space="preserve">Servicegutschrift – RA-GRS und RA-GZRS (Leseanfragen) für Access-Levels Hot und für Transaktionen optimiert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90C75" w:rsidRPr="00B44CF9" w14:paraId="419665BE" w14:textId="77777777" w:rsidTr="00C20A28">
        <w:trPr>
          <w:trHeight w:val="245"/>
          <w:tblHeader/>
        </w:trPr>
        <w:tc>
          <w:tcPr>
            <w:tcW w:w="5400" w:type="dxa"/>
            <w:shd w:val="clear" w:color="auto" w:fill="0072C6"/>
          </w:tcPr>
          <w:p w14:paraId="61C20ADC" w14:textId="77777777" w:rsidR="00490C75" w:rsidRPr="00FB0D2C" w:rsidRDefault="00490C75"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Betriebszeitprozentsatz</w:t>
            </w:r>
          </w:p>
        </w:tc>
        <w:tc>
          <w:tcPr>
            <w:tcW w:w="5400" w:type="dxa"/>
            <w:shd w:val="clear" w:color="auto" w:fill="0072C6"/>
          </w:tcPr>
          <w:p w14:paraId="6C277A94" w14:textId="77777777" w:rsidR="00490C75" w:rsidRPr="00FB0D2C" w:rsidRDefault="00490C75"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Servicegutschrift</w:t>
            </w:r>
          </w:p>
        </w:tc>
      </w:tr>
      <w:tr w:rsidR="00490C75" w:rsidRPr="00B44CF9" w14:paraId="37703E5E" w14:textId="77777777" w:rsidTr="00C20A28">
        <w:trPr>
          <w:trHeight w:val="245"/>
        </w:trPr>
        <w:tc>
          <w:tcPr>
            <w:tcW w:w="5400" w:type="dxa"/>
          </w:tcPr>
          <w:p w14:paraId="41CA0C1B" w14:textId="77777777" w:rsidR="00490C75" w:rsidRPr="00FB0D2C" w:rsidRDefault="00490C75" w:rsidP="00C20A28">
            <w:pPr>
              <w:pStyle w:val="ProductList-OfferingBody"/>
              <w:jc w:val="center"/>
              <w:rPr>
                <w:rFonts w:ascii="Calibri" w:hAnsi="Calibri" w:cs="Calibri"/>
                <w:szCs w:val="16"/>
              </w:rPr>
            </w:pPr>
            <w:r>
              <w:rPr>
                <w:rFonts w:ascii="Calibri" w:hAnsi="Calibri" w:cs="Calibri"/>
                <w:szCs w:val="16"/>
              </w:rPr>
              <w:t>&lt; 99,99%</w:t>
            </w:r>
          </w:p>
        </w:tc>
        <w:tc>
          <w:tcPr>
            <w:tcW w:w="5400" w:type="dxa"/>
          </w:tcPr>
          <w:p w14:paraId="7F3F38BA" w14:textId="77777777" w:rsidR="00490C75" w:rsidRPr="00FB0D2C" w:rsidRDefault="00490C75" w:rsidP="00C20A28">
            <w:pPr>
              <w:pStyle w:val="ProductList-OfferingBody"/>
              <w:jc w:val="center"/>
              <w:rPr>
                <w:rFonts w:ascii="Calibri" w:hAnsi="Calibri" w:cs="Calibri"/>
                <w:szCs w:val="16"/>
              </w:rPr>
            </w:pPr>
            <w:r>
              <w:rPr>
                <w:rFonts w:ascii="Calibri" w:hAnsi="Calibri" w:cs="Calibri"/>
                <w:szCs w:val="16"/>
              </w:rPr>
              <w:t>10%</w:t>
            </w:r>
          </w:p>
        </w:tc>
      </w:tr>
      <w:tr w:rsidR="00490C75" w:rsidRPr="00B44CF9" w14:paraId="67A4FE33" w14:textId="77777777" w:rsidTr="00C20A28">
        <w:trPr>
          <w:trHeight w:val="245"/>
        </w:trPr>
        <w:tc>
          <w:tcPr>
            <w:tcW w:w="5400" w:type="dxa"/>
          </w:tcPr>
          <w:p w14:paraId="68156D4B" w14:textId="77777777" w:rsidR="00490C75" w:rsidRPr="00FB0D2C" w:rsidRDefault="00490C75" w:rsidP="00C20A28">
            <w:pPr>
              <w:pStyle w:val="ProductList-OfferingBody"/>
              <w:jc w:val="center"/>
              <w:rPr>
                <w:rFonts w:ascii="Calibri" w:hAnsi="Calibri" w:cs="Calibri"/>
                <w:szCs w:val="16"/>
              </w:rPr>
            </w:pPr>
            <w:r>
              <w:rPr>
                <w:rFonts w:ascii="Calibri" w:hAnsi="Calibri" w:cs="Calibri"/>
                <w:szCs w:val="16"/>
              </w:rPr>
              <w:t>&lt; 99%</w:t>
            </w:r>
          </w:p>
        </w:tc>
        <w:tc>
          <w:tcPr>
            <w:tcW w:w="5400" w:type="dxa"/>
          </w:tcPr>
          <w:p w14:paraId="190ECB96" w14:textId="77777777" w:rsidR="00490C75" w:rsidRPr="00FB0D2C" w:rsidRDefault="00490C75" w:rsidP="00C20A28">
            <w:pPr>
              <w:pStyle w:val="ProductList-OfferingBody"/>
              <w:jc w:val="center"/>
              <w:rPr>
                <w:rFonts w:ascii="Calibri" w:hAnsi="Calibri" w:cs="Calibri"/>
                <w:szCs w:val="16"/>
              </w:rPr>
            </w:pPr>
            <w:r>
              <w:rPr>
                <w:rFonts w:ascii="Calibri" w:hAnsi="Calibri" w:cs="Calibri"/>
                <w:szCs w:val="16"/>
              </w:rPr>
              <w:t>25%</w:t>
            </w:r>
          </w:p>
        </w:tc>
      </w:tr>
    </w:tbl>
    <w:p w14:paraId="3FB8DA05" w14:textId="466D6412" w:rsidR="00490C75" w:rsidRPr="00FB0D2C" w:rsidRDefault="00490C75" w:rsidP="00490C75">
      <w:pPr>
        <w:pStyle w:val="ProductList-ClauseHeading"/>
        <w:spacing w:before="120"/>
        <w:rPr>
          <w:rFonts w:ascii="Calibri" w:hAnsi="Calibri" w:cs="Calibri"/>
        </w:rPr>
      </w:pPr>
      <w:r>
        <w:rPr>
          <w:rFonts w:ascii="Calibri" w:hAnsi="Calibri" w:cs="Calibri"/>
        </w:rPr>
        <w:t>Serviceguthaben – LRS, ZRS, GRS und GZRS (</w:t>
      </w:r>
      <w:r w:rsidR="004A79F8">
        <w:rPr>
          <w:rFonts w:ascii="Calibri" w:hAnsi="Calibri" w:cs="Calibri"/>
        </w:rPr>
        <w:t>Leseanfragen</w:t>
      </w:r>
      <w:r>
        <w:rPr>
          <w:rFonts w:ascii="Calibri" w:hAnsi="Calibri" w:cs="Calibri"/>
        </w:rPr>
        <w:t>) für Access-Levels Hot und für Transaktionen optimiert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90C75" w:rsidRPr="00B44CF9" w14:paraId="68D30C09" w14:textId="77777777" w:rsidTr="00C20A28">
        <w:trPr>
          <w:trHeight w:val="245"/>
          <w:tblHeader/>
        </w:trPr>
        <w:tc>
          <w:tcPr>
            <w:tcW w:w="5400" w:type="dxa"/>
            <w:tcBorders>
              <w:bottom w:val="single" w:sz="4" w:space="0" w:color="auto"/>
            </w:tcBorders>
            <w:shd w:val="clear" w:color="auto" w:fill="0072C6"/>
          </w:tcPr>
          <w:p w14:paraId="3190D672" w14:textId="77777777" w:rsidR="00490C75" w:rsidRPr="00FB0D2C" w:rsidRDefault="00490C75"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Betriebszeitprozentsatz</w:t>
            </w:r>
          </w:p>
        </w:tc>
        <w:tc>
          <w:tcPr>
            <w:tcW w:w="5400" w:type="dxa"/>
            <w:tcBorders>
              <w:bottom w:val="single" w:sz="4" w:space="0" w:color="auto"/>
            </w:tcBorders>
            <w:shd w:val="clear" w:color="auto" w:fill="0072C6"/>
          </w:tcPr>
          <w:p w14:paraId="1C7FAB15" w14:textId="77777777" w:rsidR="00490C75" w:rsidRPr="00FB0D2C" w:rsidRDefault="00490C75"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Servicegutschrift</w:t>
            </w:r>
          </w:p>
        </w:tc>
      </w:tr>
      <w:tr w:rsidR="00490C75" w:rsidRPr="00B44CF9" w14:paraId="63AD8210" w14:textId="77777777" w:rsidTr="00C20A28">
        <w:trPr>
          <w:trHeight w:val="245"/>
        </w:trPr>
        <w:tc>
          <w:tcPr>
            <w:tcW w:w="5400" w:type="dxa"/>
            <w:tcBorders>
              <w:top w:val="single" w:sz="4" w:space="0" w:color="auto"/>
              <w:left w:val="single" w:sz="4" w:space="0" w:color="auto"/>
              <w:bottom w:val="single" w:sz="4" w:space="0" w:color="auto"/>
              <w:right w:val="single" w:sz="4" w:space="0" w:color="auto"/>
            </w:tcBorders>
          </w:tcPr>
          <w:p w14:paraId="03819315" w14:textId="77777777" w:rsidR="00490C75" w:rsidRPr="00FB0D2C" w:rsidRDefault="00490C75" w:rsidP="00C20A28">
            <w:pPr>
              <w:pStyle w:val="ProductList-OfferingBody"/>
              <w:jc w:val="center"/>
              <w:rPr>
                <w:rFonts w:ascii="Calibri" w:hAnsi="Calibri" w:cs="Calibri"/>
                <w:szCs w:val="16"/>
              </w:rPr>
            </w:pPr>
            <w:r>
              <w:rPr>
                <w:rFonts w:ascii="Calibri" w:hAnsi="Calibri" w:cs="Calibri"/>
                <w:szCs w:val="16"/>
              </w:rPr>
              <w:t>&lt; 99,9%</w:t>
            </w:r>
          </w:p>
        </w:tc>
        <w:tc>
          <w:tcPr>
            <w:tcW w:w="5400" w:type="dxa"/>
            <w:tcBorders>
              <w:top w:val="single" w:sz="4" w:space="0" w:color="auto"/>
              <w:left w:val="single" w:sz="4" w:space="0" w:color="auto"/>
              <w:bottom w:val="single" w:sz="4" w:space="0" w:color="auto"/>
              <w:right w:val="single" w:sz="4" w:space="0" w:color="auto"/>
            </w:tcBorders>
          </w:tcPr>
          <w:p w14:paraId="1CF44FFE" w14:textId="77777777" w:rsidR="00490C75" w:rsidRPr="00FB0D2C" w:rsidRDefault="00490C75" w:rsidP="00C20A28">
            <w:pPr>
              <w:pStyle w:val="ProductList-OfferingBody"/>
              <w:jc w:val="center"/>
              <w:rPr>
                <w:rFonts w:ascii="Calibri" w:hAnsi="Calibri" w:cs="Calibri"/>
                <w:szCs w:val="16"/>
              </w:rPr>
            </w:pPr>
            <w:r>
              <w:rPr>
                <w:rFonts w:ascii="Calibri" w:hAnsi="Calibri" w:cs="Calibri"/>
                <w:szCs w:val="16"/>
              </w:rPr>
              <w:t>10%</w:t>
            </w:r>
          </w:p>
        </w:tc>
      </w:tr>
      <w:tr w:rsidR="00490C75" w:rsidRPr="00B44CF9" w14:paraId="1F99DBF8" w14:textId="77777777" w:rsidTr="00C20A28">
        <w:trPr>
          <w:trHeight w:val="245"/>
        </w:trPr>
        <w:tc>
          <w:tcPr>
            <w:tcW w:w="5400" w:type="dxa"/>
            <w:tcBorders>
              <w:top w:val="single" w:sz="4" w:space="0" w:color="auto"/>
              <w:left w:val="single" w:sz="4" w:space="0" w:color="auto"/>
              <w:bottom w:val="single" w:sz="4" w:space="0" w:color="auto"/>
              <w:right w:val="single" w:sz="4" w:space="0" w:color="auto"/>
            </w:tcBorders>
          </w:tcPr>
          <w:p w14:paraId="126381E6" w14:textId="77777777" w:rsidR="00490C75" w:rsidRPr="00FB0D2C" w:rsidRDefault="00490C75" w:rsidP="00C20A28">
            <w:pPr>
              <w:pStyle w:val="ProductList-OfferingBody"/>
              <w:jc w:val="center"/>
              <w:rPr>
                <w:rFonts w:ascii="Calibri" w:hAnsi="Calibri" w:cs="Calibri"/>
                <w:szCs w:val="16"/>
              </w:rPr>
            </w:pPr>
            <w:r>
              <w:rPr>
                <w:rFonts w:ascii="Calibri" w:hAnsi="Calibri" w:cs="Calibri"/>
                <w:szCs w:val="16"/>
              </w:rPr>
              <w:t>&lt; 99%</w:t>
            </w:r>
          </w:p>
        </w:tc>
        <w:tc>
          <w:tcPr>
            <w:tcW w:w="5400" w:type="dxa"/>
            <w:tcBorders>
              <w:top w:val="single" w:sz="4" w:space="0" w:color="auto"/>
              <w:left w:val="single" w:sz="4" w:space="0" w:color="auto"/>
              <w:bottom w:val="single" w:sz="4" w:space="0" w:color="auto"/>
              <w:right w:val="single" w:sz="4" w:space="0" w:color="auto"/>
            </w:tcBorders>
          </w:tcPr>
          <w:p w14:paraId="0E7AFF1E" w14:textId="77777777" w:rsidR="00490C75" w:rsidRPr="00FB0D2C" w:rsidRDefault="00490C75" w:rsidP="00C20A28">
            <w:pPr>
              <w:pStyle w:val="ProductList-OfferingBody"/>
              <w:jc w:val="center"/>
              <w:rPr>
                <w:rFonts w:ascii="Calibri" w:hAnsi="Calibri" w:cs="Calibri"/>
                <w:szCs w:val="16"/>
              </w:rPr>
            </w:pPr>
            <w:r>
              <w:rPr>
                <w:rFonts w:ascii="Calibri" w:hAnsi="Calibri" w:cs="Calibri"/>
                <w:szCs w:val="16"/>
              </w:rPr>
              <w:t>25%</w:t>
            </w:r>
          </w:p>
        </w:tc>
      </w:tr>
    </w:tbl>
    <w:p w14:paraId="6C988A2A" w14:textId="77777777" w:rsidR="00490C75" w:rsidRPr="00FB0D2C" w:rsidRDefault="00490C75" w:rsidP="00490C75">
      <w:pPr>
        <w:pStyle w:val="ProductList-ClauseHeading"/>
        <w:spacing w:before="120"/>
        <w:rPr>
          <w:rFonts w:ascii="Calibri" w:hAnsi="Calibri" w:cs="Calibri"/>
          <w:szCs w:val="18"/>
        </w:rPr>
      </w:pPr>
      <w:r>
        <w:rPr>
          <w:rFonts w:ascii="Calibri" w:hAnsi="Calibri" w:cs="Calibri"/>
          <w:szCs w:val="18"/>
        </w:rPr>
        <w:t>Level Cool, Cold und Archive</w:t>
      </w:r>
    </w:p>
    <w:p w14:paraId="32F95BA1" w14:textId="77777777" w:rsidR="00490C75" w:rsidRPr="00FB0D2C" w:rsidRDefault="00490C75" w:rsidP="00490C75">
      <w:pPr>
        <w:pStyle w:val="ProductList-ClauseHeading"/>
        <w:rPr>
          <w:rFonts w:ascii="Calibri" w:hAnsi="Calibri" w:cs="Calibri"/>
          <w:szCs w:val="18"/>
        </w:rPr>
      </w:pPr>
      <w:r>
        <w:rPr>
          <w:rFonts w:ascii="Calibri" w:hAnsi="Calibri" w:cs="Calibri"/>
          <w:szCs w:val="18"/>
        </w:rPr>
        <w:t>Servicegutschrift – LRS, ZRS, GRS, GZRS, RA-GRS und RA-GZRS (Schreibanforderung) für Access-Levels Cool, Cold und Archive</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490C75" w:rsidRPr="00B44CF9" w14:paraId="50266889" w14:textId="77777777" w:rsidTr="00C20A28">
        <w:trPr>
          <w:trHeight w:val="245"/>
          <w:tblHeader/>
        </w:trPr>
        <w:tc>
          <w:tcPr>
            <w:tcW w:w="2500" w:type="pct"/>
            <w:tcBorders>
              <w:bottom w:val="single" w:sz="4" w:space="0" w:color="auto"/>
            </w:tcBorders>
            <w:shd w:val="clear" w:color="auto" w:fill="0072C6"/>
          </w:tcPr>
          <w:p w14:paraId="233CF865" w14:textId="77777777" w:rsidR="00490C75" w:rsidRPr="00FB0D2C" w:rsidRDefault="00490C75"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Betriebszeitprozentsatz</w:t>
            </w:r>
          </w:p>
        </w:tc>
        <w:tc>
          <w:tcPr>
            <w:tcW w:w="2500" w:type="pct"/>
            <w:tcBorders>
              <w:bottom w:val="single" w:sz="4" w:space="0" w:color="auto"/>
            </w:tcBorders>
            <w:shd w:val="clear" w:color="auto" w:fill="0072C6"/>
          </w:tcPr>
          <w:p w14:paraId="75120A6A" w14:textId="77777777" w:rsidR="00490C75" w:rsidRPr="00FB0D2C" w:rsidRDefault="00490C75"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Servicegutschrift</w:t>
            </w:r>
          </w:p>
        </w:tc>
      </w:tr>
      <w:tr w:rsidR="00490C75" w:rsidRPr="00B44CF9" w14:paraId="7ECEA0F4" w14:textId="77777777" w:rsidTr="00C20A28">
        <w:trPr>
          <w:trHeight w:val="245"/>
        </w:trPr>
        <w:tc>
          <w:tcPr>
            <w:tcW w:w="2500" w:type="pct"/>
            <w:tcBorders>
              <w:top w:val="single" w:sz="4" w:space="0" w:color="auto"/>
              <w:left w:val="single" w:sz="4" w:space="0" w:color="auto"/>
              <w:bottom w:val="single" w:sz="4" w:space="0" w:color="auto"/>
              <w:right w:val="single" w:sz="4" w:space="0" w:color="auto"/>
            </w:tcBorders>
          </w:tcPr>
          <w:p w14:paraId="6C853C7D" w14:textId="77777777" w:rsidR="00490C75" w:rsidRPr="00FB0D2C" w:rsidRDefault="00490C75" w:rsidP="00C20A28">
            <w:pPr>
              <w:pStyle w:val="ProductList-OfferingBody"/>
              <w:jc w:val="center"/>
              <w:rPr>
                <w:rFonts w:ascii="Calibri" w:hAnsi="Calibri" w:cs="Calibri"/>
                <w:szCs w:val="16"/>
              </w:rPr>
            </w:pPr>
            <w:r>
              <w:rPr>
                <w:rFonts w:ascii="Calibri" w:hAnsi="Calibri" w:cs="Calibri"/>
                <w:szCs w:val="16"/>
              </w:rPr>
              <w:t>&lt; 99%</w:t>
            </w:r>
          </w:p>
        </w:tc>
        <w:tc>
          <w:tcPr>
            <w:tcW w:w="2500" w:type="pct"/>
            <w:tcBorders>
              <w:top w:val="single" w:sz="4" w:space="0" w:color="auto"/>
              <w:left w:val="single" w:sz="4" w:space="0" w:color="auto"/>
              <w:bottom w:val="single" w:sz="4" w:space="0" w:color="auto"/>
              <w:right w:val="single" w:sz="4" w:space="0" w:color="auto"/>
            </w:tcBorders>
          </w:tcPr>
          <w:p w14:paraId="4E6E76C1" w14:textId="77777777" w:rsidR="00490C75" w:rsidRPr="00FB0D2C" w:rsidRDefault="00490C75" w:rsidP="00C20A28">
            <w:pPr>
              <w:pStyle w:val="ProductList-OfferingBody"/>
              <w:jc w:val="center"/>
              <w:rPr>
                <w:rFonts w:ascii="Calibri" w:hAnsi="Calibri" w:cs="Calibri"/>
                <w:szCs w:val="16"/>
              </w:rPr>
            </w:pPr>
            <w:r>
              <w:rPr>
                <w:rFonts w:ascii="Calibri" w:hAnsi="Calibri" w:cs="Calibri"/>
                <w:szCs w:val="16"/>
              </w:rPr>
              <w:t>10%</w:t>
            </w:r>
          </w:p>
        </w:tc>
      </w:tr>
      <w:tr w:rsidR="00490C75" w:rsidRPr="00B44CF9" w14:paraId="4E8246FF" w14:textId="77777777" w:rsidTr="00C20A28">
        <w:trPr>
          <w:trHeight w:val="245"/>
        </w:trPr>
        <w:tc>
          <w:tcPr>
            <w:tcW w:w="2500" w:type="pct"/>
            <w:tcBorders>
              <w:top w:val="single" w:sz="4" w:space="0" w:color="auto"/>
              <w:left w:val="single" w:sz="4" w:space="0" w:color="auto"/>
              <w:bottom w:val="single" w:sz="4" w:space="0" w:color="auto"/>
              <w:right w:val="single" w:sz="4" w:space="0" w:color="auto"/>
            </w:tcBorders>
          </w:tcPr>
          <w:p w14:paraId="58019E7C" w14:textId="77777777" w:rsidR="00490C75" w:rsidRPr="00FB0D2C" w:rsidRDefault="00490C75" w:rsidP="00C20A28">
            <w:pPr>
              <w:pStyle w:val="ProductList-OfferingBody"/>
              <w:jc w:val="center"/>
              <w:rPr>
                <w:rFonts w:ascii="Calibri" w:hAnsi="Calibri" w:cs="Calibri"/>
                <w:szCs w:val="16"/>
              </w:rPr>
            </w:pPr>
            <w:r>
              <w:rPr>
                <w:rFonts w:ascii="Calibri" w:hAnsi="Calibri" w:cs="Calibri"/>
                <w:szCs w:val="16"/>
              </w:rPr>
              <w:t>&lt; 98%</w:t>
            </w:r>
          </w:p>
        </w:tc>
        <w:tc>
          <w:tcPr>
            <w:tcW w:w="2500" w:type="pct"/>
            <w:tcBorders>
              <w:top w:val="single" w:sz="4" w:space="0" w:color="auto"/>
              <w:left w:val="single" w:sz="4" w:space="0" w:color="auto"/>
              <w:bottom w:val="single" w:sz="4" w:space="0" w:color="auto"/>
              <w:right w:val="single" w:sz="4" w:space="0" w:color="auto"/>
            </w:tcBorders>
          </w:tcPr>
          <w:p w14:paraId="5129DFF9" w14:textId="77777777" w:rsidR="00490C75" w:rsidRPr="00FB0D2C" w:rsidRDefault="00490C75" w:rsidP="00C20A28">
            <w:pPr>
              <w:pStyle w:val="ProductList-OfferingBody"/>
              <w:jc w:val="center"/>
              <w:rPr>
                <w:rFonts w:ascii="Calibri" w:hAnsi="Calibri" w:cs="Calibri"/>
                <w:szCs w:val="16"/>
              </w:rPr>
            </w:pPr>
            <w:r>
              <w:rPr>
                <w:rFonts w:ascii="Calibri" w:hAnsi="Calibri" w:cs="Calibri"/>
                <w:szCs w:val="16"/>
              </w:rPr>
              <w:t>25%</w:t>
            </w:r>
          </w:p>
        </w:tc>
      </w:tr>
    </w:tbl>
    <w:p w14:paraId="76EA81EB" w14:textId="77777777" w:rsidR="00490C75" w:rsidRPr="00321BC9" w:rsidRDefault="00490C75" w:rsidP="00490C75">
      <w:pPr>
        <w:pStyle w:val="ProductList-ClauseHeading"/>
        <w:spacing w:before="120"/>
        <w:rPr>
          <w:rFonts w:ascii="Calibri" w:hAnsi="Calibri" w:cs="Calibri"/>
          <w:szCs w:val="18"/>
          <w:lang w:val="en-US"/>
        </w:rPr>
      </w:pPr>
      <w:r w:rsidRPr="00321BC9">
        <w:rPr>
          <w:rFonts w:ascii="Calibri" w:hAnsi="Calibri" w:cs="Calibri"/>
          <w:szCs w:val="18"/>
          <w:lang w:val="en-US"/>
        </w:rPr>
        <w:t>Serviceguthaben – RA-GRS und RA-GZRS (Leseanfragen) Access-Levels Cool, Cold und Archive</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490C75" w:rsidRPr="00B44CF9" w14:paraId="69D56D4F" w14:textId="77777777" w:rsidTr="00C20A28">
        <w:trPr>
          <w:trHeight w:val="245"/>
          <w:tblHeader/>
        </w:trPr>
        <w:tc>
          <w:tcPr>
            <w:tcW w:w="2500" w:type="pct"/>
            <w:shd w:val="clear" w:color="auto" w:fill="0072C6"/>
          </w:tcPr>
          <w:p w14:paraId="1D871A0C" w14:textId="77777777" w:rsidR="00490C75" w:rsidRPr="00FB0D2C" w:rsidRDefault="00490C75"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Betriebszeitprozentsatz</w:t>
            </w:r>
          </w:p>
        </w:tc>
        <w:tc>
          <w:tcPr>
            <w:tcW w:w="2500" w:type="pct"/>
            <w:shd w:val="clear" w:color="auto" w:fill="0072C6"/>
          </w:tcPr>
          <w:p w14:paraId="62FEF3A2" w14:textId="77777777" w:rsidR="00490C75" w:rsidRPr="00FB0D2C" w:rsidRDefault="00490C75"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Servicegutschrift</w:t>
            </w:r>
          </w:p>
        </w:tc>
      </w:tr>
      <w:tr w:rsidR="00490C75" w:rsidRPr="00B44CF9" w14:paraId="5A990943" w14:textId="77777777" w:rsidTr="00C20A28">
        <w:trPr>
          <w:trHeight w:val="245"/>
        </w:trPr>
        <w:tc>
          <w:tcPr>
            <w:tcW w:w="2500" w:type="pct"/>
          </w:tcPr>
          <w:p w14:paraId="3BCF5946" w14:textId="77777777" w:rsidR="00490C75" w:rsidRPr="00FB0D2C" w:rsidRDefault="00490C75" w:rsidP="00C20A28">
            <w:pPr>
              <w:pStyle w:val="ProductList-OfferingBody"/>
              <w:jc w:val="center"/>
              <w:rPr>
                <w:rFonts w:ascii="Calibri" w:hAnsi="Calibri" w:cs="Calibri"/>
                <w:szCs w:val="16"/>
              </w:rPr>
            </w:pPr>
            <w:r>
              <w:rPr>
                <w:rFonts w:ascii="Calibri" w:hAnsi="Calibri" w:cs="Calibri"/>
                <w:szCs w:val="16"/>
              </w:rPr>
              <w:t>&lt; 99,9%</w:t>
            </w:r>
          </w:p>
        </w:tc>
        <w:tc>
          <w:tcPr>
            <w:tcW w:w="2500" w:type="pct"/>
          </w:tcPr>
          <w:p w14:paraId="1CA0A9A6" w14:textId="77777777" w:rsidR="00490C75" w:rsidRPr="00FB0D2C" w:rsidRDefault="00490C75" w:rsidP="00C20A28">
            <w:pPr>
              <w:pStyle w:val="ProductList-OfferingBody"/>
              <w:jc w:val="center"/>
              <w:rPr>
                <w:rFonts w:ascii="Calibri" w:hAnsi="Calibri" w:cs="Calibri"/>
                <w:szCs w:val="16"/>
              </w:rPr>
            </w:pPr>
            <w:r>
              <w:rPr>
                <w:rFonts w:ascii="Calibri" w:hAnsi="Calibri" w:cs="Calibri"/>
                <w:szCs w:val="16"/>
              </w:rPr>
              <w:t>10%</w:t>
            </w:r>
          </w:p>
        </w:tc>
      </w:tr>
      <w:tr w:rsidR="00490C75" w:rsidRPr="00B44CF9" w14:paraId="5FF3441D" w14:textId="77777777" w:rsidTr="00C20A28">
        <w:trPr>
          <w:trHeight w:val="245"/>
        </w:trPr>
        <w:tc>
          <w:tcPr>
            <w:tcW w:w="2500" w:type="pct"/>
          </w:tcPr>
          <w:p w14:paraId="3C0545E1" w14:textId="77777777" w:rsidR="00490C75" w:rsidRPr="00FB0D2C" w:rsidRDefault="00490C75" w:rsidP="00C20A28">
            <w:pPr>
              <w:pStyle w:val="ProductList-OfferingBody"/>
              <w:jc w:val="center"/>
              <w:rPr>
                <w:rFonts w:ascii="Calibri" w:hAnsi="Calibri" w:cs="Calibri"/>
                <w:szCs w:val="16"/>
              </w:rPr>
            </w:pPr>
            <w:r>
              <w:rPr>
                <w:rFonts w:ascii="Calibri" w:hAnsi="Calibri" w:cs="Calibri"/>
                <w:szCs w:val="16"/>
              </w:rPr>
              <w:t>&lt; 98%</w:t>
            </w:r>
          </w:p>
        </w:tc>
        <w:tc>
          <w:tcPr>
            <w:tcW w:w="2500" w:type="pct"/>
          </w:tcPr>
          <w:p w14:paraId="315689DA" w14:textId="77777777" w:rsidR="00490C75" w:rsidRPr="00FB0D2C" w:rsidRDefault="00490C75" w:rsidP="00C20A28">
            <w:pPr>
              <w:pStyle w:val="ProductList-OfferingBody"/>
              <w:jc w:val="center"/>
              <w:rPr>
                <w:rFonts w:ascii="Calibri" w:hAnsi="Calibri" w:cs="Calibri"/>
                <w:szCs w:val="16"/>
              </w:rPr>
            </w:pPr>
            <w:r>
              <w:rPr>
                <w:rFonts w:ascii="Calibri" w:hAnsi="Calibri" w:cs="Calibri"/>
                <w:szCs w:val="16"/>
              </w:rPr>
              <w:t>25%</w:t>
            </w:r>
          </w:p>
        </w:tc>
      </w:tr>
    </w:tbl>
    <w:p w14:paraId="1288F729" w14:textId="77777777" w:rsidR="00490C75" w:rsidRPr="00FB0D2C" w:rsidRDefault="00490C75" w:rsidP="00490C75">
      <w:pPr>
        <w:pStyle w:val="ProductList-ClauseHeading"/>
        <w:spacing w:before="120"/>
        <w:rPr>
          <w:rFonts w:ascii="Calibri" w:hAnsi="Calibri" w:cs="Calibri"/>
          <w:szCs w:val="18"/>
        </w:rPr>
      </w:pPr>
      <w:r>
        <w:rPr>
          <w:rFonts w:ascii="Calibri" w:hAnsi="Calibri" w:cs="Calibri"/>
          <w:szCs w:val="18"/>
        </w:rPr>
        <w:lastRenderedPageBreak/>
        <w:t>Serviceguthaben – LRS, ZRS, GRS, GZRS (Leseanfragen) für Access-Levels Cool, Cold und Archive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90C75" w:rsidRPr="00B44CF9" w14:paraId="6ABAE8E4" w14:textId="77777777" w:rsidTr="00C20A28">
        <w:trPr>
          <w:trHeight w:val="245"/>
          <w:tblHeader/>
        </w:trPr>
        <w:tc>
          <w:tcPr>
            <w:tcW w:w="5400" w:type="dxa"/>
            <w:shd w:val="clear" w:color="auto" w:fill="0072C6"/>
          </w:tcPr>
          <w:p w14:paraId="2B7EA594" w14:textId="77777777" w:rsidR="00490C75" w:rsidRPr="00FB0D2C" w:rsidRDefault="00490C75"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Betriebszeitprozentsatz</w:t>
            </w:r>
          </w:p>
        </w:tc>
        <w:tc>
          <w:tcPr>
            <w:tcW w:w="5400" w:type="dxa"/>
            <w:shd w:val="clear" w:color="auto" w:fill="0072C6"/>
          </w:tcPr>
          <w:p w14:paraId="34A2F5C2" w14:textId="77777777" w:rsidR="00490C75" w:rsidRPr="00FB0D2C" w:rsidRDefault="00490C75"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Servicegutschrift</w:t>
            </w:r>
          </w:p>
        </w:tc>
      </w:tr>
      <w:tr w:rsidR="00490C75" w:rsidRPr="00B44CF9" w14:paraId="1867AA39" w14:textId="77777777" w:rsidTr="00C20A28">
        <w:trPr>
          <w:trHeight w:val="245"/>
        </w:trPr>
        <w:tc>
          <w:tcPr>
            <w:tcW w:w="5400" w:type="dxa"/>
          </w:tcPr>
          <w:p w14:paraId="1F8575BB" w14:textId="77777777" w:rsidR="00490C75" w:rsidRPr="00FB0D2C" w:rsidRDefault="00490C75" w:rsidP="00C20A28">
            <w:pPr>
              <w:pStyle w:val="ProductList-OfferingBody"/>
              <w:jc w:val="center"/>
              <w:rPr>
                <w:rFonts w:ascii="Calibri" w:hAnsi="Calibri" w:cs="Calibri"/>
                <w:szCs w:val="16"/>
              </w:rPr>
            </w:pPr>
            <w:r>
              <w:rPr>
                <w:rFonts w:ascii="Calibri" w:hAnsi="Calibri" w:cs="Calibri"/>
                <w:szCs w:val="16"/>
              </w:rPr>
              <w:t>&lt; 99,9%</w:t>
            </w:r>
          </w:p>
        </w:tc>
        <w:tc>
          <w:tcPr>
            <w:tcW w:w="5400" w:type="dxa"/>
          </w:tcPr>
          <w:p w14:paraId="5E0246EC" w14:textId="77777777" w:rsidR="00490C75" w:rsidRPr="00FB0D2C" w:rsidRDefault="00490C75" w:rsidP="00C20A28">
            <w:pPr>
              <w:pStyle w:val="ProductList-OfferingBody"/>
              <w:jc w:val="center"/>
              <w:rPr>
                <w:rFonts w:ascii="Calibri" w:hAnsi="Calibri" w:cs="Calibri"/>
                <w:szCs w:val="16"/>
              </w:rPr>
            </w:pPr>
            <w:r>
              <w:rPr>
                <w:rFonts w:ascii="Calibri" w:hAnsi="Calibri" w:cs="Calibri"/>
                <w:szCs w:val="16"/>
              </w:rPr>
              <w:t>10%</w:t>
            </w:r>
          </w:p>
        </w:tc>
      </w:tr>
      <w:tr w:rsidR="00490C75" w:rsidRPr="00B44CF9" w14:paraId="7232BC0A" w14:textId="77777777" w:rsidTr="00C20A28">
        <w:trPr>
          <w:trHeight w:val="245"/>
        </w:trPr>
        <w:tc>
          <w:tcPr>
            <w:tcW w:w="5400" w:type="dxa"/>
          </w:tcPr>
          <w:p w14:paraId="5BFA020E" w14:textId="77777777" w:rsidR="00490C75" w:rsidRPr="00FB0D2C" w:rsidRDefault="00490C75" w:rsidP="00C20A28">
            <w:pPr>
              <w:pStyle w:val="ProductList-OfferingBody"/>
              <w:jc w:val="center"/>
              <w:rPr>
                <w:rFonts w:ascii="Calibri" w:hAnsi="Calibri" w:cs="Calibri"/>
                <w:szCs w:val="16"/>
              </w:rPr>
            </w:pPr>
            <w:r>
              <w:rPr>
                <w:rFonts w:ascii="Calibri" w:hAnsi="Calibri" w:cs="Calibri"/>
                <w:szCs w:val="16"/>
              </w:rPr>
              <w:t>&lt; 98%</w:t>
            </w:r>
          </w:p>
        </w:tc>
        <w:tc>
          <w:tcPr>
            <w:tcW w:w="5400" w:type="dxa"/>
          </w:tcPr>
          <w:p w14:paraId="212DB984" w14:textId="77777777" w:rsidR="00490C75" w:rsidRPr="00FB0D2C" w:rsidRDefault="00490C75" w:rsidP="00C20A28">
            <w:pPr>
              <w:pStyle w:val="ProductList-OfferingBody"/>
              <w:jc w:val="center"/>
              <w:rPr>
                <w:rFonts w:ascii="Calibri" w:hAnsi="Calibri" w:cs="Calibri"/>
                <w:szCs w:val="16"/>
              </w:rPr>
            </w:pPr>
            <w:r>
              <w:rPr>
                <w:rFonts w:ascii="Calibri" w:hAnsi="Calibri" w:cs="Calibri"/>
                <w:szCs w:val="16"/>
              </w:rPr>
              <w:t>25%</w:t>
            </w:r>
          </w:p>
        </w:tc>
      </w:tr>
    </w:tbl>
    <w:p w14:paraId="1F64C997" w14:textId="77777777" w:rsidR="00490C75" w:rsidRPr="00FB0D2C" w:rsidRDefault="00490C75" w:rsidP="00490C75">
      <w:pPr>
        <w:pStyle w:val="ProductList-Body"/>
        <w:tabs>
          <w:tab w:val="clear" w:pos="360"/>
          <w:tab w:val="clear" w:pos="720"/>
          <w:tab w:val="clear" w:pos="1080"/>
        </w:tabs>
        <w:spacing w:before="120"/>
        <w:rPr>
          <w:rFonts w:ascii="Calibri" w:hAnsi="Calibri" w:cs="Calibri"/>
          <w:color w:val="000000" w:themeColor="text1"/>
        </w:rPr>
      </w:pPr>
      <w:r>
        <w:rPr>
          <w:rFonts w:ascii="Calibri" w:hAnsi="Calibri" w:cs="Calibri"/>
          <w:b/>
          <w:bCs/>
          <w:color w:val="00188F"/>
        </w:rPr>
        <w:t>Dienstausnahmen</w:t>
      </w:r>
      <w:r>
        <w:rPr>
          <w:rFonts w:ascii="Calibri" w:hAnsi="Calibri" w:cs="Calibri"/>
          <w:b/>
          <w:bCs/>
          <w:color w:val="000000" w:themeColor="text1"/>
        </w:rPr>
        <w:t>:</w:t>
      </w:r>
      <w:r>
        <w:rPr>
          <w:rFonts w:ascii="Calibri" w:hAnsi="Calibri" w:cs="Calibri"/>
          <w:color w:val="000000" w:themeColor="text1"/>
        </w:rPr>
        <w:t xml:space="preserve"> Die SLA für Cool, Cold und Archive gelten nur für Speicherkontotypen, diese Stufen unterstützen.</w:t>
      </w:r>
    </w:p>
    <w:p w14:paraId="65CECBB5" w14:textId="49479004"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49F2F550" w14:textId="77777777" w:rsidR="000F2B16" w:rsidRPr="00EF7CF9" w:rsidRDefault="000F2B16" w:rsidP="007D5D75">
      <w:pPr>
        <w:pStyle w:val="ProductList-Offering2Heading"/>
        <w:keepNext/>
        <w:tabs>
          <w:tab w:val="clear" w:pos="360"/>
          <w:tab w:val="clear" w:pos="720"/>
          <w:tab w:val="clear" w:pos="1080"/>
        </w:tabs>
        <w:outlineLvl w:val="2"/>
      </w:pPr>
      <w:bookmarkStart w:id="546" w:name="_Toc195543207"/>
      <w:bookmarkStart w:id="547" w:name="_Toc237449068"/>
      <w:r>
        <w:t>StorSimple</w:t>
      </w:r>
      <w:bookmarkEnd w:id="544"/>
      <w:bookmarkEnd w:id="545"/>
      <w:bookmarkEnd w:id="546"/>
      <w:bookmarkEnd w:id="547"/>
    </w:p>
    <w:p w14:paraId="08B9E4A5" w14:textId="77777777" w:rsidR="000F2B16" w:rsidRPr="00EF7CF9" w:rsidRDefault="000F2B16" w:rsidP="000F2B16">
      <w:pPr>
        <w:pStyle w:val="ProductList-Body"/>
      </w:pPr>
      <w:r>
        <w:rPr>
          <w:b/>
          <w:color w:val="00188F"/>
        </w:rPr>
        <w:t>Zusätzliche Definitionen</w:t>
      </w:r>
      <w:r w:rsidRPr="00633DA0">
        <w:rPr>
          <w:b/>
          <w:color w:val="00188F"/>
        </w:rPr>
        <w:t>:</w:t>
      </w:r>
    </w:p>
    <w:p w14:paraId="5E85349A" w14:textId="77777777" w:rsidR="000F2B16" w:rsidRPr="00EF7CF9" w:rsidRDefault="000F2B16" w:rsidP="003B6E41">
      <w:pPr>
        <w:pStyle w:val="ProductList-Body"/>
      </w:pPr>
      <w:r>
        <w:t>„</w:t>
      </w:r>
      <w:r>
        <w:rPr>
          <w:b/>
          <w:color w:val="00188F"/>
        </w:rPr>
        <w:t>Sicherung</w:t>
      </w:r>
      <w:r>
        <w:t>“ ist der Prozess der Sicherung von Daten eines registrierten StorSimple-Geräts auf einem oder mehreren zugeordneten Cloudspeicherkonten in Microsoft Azure.</w:t>
      </w:r>
    </w:p>
    <w:p w14:paraId="373FEDA9" w14:textId="77777777" w:rsidR="000F2B16" w:rsidRPr="00EF7CF9" w:rsidRDefault="000F2B16" w:rsidP="003B6E41">
      <w:pPr>
        <w:pStyle w:val="ProductList-Body"/>
      </w:pPr>
      <w:r>
        <w:t>„</w:t>
      </w:r>
      <w:r>
        <w:rPr>
          <w:b/>
          <w:color w:val="00188F"/>
        </w:rPr>
        <w:t>Cloudtiering</w:t>
      </w:r>
      <w:r>
        <w:t>“ ist der Prozess der Datenübertragung von einem registrierten StorSimple-Gerät an ein oder mehrere zugeordnete Cloudspeicherkonten in Microsoft Azure.</w:t>
      </w:r>
    </w:p>
    <w:p w14:paraId="2A8D2D95" w14:textId="77777777" w:rsidR="000F2B16" w:rsidRPr="00EF7CF9" w:rsidRDefault="000F2B16" w:rsidP="003B6E41">
      <w:pPr>
        <w:pStyle w:val="ProductList-Body"/>
      </w:pPr>
      <w:r>
        <w:t>„</w:t>
      </w:r>
      <w:r>
        <w:rPr>
          <w:b/>
          <w:color w:val="00188F"/>
        </w:rPr>
        <w:t>Fehler</w:t>
      </w:r>
      <w:r>
        <w:t>“ ist die Unmöglichkeit, einen korrekt konfigurierten Sicherungs-, Tiering- oder Wiederherstellungsvorgang aufgrund der Nichtverfügbarkeit des StorSimple-Dienstes vollständig abzuschließen.</w:t>
      </w:r>
    </w:p>
    <w:p w14:paraId="051A8805" w14:textId="77777777" w:rsidR="000F2B16" w:rsidRPr="00EF7CF9" w:rsidRDefault="000F2B16" w:rsidP="003B6E41">
      <w:pPr>
        <w:pStyle w:val="ProductList-Body"/>
      </w:pPr>
      <w:r>
        <w:t>„</w:t>
      </w:r>
      <w:r>
        <w:rPr>
          <w:b/>
          <w:color w:val="00188F"/>
        </w:rPr>
        <w:t>Verwaltetes Element</w:t>
      </w:r>
      <w:r>
        <w:t>“ bezieht sich auf ein Volume, das dafür konfiguriert wurde, die Cloudspeicherkonten mit dem StorSimple-Dienst zu sichern.</w:t>
      </w:r>
    </w:p>
    <w:p w14:paraId="65E0E7F4" w14:textId="77777777" w:rsidR="000F2B16" w:rsidRPr="00EF7CF9" w:rsidRDefault="000F2B16" w:rsidP="003B6E41">
      <w:pPr>
        <w:pStyle w:val="ProductList-Body"/>
      </w:pPr>
      <w:r>
        <w:t>„</w:t>
      </w:r>
      <w:r>
        <w:rPr>
          <w:b/>
          <w:color w:val="00188F"/>
        </w:rPr>
        <w:t>Wiederherstellen</w:t>
      </w:r>
      <w:r>
        <w:t>“ ist der Prozess des Kopierens der Daten an ein registriertes StorSimple-Gerät von den zugeordneten Cloudspeicherkonten aus.</w:t>
      </w:r>
    </w:p>
    <w:p w14:paraId="002F6811" w14:textId="329FC890" w:rsidR="000F2B16" w:rsidRPr="00377C64" w:rsidRDefault="00EE6E3C" w:rsidP="00307209">
      <w:pPr>
        <w:pStyle w:val="ProductList-Body"/>
        <w:rPr>
          <w:b/>
          <w:bCs/>
          <w:color w:val="00188F"/>
        </w:rPr>
      </w:pPr>
      <w:r>
        <w:rPr>
          <w:b/>
          <w:bCs/>
          <w:color w:val="00188F"/>
        </w:rPr>
        <w:t>Berechnung der Betriebszeit und Service-Levels für den StorSimple-Dienst</w:t>
      </w:r>
    </w:p>
    <w:p w14:paraId="35B80149" w14:textId="134E971F" w:rsidR="000F2B16" w:rsidRPr="00EF7CF9" w:rsidRDefault="000F2B16" w:rsidP="00307209">
      <w:pPr>
        <w:pStyle w:val="ProductList-Body"/>
      </w:pPr>
      <w:r>
        <w:t>„</w:t>
      </w:r>
      <w:r>
        <w:rPr>
          <w:b/>
          <w:color w:val="00188F"/>
        </w:rPr>
        <w:t>Bereitstellungsminuten</w:t>
      </w:r>
      <w:r>
        <w:t>“ ist die Gesamtzahl der Minuten, in denen ein Verwaltetes Projekt vom Kunden für Backup oder Cloud Tiering auf einem</w:t>
      </w:r>
      <w:r w:rsidR="007D72BF">
        <w:t> </w:t>
      </w:r>
      <w:r>
        <w:t>StorSimple-Speicherkonto in Microsoft Azure konfiguriert wurde.</w:t>
      </w:r>
    </w:p>
    <w:p w14:paraId="6F160E55" w14:textId="36DE16FA" w:rsidR="000F2B16" w:rsidRPr="00EF7CF9" w:rsidRDefault="000F2B16" w:rsidP="00307209">
      <w:pPr>
        <w:pStyle w:val="ProductList-Body"/>
      </w:pPr>
      <w:r>
        <w:t>„</w:t>
      </w:r>
      <w:r>
        <w:rPr>
          <w:b/>
          <w:color w:val="00188F"/>
        </w:rPr>
        <w:t>Maximal Verfügbare Minuten</w:t>
      </w:r>
      <w:r>
        <w:t>“ ist die Summe aller Bereitstellungsminuten aller Verwalteten Elemente in einem bestimmten Microsoft Azure-Abonnement während eines Anwendbaren Zeitraums.</w:t>
      </w:r>
    </w:p>
    <w:p w14:paraId="3C30BFAD" w14:textId="2C3238F7" w:rsidR="000F2B16" w:rsidRPr="00EF7CF9" w:rsidRDefault="000F2B16" w:rsidP="00307209">
      <w:pPr>
        <w:pStyle w:val="ProductList-Body"/>
      </w:pPr>
      <w:r>
        <w:rPr>
          <w:b/>
          <w:color w:val="00188F"/>
        </w:rPr>
        <w:t>Ausfallzeit</w:t>
      </w:r>
      <w:r w:rsidRPr="00633DA0">
        <w:rPr>
          <w:b/>
          <w:color w:val="00188F"/>
        </w:rPr>
        <w:t>:</w:t>
      </w:r>
      <w:r>
        <w:t xml:space="preserve"> Gesamtzahl der Minuten innerhalb der Maximal Verfügbaren Minuten, in denen der StorSimple-Dienst für das Verwaltete Element nicht verfügbar ist. Der StorSimple-Dienst gilt als nicht verfügbar für ein bestimmtes Verwaltetes Element ab dem ersten Fehler eines Sicherungs-, Cloud-Tiering- oder Wiederherstellungsvorgangs bezüglich des Verwalteten Elements bis zur Einleitung eines erfolgreichen Sicherungs-, Cloud-Tiering- oder Wiederherstellungsvorgangs des Verwalteten Elements, vorausgesetzt, die Wiederholungen werden nicht weniger häufig als ein Mal</w:t>
      </w:r>
      <w:r w:rsidR="009A1BC0">
        <w:t> </w:t>
      </w:r>
      <w:r>
        <w:t>alle dreißig Minuten versucht.</w:t>
      </w:r>
    </w:p>
    <w:p w14:paraId="35361FCC" w14:textId="67AE494A" w:rsidR="000F2B16" w:rsidRPr="00EF7CF9" w:rsidRDefault="00AC48A7" w:rsidP="000F2B16">
      <w:pPr>
        <w:pStyle w:val="ProductList-Body"/>
      </w:pPr>
      <w:r>
        <w:rPr>
          <w:b/>
          <w:color w:val="00188F"/>
        </w:rPr>
        <w:t>Betriebszeitprozentsatz</w:t>
      </w:r>
      <w:r w:rsidRPr="00633DA0">
        <w:rPr>
          <w:b/>
          <w:color w:val="00188F"/>
        </w:rPr>
        <w:t>:</w:t>
      </w:r>
      <w:r>
        <w:t xml:space="preserve"> Der Betriebszeitprozentsatz errechnet sich nach folgender Formel:</w:t>
      </w:r>
    </w:p>
    <w:p w14:paraId="48239E7E" w14:textId="1E3933B8" w:rsidR="000F2B16" w:rsidRPr="00246AD4" w:rsidRDefault="00000000" w:rsidP="00D70182">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1984315A" w14:textId="77777777" w:rsidR="000F2B16" w:rsidRPr="00EF7CF9" w:rsidRDefault="000F2B16" w:rsidP="000F2B16">
      <w:pPr>
        <w:pStyle w:val="ProductList-Body"/>
      </w:pPr>
      <w:r>
        <w:rPr>
          <w:b/>
          <w:color w:val="00188F"/>
        </w:rPr>
        <w:t>Die folgenden Servicelevels und Servicegutschriften gelten für die Nutzung des StorSimple-Dienstes durch den Kunden</w:t>
      </w:r>
      <w:r w:rsidRPr="00633DA0">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55055652" w14:textId="77777777" w:rsidTr="00277097">
        <w:trPr>
          <w:tblHeader/>
        </w:trPr>
        <w:tc>
          <w:tcPr>
            <w:tcW w:w="5400" w:type="dxa"/>
            <w:shd w:val="clear" w:color="auto" w:fill="0072C6"/>
          </w:tcPr>
          <w:p w14:paraId="7F65FA8C" w14:textId="243E9498" w:rsidR="000F2B16"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0649B730" w14:textId="77777777" w:rsidR="000F2B16" w:rsidRPr="00EF7CF9" w:rsidRDefault="000F2B16" w:rsidP="000F31B4">
            <w:pPr>
              <w:pStyle w:val="ProductList-OfferingBody"/>
              <w:jc w:val="center"/>
              <w:rPr>
                <w:color w:val="FFFFFF" w:themeColor="background1"/>
              </w:rPr>
            </w:pPr>
            <w:r>
              <w:rPr>
                <w:color w:val="FFFFFF" w:themeColor="background1"/>
              </w:rPr>
              <w:t>Servicegutschrift</w:t>
            </w:r>
          </w:p>
        </w:tc>
      </w:tr>
      <w:tr w:rsidR="000F2B16" w:rsidRPr="00B44CF9" w14:paraId="11ECD138" w14:textId="77777777" w:rsidTr="00277097">
        <w:tc>
          <w:tcPr>
            <w:tcW w:w="5400" w:type="dxa"/>
          </w:tcPr>
          <w:p w14:paraId="48CD763C" w14:textId="77777777" w:rsidR="000F2B16" w:rsidRPr="00EF7CF9" w:rsidRDefault="000F2B16" w:rsidP="000F31B4">
            <w:pPr>
              <w:pStyle w:val="ProductList-OfferingBody"/>
              <w:jc w:val="center"/>
            </w:pPr>
            <w:r>
              <w:t>&lt; 99,9 %</w:t>
            </w:r>
          </w:p>
        </w:tc>
        <w:tc>
          <w:tcPr>
            <w:tcW w:w="5400" w:type="dxa"/>
          </w:tcPr>
          <w:p w14:paraId="0D3DAB99" w14:textId="77777777" w:rsidR="000F2B16" w:rsidRPr="00EF7CF9" w:rsidRDefault="000F2B16" w:rsidP="000F31B4">
            <w:pPr>
              <w:pStyle w:val="ProductList-OfferingBody"/>
              <w:jc w:val="center"/>
            </w:pPr>
            <w:r>
              <w:t>10 %</w:t>
            </w:r>
          </w:p>
        </w:tc>
      </w:tr>
      <w:tr w:rsidR="000F2B16" w:rsidRPr="00B44CF9" w14:paraId="19797254" w14:textId="77777777" w:rsidTr="00277097">
        <w:tc>
          <w:tcPr>
            <w:tcW w:w="5400" w:type="dxa"/>
          </w:tcPr>
          <w:p w14:paraId="45231381" w14:textId="77777777" w:rsidR="000F2B16" w:rsidRPr="00EF7CF9" w:rsidRDefault="000F2B16" w:rsidP="000F31B4">
            <w:pPr>
              <w:pStyle w:val="ProductList-OfferingBody"/>
              <w:jc w:val="center"/>
            </w:pPr>
            <w:r>
              <w:t>&lt; 99 %</w:t>
            </w:r>
          </w:p>
        </w:tc>
        <w:tc>
          <w:tcPr>
            <w:tcW w:w="5400" w:type="dxa"/>
          </w:tcPr>
          <w:p w14:paraId="6DB0249C" w14:textId="77777777" w:rsidR="000F2B16" w:rsidRPr="00EF7CF9" w:rsidRDefault="000F2B16" w:rsidP="000F31B4">
            <w:pPr>
              <w:pStyle w:val="ProductList-OfferingBody"/>
              <w:jc w:val="center"/>
            </w:pPr>
            <w:r>
              <w:t>25 %</w:t>
            </w:r>
          </w:p>
        </w:tc>
      </w:tr>
    </w:tbl>
    <w:p w14:paraId="6323CB84" w14:textId="0FD76210" w:rsidR="000F2B16" w:rsidRPr="00ED4527" w:rsidRDefault="00EE6E3C" w:rsidP="00307209">
      <w:pPr>
        <w:pStyle w:val="ProductList-Body"/>
        <w:tabs>
          <w:tab w:val="clear" w:pos="360"/>
          <w:tab w:val="clear" w:pos="720"/>
          <w:tab w:val="clear" w:pos="1080"/>
        </w:tabs>
        <w:spacing w:before="120"/>
        <w:rPr>
          <w:b/>
          <w:bCs/>
          <w:color w:val="00188F"/>
        </w:rPr>
      </w:pPr>
      <w:r>
        <w:rPr>
          <w:b/>
          <w:bCs/>
          <w:color w:val="00188F"/>
        </w:rPr>
        <w:t>Berechnung der Betriebszeit und Service-Levels für StorSimple Data Manager</w:t>
      </w:r>
    </w:p>
    <w:p w14:paraId="6F438056" w14:textId="54D9C74B" w:rsidR="000F2B16" w:rsidRPr="00EF7CF9" w:rsidRDefault="000F2B16" w:rsidP="00307209">
      <w:pPr>
        <w:spacing w:after="0" w:line="240" w:lineRule="auto"/>
        <w:rPr>
          <w:rFonts w:eastAsia="Times New Roman" w:cstheme="minorHAnsi"/>
          <w:sz w:val="18"/>
          <w:szCs w:val="18"/>
        </w:rPr>
      </w:pPr>
      <w:r>
        <w:rPr>
          <w:rFonts w:eastAsia="Times New Roman" w:cstheme="minorHAnsi"/>
          <w:bCs/>
          <w:sz w:val="18"/>
          <w:szCs w:val="18"/>
        </w:rPr>
        <w:t>„</w:t>
      </w:r>
      <w:r>
        <w:rPr>
          <w:rFonts w:eastAsia="Times New Roman" w:cstheme="minorHAnsi"/>
          <w:b/>
          <w:bCs/>
          <w:color w:val="00188F"/>
          <w:sz w:val="18"/>
          <w:szCs w:val="18"/>
        </w:rPr>
        <w:t>Gesamtzahl der Anforderungen</w:t>
      </w:r>
      <w:r>
        <w:rPr>
          <w:rFonts w:eastAsia="Times New Roman" w:cstheme="minorHAnsi"/>
          <w:sz w:val="18"/>
          <w:szCs w:val="18"/>
        </w:rPr>
        <w:t>“ ist die Menge aller Anforderungen, mit Ausnahme der Ausgeschlossenen Anforderungen, zur Durchführung von Operationen mit dem Dienst StorSimple Data Manager während eines Anwendbaren Zeitraums für ein bestimmtes Microsoft Azure-Abonnement.</w:t>
      </w:r>
    </w:p>
    <w:p w14:paraId="0B9F46FA" w14:textId="77777777" w:rsidR="000F2B16" w:rsidRPr="00EF7CF9" w:rsidRDefault="000F2B16" w:rsidP="00307209">
      <w:pPr>
        <w:spacing w:after="0" w:line="240" w:lineRule="auto"/>
        <w:rPr>
          <w:rFonts w:eastAsia="Times New Roman" w:cstheme="minorHAnsi"/>
          <w:sz w:val="18"/>
          <w:szCs w:val="18"/>
        </w:rPr>
      </w:pPr>
      <w:r>
        <w:rPr>
          <w:rFonts w:eastAsia="Times New Roman" w:cstheme="minorHAnsi"/>
          <w:sz w:val="18"/>
          <w:szCs w:val="18"/>
        </w:rPr>
        <w:t>„</w:t>
      </w:r>
      <w:r>
        <w:rPr>
          <w:rFonts w:eastAsia="Times New Roman" w:cstheme="minorHAnsi"/>
          <w:b/>
          <w:bCs/>
          <w:color w:val="00188F"/>
          <w:sz w:val="18"/>
          <w:szCs w:val="18"/>
        </w:rPr>
        <w:t>Ausgeschlossene Anforderungen</w:t>
      </w:r>
      <w:r>
        <w:rPr>
          <w:rFonts w:eastAsia="Times New Roman" w:cstheme="minorHAnsi"/>
          <w:sz w:val="18"/>
          <w:szCs w:val="18"/>
        </w:rPr>
        <w:t>“ ist die Menge von Anforderungen, die einen HTTP 4xx-Statuscode zur Folge haben.</w:t>
      </w:r>
    </w:p>
    <w:p w14:paraId="78728F4D" w14:textId="77777777" w:rsidR="000F2B16" w:rsidRPr="00EF7CF9" w:rsidRDefault="000F2B16" w:rsidP="00307209">
      <w:pPr>
        <w:spacing w:after="0" w:line="240" w:lineRule="auto"/>
        <w:rPr>
          <w:rFonts w:eastAsia="Times New Roman" w:cstheme="minorHAnsi"/>
          <w:sz w:val="18"/>
          <w:szCs w:val="18"/>
        </w:rPr>
      </w:pPr>
      <w:r>
        <w:rPr>
          <w:rFonts w:eastAsia="Times New Roman" w:cstheme="minorHAnsi"/>
          <w:sz w:val="18"/>
          <w:szCs w:val="18"/>
        </w:rPr>
        <w:t>„</w:t>
      </w:r>
      <w:r>
        <w:rPr>
          <w:rFonts w:eastAsia="Times New Roman" w:cstheme="minorHAnsi"/>
          <w:b/>
          <w:bCs/>
          <w:color w:val="00188F"/>
          <w:sz w:val="18"/>
          <w:szCs w:val="18"/>
        </w:rPr>
        <w:t>Fehlerhafte Anforderungen</w:t>
      </w:r>
      <w:r>
        <w:rPr>
          <w:rFonts w:eastAsia="Times New Roman" w:cstheme="minorHAnsi"/>
          <w:sz w:val="18"/>
          <w:szCs w:val="18"/>
        </w:rPr>
        <w:t>“ ist die Menge aller Anforderungen innerhalb der Gesamtzahl der Anforderungen, die entweder einen Fehlercode zurückgeben oder innerhalb von 60 Sekunden keinen Erfolgscode anzeigen.</w:t>
      </w:r>
    </w:p>
    <w:p w14:paraId="5DF07CCD" w14:textId="4115322F" w:rsidR="000F2B16" w:rsidRPr="00EF7CF9" w:rsidRDefault="00AC48A7" w:rsidP="00307209">
      <w:pPr>
        <w:pStyle w:val="ProductList-Body"/>
        <w:keepNext/>
        <w:rPr>
          <w:rFonts w:cstheme="minorHAnsi"/>
        </w:rPr>
      </w:pPr>
      <w:r>
        <w:rPr>
          <w:rFonts w:cstheme="minorHAnsi"/>
          <w:b/>
          <w:color w:val="00188F"/>
        </w:rPr>
        <w:t>Betriebszeitprozentsatz</w:t>
      </w:r>
      <w:r w:rsidRPr="00633DA0">
        <w:rPr>
          <w:b/>
          <w:color w:val="00188F"/>
        </w:rPr>
        <w:t>:</w:t>
      </w:r>
      <w:r>
        <w:rPr>
          <w:rFonts w:cstheme="minorHAnsi"/>
        </w:rPr>
        <w:t xml:space="preserve"> Der Betriebszeitprozentsatz errechnet sich nach folgender Formel:</w:t>
      </w:r>
    </w:p>
    <w:p w14:paraId="4249BC7E" w14:textId="1381CF0C" w:rsidR="000F2B16" w:rsidRPr="007E787D" w:rsidRDefault="00000000" w:rsidP="00D70182">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Gesamtzahl der Anforderungen abzüglich Fehlerhafte Anforderungen</m:t>
              </m:r>
            </m:num>
            <m:den>
              <m:r>
                <m:rPr>
                  <m:nor/>
                </m:rPr>
                <w:rPr>
                  <w:rFonts w:ascii="Cambria Math" w:hAnsi="Cambria Math" w:cs="Tahoma"/>
                  <w:i/>
                  <w:color w:val="000000" w:themeColor="text1"/>
                  <w:sz w:val="18"/>
                  <w:szCs w:val="18"/>
                </w:rPr>
                <m:t>Gesamtzahl der Anforderungen</m:t>
              </m:r>
            </m:den>
          </m:f>
          <m:r>
            <w:rPr>
              <w:rFonts w:ascii="Cambria Math" w:hAnsi="Cambria Math" w:cs="Tahoma"/>
              <w:color w:val="000000" w:themeColor="text1"/>
              <w:sz w:val="18"/>
              <w:szCs w:val="18"/>
            </w:rPr>
            <m:t xml:space="preserve"> x 100</m:t>
          </m:r>
        </m:oMath>
      </m:oMathPara>
    </w:p>
    <w:p w14:paraId="21D11866" w14:textId="77777777" w:rsidR="000F2B16" w:rsidRPr="00EF7CF9" w:rsidRDefault="000F2B16" w:rsidP="000F2B16">
      <w:pPr>
        <w:pStyle w:val="ProductList-Body"/>
      </w:pPr>
      <w:r>
        <w:rPr>
          <w:b/>
          <w:color w:val="00188F"/>
        </w:rPr>
        <w:t>Servicegutschrift</w:t>
      </w:r>
      <w:r w:rsidRPr="00633DA0">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52623729" w14:textId="77777777" w:rsidTr="00277097">
        <w:trPr>
          <w:tblHeader/>
        </w:trPr>
        <w:tc>
          <w:tcPr>
            <w:tcW w:w="5400" w:type="dxa"/>
            <w:shd w:val="clear" w:color="auto" w:fill="0072C6"/>
          </w:tcPr>
          <w:p w14:paraId="6DA1C6BC" w14:textId="653313A2" w:rsidR="000F2B16"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725217A6" w14:textId="77777777" w:rsidR="000F2B16" w:rsidRPr="00EF7CF9" w:rsidRDefault="000F2B16" w:rsidP="000F31B4">
            <w:pPr>
              <w:pStyle w:val="ProductList-OfferingBody"/>
              <w:jc w:val="center"/>
              <w:rPr>
                <w:color w:val="FFFFFF" w:themeColor="background1"/>
              </w:rPr>
            </w:pPr>
            <w:r>
              <w:rPr>
                <w:color w:val="FFFFFF" w:themeColor="background1"/>
              </w:rPr>
              <w:t>Servicegutschrift</w:t>
            </w:r>
          </w:p>
        </w:tc>
      </w:tr>
      <w:tr w:rsidR="000F2B16" w:rsidRPr="00B44CF9" w14:paraId="03B83346" w14:textId="77777777" w:rsidTr="00277097">
        <w:tc>
          <w:tcPr>
            <w:tcW w:w="5400" w:type="dxa"/>
          </w:tcPr>
          <w:p w14:paraId="1CEB037A" w14:textId="77777777" w:rsidR="000F2B16" w:rsidRPr="00EF7CF9" w:rsidRDefault="000F2B16" w:rsidP="000F31B4">
            <w:pPr>
              <w:pStyle w:val="ProductList-OfferingBody"/>
              <w:jc w:val="center"/>
            </w:pPr>
            <w:r>
              <w:t>&lt; 99,9 %</w:t>
            </w:r>
          </w:p>
        </w:tc>
        <w:tc>
          <w:tcPr>
            <w:tcW w:w="5400" w:type="dxa"/>
          </w:tcPr>
          <w:p w14:paraId="7EF12227" w14:textId="77777777" w:rsidR="000F2B16" w:rsidRPr="00EF7CF9" w:rsidRDefault="000F2B16" w:rsidP="000F31B4">
            <w:pPr>
              <w:pStyle w:val="ProductList-OfferingBody"/>
              <w:jc w:val="center"/>
            </w:pPr>
            <w:r>
              <w:t>10 %</w:t>
            </w:r>
          </w:p>
        </w:tc>
      </w:tr>
      <w:tr w:rsidR="000F2B16" w:rsidRPr="00B44CF9" w14:paraId="5E479BC7" w14:textId="77777777" w:rsidTr="00277097">
        <w:tc>
          <w:tcPr>
            <w:tcW w:w="5400" w:type="dxa"/>
          </w:tcPr>
          <w:p w14:paraId="4C93B6B5" w14:textId="77777777" w:rsidR="000F2B16" w:rsidRPr="00EF7CF9" w:rsidRDefault="000F2B16" w:rsidP="000F31B4">
            <w:pPr>
              <w:pStyle w:val="ProductList-OfferingBody"/>
              <w:jc w:val="center"/>
            </w:pPr>
            <w:r>
              <w:t>&lt; 99 %</w:t>
            </w:r>
          </w:p>
        </w:tc>
        <w:tc>
          <w:tcPr>
            <w:tcW w:w="5400" w:type="dxa"/>
          </w:tcPr>
          <w:p w14:paraId="59D51305" w14:textId="77777777" w:rsidR="000F2B16" w:rsidRPr="00EF7CF9" w:rsidRDefault="000F2B16" w:rsidP="000F31B4">
            <w:pPr>
              <w:pStyle w:val="ProductList-OfferingBody"/>
              <w:jc w:val="center"/>
            </w:pPr>
            <w:r>
              <w:t>25 %</w:t>
            </w:r>
          </w:p>
        </w:tc>
      </w:tr>
    </w:tbl>
    <w:bookmarkStart w:id="548" w:name="_Toc457821583"/>
    <w:bookmarkStart w:id="549" w:name="_Toc52348991"/>
    <w:p w14:paraId="4969D2E4" w14:textId="045886DA"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6DE16F70" w14:textId="4234B271" w:rsidR="000F2B16" w:rsidRPr="00EF7CF9" w:rsidRDefault="000F2B16" w:rsidP="0030005B">
      <w:pPr>
        <w:pStyle w:val="ProductList-Offering2Heading"/>
        <w:pageBreakBefore/>
        <w:tabs>
          <w:tab w:val="clear" w:pos="360"/>
          <w:tab w:val="clear" w:pos="720"/>
          <w:tab w:val="clear" w:pos="1080"/>
        </w:tabs>
        <w:outlineLvl w:val="2"/>
      </w:pPr>
      <w:bookmarkStart w:id="550" w:name="_Toc195543208"/>
      <w:bookmarkStart w:id="551" w:name="_Toc237449069"/>
      <w:r>
        <w:lastRenderedPageBreak/>
        <w:t>Azure Stream Analytics</w:t>
      </w:r>
      <w:bookmarkEnd w:id="548"/>
      <w:bookmarkEnd w:id="549"/>
      <w:bookmarkEnd w:id="550"/>
      <w:bookmarkEnd w:id="551"/>
    </w:p>
    <w:p w14:paraId="7C7D2088" w14:textId="73851088" w:rsidR="000F2B16" w:rsidRPr="004D48F5" w:rsidRDefault="00EE6E3C" w:rsidP="000F2B16">
      <w:pPr>
        <w:pStyle w:val="ProductList-Body"/>
        <w:rPr>
          <w:b/>
          <w:color w:val="00188F"/>
        </w:rPr>
      </w:pPr>
      <w:r>
        <w:rPr>
          <w:b/>
          <w:color w:val="00188F"/>
        </w:rPr>
        <w:t>Berechnung der Betriebszeit für Stream Analytics-API-Aufrufe</w:t>
      </w:r>
    </w:p>
    <w:p w14:paraId="6756038E" w14:textId="77777777" w:rsidR="000F2B16" w:rsidRPr="00EF7CF9" w:rsidRDefault="000F2B16" w:rsidP="001C39D0">
      <w:pPr>
        <w:pStyle w:val="ProductList-Body"/>
      </w:pPr>
      <w:r>
        <w:rPr>
          <w:b/>
          <w:color w:val="00188F"/>
        </w:rPr>
        <w:t>Zusätzliche Definitionen</w:t>
      </w:r>
      <w:r w:rsidRPr="00633DA0">
        <w:rPr>
          <w:b/>
          <w:color w:val="00188F"/>
        </w:rPr>
        <w:t>:</w:t>
      </w:r>
    </w:p>
    <w:p w14:paraId="69D34C0E" w14:textId="52D813B6" w:rsidR="000F2B16" w:rsidRPr="00EF7CF9" w:rsidRDefault="000F2B16" w:rsidP="001C39D0">
      <w:pPr>
        <w:pStyle w:val="ProductList-Body"/>
      </w:pPr>
      <w:r>
        <w:t>„</w:t>
      </w:r>
      <w:r>
        <w:rPr>
          <w:b/>
          <w:color w:val="00188F"/>
        </w:rPr>
        <w:t>Gesamtzahl der Transaktionsversuche</w:t>
      </w:r>
      <w:r>
        <w:t xml:space="preserve">“ ist die Gesamtzahl der authentifizierten REST-API-Anforderungen zur Verwaltung eines Streaming-Jobs innerhalb des Stream Analytics-Dienstes durch den Kunden während eines Anwendbaren Zeitraums für ein bestimmtes Microsoft Azure-Abonnement. </w:t>
      </w:r>
    </w:p>
    <w:p w14:paraId="6A199D62" w14:textId="77777777" w:rsidR="000F2B16" w:rsidRPr="00EF7CF9" w:rsidRDefault="000F2B16" w:rsidP="001C39D0">
      <w:pPr>
        <w:pStyle w:val="ProductList-Body"/>
      </w:pPr>
      <w:r>
        <w:t>„</w:t>
      </w:r>
      <w:r>
        <w:rPr>
          <w:b/>
          <w:color w:val="00188F"/>
        </w:rPr>
        <w:t>Fehlerhafte Transaktionen</w:t>
      </w:r>
      <w:r>
        <w:t>“ ist die Menge aller Anforderungen innerhalb der Gesamtzahl der Transaktionsversuche, die innerhalb von fünf Minuten nach Eingang der Anforderung bei Microsoft einen Fehlercode zurückgeben oder keinen Erfolgscode anzeigen.</w:t>
      </w:r>
    </w:p>
    <w:p w14:paraId="695392DA" w14:textId="6EFFAE55" w:rsidR="000F2B16" w:rsidRPr="00EF7CF9" w:rsidRDefault="000F2B16" w:rsidP="000F2B16">
      <w:pPr>
        <w:pStyle w:val="ProductList-Body"/>
        <w:keepNext/>
      </w:pPr>
      <w:r>
        <w:t>„</w:t>
      </w:r>
      <w:r>
        <w:rPr>
          <w:b/>
          <w:color w:val="00188F"/>
        </w:rPr>
        <w:t>Betriebszeitprozentsatz</w:t>
      </w:r>
      <w:r>
        <w:t xml:space="preserve">“ für API-Aufrufe innerhalb des Stream Analytics-Dienstes wird durch die folgende Formel ermittelt: </w:t>
      </w:r>
    </w:p>
    <w:p w14:paraId="4635A583" w14:textId="4E760EEC" w:rsidR="000F2B16" w:rsidRPr="001846CE" w:rsidRDefault="001846CE" w:rsidP="00457DBD">
      <w:pPr>
        <w:spacing w:before="120" w:after="0" w:line="240" w:lineRule="auto"/>
        <w:rPr>
          <w:rFonts w:cs="Tahoma"/>
          <w:i/>
          <w:sz w:val="18"/>
          <w:szCs w:val="18"/>
        </w:rPr>
      </w:pPr>
      <m:oMathPara>
        <m:oMath>
          <m:r>
            <m:rPr>
              <m:nor/>
            </m:rPr>
            <w:rPr>
              <w:rFonts w:ascii="Cambria Math" w:hAnsi="Cambria Math" w:cs="Tahoma"/>
              <w:i/>
              <w:sz w:val="18"/>
              <w:szCs w:val="18"/>
            </w:rPr>
            <m:t xml:space="preserve">Monatliche Betriebszeit % = </m:t>
          </m:r>
          <m:f>
            <m:fPr>
              <m:ctrlPr>
                <w:rPr>
                  <w:rFonts w:ascii="Cambria Math" w:hAnsi="Cambria Math" w:cs="Tahoma"/>
                  <w:i/>
                  <w:sz w:val="18"/>
                  <w:szCs w:val="18"/>
                </w:rPr>
              </m:ctrlPr>
            </m:fPr>
            <m:num>
              <m:r>
                <m:rPr>
                  <m:nor/>
                </m:rPr>
                <w:rPr>
                  <w:rFonts w:ascii="Cambria Math" w:hAnsi="Cambria Math" w:cs="Tahoma"/>
                  <w:i/>
                  <w:sz w:val="18"/>
                  <w:szCs w:val="18"/>
                </w:rPr>
                <m:t>Gesamtzahl der Transaktionsversuche abzüglich Fehlerhafte Transaktionen</m:t>
              </m:r>
            </m:num>
            <m:den>
              <m:r>
                <m:rPr>
                  <m:nor/>
                </m:rPr>
                <w:rPr>
                  <w:rFonts w:ascii="Cambria Math" w:hAnsi="Cambria Math" w:cs="Tahoma"/>
                  <w:i/>
                  <w:sz w:val="18"/>
                  <w:szCs w:val="18"/>
                </w:rPr>
                <m:t>Gesamtzahl der Transaktionsversuche</m:t>
              </m:r>
            </m:den>
          </m:f>
        </m:oMath>
      </m:oMathPara>
    </w:p>
    <w:p w14:paraId="131B7726" w14:textId="77777777" w:rsidR="000F2B16" w:rsidRPr="00EF7CF9" w:rsidRDefault="000F2B16" w:rsidP="000F2B16">
      <w:pPr>
        <w:pStyle w:val="ProductList-Body"/>
      </w:pPr>
      <w:r>
        <w:rPr>
          <w:b/>
          <w:color w:val="00188F"/>
        </w:rPr>
        <w:t>Servicegutschrift</w:t>
      </w:r>
      <w:r w:rsidRPr="00633DA0">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00B716C0" w14:textId="77777777" w:rsidTr="00277097">
        <w:trPr>
          <w:tblHeader/>
        </w:trPr>
        <w:tc>
          <w:tcPr>
            <w:tcW w:w="5400" w:type="dxa"/>
            <w:shd w:val="clear" w:color="auto" w:fill="0072C6"/>
          </w:tcPr>
          <w:p w14:paraId="1FB69724" w14:textId="2DD8A1FC" w:rsidR="000F2B16"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3AD10B9B" w14:textId="77777777" w:rsidR="000F2B16" w:rsidRPr="00EF7CF9" w:rsidRDefault="000F2B16" w:rsidP="000F31B4">
            <w:pPr>
              <w:pStyle w:val="ProductList-OfferingBody"/>
              <w:jc w:val="center"/>
              <w:rPr>
                <w:color w:val="FFFFFF" w:themeColor="background1"/>
              </w:rPr>
            </w:pPr>
            <w:r>
              <w:rPr>
                <w:color w:val="FFFFFF" w:themeColor="background1"/>
              </w:rPr>
              <w:t>Servicegutschrift</w:t>
            </w:r>
          </w:p>
        </w:tc>
      </w:tr>
      <w:tr w:rsidR="000F2B16" w:rsidRPr="00B44CF9" w14:paraId="0F576094" w14:textId="77777777" w:rsidTr="00277097">
        <w:tc>
          <w:tcPr>
            <w:tcW w:w="5400" w:type="dxa"/>
          </w:tcPr>
          <w:p w14:paraId="0AF06446" w14:textId="77777777" w:rsidR="000F2B16" w:rsidRPr="00EF7CF9" w:rsidRDefault="000F2B16" w:rsidP="000F31B4">
            <w:pPr>
              <w:pStyle w:val="ProductList-OfferingBody"/>
              <w:jc w:val="center"/>
            </w:pPr>
            <w:r>
              <w:t>&lt; 99,9 %</w:t>
            </w:r>
          </w:p>
        </w:tc>
        <w:tc>
          <w:tcPr>
            <w:tcW w:w="5400" w:type="dxa"/>
          </w:tcPr>
          <w:p w14:paraId="43437E77" w14:textId="77777777" w:rsidR="000F2B16" w:rsidRPr="00EF7CF9" w:rsidRDefault="000F2B16" w:rsidP="000F31B4">
            <w:pPr>
              <w:pStyle w:val="ProductList-OfferingBody"/>
              <w:jc w:val="center"/>
            </w:pPr>
            <w:r>
              <w:t>10 %</w:t>
            </w:r>
          </w:p>
        </w:tc>
      </w:tr>
      <w:tr w:rsidR="000F2B16" w:rsidRPr="00B44CF9" w14:paraId="4F03B08D" w14:textId="77777777" w:rsidTr="00277097">
        <w:tc>
          <w:tcPr>
            <w:tcW w:w="5400" w:type="dxa"/>
          </w:tcPr>
          <w:p w14:paraId="2620D88C" w14:textId="77777777" w:rsidR="000F2B16" w:rsidRPr="00EF7CF9" w:rsidRDefault="000F2B16" w:rsidP="000F31B4">
            <w:pPr>
              <w:pStyle w:val="ProductList-OfferingBody"/>
              <w:jc w:val="center"/>
            </w:pPr>
            <w:r>
              <w:t>&lt; 99 %</w:t>
            </w:r>
          </w:p>
        </w:tc>
        <w:tc>
          <w:tcPr>
            <w:tcW w:w="5400" w:type="dxa"/>
          </w:tcPr>
          <w:p w14:paraId="552030F9" w14:textId="77777777" w:rsidR="000F2B16" w:rsidRPr="00EF7CF9" w:rsidRDefault="000F2B16" w:rsidP="000F31B4">
            <w:pPr>
              <w:pStyle w:val="ProductList-OfferingBody"/>
              <w:jc w:val="center"/>
            </w:pPr>
            <w:r>
              <w:t>25 %</w:t>
            </w:r>
          </w:p>
        </w:tc>
      </w:tr>
    </w:tbl>
    <w:p w14:paraId="5B98E0DF" w14:textId="6ACB12BE" w:rsidR="000F2B16" w:rsidRPr="004D48F5" w:rsidRDefault="00EE6E3C" w:rsidP="00627E91">
      <w:pPr>
        <w:pStyle w:val="ProductList-Body"/>
        <w:spacing w:before="120"/>
        <w:rPr>
          <w:b/>
          <w:color w:val="00188F"/>
        </w:rPr>
      </w:pPr>
      <w:r>
        <w:rPr>
          <w:b/>
          <w:color w:val="00188F"/>
        </w:rPr>
        <w:t>Berechnung der Betriebszeit für Stream Analytics-Jobs</w:t>
      </w:r>
    </w:p>
    <w:p w14:paraId="12F7A813" w14:textId="77777777" w:rsidR="000F2B16" w:rsidRPr="00EF7CF9" w:rsidRDefault="000F2B16" w:rsidP="003B6E41">
      <w:pPr>
        <w:pStyle w:val="ProductList-Body"/>
      </w:pPr>
      <w:r>
        <w:rPr>
          <w:b/>
          <w:color w:val="00188F"/>
        </w:rPr>
        <w:t>Zusätzliche Definitionen</w:t>
      </w:r>
      <w:r w:rsidRPr="00633DA0">
        <w:rPr>
          <w:b/>
          <w:color w:val="00188F"/>
        </w:rPr>
        <w:t>:</w:t>
      </w:r>
    </w:p>
    <w:p w14:paraId="41F7AB4E" w14:textId="0B9AE6D5" w:rsidR="000F2B16" w:rsidRPr="00EF7CF9" w:rsidRDefault="000F2B16" w:rsidP="003B6E41">
      <w:pPr>
        <w:pStyle w:val="ProductList-Body"/>
        <w:tabs>
          <w:tab w:val="left" w:pos="0"/>
        </w:tabs>
        <w:jc w:val="both"/>
      </w:pPr>
      <w:r>
        <w:t>„</w:t>
      </w:r>
      <w:r>
        <w:rPr>
          <w:b/>
          <w:color w:val="00188F"/>
        </w:rPr>
        <w:t>Bereitstellungsminuten</w:t>
      </w:r>
      <w:r>
        <w:t>“ ist die Gesamtzahl der Minuten, in denen ein bestimmter Job innerhalb des Stream Analytics-Dienstes während eines Anwendbaren Zeitraums bereitgestellt wurde.</w:t>
      </w:r>
    </w:p>
    <w:p w14:paraId="5573B756" w14:textId="50962AC2" w:rsidR="000F2B16" w:rsidRPr="00EF7CF9" w:rsidRDefault="000F2B16" w:rsidP="003B6E41">
      <w:pPr>
        <w:pStyle w:val="ProductList-Body"/>
        <w:tabs>
          <w:tab w:val="left" w:pos="0"/>
        </w:tabs>
      </w:pPr>
      <w:r>
        <w:t>„</w:t>
      </w:r>
      <w:r>
        <w:rPr>
          <w:b/>
          <w:color w:val="00188F"/>
        </w:rPr>
        <w:t>Maximal Verfügbare Minuten</w:t>
      </w:r>
      <w:r>
        <w:t>“ ist die Summe aller Bereitstellungsminuten für alle vom Kunden in einem bestimmten Microsoft Azure-Abonnement während eines Anwendbaren Zeitraums bereitgestellten Jobs.</w:t>
      </w:r>
    </w:p>
    <w:p w14:paraId="534D3C93" w14:textId="77777777" w:rsidR="000F2B16" w:rsidRPr="00EF7CF9" w:rsidRDefault="000F2B16" w:rsidP="000F2B16">
      <w:pPr>
        <w:pStyle w:val="ProductList-Body"/>
        <w:tabs>
          <w:tab w:val="left" w:pos="0"/>
        </w:tabs>
        <w:jc w:val="both"/>
      </w:pPr>
      <w:r>
        <w:rPr>
          <w:b/>
          <w:color w:val="00188F"/>
        </w:rPr>
        <w:t>Ausfallzeit</w:t>
      </w:r>
      <w:r>
        <w:t xml:space="preserve"> ist die Summe der kumulierten Bereitstellungsminuten aller vom Kunden in einem bestimmten Microsoft Azure-Abonnement bereitgestellten Jobs, in denen der Job nicht verfügbar ist. Eine Minute gilt für einen bereitgestellten Job als nicht verfügbar, wenn der Job während dieser Minute weder Daten verarbeitet noch für die Verarbeitung von Daten zur Verfügung steht.</w:t>
      </w:r>
    </w:p>
    <w:p w14:paraId="5519C78A" w14:textId="2BF322DA" w:rsidR="000F2B16" w:rsidRPr="00EF7CF9" w:rsidRDefault="00AC48A7" w:rsidP="000F2B16">
      <w:pPr>
        <w:pStyle w:val="ProductList-Body"/>
        <w:keepNext/>
        <w:tabs>
          <w:tab w:val="left" w:pos="0"/>
        </w:tabs>
        <w:jc w:val="both"/>
      </w:pPr>
      <w:r>
        <w:t xml:space="preserve">Der </w:t>
      </w:r>
      <w:r>
        <w:rPr>
          <w:b/>
          <w:color w:val="00188F"/>
        </w:rPr>
        <w:t>Betriebszeitprozentsatz</w:t>
      </w:r>
      <w:r>
        <w:t xml:space="preserve"> für Jobs innerhalb des Stream Analytics-Dienstes wird durch die folgende Formel ermittelt:</w:t>
      </w:r>
    </w:p>
    <w:p w14:paraId="45B1882D" w14:textId="22274E53" w:rsidR="000F2B16" w:rsidRPr="00246AD4" w:rsidRDefault="00000000" w:rsidP="00C77120">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46C204FB" w14:textId="77777777" w:rsidR="000F2B16" w:rsidRPr="00EF7CF9" w:rsidRDefault="000F2B16" w:rsidP="000F2B16">
      <w:pPr>
        <w:pStyle w:val="ProductList-Body"/>
      </w:pPr>
      <w:r>
        <w:rPr>
          <w:b/>
          <w:color w:val="00188F"/>
        </w:rPr>
        <w:t>Servicegutschrift</w:t>
      </w:r>
      <w:r w:rsidRPr="00633DA0">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02C0C985" w14:textId="77777777" w:rsidTr="00277097">
        <w:trPr>
          <w:tblHeader/>
        </w:trPr>
        <w:tc>
          <w:tcPr>
            <w:tcW w:w="5400" w:type="dxa"/>
            <w:shd w:val="clear" w:color="auto" w:fill="0072C6"/>
          </w:tcPr>
          <w:p w14:paraId="1C45FAD6" w14:textId="298CDEE3" w:rsidR="000F2B16"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43B49B90" w14:textId="77777777" w:rsidR="000F2B16" w:rsidRPr="00EF7CF9" w:rsidRDefault="000F2B16" w:rsidP="000F31B4">
            <w:pPr>
              <w:pStyle w:val="ProductList-OfferingBody"/>
              <w:jc w:val="center"/>
              <w:rPr>
                <w:color w:val="FFFFFF" w:themeColor="background1"/>
              </w:rPr>
            </w:pPr>
            <w:r>
              <w:rPr>
                <w:color w:val="FFFFFF" w:themeColor="background1"/>
              </w:rPr>
              <w:t>Servicegutschrift</w:t>
            </w:r>
          </w:p>
        </w:tc>
      </w:tr>
      <w:tr w:rsidR="000F2B16" w:rsidRPr="00B44CF9" w14:paraId="530C2DD2" w14:textId="77777777" w:rsidTr="00277097">
        <w:tc>
          <w:tcPr>
            <w:tcW w:w="5400" w:type="dxa"/>
          </w:tcPr>
          <w:p w14:paraId="38FF9D80" w14:textId="77777777" w:rsidR="000F2B16" w:rsidRPr="00EF7CF9" w:rsidRDefault="000F2B16" w:rsidP="000F31B4">
            <w:pPr>
              <w:pStyle w:val="ProductList-OfferingBody"/>
              <w:jc w:val="center"/>
            </w:pPr>
            <w:r>
              <w:t>&lt; 99,9 %</w:t>
            </w:r>
          </w:p>
        </w:tc>
        <w:tc>
          <w:tcPr>
            <w:tcW w:w="5400" w:type="dxa"/>
          </w:tcPr>
          <w:p w14:paraId="414A1B75" w14:textId="77777777" w:rsidR="000F2B16" w:rsidRPr="00EF7CF9" w:rsidRDefault="000F2B16" w:rsidP="000F31B4">
            <w:pPr>
              <w:pStyle w:val="ProductList-OfferingBody"/>
              <w:jc w:val="center"/>
            </w:pPr>
            <w:r>
              <w:t>10 %</w:t>
            </w:r>
          </w:p>
        </w:tc>
      </w:tr>
      <w:tr w:rsidR="000F2B16" w:rsidRPr="00B44CF9" w14:paraId="2C7C38CA" w14:textId="77777777" w:rsidTr="00277097">
        <w:tc>
          <w:tcPr>
            <w:tcW w:w="5400" w:type="dxa"/>
          </w:tcPr>
          <w:p w14:paraId="1546B4B9" w14:textId="77777777" w:rsidR="000F2B16" w:rsidRPr="00EF7CF9" w:rsidRDefault="000F2B16" w:rsidP="000F31B4">
            <w:pPr>
              <w:pStyle w:val="ProductList-OfferingBody"/>
              <w:jc w:val="center"/>
            </w:pPr>
            <w:r>
              <w:t>&lt; 99 %</w:t>
            </w:r>
          </w:p>
        </w:tc>
        <w:tc>
          <w:tcPr>
            <w:tcW w:w="5400" w:type="dxa"/>
          </w:tcPr>
          <w:p w14:paraId="548FD21B" w14:textId="77777777" w:rsidR="000F2B16" w:rsidRPr="00EF7CF9" w:rsidRDefault="000F2B16" w:rsidP="000F31B4">
            <w:pPr>
              <w:pStyle w:val="ProductList-OfferingBody"/>
              <w:jc w:val="center"/>
            </w:pPr>
            <w:r>
              <w:t>25 %</w:t>
            </w:r>
          </w:p>
        </w:tc>
      </w:tr>
    </w:tbl>
    <w:bookmarkStart w:id="552" w:name="SQLDatabaseService_BasicStandardPremium"/>
    <w:bookmarkStart w:id="553" w:name="_Toc412532210"/>
    <w:p w14:paraId="4E707562" w14:textId="7DBFB018"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716DF67F" w14:textId="77777777" w:rsidR="00532997" w:rsidRPr="00EF7CF9" w:rsidRDefault="00532997" w:rsidP="00163C9E">
      <w:pPr>
        <w:pStyle w:val="ProductList-Offering2Heading"/>
        <w:tabs>
          <w:tab w:val="clear" w:pos="360"/>
          <w:tab w:val="clear" w:pos="720"/>
          <w:tab w:val="clear" w:pos="1080"/>
        </w:tabs>
        <w:outlineLvl w:val="2"/>
      </w:pPr>
      <w:bookmarkStart w:id="554" w:name="_Toc195543209"/>
      <w:bookmarkStart w:id="555" w:name="_Toc237449070"/>
      <w:r>
        <w:t>Azure Synapse Analytics</w:t>
      </w:r>
      <w:bookmarkEnd w:id="554"/>
      <w:bookmarkEnd w:id="555"/>
    </w:p>
    <w:p w14:paraId="22966524" w14:textId="77777777" w:rsidR="00532997" w:rsidRPr="00EF7CF9" w:rsidRDefault="00532997" w:rsidP="00532997">
      <w:pPr>
        <w:pStyle w:val="ProductList-Body"/>
      </w:pPr>
      <w:r>
        <w:rPr>
          <w:b/>
          <w:color w:val="00188F"/>
        </w:rPr>
        <w:t>Zusätzliche Definitionen</w:t>
      </w:r>
      <w:r w:rsidRPr="00633DA0">
        <w:rPr>
          <w:b/>
          <w:color w:val="00188F"/>
        </w:rPr>
        <w:t>:</w:t>
      </w:r>
    </w:p>
    <w:p w14:paraId="7EB2EB6B" w14:textId="77777777" w:rsidR="00532997" w:rsidRPr="00ED4527" w:rsidRDefault="00532997" w:rsidP="003B6E41">
      <w:pPr>
        <w:pStyle w:val="ProductList-Body"/>
        <w:rPr>
          <w:b/>
          <w:bCs/>
          <w:color w:val="00188F"/>
        </w:rPr>
      </w:pPr>
      <w:r>
        <w:rPr>
          <w:b/>
          <w:bCs/>
          <w:color w:val="00188F"/>
        </w:rPr>
        <w:t>Synapse SQL</w:t>
      </w:r>
    </w:p>
    <w:p w14:paraId="30FE63CE" w14:textId="77777777" w:rsidR="00532997" w:rsidRPr="00ED4527" w:rsidRDefault="00532997" w:rsidP="003B6E41">
      <w:pPr>
        <w:pStyle w:val="ProductList-Body"/>
        <w:rPr>
          <w:color w:val="000000" w:themeColor="text1"/>
        </w:rPr>
      </w:pPr>
      <w:r>
        <w:rPr>
          <w:color w:val="000000" w:themeColor="text1"/>
        </w:rPr>
        <w:t>„</w:t>
      </w:r>
      <w:r>
        <w:rPr>
          <w:b/>
          <w:bCs/>
          <w:color w:val="00188F"/>
        </w:rPr>
        <w:t>Datenbank</w:t>
      </w:r>
      <w:r>
        <w:rPr>
          <w:color w:val="000000" w:themeColor="text1"/>
        </w:rPr>
        <w:t>“ bedeutet jede Synapse SQL-Datenbank.</w:t>
      </w:r>
    </w:p>
    <w:p w14:paraId="2A479A19" w14:textId="1C4F6E34" w:rsidR="00532997" w:rsidRPr="00ED4527" w:rsidRDefault="00532997" w:rsidP="003B6E41">
      <w:pPr>
        <w:pStyle w:val="ProductList-Body"/>
        <w:rPr>
          <w:color w:val="000000" w:themeColor="text1"/>
        </w:rPr>
      </w:pPr>
      <w:r w:rsidRPr="00445B42">
        <w:t>„</w:t>
      </w:r>
      <w:r>
        <w:rPr>
          <w:b/>
          <w:bCs/>
          <w:color w:val="00188F"/>
        </w:rPr>
        <w:t>Maximal Verfügbare Minuten</w:t>
      </w:r>
      <w:r>
        <w:rPr>
          <w:color w:val="000000" w:themeColor="text1"/>
        </w:rPr>
        <w:t>“ bezeichnet die Gesamtzahl der Minuten, in denen eine bestimmte Datenbank in Microsoft Azure während eines Anwendbaren Zeitraums in einem bestimmten Microsoft Azure-Abonnement bereitgestellt wird.</w:t>
      </w:r>
    </w:p>
    <w:p w14:paraId="17EF76C5" w14:textId="401A3EE1" w:rsidR="00532997" w:rsidRPr="00ED4527" w:rsidRDefault="00445B42" w:rsidP="003B6E41">
      <w:pPr>
        <w:pStyle w:val="ProductList-Body"/>
        <w:rPr>
          <w:color w:val="000000" w:themeColor="text1"/>
        </w:rPr>
      </w:pPr>
      <w:r w:rsidRPr="00445B42">
        <w:t>„</w:t>
      </w:r>
      <w:r w:rsidR="00532997">
        <w:rPr>
          <w:b/>
          <w:bCs/>
          <w:color w:val="00188F"/>
        </w:rPr>
        <w:t>Clientvorgänge</w:t>
      </w:r>
      <w:r>
        <w:rPr>
          <w:color w:val="000000" w:themeColor="text1"/>
        </w:rPr>
        <w:t>“</w:t>
      </w:r>
      <w:r w:rsidR="00532997">
        <w:rPr>
          <w:color w:val="000000" w:themeColor="text1"/>
        </w:rPr>
        <w:t xml:space="preserve"> bezeichnet die Menge aller dokumentierten Vorgänge, die von Azure Synapse Analytics unterstützt werden.</w:t>
      </w:r>
    </w:p>
    <w:p w14:paraId="58AC1432" w14:textId="2E437C29" w:rsidR="00532997" w:rsidRPr="00ED4527" w:rsidRDefault="00532997" w:rsidP="003B6E41">
      <w:pPr>
        <w:pStyle w:val="ProductList-Body"/>
        <w:rPr>
          <w:color w:val="000000" w:themeColor="text1"/>
        </w:rPr>
      </w:pPr>
      <w:r>
        <w:rPr>
          <w:color w:val="000000" w:themeColor="text1"/>
        </w:rPr>
        <w:t>„</w:t>
      </w:r>
      <w:r>
        <w:rPr>
          <w:b/>
          <w:bCs/>
          <w:color w:val="00188F"/>
        </w:rPr>
        <w:t>Ausfallzeit</w:t>
      </w:r>
      <w:r>
        <w:rPr>
          <w:color w:val="000000" w:themeColor="text1"/>
        </w:rPr>
        <w:t>“ bezeichnet die Gesamtzahl der Minuten während eines Anwendbaren Zeitraums für ein bestimmtes Microsoft Azure-Abonnement, in denen eine bestimmte Datenbank nicht verfügbar ist. Eine Minute gilt für eine bestimmte Datenbank als nicht verfügbar, wenn mehr als 1 % aller innerhalb dieser Minute durchgeführten Client-Vorgänge zu einem Fehlercode führen.</w:t>
      </w:r>
    </w:p>
    <w:p w14:paraId="5C8F9795" w14:textId="6A71554E" w:rsidR="00532997" w:rsidRDefault="00532997" w:rsidP="003B6E41">
      <w:pPr>
        <w:pStyle w:val="ProductList-Body"/>
        <w:rPr>
          <w:color w:val="000000" w:themeColor="text1"/>
        </w:rPr>
      </w:pPr>
      <w:r>
        <w:t xml:space="preserve">Der </w:t>
      </w:r>
      <w:r>
        <w:rPr>
          <w:color w:val="000000" w:themeColor="text1"/>
        </w:rPr>
        <w:t>„</w:t>
      </w:r>
      <w:r>
        <w:rPr>
          <w:b/>
          <w:bCs/>
          <w:color w:val="00188F"/>
        </w:rPr>
        <w:t>Betriebszeitprozentsatz</w:t>
      </w:r>
      <w:r>
        <w:rPr>
          <w:color w:val="000000" w:themeColor="text1"/>
        </w:rPr>
        <w:t xml:space="preserve">“ für eine bestimmte Datenbank wird berechnet aus den Maximal Verfügbaren Minuten abzüglich der Ausfallzeit, geteilt durch die Maximal Verfügbaren Minuten in einem Anwendbaren Zeitraum in einem bestimmten Azure-Abonnement. </w:t>
      </w:r>
    </w:p>
    <w:p w14:paraId="0BB70BAB" w14:textId="18E2869A" w:rsidR="00532997" w:rsidRPr="00EF7CF9" w:rsidRDefault="00AC48A7" w:rsidP="003B6E41">
      <w:pPr>
        <w:pStyle w:val="ProductList-Body"/>
      </w:pPr>
      <w:r>
        <w:rPr>
          <w:color w:val="000000" w:themeColor="text1"/>
        </w:rPr>
        <w:t>Der Betriebszeitprozentsatz wird durch die folgende Formel ermittelt:</w:t>
      </w:r>
    </w:p>
    <w:p w14:paraId="08475F1D" w14:textId="58F490C8" w:rsidR="00532997" w:rsidRPr="00246AD4" w:rsidRDefault="00000000" w:rsidP="00C77120">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351893A8" w14:textId="77777777" w:rsidR="00532997" w:rsidRDefault="00532997" w:rsidP="00532997">
      <w:pPr>
        <w:pStyle w:val="ProductList-Body"/>
        <w:rPr>
          <w:b/>
          <w:color w:val="00188F"/>
        </w:rPr>
      </w:pPr>
      <w:r>
        <w:rPr>
          <w:b/>
          <w:color w:val="00188F"/>
        </w:rPr>
        <w:t>Servicegutschrift</w:t>
      </w:r>
      <w:r w:rsidRPr="00633DA0">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5F56CB3B" w14:textId="77777777" w:rsidTr="00277097">
        <w:trPr>
          <w:tblHeader/>
        </w:trPr>
        <w:tc>
          <w:tcPr>
            <w:tcW w:w="5400" w:type="dxa"/>
            <w:shd w:val="clear" w:color="auto" w:fill="0072C6"/>
          </w:tcPr>
          <w:p w14:paraId="0AE56FBF" w14:textId="45527FB0" w:rsidR="00532997"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1EFCB274" w14:textId="77777777" w:rsidR="00532997" w:rsidRPr="00EF7CF9" w:rsidRDefault="00532997" w:rsidP="000F31B4">
            <w:pPr>
              <w:pStyle w:val="ProductList-OfferingBody"/>
              <w:jc w:val="center"/>
              <w:rPr>
                <w:color w:val="FFFFFF" w:themeColor="background1"/>
              </w:rPr>
            </w:pPr>
            <w:r>
              <w:rPr>
                <w:color w:val="FFFFFF" w:themeColor="background1"/>
              </w:rPr>
              <w:t>Servicegutschrift</w:t>
            </w:r>
          </w:p>
        </w:tc>
      </w:tr>
      <w:tr w:rsidR="00532997" w:rsidRPr="00B44CF9" w14:paraId="4F00F91D" w14:textId="77777777" w:rsidTr="00277097">
        <w:tc>
          <w:tcPr>
            <w:tcW w:w="5400" w:type="dxa"/>
          </w:tcPr>
          <w:p w14:paraId="1FBF6E07" w14:textId="77777777" w:rsidR="00532997" w:rsidRPr="00EF7CF9" w:rsidRDefault="00532997" w:rsidP="000F31B4">
            <w:pPr>
              <w:pStyle w:val="ProductList-OfferingBody"/>
              <w:jc w:val="center"/>
            </w:pPr>
            <w:r>
              <w:t>&lt; 99,9 %</w:t>
            </w:r>
          </w:p>
        </w:tc>
        <w:tc>
          <w:tcPr>
            <w:tcW w:w="5400" w:type="dxa"/>
          </w:tcPr>
          <w:p w14:paraId="0DECC2FC" w14:textId="77777777" w:rsidR="00532997" w:rsidRPr="00EF7CF9" w:rsidRDefault="00532997" w:rsidP="000F31B4">
            <w:pPr>
              <w:pStyle w:val="ProductList-OfferingBody"/>
              <w:jc w:val="center"/>
            </w:pPr>
            <w:r>
              <w:t>10 %</w:t>
            </w:r>
          </w:p>
        </w:tc>
      </w:tr>
      <w:tr w:rsidR="00532997" w:rsidRPr="00B44CF9" w14:paraId="71A276B0" w14:textId="77777777" w:rsidTr="00277097">
        <w:tc>
          <w:tcPr>
            <w:tcW w:w="5400" w:type="dxa"/>
          </w:tcPr>
          <w:p w14:paraId="7361B6E2" w14:textId="77777777" w:rsidR="00532997" w:rsidRPr="00EF7CF9" w:rsidRDefault="00532997" w:rsidP="000F31B4">
            <w:pPr>
              <w:pStyle w:val="ProductList-OfferingBody"/>
              <w:jc w:val="center"/>
            </w:pPr>
            <w:r>
              <w:t>&lt; 99 %</w:t>
            </w:r>
          </w:p>
        </w:tc>
        <w:tc>
          <w:tcPr>
            <w:tcW w:w="5400" w:type="dxa"/>
          </w:tcPr>
          <w:p w14:paraId="06B1E4C8" w14:textId="77777777" w:rsidR="00532997" w:rsidRPr="00EF7CF9" w:rsidRDefault="00532997" w:rsidP="000F31B4">
            <w:pPr>
              <w:pStyle w:val="ProductList-OfferingBody"/>
              <w:jc w:val="center"/>
            </w:pPr>
            <w:r>
              <w:t>25 %</w:t>
            </w:r>
          </w:p>
        </w:tc>
      </w:tr>
    </w:tbl>
    <w:p w14:paraId="00B03A53" w14:textId="77777777" w:rsidR="00532997" w:rsidRPr="00ED4527" w:rsidRDefault="00532997" w:rsidP="00627E91">
      <w:pPr>
        <w:pStyle w:val="ProductList-Body"/>
        <w:spacing w:before="120"/>
        <w:rPr>
          <w:b/>
          <w:bCs/>
          <w:color w:val="00188F"/>
        </w:rPr>
      </w:pPr>
      <w:bookmarkStart w:id="556" w:name="_Toc457821578"/>
      <w:r>
        <w:rPr>
          <w:b/>
          <w:bCs/>
          <w:color w:val="00188F"/>
        </w:rPr>
        <w:lastRenderedPageBreak/>
        <w:t>Datenintegration in Azure Synapse</w:t>
      </w:r>
    </w:p>
    <w:p w14:paraId="03BA2359" w14:textId="77777777" w:rsidR="00532997" w:rsidRPr="00ED4527" w:rsidRDefault="00532997" w:rsidP="00532997">
      <w:pPr>
        <w:pStyle w:val="ProductList-Body"/>
        <w:rPr>
          <w:color w:val="000000" w:themeColor="text1"/>
        </w:rPr>
      </w:pPr>
      <w:r>
        <w:rPr>
          <w:color w:val="000000" w:themeColor="text1"/>
        </w:rPr>
        <w:t>„</w:t>
      </w:r>
      <w:r>
        <w:rPr>
          <w:b/>
          <w:bCs/>
          <w:color w:val="00188F"/>
        </w:rPr>
        <w:t>Datenintegrationsressourcen</w:t>
      </w:r>
      <w:r>
        <w:rPr>
          <w:color w:val="000000" w:themeColor="text1"/>
        </w:rPr>
        <w:t>“ bedeutet Integrationslaufzeiten (einschließlich Azure und selbst gehostete Integrationslaufzeiten), Auslöser, Pipelines, Datensätze und verknüpfte Dienste, die in einem Azure Synapse-Arbeitsbereich erstellt werden.</w:t>
      </w:r>
    </w:p>
    <w:p w14:paraId="16EAD2B8" w14:textId="77777777" w:rsidR="00532997" w:rsidRPr="00ED4527" w:rsidRDefault="00532997" w:rsidP="00532997">
      <w:pPr>
        <w:pStyle w:val="ProductList-Body"/>
        <w:rPr>
          <w:color w:val="000000" w:themeColor="text1"/>
        </w:rPr>
      </w:pPr>
      <w:r>
        <w:rPr>
          <w:color w:val="000000" w:themeColor="text1"/>
        </w:rPr>
        <w:t>„</w:t>
      </w:r>
      <w:r>
        <w:rPr>
          <w:b/>
          <w:bCs/>
          <w:color w:val="00188F"/>
        </w:rPr>
        <w:t>Aktivitätsausführung</w:t>
      </w:r>
      <w:r>
        <w:rPr>
          <w:color w:val="000000" w:themeColor="text1"/>
        </w:rPr>
        <w:t>“ bezeichnet die Ausführung oder versuchte Ausführung einer Aktivität.</w:t>
      </w:r>
    </w:p>
    <w:p w14:paraId="49A2A375" w14:textId="5F8625B1" w:rsidR="00532997" w:rsidRPr="00ED4527" w:rsidRDefault="00EE6E3C" w:rsidP="00532997">
      <w:pPr>
        <w:pStyle w:val="ProductList-Body"/>
        <w:spacing w:before="120"/>
        <w:rPr>
          <w:b/>
          <w:bCs/>
          <w:color w:val="00188F"/>
        </w:rPr>
      </w:pPr>
      <w:r>
        <w:rPr>
          <w:b/>
          <w:bCs/>
          <w:color w:val="00188F"/>
        </w:rPr>
        <w:t>Berechnung der Betriebszeit für Datenintegrations-API-Aufrufe</w:t>
      </w:r>
    </w:p>
    <w:p w14:paraId="7F65AC6D" w14:textId="3860D27D" w:rsidR="00532997" w:rsidRPr="00ED4527" w:rsidRDefault="00532997" w:rsidP="001846CE">
      <w:pPr>
        <w:pStyle w:val="ProductList-Body"/>
        <w:ind w:right="846"/>
        <w:rPr>
          <w:color w:val="000000" w:themeColor="text1"/>
        </w:rPr>
      </w:pPr>
      <w:r>
        <w:rPr>
          <w:color w:val="000000" w:themeColor="text1"/>
        </w:rPr>
        <w:t>„</w:t>
      </w:r>
      <w:r>
        <w:rPr>
          <w:b/>
          <w:bCs/>
          <w:color w:val="00188F"/>
        </w:rPr>
        <w:t>Gesamtzahl der Anforderungen</w:t>
      </w:r>
      <w:r>
        <w:rPr>
          <w:color w:val="000000" w:themeColor="text1"/>
        </w:rPr>
        <w:t>“ bezeichnet die Menge aller Anforderungen, mit Ausnahme der Ausgeschlossenen Anforderungen, zur Ausführung von Vorgängen mit Datenintegrationsressourcen während eines Anwendbaren Zeitraums für ein bestimmtes Microsoft Azure-Abonnement.</w:t>
      </w:r>
    </w:p>
    <w:p w14:paraId="7A94DDB6" w14:textId="77777777" w:rsidR="00532997" w:rsidRPr="00ED4527" w:rsidRDefault="00532997" w:rsidP="00532997">
      <w:pPr>
        <w:pStyle w:val="ProductList-Body"/>
        <w:rPr>
          <w:color w:val="000000" w:themeColor="text1"/>
        </w:rPr>
      </w:pPr>
      <w:r>
        <w:rPr>
          <w:color w:val="000000" w:themeColor="text1"/>
        </w:rPr>
        <w:t>„</w:t>
      </w:r>
      <w:r>
        <w:rPr>
          <w:b/>
          <w:bCs/>
          <w:color w:val="00188F"/>
        </w:rPr>
        <w:t>Ausgeschlossene Anforderungen</w:t>
      </w:r>
      <w:r>
        <w:rPr>
          <w:color w:val="000000" w:themeColor="text1"/>
        </w:rPr>
        <w:t>“ bezeichnet die Menge der Anforderungen, die zu einem HTTP 4xx-Statuscode führen, mit Ausnahme eines HTTP 408-Statuscodes.</w:t>
      </w:r>
    </w:p>
    <w:p w14:paraId="3C0A82BB" w14:textId="77777777" w:rsidR="00532997" w:rsidRPr="00ED4527" w:rsidRDefault="00532997" w:rsidP="00532997">
      <w:pPr>
        <w:pStyle w:val="ProductList-Body"/>
        <w:rPr>
          <w:color w:val="000000" w:themeColor="text1"/>
        </w:rPr>
      </w:pPr>
      <w:r>
        <w:rPr>
          <w:color w:val="000000" w:themeColor="text1"/>
        </w:rPr>
        <w:t>„</w:t>
      </w:r>
      <w:r>
        <w:rPr>
          <w:b/>
          <w:bCs/>
          <w:color w:val="00188F"/>
        </w:rPr>
        <w:t>Fehlerhafte Anforderungen</w:t>
      </w:r>
      <w:r>
        <w:rPr>
          <w:color w:val="000000" w:themeColor="text1"/>
        </w:rPr>
        <w:t>“ ist die Menge aller Anforderungen innerhalb der Anforderungen, die entweder einen Fehlercode oder einen HTTP 408-Statuscode zurückgeben oder anderweitig innerhalb von zwei Minuten keinen Erfolgscode liefern.</w:t>
      </w:r>
    </w:p>
    <w:p w14:paraId="7A462442" w14:textId="223320D5" w:rsidR="00532997" w:rsidRDefault="00532997" w:rsidP="00532997">
      <w:pPr>
        <w:pStyle w:val="ProductList-Body"/>
        <w:tabs>
          <w:tab w:val="clear" w:pos="360"/>
          <w:tab w:val="clear" w:pos="720"/>
          <w:tab w:val="clear" w:pos="1080"/>
        </w:tabs>
        <w:rPr>
          <w:color w:val="000000" w:themeColor="text1"/>
        </w:rPr>
      </w:pPr>
      <w:r>
        <w:t xml:space="preserve">Der </w:t>
      </w:r>
      <w:r>
        <w:rPr>
          <w:color w:val="000000" w:themeColor="text1"/>
        </w:rPr>
        <w:t>„</w:t>
      </w:r>
      <w:r>
        <w:rPr>
          <w:b/>
          <w:bCs/>
          <w:color w:val="00188F"/>
        </w:rPr>
        <w:t>Betriebszeitprozentsatz</w:t>
      </w:r>
      <w:r>
        <w:rPr>
          <w:color w:val="000000" w:themeColor="text1"/>
        </w:rPr>
        <w:t>“ für die an die Datenintegrationsressourcen erfolgten API-Aufrufe wird berechnet als Gesamtzahl der Anforderungen abzüglich der Fehlerhaften Anforderungen geteilt durch die Gesamtzahl der Anforderungen in einem Anwendbaren Zeitraum für ein bestimmtes Microsoft Azure-Abonnement.</w:t>
      </w:r>
    </w:p>
    <w:p w14:paraId="6FEA007E" w14:textId="5F7F1507" w:rsidR="00532997" w:rsidRPr="00ED4527" w:rsidRDefault="00AC48A7" w:rsidP="00532997">
      <w:pPr>
        <w:pStyle w:val="ProductList-Body"/>
        <w:tabs>
          <w:tab w:val="clear" w:pos="360"/>
          <w:tab w:val="clear" w:pos="720"/>
          <w:tab w:val="clear" w:pos="1080"/>
        </w:tabs>
        <w:rPr>
          <w:color w:val="000000" w:themeColor="text1"/>
        </w:rPr>
      </w:pPr>
      <w:r>
        <w:rPr>
          <w:color w:val="000000" w:themeColor="text1"/>
        </w:rPr>
        <w:t>Der Betriebszeitprozentsatz wird durch die folgende Formel ermittelt:</w:t>
      </w:r>
    </w:p>
    <w:p w14:paraId="51A208AC" w14:textId="7EE54673" w:rsidR="00532997" w:rsidRPr="007E787D" w:rsidRDefault="00000000" w:rsidP="00C672F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Gesamtzahl der Anforderungen abzüglich Fehlerhafte Anforderungen</m:t>
              </m:r>
            </m:num>
            <m:den>
              <m:r>
                <m:rPr>
                  <m:nor/>
                </m:rPr>
                <w:rPr>
                  <w:rFonts w:ascii="Cambria Math" w:hAnsi="Cambria Math" w:cs="Tahoma"/>
                  <w:i/>
                  <w:color w:val="000000" w:themeColor="text1"/>
                  <w:sz w:val="18"/>
                  <w:szCs w:val="18"/>
                </w:rPr>
                <m:t>Gesamtzahl der Anforderungen</m:t>
              </m:r>
            </m:den>
          </m:f>
          <m:r>
            <w:rPr>
              <w:rFonts w:ascii="Cambria Math" w:hAnsi="Cambria Math" w:cs="Tahoma"/>
              <w:color w:val="000000" w:themeColor="text1"/>
              <w:sz w:val="18"/>
              <w:szCs w:val="18"/>
            </w:rPr>
            <m:t xml:space="preserve"> x 100</m:t>
          </m:r>
        </m:oMath>
      </m:oMathPara>
    </w:p>
    <w:p w14:paraId="50337EBB" w14:textId="77777777" w:rsidR="00532997" w:rsidRDefault="00532997" w:rsidP="001846CE">
      <w:pPr>
        <w:pStyle w:val="ProductList-Body"/>
        <w:ind w:right="144"/>
        <w:rPr>
          <w:b/>
          <w:color w:val="00188F"/>
        </w:rPr>
      </w:pPr>
      <w:r>
        <w:rPr>
          <w:b/>
          <w:color w:val="00188F"/>
        </w:rPr>
        <w:t>Die folgenden Servicegutschriften gelten für die Nutzung von Datenintegrations-API-Aufrufen innerhalb des Synapse-Arbeitsbereichs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43F0A344" w14:textId="77777777" w:rsidTr="00277097">
        <w:trPr>
          <w:tblHeader/>
        </w:trPr>
        <w:tc>
          <w:tcPr>
            <w:tcW w:w="5400" w:type="dxa"/>
            <w:shd w:val="clear" w:color="auto" w:fill="0072C6"/>
          </w:tcPr>
          <w:p w14:paraId="6291BA60" w14:textId="29568D9A" w:rsidR="00532997"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0BA7EB0A" w14:textId="77777777" w:rsidR="00532997" w:rsidRPr="00EF7CF9" w:rsidRDefault="00532997" w:rsidP="000F31B4">
            <w:pPr>
              <w:pStyle w:val="ProductList-OfferingBody"/>
              <w:jc w:val="center"/>
              <w:rPr>
                <w:color w:val="FFFFFF" w:themeColor="background1"/>
              </w:rPr>
            </w:pPr>
            <w:r>
              <w:rPr>
                <w:color w:val="FFFFFF" w:themeColor="background1"/>
              </w:rPr>
              <w:t>Servicegutschrift</w:t>
            </w:r>
          </w:p>
        </w:tc>
      </w:tr>
      <w:tr w:rsidR="00532997" w:rsidRPr="00B44CF9" w14:paraId="4C5DB495" w14:textId="77777777" w:rsidTr="00277097">
        <w:tc>
          <w:tcPr>
            <w:tcW w:w="5400" w:type="dxa"/>
          </w:tcPr>
          <w:p w14:paraId="01B4503B" w14:textId="77777777" w:rsidR="00532997" w:rsidRPr="00EF7CF9" w:rsidRDefault="00532997" w:rsidP="000F31B4">
            <w:pPr>
              <w:pStyle w:val="ProductList-OfferingBody"/>
              <w:jc w:val="center"/>
            </w:pPr>
            <w:r>
              <w:t>&lt; 99,9 %</w:t>
            </w:r>
          </w:p>
        </w:tc>
        <w:tc>
          <w:tcPr>
            <w:tcW w:w="5400" w:type="dxa"/>
          </w:tcPr>
          <w:p w14:paraId="7D76A9D1" w14:textId="77777777" w:rsidR="00532997" w:rsidRPr="00EF7CF9" w:rsidRDefault="00532997" w:rsidP="000F31B4">
            <w:pPr>
              <w:pStyle w:val="ProductList-OfferingBody"/>
              <w:jc w:val="center"/>
            </w:pPr>
            <w:r>
              <w:t>10 %</w:t>
            </w:r>
          </w:p>
        </w:tc>
      </w:tr>
      <w:tr w:rsidR="00532997" w:rsidRPr="00B44CF9" w14:paraId="5594ECC9" w14:textId="77777777" w:rsidTr="00277097">
        <w:tc>
          <w:tcPr>
            <w:tcW w:w="5400" w:type="dxa"/>
          </w:tcPr>
          <w:p w14:paraId="41E59A0F" w14:textId="77777777" w:rsidR="00532997" w:rsidRPr="00EF7CF9" w:rsidRDefault="00532997" w:rsidP="000F31B4">
            <w:pPr>
              <w:pStyle w:val="ProductList-OfferingBody"/>
              <w:jc w:val="center"/>
            </w:pPr>
            <w:r>
              <w:t>&lt; 99 %</w:t>
            </w:r>
          </w:p>
        </w:tc>
        <w:tc>
          <w:tcPr>
            <w:tcW w:w="5400" w:type="dxa"/>
          </w:tcPr>
          <w:p w14:paraId="20541ACD" w14:textId="77777777" w:rsidR="00532997" w:rsidRPr="00EF7CF9" w:rsidRDefault="00532997" w:rsidP="000F31B4">
            <w:pPr>
              <w:pStyle w:val="ProductList-OfferingBody"/>
              <w:jc w:val="center"/>
            </w:pPr>
            <w:r>
              <w:t>25 %</w:t>
            </w:r>
          </w:p>
        </w:tc>
      </w:tr>
    </w:tbl>
    <w:p w14:paraId="4D4CAB58" w14:textId="77777777" w:rsidR="00532997" w:rsidRPr="00ED4527" w:rsidRDefault="00532997" w:rsidP="00627E91">
      <w:pPr>
        <w:pStyle w:val="ProductList-Body"/>
        <w:spacing w:before="120"/>
        <w:rPr>
          <w:b/>
          <w:bCs/>
          <w:color w:val="00188F"/>
        </w:rPr>
      </w:pPr>
      <w:r>
        <w:rPr>
          <w:b/>
          <w:bCs/>
          <w:color w:val="00188F"/>
        </w:rPr>
        <w:t>Apache Spark in Azure Synapse-Berechnung für Spark-Sitzungen</w:t>
      </w:r>
    </w:p>
    <w:p w14:paraId="11561E05" w14:textId="77777777" w:rsidR="00532997" w:rsidRPr="00ED4527" w:rsidRDefault="00532997" w:rsidP="00532997">
      <w:pPr>
        <w:pStyle w:val="ProductList-Body"/>
        <w:rPr>
          <w:color w:val="000000" w:themeColor="text1"/>
        </w:rPr>
      </w:pPr>
      <w:r>
        <w:rPr>
          <w:color w:val="000000" w:themeColor="text1"/>
        </w:rPr>
        <w:t>„</w:t>
      </w:r>
      <w:r>
        <w:rPr>
          <w:b/>
          <w:bCs/>
          <w:color w:val="00188F"/>
        </w:rPr>
        <w:t>Spark Sitzung</w:t>
      </w:r>
      <w:r>
        <w:rPr>
          <w:color w:val="000000" w:themeColor="text1"/>
        </w:rPr>
        <w:t>“ ist der Start einer neuen Sitzung zur Ausführung eines Jobs, interaktiv oder im Batch-Modus. Ausgenommen sind Sitzungsausfälle aufgrund von Nutzerfehlern wie Sitzungskonfiguration oder erschöpfte Ressourcen.</w:t>
      </w:r>
    </w:p>
    <w:p w14:paraId="2FCA717F" w14:textId="77777777" w:rsidR="00532997" w:rsidRPr="00ED4527" w:rsidRDefault="00532997" w:rsidP="00532997">
      <w:pPr>
        <w:pStyle w:val="ProductList-Body"/>
        <w:keepNext/>
        <w:tabs>
          <w:tab w:val="clear" w:pos="360"/>
          <w:tab w:val="clear" w:pos="720"/>
          <w:tab w:val="clear" w:pos="1080"/>
        </w:tabs>
        <w:spacing w:before="120"/>
        <w:rPr>
          <w:b/>
          <w:bCs/>
          <w:color w:val="00188F"/>
        </w:rPr>
      </w:pPr>
      <w:r>
        <w:rPr>
          <w:b/>
          <w:bCs/>
          <w:color w:val="00188F"/>
        </w:rPr>
        <w:t>Die folgenden Servicegutschriften gelten für die Nutzung von Spark durch den Kunden innerhalb des Synapse-Arbeitsbereichs: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20FDC390" w14:textId="77777777" w:rsidTr="00277097">
        <w:trPr>
          <w:tblHeader/>
        </w:trPr>
        <w:tc>
          <w:tcPr>
            <w:tcW w:w="5400" w:type="dxa"/>
            <w:shd w:val="clear" w:color="auto" w:fill="0072C6"/>
          </w:tcPr>
          <w:p w14:paraId="0470DA26" w14:textId="78832189" w:rsidR="00532997"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786DA271" w14:textId="77777777" w:rsidR="00532997" w:rsidRPr="00EF7CF9" w:rsidRDefault="00532997" w:rsidP="000F31B4">
            <w:pPr>
              <w:pStyle w:val="ProductList-OfferingBody"/>
              <w:jc w:val="center"/>
              <w:rPr>
                <w:color w:val="FFFFFF" w:themeColor="background1"/>
              </w:rPr>
            </w:pPr>
            <w:r>
              <w:rPr>
                <w:color w:val="FFFFFF" w:themeColor="background1"/>
              </w:rPr>
              <w:t>Servicegutschrift</w:t>
            </w:r>
          </w:p>
        </w:tc>
      </w:tr>
      <w:tr w:rsidR="00532997" w:rsidRPr="00B44CF9" w14:paraId="208E8C5A" w14:textId="77777777" w:rsidTr="00277097">
        <w:tc>
          <w:tcPr>
            <w:tcW w:w="5400" w:type="dxa"/>
          </w:tcPr>
          <w:p w14:paraId="42441E30" w14:textId="77777777" w:rsidR="00532997" w:rsidRPr="00EF7CF9" w:rsidRDefault="00532997" w:rsidP="000F31B4">
            <w:pPr>
              <w:pStyle w:val="ProductList-OfferingBody"/>
              <w:jc w:val="center"/>
            </w:pPr>
            <w:r>
              <w:t>&lt; 99 %</w:t>
            </w:r>
          </w:p>
        </w:tc>
        <w:tc>
          <w:tcPr>
            <w:tcW w:w="5400" w:type="dxa"/>
          </w:tcPr>
          <w:p w14:paraId="4A46FE17" w14:textId="77777777" w:rsidR="00532997" w:rsidRPr="00EF7CF9" w:rsidRDefault="00532997" w:rsidP="000F31B4">
            <w:pPr>
              <w:pStyle w:val="ProductList-OfferingBody"/>
              <w:jc w:val="center"/>
            </w:pPr>
            <w:r>
              <w:t>10 %</w:t>
            </w:r>
          </w:p>
        </w:tc>
      </w:tr>
      <w:tr w:rsidR="00532997" w:rsidRPr="00B44CF9" w14:paraId="3122B6C3" w14:textId="77777777" w:rsidTr="00277097">
        <w:tc>
          <w:tcPr>
            <w:tcW w:w="5400" w:type="dxa"/>
          </w:tcPr>
          <w:p w14:paraId="17AB23ED" w14:textId="77777777" w:rsidR="00532997" w:rsidRPr="00EF7CF9" w:rsidRDefault="00532997" w:rsidP="000F31B4">
            <w:pPr>
              <w:pStyle w:val="ProductList-OfferingBody"/>
              <w:jc w:val="center"/>
            </w:pPr>
            <w:r>
              <w:t>&lt; 95 %</w:t>
            </w:r>
          </w:p>
        </w:tc>
        <w:tc>
          <w:tcPr>
            <w:tcW w:w="5400" w:type="dxa"/>
          </w:tcPr>
          <w:p w14:paraId="1B8DFCAA" w14:textId="77777777" w:rsidR="00532997" w:rsidRPr="00EF7CF9" w:rsidRDefault="00532997" w:rsidP="000F31B4">
            <w:pPr>
              <w:pStyle w:val="ProductList-OfferingBody"/>
              <w:jc w:val="center"/>
            </w:pPr>
            <w:r>
              <w:t>25 %</w:t>
            </w:r>
          </w:p>
        </w:tc>
      </w:tr>
    </w:tbl>
    <w:bookmarkEnd w:id="552"/>
    <w:bookmarkEnd w:id="553"/>
    <w:bookmarkEnd w:id="556"/>
    <w:p w14:paraId="5020066D" w14:textId="63A14CFB"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6D4F39E8" w14:textId="77777777" w:rsidR="00C5766D" w:rsidRPr="00C5766D" w:rsidRDefault="00C5766D" w:rsidP="00EF42FD">
      <w:pPr>
        <w:pStyle w:val="ProductList-Offering2Heading"/>
        <w:tabs>
          <w:tab w:val="clear" w:pos="360"/>
          <w:tab w:val="clear" w:pos="720"/>
          <w:tab w:val="clear" w:pos="1080"/>
        </w:tabs>
        <w:outlineLvl w:val="2"/>
      </w:pPr>
      <w:bookmarkStart w:id="557" w:name="_Toc195543210"/>
      <w:bookmarkStart w:id="558" w:name="_Toc237449071"/>
      <w:r>
        <w:t>Azure Time Series Insights</w:t>
      </w:r>
      <w:bookmarkEnd w:id="557"/>
      <w:bookmarkEnd w:id="558"/>
    </w:p>
    <w:p w14:paraId="136D5B37" w14:textId="77777777" w:rsidR="00C5766D" w:rsidRPr="0073097F" w:rsidRDefault="00C5766D" w:rsidP="00C5766D">
      <w:pPr>
        <w:pStyle w:val="ProductList-Body"/>
        <w:rPr>
          <w:b/>
          <w:bCs/>
          <w:color w:val="00188F"/>
        </w:rPr>
      </w:pPr>
      <w:r>
        <w:rPr>
          <w:b/>
          <w:bCs/>
          <w:color w:val="00188F"/>
        </w:rPr>
        <w:t>Zusätzliche Definitionen</w:t>
      </w:r>
    </w:p>
    <w:p w14:paraId="6551100A" w14:textId="77777777" w:rsidR="00C5766D" w:rsidRDefault="00C5766D" w:rsidP="00C5766D">
      <w:pPr>
        <w:pStyle w:val="ProductList-Body"/>
      </w:pPr>
      <w:r>
        <w:t>„</w:t>
      </w:r>
      <w:r>
        <w:rPr>
          <w:b/>
          <w:bCs/>
          <w:color w:val="00188F"/>
        </w:rPr>
        <w:t>Umgebung</w:t>
      </w:r>
      <w:r>
        <w:t>“ ist eine Time Series Insights-Umgebung.</w:t>
      </w:r>
    </w:p>
    <w:p w14:paraId="694552FE" w14:textId="7E267157" w:rsidR="00C5766D" w:rsidRPr="0073097F" w:rsidRDefault="00EE6E3C" w:rsidP="00C5766D">
      <w:pPr>
        <w:pStyle w:val="ProductList-Body"/>
        <w:rPr>
          <w:b/>
          <w:bCs/>
          <w:color w:val="00188F"/>
        </w:rPr>
      </w:pPr>
      <w:r>
        <w:rPr>
          <w:b/>
          <w:bCs/>
          <w:color w:val="00188F"/>
        </w:rPr>
        <w:t>Berechnung der Betriebszeit und Service-Levels für die Time Series Insights-Datenebene-API</w:t>
      </w:r>
    </w:p>
    <w:p w14:paraId="238DD023" w14:textId="77777777" w:rsidR="00C5766D" w:rsidRDefault="00C5766D" w:rsidP="00C5766D">
      <w:pPr>
        <w:pStyle w:val="ProductList-Body"/>
      </w:pPr>
      <w:r>
        <w:t>„</w:t>
      </w:r>
      <w:r>
        <w:rPr>
          <w:b/>
          <w:bCs/>
          <w:color w:val="00188F"/>
        </w:rPr>
        <w:t>Time Series Insights-Datenebene-API</w:t>
      </w:r>
      <w:r>
        <w:t>“ ist eine Ereignisanalyse-Abfrage-API für Time Series Insights.</w:t>
      </w:r>
    </w:p>
    <w:p w14:paraId="6B9213C0" w14:textId="77777777" w:rsidR="00C5766D" w:rsidRDefault="00C5766D" w:rsidP="00C5766D">
      <w:pPr>
        <w:pStyle w:val="ProductList-Body"/>
      </w:pPr>
      <w:r>
        <w:t>„</w:t>
      </w:r>
      <w:r>
        <w:rPr>
          <w:b/>
          <w:bCs/>
          <w:color w:val="00188F"/>
        </w:rPr>
        <w:t>Anforderung</w:t>
      </w:r>
      <w:r>
        <w:t>“ ist eine beliebige dokumentierte Anforderung, die von der Time Series Insights-Datenebene-API unterstützt wird.</w:t>
      </w:r>
    </w:p>
    <w:p w14:paraId="2396A988" w14:textId="77777777" w:rsidR="00C5766D" w:rsidRDefault="00C5766D" w:rsidP="00C5766D">
      <w:pPr>
        <w:pStyle w:val="ProductList-Body"/>
      </w:pPr>
      <w:r>
        <w:t>„</w:t>
      </w:r>
      <w:r>
        <w:rPr>
          <w:b/>
          <w:bCs/>
          <w:color w:val="00188F"/>
        </w:rPr>
        <w:t>Fehlerhafte Anforderung</w:t>
      </w:r>
      <w:r>
        <w:t>“ ist eine Anforderung, die einen Fehlercode ausgibt.</w:t>
      </w:r>
    </w:p>
    <w:p w14:paraId="22EFBCA1" w14:textId="77777777" w:rsidR="00C5766D" w:rsidRDefault="00C5766D" w:rsidP="00C5766D">
      <w:pPr>
        <w:pStyle w:val="ProductList-Body"/>
      </w:pPr>
      <w:r>
        <w:t>„</w:t>
      </w:r>
      <w:r>
        <w:rPr>
          <w:b/>
          <w:bCs/>
          <w:color w:val="00188F"/>
        </w:rPr>
        <w:t>Fehlerrate</w:t>
      </w:r>
      <w:r>
        <w:t>“ ist die Gesamtzahl der Fehlerhaften Anforderungen geteilt durch die Gesamtzahl der Anforderungen während eines bestimmten Ein-Minuten-Intervalls für alle Umgebungen x 100 innerhalb eines bestimmten Microsoft Azure-Abonnements. Wenn der Nutzer in dieser Minute keine Anforderung gestellt hat, entspricht die Fehlerrate für das betreffende Intervall 0 %.</w:t>
      </w:r>
    </w:p>
    <w:p w14:paraId="202FE9CA" w14:textId="58EFED60" w:rsidR="00C5766D" w:rsidRDefault="00C5766D" w:rsidP="00C5766D">
      <w:pPr>
        <w:pStyle w:val="ProductList-Body"/>
      </w:pPr>
      <w:r>
        <w:t>Die „</w:t>
      </w:r>
      <w:r>
        <w:rPr>
          <w:b/>
          <w:bCs/>
          <w:color w:val="00188F"/>
        </w:rPr>
        <w:t>Durchschnittliche Fehlerrate</w:t>
      </w:r>
      <w:r>
        <w:t>“ für einen Anwendbaren Zeitraum ist die Summe der Fehlerraten für jede Minute im Anwendbaren Zeitraum geteilt durch die Gesamtzahl der Minuten im Anwendbaren Zeitraum.</w:t>
      </w:r>
    </w:p>
    <w:p w14:paraId="5B1F3A56" w14:textId="691096A0" w:rsidR="00C5766D" w:rsidRDefault="00C5766D" w:rsidP="00C5766D">
      <w:pPr>
        <w:pStyle w:val="ProductList-Body"/>
      </w:pPr>
      <w:r>
        <w:t>„</w:t>
      </w:r>
      <w:r>
        <w:rPr>
          <w:b/>
          <w:bCs/>
          <w:color w:val="00188F"/>
        </w:rPr>
        <w:t>Prozentsatz der Verfügbarkeit</w:t>
      </w:r>
      <w:r>
        <w:t>“ für die Time Series Insights-Datenebene-API wird errechnet, indem von 100 % die Durchschnittliche Fehlerrate für</w:t>
      </w:r>
      <w:r w:rsidR="00A87B05">
        <w:t> </w:t>
      </w:r>
      <w:r>
        <w:t>ein bestimmtes Microsoft Azure-Abonnement während eines Anwendbaren Zeitraums abgezogen wird. Der Prozentsatz der Verfügbarkeit wird</w:t>
      </w:r>
      <w:r w:rsidR="00A87B05">
        <w:t> </w:t>
      </w:r>
      <w:r>
        <w:t>durch die folgende Formel dargestellt:</w:t>
      </w:r>
    </w:p>
    <w:p w14:paraId="11B18E61" w14:textId="2D21F2FE" w:rsidR="00B84D9B" w:rsidRPr="00DB1B7E" w:rsidRDefault="00B84D9B" w:rsidP="0030005B">
      <w:pPr>
        <w:pStyle w:val="ProductList-Body"/>
        <w:tabs>
          <w:tab w:val="clear" w:pos="360"/>
          <w:tab w:val="clear" w:pos="720"/>
          <w:tab w:val="clear" w:pos="1080"/>
        </w:tabs>
        <w:spacing w:after="120"/>
        <w:jc w:val="center"/>
        <w:rPr>
          <w:rFonts w:ascii="Cambria Math" w:hAnsi="Cambria Math"/>
          <w:i/>
          <w:iCs/>
          <w:color w:val="000000" w:themeColor="text1"/>
        </w:rPr>
      </w:pPr>
      <w:r>
        <w:rPr>
          <w:rFonts w:ascii="Cambria Math" w:hAnsi="Cambria Math"/>
          <w:i/>
          <w:iCs/>
          <w:color w:val="000000" w:themeColor="text1"/>
        </w:rPr>
        <w:t>100 % abzüglich Durchschnittliche Fehlerrate</w:t>
      </w:r>
    </w:p>
    <w:p w14:paraId="392F59FB" w14:textId="127DE09C" w:rsidR="00C5766D" w:rsidRPr="0018615A" w:rsidRDefault="00C5766D" w:rsidP="00C5766D">
      <w:pPr>
        <w:pStyle w:val="ProductList-Body"/>
        <w:rPr>
          <w:b/>
          <w:bCs/>
          <w:color w:val="00188F"/>
        </w:rPr>
      </w:pPr>
      <w:r>
        <w:rPr>
          <w:b/>
          <w:bCs/>
          <w:color w:val="00188F"/>
        </w:rPr>
        <w:t>Die folgenden Service-Levels und Servicegutschriften gelten für die Nutzung der Times Series Insights-Datenebene-API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B1B7E" w:rsidRPr="00B44CF9" w14:paraId="6BDDB7E0" w14:textId="77777777" w:rsidTr="00277097">
        <w:trPr>
          <w:tblHeader/>
        </w:trPr>
        <w:tc>
          <w:tcPr>
            <w:tcW w:w="5400" w:type="dxa"/>
            <w:shd w:val="clear" w:color="auto" w:fill="0072C6"/>
          </w:tcPr>
          <w:p w14:paraId="693141B7" w14:textId="2A45395B" w:rsidR="00DB1B7E" w:rsidRPr="00EF7CF9" w:rsidRDefault="00DB1B7E" w:rsidP="000F31B4">
            <w:pPr>
              <w:pStyle w:val="ProductList-OfferingBody"/>
              <w:jc w:val="center"/>
              <w:rPr>
                <w:color w:val="FFFFFF" w:themeColor="background1"/>
              </w:rPr>
            </w:pPr>
            <w:r>
              <w:rPr>
                <w:color w:val="FFFFFF" w:themeColor="background1"/>
              </w:rPr>
              <w:t>Prozentsatz der Verfügbarkeit</w:t>
            </w:r>
          </w:p>
        </w:tc>
        <w:tc>
          <w:tcPr>
            <w:tcW w:w="5400" w:type="dxa"/>
            <w:shd w:val="clear" w:color="auto" w:fill="0072C6"/>
          </w:tcPr>
          <w:p w14:paraId="21B30544" w14:textId="77777777" w:rsidR="00DB1B7E" w:rsidRPr="00EF7CF9" w:rsidRDefault="00DB1B7E" w:rsidP="000F31B4">
            <w:pPr>
              <w:pStyle w:val="ProductList-OfferingBody"/>
              <w:jc w:val="center"/>
              <w:rPr>
                <w:color w:val="FFFFFF" w:themeColor="background1"/>
              </w:rPr>
            </w:pPr>
            <w:r>
              <w:rPr>
                <w:color w:val="FFFFFF" w:themeColor="background1"/>
              </w:rPr>
              <w:t>Servicegutschrift</w:t>
            </w:r>
          </w:p>
        </w:tc>
      </w:tr>
      <w:tr w:rsidR="00DB1B7E" w:rsidRPr="00B44CF9" w14:paraId="1AB8BC8B" w14:textId="77777777" w:rsidTr="00277097">
        <w:tc>
          <w:tcPr>
            <w:tcW w:w="5400" w:type="dxa"/>
          </w:tcPr>
          <w:p w14:paraId="33E3F2BA" w14:textId="5738DC56" w:rsidR="00DB1B7E" w:rsidRPr="00EF7CF9" w:rsidRDefault="00DB1B7E" w:rsidP="000F31B4">
            <w:pPr>
              <w:pStyle w:val="ProductList-OfferingBody"/>
              <w:jc w:val="center"/>
            </w:pPr>
            <w:r>
              <w:t>&lt; 99,9 %</w:t>
            </w:r>
          </w:p>
        </w:tc>
        <w:tc>
          <w:tcPr>
            <w:tcW w:w="5400" w:type="dxa"/>
          </w:tcPr>
          <w:p w14:paraId="4AE3A834" w14:textId="77777777" w:rsidR="00DB1B7E" w:rsidRPr="00EF7CF9" w:rsidRDefault="00DB1B7E" w:rsidP="000F31B4">
            <w:pPr>
              <w:pStyle w:val="ProductList-OfferingBody"/>
              <w:jc w:val="center"/>
            </w:pPr>
            <w:r>
              <w:t>10 %</w:t>
            </w:r>
          </w:p>
        </w:tc>
      </w:tr>
      <w:tr w:rsidR="00DB1B7E" w:rsidRPr="00B44CF9" w14:paraId="7CC1CE08" w14:textId="77777777" w:rsidTr="00277097">
        <w:tc>
          <w:tcPr>
            <w:tcW w:w="5400" w:type="dxa"/>
          </w:tcPr>
          <w:p w14:paraId="3C25D851" w14:textId="635C9033" w:rsidR="00DB1B7E" w:rsidRPr="00EF7CF9" w:rsidRDefault="00DB1B7E" w:rsidP="000F31B4">
            <w:pPr>
              <w:pStyle w:val="ProductList-OfferingBody"/>
              <w:jc w:val="center"/>
            </w:pPr>
            <w:r>
              <w:t>&lt; 99 %</w:t>
            </w:r>
          </w:p>
        </w:tc>
        <w:tc>
          <w:tcPr>
            <w:tcW w:w="5400" w:type="dxa"/>
          </w:tcPr>
          <w:p w14:paraId="12E881A2" w14:textId="77777777" w:rsidR="00DB1B7E" w:rsidRPr="00EF7CF9" w:rsidRDefault="00DB1B7E" w:rsidP="000F31B4">
            <w:pPr>
              <w:pStyle w:val="ProductList-OfferingBody"/>
              <w:jc w:val="center"/>
            </w:pPr>
            <w:r>
              <w:t>25 %</w:t>
            </w:r>
          </w:p>
        </w:tc>
      </w:tr>
    </w:tbl>
    <w:bookmarkStart w:id="559" w:name="_Toc412532214"/>
    <w:bookmarkStart w:id="560" w:name="_Toc457821585"/>
    <w:bookmarkStart w:id="561" w:name="_Toc52348993"/>
    <w:p w14:paraId="0ECFC6F0" w14:textId="2B36E716"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lastRenderedPageBreak/>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55175CE1" w14:textId="77777777" w:rsidR="00895748" w:rsidRPr="00EF7CF9" w:rsidRDefault="00895748" w:rsidP="00895748">
      <w:pPr>
        <w:pStyle w:val="ProductList-Offering2Heading"/>
        <w:tabs>
          <w:tab w:val="clear" w:pos="360"/>
          <w:tab w:val="clear" w:pos="720"/>
          <w:tab w:val="clear" w:pos="1080"/>
        </w:tabs>
        <w:outlineLvl w:val="2"/>
      </w:pPr>
      <w:bookmarkStart w:id="562" w:name="_Toc195543211"/>
      <w:bookmarkStart w:id="563" w:name="_Toc237449072"/>
      <w:r>
        <w:t>Traffic Manager-Dienst</w:t>
      </w:r>
      <w:bookmarkEnd w:id="559"/>
      <w:bookmarkEnd w:id="560"/>
      <w:bookmarkEnd w:id="561"/>
      <w:bookmarkEnd w:id="562"/>
      <w:bookmarkEnd w:id="563"/>
    </w:p>
    <w:p w14:paraId="7C53001F" w14:textId="77777777" w:rsidR="00895748" w:rsidRPr="00EF7CF9" w:rsidRDefault="00895748" w:rsidP="00895748">
      <w:pPr>
        <w:pStyle w:val="ProductList-Body"/>
      </w:pPr>
      <w:r>
        <w:rPr>
          <w:b/>
          <w:color w:val="00188F"/>
        </w:rPr>
        <w:t>Zusätzliche Definitionen</w:t>
      </w:r>
      <w:r w:rsidRPr="00633DA0">
        <w:rPr>
          <w:b/>
          <w:color w:val="00188F"/>
        </w:rPr>
        <w:t>:</w:t>
      </w:r>
    </w:p>
    <w:p w14:paraId="1738A40B" w14:textId="3CB62828" w:rsidR="00895748" w:rsidRPr="00EF7CF9" w:rsidRDefault="00895748" w:rsidP="00133A8D">
      <w:pPr>
        <w:pStyle w:val="ProductList-Body"/>
      </w:pPr>
      <w:r>
        <w:t>„</w:t>
      </w:r>
      <w:r>
        <w:rPr>
          <w:b/>
          <w:color w:val="00188F"/>
        </w:rPr>
        <w:t>Bereitstellungsminuten</w:t>
      </w:r>
      <w:r>
        <w:t>“ ist die Gesamtzahl der Minuten, in denen ein bestimmtes Traffic Manager-Profil während eines Anwendbaren Zeitraums in Microsoft Azure bereitgestellt wird.</w:t>
      </w:r>
    </w:p>
    <w:p w14:paraId="72F9FA5B" w14:textId="332F670A" w:rsidR="00895748" w:rsidRPr="00EF7CF9" w:rsidRDefault="00895748" w:rsidP="00133A8D">
      <w:pPr>
        <w:pStyle w:val="ProductList-Body"/>
      </w:pPr>
      <w:r>
        <w:t>„</w:t>
      </w:r>
      <w:r>
        <w:rPr>
          <w:b/>
          <w:color w:val="00188F"/>
        </w:rPr>
        <w:t>Maximal Verfügbare Minuten</w:t>
      </w:r>
      <w:r>
        <w:t>“ ist die Summe aller Bereitstellungsminuten für alle Traffic Manager-Profile, die von Ihnen in einem bestimmten Microsoft Azure-Abonnement während eines Anwendbaren Zeitraums bereitgestellt werden.</w:t>
      </w:r>
    </w:p>
    <w:p w14:paraId="7B067662" w14:textId="544EDC0E" w:rsidR="00895748" w:rsidRPr="00EF7CF9" w:rsidRDefault="00445B42" w:rsidP="00133A8D">
      <w:pPr>
        <w:pStyle w:val="ProductList-Body"/>
      </w:pPr>
      <w:r>
        <w:t>„</w:t>
      </w:r>
      <w:r w:rsidR="00895748">
        <w:rPr>
          <w:b/>
          <w:color w:val="00188F"/>
        </w:rPr>
        <w:t>Traffic Manager-Profil</w:t>
      </w:r>
      <w:r>
        <w:rPr>
          <w:color w:val="000000" w:themeColor="text1"/>
        </w:rPr>
        <w:t>“</w:t>
      </w:r>
      <w:r w:rsidR="00895748">
        <w:t xml:space="preserve"> oder </w:t>
      </w:r>
      <w:r>
        <w:t>„</w:t>
      </w:r>
      <w:r w:rsidR="00895748">
        <w:rPr>
          <w:b/>
          <w:color w:val="00188F"/>
        </w:rPr>
        <w:t>Profil</w:t>
      </w:r>
      <w:r>
        <w:rPr>
          <w:color w:val="000000" w:themeColor="text1"/>
        </w:rPr>
        <w:t>“</w:t>
      </w:r>
      <w:r w:rsidR="00895748">
        <w:t xml:space="preserve"> bezieht sich auf eine von Ihnen erstellte Bereitstellung des Traffic Manager-Dienstes mit einem Domänennamen, Endpunkten und anderen Konfigurationseinstellungen, wie im Verwaltungsportal dargestellt.</w:t>
      </w:r>
    </w:p>
    <w:p w14:paraId="41F87B39" w14:textId="01580F2F" w:rsidR="00895748" w:rsidRPr="00EF7CF9" w:rsidRDefault="00895748" w:rsidP="00133A8D">
      <w:pPr>
        <w:pStyle w:val="ProductList-Body"/>
      </w:pPr>
      <w:r>
        <w:t>„</w:t>
      </w:r>
      <w:r>
        <w:rPr>
          <w:b/>
          <w:color w:val="00188F"/>
        </w:rPr>
        <w:t>Gültige DNS-Antwort</w:t>
      </w:r>
      <w:r>
        <w:t>“ bezeichnet eine DNS-Antwort, die von mindestens einem der Namenserver-Cluster des Traffic Manager-Dienstes auf eine</w:t>
      </w:r>
      <w:r w:rsidR="000C4F09">
        <w:t> </w:t>
      </w:r>
      <w:r>
        <w:t>DNS-Anfrage für den für ein bestimmtes Traffic Manager-Profil angegebenen Domänennamen empfangen wurde.</w:t>
      </w:r>
    </w:p>
    <w:p w14:paraId="749C09A7" w14:textId="0C765FCD" w:rsidR="00895748" w:rsidRPr="00EF7CF9" w:rsidRDefault="00895748" w:rsidP="00895748">
      <w:pPr>
        <w:pStyle w:val="ProductList-Body"/>
      </w:pPr>
      <w:r>
        <w:rPr>
          <w:b/>
          <w:color w:val="00188F"/>
        </w:rPr>
        <w:t>Ausfallzeit</w:t>
      </w:r>
      <w:r w:rsidRPr="00633DA0">
        <w:rPr>
          <w:b/>
          <w:color w:val="00188F"/>
        </w:rPr>
        <w:t>:</w:t>
      </w:r>
      <w:r>
        <w:t xml:space="preserve"> Die gesamten kumulierten Bereitstellungsminuten für alle von Ihnen in einem bestimmten Microsoft Azure-Abonnement bereitgestellten Profile, während derer das Profil nicht verfügbar ist. Eine Minute gilt als für ein bestimmtes Profil nicht verfügbar, wenn alle fortlaufenden DNS-Anforderungen für den im Profil angegebenen DNS-Namen, die während der Minute gestellt werden, nicht innerhalb von zwei</w:t>
      </w:r>
      <w:r w:rsidR="00057FAC">
        <w:t> </w:t>
      </w:r>
      <w:r>
        <w:t>Sekunden zu einer Gültigen DNS-Antwort führen.</w:t>
      </w:r>
    </w:p>
    <w:p w14:paraId="212B449B" w14:textId="18892ABC" w:rsidR="00895748" w:rsidRPr="00EF7CF9" w:rsidRDefault="00AC48A7" w:rsidP="00895748">
      <w:pPr>
        <w:pStyle w:val="ProductList-Body"/>
      </w:pPr>
      <w:r>
        <w:rPr>
          <w:b/>
          <w:color w:val="00188F"/>
        </w:rPr>
        <w:t>Betriebszeitprozentsatz</w:t>
      </w:r>
      <w:r w:rsidRPr="00633DA0">
        <w:rPr>
          <w:b/>
          <w:color w:val="00188F"/>
        </w:rPr>
        <w:t>:</w:t>
      </w:r>
      <w:r>
        <w:t xml:space="preserve"> Der Betriebszeitprozentsatz errechnet sich nach folgender Formel:</w:t>
      </w:r>
    </w:p>
    <w:p w14:paraId="058F6251" w14:textId="3CCCA256" w:rsidR="00895748" w:rsidRPr="00246AD4" w:rsidRDefault="00000000" w:rsidP="00372597">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68BB5F11" w14:textId="77777777" w:rsidR="00895748" w:rsidRPr="00EF7CF9" w:rsidRDefault="00895748" w:rsidP="00895748">
      <w:pPr>
        <w:pStyle w:val="ProductList-Body"/>
      </w:pPr>
      <w:r>
        <w:rPr>
          <w:b/>
          <w:color w:val="00188F"/>
        </w:rPr>
        <w:t>Servicegutschrift</w:t>
      </w:r>
      <w:r w:rsidRPr="00633DA0">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95748" w:rsidRPr="00B44CF9" w14:paraId="237D57EE" w14:textId="77777777" w:rsidTr="00277097">
        <w:trPr>
          <w:tblHeader/>
        </w:trPr>
        <w:tc>
          <w:tcPr>
            <w:tcW w:w="5400" w:type="dxa"/>
            <w:shd w:val="clear" w:color="auto" w:fill="0072C6"/>
          </w:tcPr>
          <w:p w14:paraId="773AFE5E" w14:textId="6B131518" w:rsidR="00895748"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2D3D4B45" w14:textId="77777777" w:rsidR="00895748" w:rsidRPr="00EF7CF9" w:rsidRDefault="00895748" w:rsidP="000F31B4">
            <w:pPr>
              <w:pStyle w:val="ProductList-OfferingBody"/>
              <w:jc w:val="center"/>
              <w:rPr>
                <w:color w:val="FFFFFF" w:themeColor="background1"/>
              </w:rPr>
            </w:pPr>
            <w:r>
              <w:rPr>
                <w:color w:val="FFFFFF" w:themeColor="background1"/>
              </w:rPr>
              <w:t>Servicegutschrift</w:t>
            </w:r>
          </w:p>
        </w:tc>
      </w:tr>
      <w:tr w:rsidR="00C77120" w:rsidRPr="00B44CF9" w14:paraId="1C9510DA" w14:textId="77777777" w:rsidTr="00277097">
        <w:tc>
          <w:tcPr>
            <w:tcW w:w="5400" w:type="dxa"/>
          </w:tcPr>
          <w:p w14:paraId="6AFFEA79" w14:textId="41F9FC83" w:rsidR="00C77120" w:rsidRDefault="00C77120" w:rsidP="000F31B4">
            <w:pPr>
              <w:pStyle w:val="ProductList-OfferingBody"/>
              <w:jc w:val="center"/>
            </w:pPr>
            <w:r>
              <w:t>&lt;100</w:t>
            </w:r>
            <w:r w:rsidR="00372597">
              <w:t xml:space="preserve"> </w:t>
            </w:r>
            <w:r>
              <w:t>%</w:t>
            </w:r>
          </w:p>
        </w:tc>
        <w:tc>
          <w:tcPr>
            <w:tcW w:w="5400" w:type="dxa"/>
          </w:tcPr>
          <w:p w14:paraId="76D3208F" w14:textId="271A68AC" w:rsidR="00C77120" w:rsidRDefault="00372597" w:rsidP="000F31B4">
            <w:pPr>
              <w:pStyle w:val="ProductList-OfferingBody"/>
              <w:jc w:val="center"/>
            </w:pPr>
            <w:r>
              <w:t>10 %</w:t>
            </w:r>
          </w:p>
        </w:tc>
      </w:tr>
      <w:tr w:rsidR="00895748" w:rsidRPr="00B44CF9" w14:paraId="03E16A40" w14:textId="77777777" w:rsidTr="00277097">
        <w:tc>
          <w:tcPr>
            <w:tcW w:w="5400" w:type="dxa"/>
          </w:tcPr>
          <w:p w14:paraId="1AA31257" w14:textId="77777777" w:rsidR="00895748" w:rsidRPr="00EF7CF9" w:rsidRDefault="00895748" w:rsidP="000F31B4">
            <w:pPr>
              <w:pStyle w:val="ProductList-OfferingBody"/>
              <w:jc w:val="center"/>
            </w:pPr>
            <w:r>
              <w:t>&lt; 99,99 %</w:t>
            </w:r>
          </w:p>
        </w:tc>
        <w:tc>
          <w:tcPr>
            <w:tcW w:w="5400" w:type="dxa"/>
          </w:tcPr>
          <w:p w14:paraId="7D035504" w14:textId="07D84FC0" w:rsidR="00895748" w:rsidRPr="00EF7CF9" w:rsidRDefault="00372597" w:rsidP="000F31B4">
            <w:pPr>
              <w:pStyle w:val="ProductList-OfferingBody"/>
              <w:jc w:val="center"/>
            </w:pPr>
            <w:r>
              <w:t>25</w:t>
            </w:r>
            <w:r w:rsidR="00895748">
              <w:t> %</w:t>
            </w:r>
          </w:p>
        </w:tc>
      </w:tr>
      <w:tr w:rsidR="00895748" w:rsidRPr="00B44CF9" w14:paraId="379744A0" w14:textId="77777777" w:rsidTr="00277097">
        <w:tc>
          <w:tcPr>
            <w:tcW w:w="5400" w:type="dxa"/>
          </w:tcPr>
          <w:p w14:paraId="79B5CD06" w14:textId="77777777" w:rsidR="00895748" w:rsidRPr="00EF7CF9" w:rsidRDefault="00895748" w:rsidP="000F31B4">
            <w:pPr>
              <w:pStyle w:val="ProductList-OfferingBody"/>
              <w:jc w:val="center"/>
            </w:pPr>
            <w:r>
              <w:t>&lt; 99 %</w:t>
            </w:r>
          </w:p>
        </w:tc>
        <w:tc>
          <w:tcPr>
            <w:tcW w:w="5400" w:type="dxa"/>
          </w:tcPr>
          <w:p w14:paraId="4E874CB9" w14:textId="4FD841F3" w:rsidR="00895748" w:rsidRPr="00EF7CF9" w:rsidRDefault="00372597" w:rsidP="000F31B4">
            <w:pPr>
              <w:pStyle w:val="ProductList-OfferingBody"/>
              <w:jc w:val="center"/>
            </w:pPr>
            <w:r>
              <w:t>100</w:t>
            </w:r>
            <w:r w:rsidR="00895748">
              <w:t xml:space="preserve"> %</w:t>
            </w:r>
          </w:p>
        </w:tc>
      </w:tr>
    </w:tbl>
    <w:bookmarkStart w:id="564" w:name="_Toc412532215"/>
    <w:bookmarkStart w:id="565" w:name="_Toc457821586"/>
    <w:bookmarkStart w:id="566" w:name="VirtualMachines"/>
    <w:bookmarkStart w:id="567" w:name="_Toc52348994"/>
    <w:p w14:paraId="3668A293" w14:textId="004FEB47"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767C3042" w14:textId="77777777" w:rsidR="00D416FF" w:rsidRPr="00D416FF" w:rsidRDefault="00D416FF" w:rsidP="00D416FF">
      <w:pPr>
        <w:pStyle w:val="ProductList-Offering2Heading"/>
        <w:tabs>
          <w:tab w:val="clear" w:pos="360"/>
          <w:tab w:val="clear" w:pos="720"/>
          <w:tab w:val="clear" w:pos="1080"/>
        </w:tabs>
        <w:outlineLvl w:val="2"/>
      </w:pPr>
      <w:bookmarkStart w:id="568" w:name="_Toc237449073"/>
      <w:r w:rsidRPr="00D416FF">
        <w:t>App-Signatur</w:t>
      </w:r>
      <w:bookmarkEnd w:id="568"/>
    </w:p>
    <w:p w14:paraId="202BE6F7" w14:textId="77777777" w:rsidR="00553BA1" w:rsidRPr="00506C08" w:rsidRDefault="00553BA1" w:rsidP="00553BA1">
      <w:pPr>
        <w:spacing w:after="0" w:line="240" w:lineRule="auto"/>
        <w:textAlignment w:val="baseline"/>
        <w:rPr>
          <w:rFonts w:ascii="Segoe UI" w:eastAsia="Times New Roman" w:hAnsi="Segoe UI" w:cs="Segoe UI"/>
          <w:sz w:val="18"/>
          <w:szCs w:val="18"/>
        </w:rPr>
      </w:pPr>
      <w:r>
        <w:rPr>
          <w:rFonts w:ascii="Calibri" w:eastAsia="Times New Roman" w:hAnsi="Calibri" w:cs="Calibri"/>
          <w:b/>
          <w:bCs/>
          <w:color w:val="00188F"/>
          <w:sz w:val="18"/>
          <w:szCs w:val="18"/>
        </w:rPr>
        <w:t>Zusätzliche Definitionen</w:t>
      </w:r>
      <w:r>
        <w:rPr>
          <w:rFonts w:ascii="Calibri" w:eastAsia="Times New Roman" w:hAnsi="Calibri" w:cs="Calibri"/>
          <w:sz w:val="18"/>
          <w:szCs w:val="18"/>
        </w:rPr>
        <w:t>: </w:t>
      </w:r>
    </w:p>
    <w:p w14:paraId="4F484BA6" w14:textId="77777777" w:rsidR="00553BA1" w:rsidRPr="00506C08" w:rsidRDefault="00553BA1" w:rsidP="00553BA1">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Gesamtzahl der Transaktionsversuche</w:t>
      </w:r>
      <w:r>
        <w:rPr>
          <w:rFonts w:ascii="Calibri" w:eastAsia="Times New Roman" w:hAnsi="Calibri" w:cs="Calibri"/>
          <w:sz w:val="18"/>
          <w:szCs w:val="18"/>
        </w:rPr>
        <w:t>“ ist die Gesamtzahl der authentifizierten API-Unterzeichnungsanforderungen des Kunden während eines Anwendbaren Zeitraums für ein bestimmtes Microsoft Azure-Abonnement.</w:t>
      </w:r>
    </w:p>
    <w:p w14:paraId="238B08CE" w14:textId="77777777" w:rsidR="00553BA1" w:rsidRPr="00506C08" w:rsidRDefault="00553BA1" w:rsidP="00553BA1">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Fehlerhafte Transaktionen</w:t>
      </w:r>
      <w:r>
        <w:rPr>
          <w:rFonts w:ascii="Calibri" w:eastAsia="Times New Roman" w:hAnsi="Calibri" w:cs="Calibri"/>
          <w:sz w:val="18"/>
          <w:szCs w:val="18"/>
        </w:rPr>
        <w:t>“ sind alle authentifizierten API-Unterzeichnungsanforderungen innerhalb der Gesamtzahl der Transaktionsversuche, die einen HTTP 5xx-Statuscode zurückgeben bzw. die nicht innerhalb von 90 Sekunden einen Erfolgscode zurückgeben.</w:t>
      </w:r>
    </w:p>
    <w:p w14:paraId="27DD9716" w14:textId="77777777" w:rsidR="00553BA1" w:rsidRDefault="00553BA1" w:rsidP="00553BA1">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Betriebszeitprozentsatz</w:t>
      </w:r>
      <w:r>
        <w:rPr>
          <w:rFonts w:ascii="Calibri" w:eastAsia="Times New Roman" w:hAnsi="Calibri" w:cs="Calibri"/>
          <w:sz w:val="18"/>
          <w:szCs w:val="18"/>
        </w:rPr>
        <w:t>: wird berechnet als Gesamtzahl der Transaktionsversuche abzüglich der fehlerhaften Transaktionen geteilt durch die Gesamtzahl der Transaktionsversuche in einem Anwendbaren Zeitraum für ein bestimmtes Microsoft Azure-Abonnement. Der Betriebszeitprozentsatz wird durch die folgende Formel ermittelt: </w:t>
      </w:r>
    </w:p>
    <w:p w14:paraId="61557BB3" w14:textId="77777777" w:rsidR="00553BA1" w:rsidRPr="00A47C2A" w:rsidRDefault="00000000" w:rsidP="00C672FB">
      <w:pPr>
        <w:spacing w:before="120" w:after="120" w:line="240" w:lineRule="auto"/>
        <w:rPr>
          <w:i/>
        </w:rPr>
      </w:pPr>
      <m:oMathPara>
        <m:oMath>
          <m:f>
            <m:fPr>
              <m:ctrlPr>
                <w:rPr>
                  <w:rFonts w:ascii="Cambria Math" w:eastAsia="Times New Roman" w:hAnsi="Cambria Math" w:cs="Calibri"/>
                  <w:i/>
                  <w:iCs/>
                  <w:sz w:val="18"/>
                  <w:szCs w:val="18"/>
                </w:rPr>
              </m:ctrlPr>
            </m:fPr>
            <m:num>
              <m:r>
                <m:rPr>
                  <m:nor/>
                </m:rPr>
                <w:rPr>
                  <w:rFonts w:ascii="Cambria Math" w:eastAsia="Times New Roman" w:hAnsi="Cambria Math" w:cs="Calibri"/>
                  <w:i/>
                  <w:iCs/>
                  <w:sz w:val="18"/>
                  <w:szCs w:val="18"/>
                </w:rPr>
                <m:t>Gesamtzahl der Transaktionsversuche - Fehlerhafte Transaktionen</m:t>
              </m:r>
            </m:num>
            <m:den>
              <m:r>
                <m:rPr>
                  <m:nor/>
                </m:rPr>
                <w:rPr>
                  <w:rFonts w:ascii="Cambria Math" w:eastAsia="Times New Roman" w:hAnsi="Cambria Math" w:cs="Calibri"/>
                  <w:i/>
                  <w:iCs/>
                  <w:sz w:val="18"/>
                  <w:szCs w:val="18"/>
                </w:rPr>
                <m:t>Gesamtzahl der Transaktionsversuche</m:t>
              </m:r>
            </m:den>
          </m:f>
          <m:r>
            <w:rPr>
              <w:rFonts w:ascii="Cambria Math" w:hAnsi="Cambria Math"/>
              <w:sz w:val="18"/>
              <w:szCs w:val="18"/>
            </w:rPr>
            <m:t xml:space="preserve"> x 100</m:t>
          </m:r>
        </m:oMath>
      </m:oMathPara>
    </w:p>
    <w:p w14:paraId="6192322C" w14:textId="77777777" w:rsidR="001E05AD" w:rsidRDefault="00553BA1" w:rsidP="001E05AD">
      <w:pPr>
        <w:pStyle w:val="ProductList-Body"/>
        <w:rPr>
          <w:rFonts w:ascii="Calibri" w:eastAsia="Times New Roman" w:hAnsi="Calibri" w:cs="Calibri"/>
          <w:szCs w:val="18"/>
        </w:rPr>
      </w:pPr>
      <w:r>
        <w:rPr>
          <w:rFonts w:ascii="Calibri" w:eastAsia="Times New Roman" w:hAnsi="Calibri" w:cs="Calibri"/>
          <w:szCs w:val="18"/>
        </w:rPr>
        <w:t> </w:t>
      </w:r>
      <w:r w:rsidR="001E05AD">
        <w:rPr>
          <w:rFonts w:ascii="Calibri" w:eastAsia="Times New Roman" w:hAnsi="Calibri" w:cs="Calibri"/>
          <w:szCs w:val="18"/>
        </w:rPr>
        <w:t>Die folgenden Servicelevel und -gutschriften gelten für die Nutzung der App-Signatur durch den Kunden:</w:t>
      </w:r>
    </w:p>
    <w:p w14:paraId="6543B707" w14:textId="77777777" w:rsidR="00553BA1" w:rsidRPr="00506C08" w:rsidRDefault="00553BA1" w:rsidP="00553BA1">
      <w:pPr>
        <w:spacing w:after="0" w:line="240" w:lineRule="auto"/>
        <w:textAlignment w:val="baseline"/>
        <w:rPr>
          <w:rFonts w:ascii="Segoe UI" w:eastAsia="Times New Roman" w:hAnsi="Segoe UI" w:cs="Segoe UI"/>
          <w:sz w:val="18"/>
          <w:szCs w:val="18"/>
        </w:rPr>
      </w:pPr>
      <w:r>
        <w:rPr>
          <w:rFonts w:ascii="Calibri" w:eastAsia="Times New Roman" w:hAnsi="Calibri" w:cs="Calibri"/>
          <w:b/>
          <w:bCs/>
          <w:color w:val="00188F"/>
          <w:sz w:val="18"/>
          <w:szCs w:val="18"/>
        </w:rPr>
        <w:t>Servicegutschrift</w:t>
      </w:r>
      <w:r>
        <w:rPr>
          <w:rFonts w:ascii="Calibri" w:eastAsia="Times New Roman" w:hAnsi="Calibri" w:cs="Calibri"/>
          <w:sz w:val="18"/>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53BA1" w:rsidRPr="003D5054" w14:paraId="69172615" w14:textId="77777777" w:rsidTr="00CE6437">
        <w:trPr>
          <w:tblHeader/>
        </w:trPr>
        <w:tc>
          <w:tcPr>
            <w:tcW w:w="5400" w:type="dxa"/>
            <w:shd w:val="clear" w:color="auto" w:fill="0072C6"/>
          </w:tcPr>
          <w:p w14:paraId="71D18592" w14:textId="77777777" w:rsidR="00553BA1" w:rsidRPr="003D5054" w:rsidRDefault="00553BA1"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Betriebszeitprozentsatz</w:t>
            </w:r>
          </w:p>
        </w:tc>
        <w:tc>
          <w:tcPr>
            <w:tcW w:w="5400" w:type="dxa"/>
            <w:shd w:val="clear" w:color="auto" w:fill="0072C6"/>
          </w:tcPr>
          <w:p w14:paraId="0DFE1FD0" w14:textId="77777777" w:rsidR="00553BA1" w:rsidRPr="003D5054" w:rsidRDefault="00553BA1"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Servicegutschrift</w:t>
            </w:r>
          </w:p>
        </w:tc>
      </w:tr>
      <w:tr w:rsidR="00553BA1" w:rsidRPr="003D5054" w14:paraId="2E8FA0BF" w14:textId="77777777" w:rsidTr="00CE6437">
        <w:trPr>
          <w:trHeight w:val="70"/>
        </w:trPr>
        <w:tc>
          <w:tcPr>
            <w:tcW w:w="5400" w:type="dxa"/>
          </w:tcPr>
          <w:p w14:paraId="381CE452" w14:textId="77777777" w:rsidR="00553BA1" w:rsidRPr="003D5054" w:rsidRDefault="00553BA1"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&lt; 99,9 %</w:t>
            </w:r>
          </w:p>
        </w:tc>
        <w:tc>
          <w:tcPr>
            <w:tcW w:w="5400" w:type="dxa"/>
          </w:tcPr>
          <w:p w14:paraId="476FFED2" w14:textId="77777777" w:rsidR="00553BA1" w:rsidRPr="003D5054" w:rsidRDefault="00553BA1"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10%</w:t>
            </w:r>
          </w:p>
        </w:tc>
      </w:tr>
      <w:tr w:rsidR="00553BA1" w:rsidRPr="003D5054" w14:paraId="58500390" w14:textId="77777777" w:rsidTr="00CE6437">
        <w:tc>
          <w:tcPr>
            <w:tcW w:w="5400" w:type="dxa"/>
          </w:tcPr>
          <w:p w14:paraId="57168CC9" w14:textId="77777777" w:rsidR="00553BA1" w:rsidRPr="003D5054" w:rsidRDefault="00553BA1" w:rsidP="00CE6437">
            <w:pPr>
              <w:pStyle w:val="ProductList-OfferingBody"/>
              <w:jc w:val="center"/>
              <w:rPr>
                <w:rFonts w:ascii="Calibri" w:hAnsi="Calibri" w:cs="Calibri"/>
                <w:szCs w:val="16"/>
              </w:rPr>
            </w:pPr>
            <w:r>
              <w:rPr>
                <w:rFonts w:ascii="Calibri" w:hAnsi="Calibri" w:cs="Calibri"/>
                <w:szCs w:val="16"/>
              </w:rPr>
              <w:t>&lt; 99 %</w:t>
            </w:r>
          </w:p>
        </w:tc>
        <w:tc>
          <w:tcPr>
            <w:tcW w:w="5400" w:type="dxa"/>
          </w:tcPr>
          <w:p w14:paraId="1723ED37" w14:textId="77777777" w:rsidR="00553BA1" w:rsidRPr="003D5054" w:rsidRDefault="00553BA1" w:rsidP="00CE6437">
            <w:pPr>
              <w:pStyle w:val="ProductList-OfferingBody"/>
              <w:jc w:val="center"/>
              <w:rPr>
                <w:rFonts w:ascii="Calibri" w:hAnsi="Calibri" w:cs="Calibri"/>
                <w:szCs w:val="16"/>
              </w:rPr>
            </w:pPr>
            <w:r>
              <w:rPr>
                <w:rFonts w:ascii="Calibri" w:hAnsi="Calibri" w:cs="Calibri"/>
                <w:szCs w:val="16"/>
              </w:rPr>
              <w:t>25%</w:t>
            </w:r>
          </w:p>
        </w:tc>
      </w:tr>
    </w:tbl>
    <w:p w14:paraId="5D61D47D" w14:textId="77777777" w:rsidR="00553BA1" w:rsidRPr="00D67F75" w:rsidRDefault="00553BA1" w:rsidP="00553BA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7E6F79CE" w14:textId="32C0A908" w:rsidR="00895748" w:rsidRPr="00EF7CF9" w:rsidRDefault="00895748" w:rsidP="00163C9E">
      <w:pPr>
        <w:pStyle w:val="ProductList-Offering2Heading"/>
        <w:tabs>
          <w:tab w:val="clear" w:pos="360"/>
          <w:tab w:val="clear" w:pos="720"/>
          <w:tab w:val="clear" w:pos="1080"/>
        </w:tabs>
        <w:outlineLvl w:val="2"/>
      </w:pPr>
      <w:bookmarkStart w:id="569" w:name="_Toc195543213"/>
      <w:bookmarkStart w:id="570" w:name="_Toc237449074"/>
      <w:r>
        <w:t>Virtuelle Computer</w:t>
      </w:r>
      <w:bookmarkEnd w:id="564"/>
      <w:bookmarkEnd w:id="565"/>
      <w:bookmarkEnd w:id="566"/>
      <w:bookmarkEnd w:id="567"/>
      <w:bookmarkEnd w:id="569"/>
      <w:bookmarkEnd w:id="570"/>
    </w:p>
    <w:p w14:paraId="15A0C13C" w14:textId="77777777" w:rsidR="00895748" w:rsidRPr="00EF7CF9" w:rsidRDefault="00895748" w:rsidP="00895748">
      <w:pPr>
        <w:pStyle w:val="ProductList-Body"/>
      </w:pPr>
      <w:r>
        <w:rPr>
          <w:b/>
          <w:color w:val="00188F"/>
        </w:rPr>
        <w:t>Zusätzliche Definitionen</w:t>
      </w:r>
      <w:r w:rsidRPr="00633DA0">
        <w:rPr>
          <w:b/>
          <w:color w:val="00188F"/>
        </w:rPr>
        <w:t>:</w:t>
      </w:r>
    </w:p>
    <w:p w14:paraId="3C6E4962" w14:textId="77777777" w:rsidR="00C735FD" w:rsidRPr="00EC3D00" w:rsidRDefault="00C735FD" w:rsidP="00C735FD">
      <w:pPr>
        <w:pStyle w:val="ProductList-Body"/>
        <w:rPr>
          <w:rFonts w:ascii="Calibri" w:hAnsi="Calibri" w:cs="Calibri"/>
        </w:rPr>
      </w:pPr>
      <w:r>
        <w:rPr>
          <w:rFonts w:ascii="Calibri" w:hAnsi="Calibri" w:cs="Calibri"/>
        </w:rPr>
        <w:t>„</w:t>
      </w:r>
      <w:r>
        <w:rPr>
          <w:rFonts w:ascii="Calibri" w:hAnsi="Calibri" w:cs="Calibri"/>
          <w:b/>
          <w:color w:val="00188F"/>
        </w:rPr>
        <w:t>Verfügbarkeitsgruppe</w:t>
      </w:r>
      <w:r>
        <w:rPr>
          <w:rFonts w:ascii="Calibri" w:hAnsi="Calibri" w:cs="Calibri"/>
        </w:rPr>
        <w:t>“ bezieht sich auf zwei oder mehr virtuelle Computer, die in verschiedenen fehlerhaften Domänen bereitgestellt werden, um eine einzelne Fehlerquelle zu vermeiden.</w:t>
      </w:r>
    </w:p>
    <w:p w14:paraId="6E01F929" w14:textId="77777777" w:rsidR="00C735FD" w:rsidRPr="00EC3D00" w:rsidRDefault="00C735FD" w:rsidP="00C735FD">
      <w:pPr>
        <w:pStyle w:val="ProductList-Body"/>
        <w:rPr>
          <w:rFonts w:ascii="Calibri" w:hAnsi="Calibri" w:cs="Calibri"/>
        </w:rPr>
      </w:pPr>
      <w:r>
        <w:rPr>
          <w:rFonts w:ascii="Calibri" w:hAnsi="Calibri" w:cs="Calibri"/>
        </w:rPr>
        <w:t>„</w:t>
      </w:r>
      <w:r>
        <w:rPr>
          <w:rFonts w:ascii="Calibri" w:hAnsi="Calibri" w:cs="Calibri"/>
          <w:b/>
          <w:color w:val="00188F"/>
        </w:rPr>
        <w:t>Verfügbarkeitszone</w:t>
      </w:r>
      <w:r>
        <w:rPr>
          <w:rFonts w:ascii="Calibri" w:hAnsi="Calibri" w:cs="Calibri"/>
        </w:rPr>
        <w:t>“ ist ein fehlerisolierter Bereich in einer Azure-Region, der redundante Stromversorgung, Kühlung und Vernetzung zur Verfügung stellt.</w:t>
      </w:r>
    </w:p>
    <w:p w14:paraId="5CC07B73" w14:textId="77777777" w:rsidR="00C735FD" w:rsidRPr="00EC3D00" w:rsidRDefault="00C735FD" w:rsidP="00C735FD">
      <w:pPr>
        <w:pStyle w:val="ProductList-Body"/>
        <w:rPr>
          <w:rFonts w:ascii="Calibri" w:hAnsi="Calibri" w:cs="Calibri"/>
        </w:rPr>
      </w:pPr>
      <w:r>
        <w:rPr>
          <w:rFonts w:ascii="Calibri" w:hAnsi="Calibri" w:cs="Calibri"/>
          <w:color w:val="00188F"/>
        </w:rPr>
        <w:t>„</w:t>
      </w:r>
      <w:r>
        <w:rPr>
          <w:rFonts w:ascii="Calibri" w:hAnsi="Calibri" w:cs="Calibri"/>
          <w:b/>
          <w:bCs/>
          <w:color w:val="00188F"/>
        </w:rPr>
        <w:t>Azure Dedicated Host</w:t>
      </w:r>
      <w:r>
        <w:rPr>
          <w:rFonts w:ascii="Calibri" w:hAnsi="Calibri" w:cs="Calibri"/>
          <w:color w:val="00188F"/>
        </w:rPr>
        <w:t>“</w:t>
      </w:r>
      <w:r>
        <w:rPr>
          <w:rFonts w:ascii="Calibri" w:hAnsi="Calibri" w:cs="Calibri"/>
        </w:rPr>
        <w:t xml:space="preserve"> bietet physischen Servern, die eine oder mehrere virtuelle Azure-Computer hosten, die (Standard-)Einstellung autoReplaceOnFailure, die für jede SLA erforderlich ist.</w:t>
      </w:r>
    </w:p>
    <w:p w14:paraId="5F4CD7CC" w14:textId="77777777" w:rsidR="00C735FD" w:rsidRPr="00EC3D00" w:rsidRDefault="00C735FD" w:rsidP="00C735FD">
      <w:pPr>
        <w:pStyle w:val="ProductList-Body"/>
        <w:rPr>
          <w:rFonts w:ascii="Calibri" w:hAnsi="Calibri" w:cs="Calibri"/>
        </w:rPr>
      </w:pPr>
      <w:r>
        <w:rPr>
          <w:rFonts w:ascii="Calibri" w:hAnsi="Calibri" w:cs="Calibri"/>
        </w:rPr>
        <w:lastRenderedPageBreak/>
        <w:t>„</w:t>
      </w:r>
      <w:r>
        <w:rPr>
          <w:rFonts w:ascii="Calibri" w:hAnsi="Calibri" w:cs="Calibri"/>
          <w:b/>
          <w:color w:val="00188F"/>
        </w:rPr>
        <w:t>Datenträger</w:t>
      </w:r>
      <w:r>
        <w:rPr>
          <w:rFonts w:ascii="Calibri" w:hAnsi="Calibri" w:cs="Calibri"/>
        </w:rPr>
        <w:t>“ ist eine mit einem virtuellen Computer verbundene permanente virtuelle Festplatte zum Speichern von Anwendungsdaten.</w:t>
      </w:r>
    </w:p>
    <w:p w14:paraId="21FF91F7" w14:textId="77777777" w:rsidR="00C735FD" w:rsidRPr="00EC3D00" w:rsidRDefault="00C735FD" w:rsidP="00C735FD">
      <w:pPr>
        <w:pStyle w:val="ProductList-Body"/>
        <w:rPr>
          <w:rFonts w:ascii="Calibri" w:hAnsi="Calibri" w:cs="Calibri"/>
        </w:rPr>
      </w:pPr>
      <w:r>
        <w:rPr>
          <w:rFonts w:ascii="Calibri" w:hAnsi="Calibri" w:cs="Calibri"/>
          <w:color w:val="00188F"/>
        </w:rPr>
        <w:t>„</w:t>
      </w:r>
      <w:r>
        <w:rPr>
          <w:rFonts w:ascii="Calibri" w:hAnsi="Calibri" w:cs="Calibri"/>
          <w:b/>
          <w:bCs/>
          <w:color w:val="00188F"/>
        </w:rPr>
        <w:t>Dedicated Host Group</w:t>
      </w:r>
      <w:r>
        <w:rPr>
          <w:rFonts w:ascii="Calibri" w:hAnsi="Calibri" w:cs="Calibri"/>
          <w:color w:val="00188F"/>
        </w:rPr>
        <w:t>“</w:t>
      </w:r>
      <w:r>
        <w:rPr>
          <w:rFonts w:ascii="Calibri" w:hAnsi="Calibri" w:cs="Calibri"/>
        </w:rPr>
        <w:t xml:space="preserve"> ist eine Sammlung von Azure Dedicated Hosts, die innerhalb eines Azure-Bereichs über verschiedene Fehlerdomänen hinweg eingesetzt werden, um eine einzelne Schwachstelle zu vermeiden.</w:t>
      </w:r>
    </w:p>
    <w:p w14:paraId="648F76F0" w14:textId="77777777" w:rsidR="00C735FD" w:rsidRPr="00EC3D00" w:rsidRDefault="00C735FD" w:rsidP="00C735FD">
      <w:pPr>
        <w:pStyle w:val="ProductList-Body"/>
        <w:rPr>
          <w:rFonts w:ascii="Calibri" w:hAnsi="Calibri" w:cs="Calibri"/>
        </w:rPr>
      </w:pPr>
      <w:r>
        <w:rPr>
          <w:rFonts w:ascii="Calibri" w:hAnsi="Calibri" w:cs="Calibri"/>
        </w:rPr>
        <w:t>„</w:t>
      </w:r>
      <w:r>
        <w:rPr>
          <w:rFonts w:ascii="Calibri" w:hAnsi="Calibri" w:cs="Calibri"/>
          <w:b/>
          <w:color w:val="00188F"/>
        </w:rPr>
        <w:t>Fehlerhafte Domäne</w:t>
      </w:r>
      <w:r>
        <w:rPr>
          <w:rFonts w:ascii="Calibri" w:hAnsi="Calibri" w:cs="Calibri"/>
        </w:rPr>
        <w:t>“ ist eine Sammlung von Servern, die Ressourcen wie Stromversorgung und Netzwerkverbindung gemeinsam nutzen.</w:t>
      </w:r>
    </w:p>
    <w:p w14:paraId="6ED2B697" w14:textId="77777777" w:rsidR="00C735FD" w:rsidRPr="00EC3D00" w:rsidRDefault="00C735FD" w:rsidP="00C735FD">
      <w:pPr>
        <w:pStyle w:val="ProductList-Body"/>
        <w:rPr>
          <w:rFonts w:ascii="Calibri" w:hAnsi="Calibri" w:cs="Calibri"/>
        </w:rPr>
      </w:pPr>
      <w:r>
        <w:rPr>
          <w:rFonts w:ascii="Calibri" w:hAnsi="Calibri" w:cs="Calibri"/>
        </w:rPr>
        <w:t>„</w:t>
      </w:r>
      <w:r>
        <w:rPr>
          <w:rFonts w:ascii="Calibri" w:hAnsi="Calibri" w:cs="Calibri"/>
          <w:b/>
          <w:color w:val="00188F"/>
        </w:rPr>
        <w:t>Betriebssystemplatte</w:t>
      </w:r>
      <w:r>
        <w:rPr>
          <w:rFonts w:ascii="Calibri" w:hAnsi="Calibri" w:cs="Calibri"/>
        </w:rPr>
        <w:t>“ ist eine mit einem virtuellen Computer verbundene permanente virtuelle Festplatte zum Speichern des Betriebssystems des virtuellen Computers.</w:t>
      </w:r>
    </w:p>
    <w:p w14:paraId="24B3C428" w14:textId="77777777" w:rsidR="00C735FD" w:rsidRPr="00EC3D00" w:rsidRDefault="00C735FD" w:rsidP="00C735FD">
      <w:pPr>
        <w:pStyle w:val="ProductList-Body"/>
        <w:rPr>
          <w:rFonts w:ascii="Calibri" w:hAnsi="Calibri" w:cs="Calibri"/>
        </w:rPr>
      </w:pPr>
      <w:r>
        <w:rPr>
          <w:rFonts w:ascii="Calibri" w:hAnsi="Calibri" w:cs="Calibri"/>
        </w:rPr>
        <w:t>„</w:t>
      </w:r>
      <w:r w:rsidRPr="00820882">
        <w:rPr>
          <w:rFonts w:ascii="Calibri" w:hAnsi="Calibri" w:cs="Calibri"/>
          <w:b/>
          <w:color w:val="00188F"/>
        </w:rPr>
        <w:t>Freigegebener Datenträger</w:t>
      </w:r>
      <w:r>
        <w:rPr>
          <w:rFonts w:ascii="Calibri" w:hAnsi="Calibri" w:cs="Calibri"/>
        </w:rPr>
        <w:t>“ ist ein Datenträger, der gleichzeitig an mehrere virtuelle Computer angeschlossen ist.</w:t>
      </w:r>
    </w:p>
    <w:p w14:paraId="1F78EB67" w14:textId="77777777" w:rsidR="00C735FD" w:rsidRPr="00EC3D00" w:rsidRDefault="00C735FD" w:rsidP="00C735FD">
      <w:pPr>
        <w:pStyle w:val="ProductList-Body"/>
        <w:rPr>
          <w:rFonts w:ascii="Calibri" w:hAnsi="Calibri" w:cs="Calibri"/>
        </w:rPr>
      </w:pPr>
      <w:r>
        <w:rPr>
          <w:rFonts w:ascii="Calibri" w:hAnsi="Calibri" w:cs="Calibri"/>
        </w:rPr>
        <w:t>„</w:t>
      </w:r>
      <w:r>
        <w:rPr>
          <w:rFonts w:ascii="Calibri" w:hAnsi="Calibri" w:cs="Calibri"/>
          <w:b/>
          <w:color w:val="00188F"/>
        </w:rPr>
        <w:t>Einzelinstanz-VM</w:t>
      </w:r>
      <w:r>
        <w:rPr>
          <w:rFonts w:ascii="Calibri" w:hAnsi="Calibri" w:cs="Calibri"/>
        </w:rPr>
        <w:t xml:space="preserve">“ wird definiert als jeder einzelne virtuelle Microsoft Azure-Computer, der entweder nicht in einem Verfügbarkeitssatz bereitgestellt wird oder nur eine in einem Verfügbarkeitssatz bereitgestellte Instanz besitzt. </w:t>
      </w:r>
    </w:p>
    <w:p w14:paraId="7CEBA315" w14:textId="77777777" w:rsidR="00C735FD" w:rsidRPr="00EC3D00" w:rsidRDefault="00C735FD" w:rsidP="00C735FD">
      <w:pPr>
        <w:pStyle w:val="ProductList-Body"/>
        <w:rPr>
          <w:rFonts w:ascii="Calibri" w:hAnsi="Calibri" w:cs="Calibri"/>
        </w:rPr>
      </w:pPr>
      <w:r>
        <w:rPr>
          <w:rFonts w:ascii="Calibri" w:hAnsi="Calibri" w:cs="Calibri"/>
        </w:rPr>
        <w:t>„</w:t>
      </w:r>
      <w:r>
        <w:rPr>
          <w:rFonts w:ascii="Calibri" w:hAnsi="Calibri" w:cs="Calibri"/>
          <w:b/>
          <w:color w:val="00188F"/>
        </w:rPr>
        <w:t>Virtueller Computer</w:t>
      </w:r>
      <w:r>
        <w:rPr>
          <w:rFonts w:ascii="Calibri" w:hAnsi="Calibri" w:cs="Calibri"/>
        </w:rPr>
        <w:t xml:space="preserve">“ bezieht sich auf permanente Instanztypen, die einzeln oder als Teil einer Verfügbarkeitsgruppe oder unter Nutzung einer Dedicated Host Group eingesetzt werden können. Ein virtueller Computer kann in einer Mehrmandantenumgebung in Azure oder in einer isolierten, Einzelmandantumgebung mit Azure Dedicated Hosts bereitgestellt werden. </w:t>
      </w:r>
    </w:p>
    <w:p w14:paraId="76DC6692" w14:textId="77777777" w:rsidR="00C735FD" w:rsidRPr="00EC3D00" w:rsidRDefault="00C735FD" w:rsidP="00C735FD">
      <w:pPr>
        <w:pStyle w:val="ProductList-Body"/>
        <w:rPr>
          <w:rFonts w:ascii="Calibri" w:hAnsi="Calibri" w:cs="Calibri"/>
        </w:rPr>
      </w:pPr>
      <w:r>
        <w:rPr>
          <w:rFonts w:ascii="Calibri" w:hAnsi="Calibri" w:cs="Calibri"/>
        </w:rPr>
        <w:t>„</w:t>
      </w:r>
      <w:r>
        <w:rPr>
          <w:rFonts w:ascii="Calibri" w:hAnsi="Calibri" w:cs="Calibri"/>
          <w:b/>
          <w:color w:val="00188F"/>
        </w:rPr>
        <w:t>Verbindungen mit Virtuellem Computer</w:t>
      </w:r>
      <w:r>
        <w:rPr>
          <w:rFonts w:ascii="Calibri" w:hAnsi="Calibri" w:cs="Calibri"/>
        </w:rPr>
        <w:t>“ bezeichnet den bidirektionalen Netzwerkverkehr zwischen dem virtuellen Computer und anderen IP-Adressen mithilfe von TCP- oder UDP-Netzwerkprotokollen, in denen der virtuelle Computer für den zulässigen Verkehr konfiguriert ist. Die IP-Adressen können IP-Adressen im gleichen Clouddienst wie der virtuelle Computer, IP-Adressen innerhalb des gleichen virtuellen Netzwerks wie der virtuelle Computer oder öffentliche, routingfähige IP-Adressen sein.</w:t>
      </w:r>
    </w:p>
    <w:p w14:paraId="0057D851" w14:textId="77777777" w:rsidR="00C735FD" w:rsidRPr="00EC3D00" w:rsidRDefault="00C735FD" w:rsidP="00C735FD">
      <w:pPr>
        <w:pStyle w:val="ProductList-Body"/>
        <w:rPr>
          <w:rFonts w:ascii="Calibri" w:hAnsi="Calibri" w:cs="Calibri"/>
          <w:b/>
          <w:color w:val="00188F"/>
        </w:rPr>
      </w:pPr>
      <w:r>
        <w:rPr>
          <w:rFonts w:ascii="Calibri" w:hAnsi="Calibri" w:cs="Calibri"/>
          <w:b/>
          <w:color w:val="00188F"/>
        </w:rPr>
        <w:t>Berechnung der Betriebszeit und Service-Levels für virtuelle Computer in Verfügbarkeitszonen</w:t>
      </w:r>
    </w:p>
    <w:p w14:paraId="451256D8" w14:textId="77777777" w:rsidR="00C735FD" w:rsidRPr="00EC3D00" w:rsidRDefault="00C735FD" w:rsidP="00C735FD">
      <w:pPr>
        <w:pStyle w:val="ProductList-Body"/>
        <w:ind w:left="360"/>
        <w:rPr>
          <w:rFonts w:ascii="Calibri" w:hAnsi="Calibri" w:cs="Calibri"/>
        </w:rPr>
      </w:pPr>
      <w:r>
        <w:rPr>
          <w:rFonts w:ascii="Calibri" w:hAnsi="Calibri" w:cs="Calibri"/>
        </w:rPr>
        <w:t>„</w:t>
      </w:r>
      <w:r>
        <w:rPr>
          <w:rFonts w:ascii="Calibri" w:hAnsi="Calibri" w:cs="Calibri"/>
          <w:b/>
          <w:color w:val="0072C6"/>
        </w:rPr>
        <w:t>Maximal Verfügbare Minuten</w:t>
      </w:r>
      <w:r>
        <w:rPr>
          <w:rFonts w:ascii="Calibri" w:hAnsi="Calibri" w:cs="Calibri"/>
        </w:rPr>
        <w:t>“ ist die Gesamtzahl der Minuten während eines Anwendbaren Zeitraums, in denen in derselben Region zwei oder mehr Instanzen in zwei oder mehr Verfügbarkeitszonen bereitgestellt werden. Die Maximal verfügbaren Minuten werden ab dem Zeitpunkt gemessen, zu dem mindestens zwei Virtuelle Computer in zwei oder mehr Verfügbarkeitszonen in derselben Region als Ergebnis einer vom Kunden initiierten Aktion gestartet sind, und bis zu dem Zeitpunkt, an dem der Kunde eine Aktion eingeleitet hat, die zum Stoppen oder Löschen der Virtuellen Computer führt.</w:t>
      </w:r>
    </w:p>
    <w:p w14:paraId="6B9A77E1" w14:textId="77777777" w:rsidR="00C735FD" w:rsidRPr="00EC3D00" w:rsidRDefault="00C735FD" w:rsidP="00C735FD">
      <w:pPr>
        <w:pStyle w:val="ProductList-Body"/>
        <w:ind w:left="360"/>
        <w:rPr>
          <w:rFonts w:ascii="Calibri" w:hAnsi="Calibri" w:cs="Calibri"/>
        </w:rPr>
      </w:pPr>
      <w:r>
        <w:rPr>
          <w:rFonts w:ascii="Calibri" w:hAnsi="Calibri" w:cs="Calibri"/>
        </w:rPr>
        <w:t>„</w:t>
      </w:r>
      <w:r>
        <w:rPr>
          <w:rFonts w:ascii="Calibri" w:hAnsi="Calibri" w:cs="Calibri"/>
          <w:b/>
          <w:color w:val="0072C6"/>
        </w:rPr>
        <w:t>Ausfallzeit</w:t>
      </w:r>
      <w:r>
        <w:rPr>
          <w:rFonts w:ascii="Calibri" w:hAnsi="Calibri" w:cs="Calibri"/>
        </w:rPr>
        <w:t>“ ist die Gesamtzahl der Minuten unter den Maximal Verfügbaren Minuten, für die in der Region keine Verbindungen mit Virtuellen Computern bestehen.</w:t>
      </w:r>
    </w:p>
    <w:p w14:paraId="1FF5F20B" w14:textId="77777777" w:rsidR="00C735FD" w:rsidRDefault="00C735FD" w:rsidP="00C735FD">
      <w:pPr>
        <w:pStyle w:val="ProductList-Body"/>
        <w:ind w:left="360"/>
        <w:rPr>
          <w:rFonts w:ascii="Calibri" w:hAnsi="Calibri" w:cs="Calibri"/>
        </w:rPr>
      </w:pPr>
      <w:r>
        <w:rPr>
          <w:rFonts w:ascii="Calibri" w:hAnsi="Calibri" w:cs="Calibri"/>
        </w:rPr>
        <w:t>„</w:t>
      </w:r>
      <w:r>
        <w:rPr>
          <w:rFonts w:ascii="Calibri" w:hAnsi="Calibri" w:cs="Calibri"/>
          <w:b/>
          <w:color w:val="0072C6"/>
        </w:rPr>
        <w:t>Betriebszeitprozentsatz</w:t>
      </w:r>
      <w:r>
        <w:rPr>
          <w:rFonts w:ascii="Calibri" w:hAnsi="Calibri" w:cs="Calibri"/>
        </w:rPr>
        <w:t>“ für Virtuelle Computer in Verfügbarkeitszonen wird berechnet aus den Maximal Verfügbaren Minuten abzüglich der Ausfallzeit geteilt durch die Maximal Verfügbaren Minuten in einem Anwendbaren Zeitraum für ein bestimmtes Microsoft Azure-Abonnement. Der Betriebszeitprozentsatz wird durch die folgende Formel ermittelt:</w:t>
      </w:r>
    </w:p>
    <w:p w14:paraId="39535ADA" w14:textId="77777777" w:rsidR="00C735FD" w:rsidRPr="00434BE0" w:rsidRDefault="00C735FD" w:rsidP="004842FF">
      <w:pPr>
        <w:pStyle w:val="ListParagraph"/>
        <w:spacing w:before="120" w:after="0" w:line="240" w:lineRule="auto"/>
        <w:contextualSpacing w:val="0"/>
        <w:rPr>
          <w:rFonts w:ascii="Cambria Math" w:hAnsi="Cambria Math" w:cs="Tahoma"/>
          <w:i/>
          <w:sz w:val="12"/>
          <w:szCs w:val="12"/>
        </w:rPr>
      </w:pPr>
      <m:oMathPara>
        <m:oMath>
          <m:r>
            <w:rPr>
              <w:rFonts w:ascii="Cambria Math" w:hAnsi="Cambria Math" w:cs="Tahoma"/>
              <w:sz w:val="18"/>
              <w:szCs w:val="18"/>
            </w:rPr>
            <m:t xml:space="preserve">Monatliche Betriebszeit in %= </m:t>
          </m:r>
          <m:f>
            <m:fPr>
              <m:ctrlPr>
                <w:rPr>
                  <w:rFonts w:ascii="Cambria Math" w:hAnsi="Cambria Math" w:cs="Tahoma"/>
                  <w:i/>
                  <w:sz w:val="18"/>
                  <w:szCs w:val="18"/>
                </w:rPr>
              </m:ctrlPr>
            </m:fPr>
            <m:num>
              <m:r>
                <m:rPr>
                  <m:nor/>
                </m:rPr>
                <w:rPr>
                  <w:rFonts w:ascii="Cambria Math" w:hAnsi="Cambria Math" w:cs="Tahoma"/>
                  <w:i/>
                  <w:sz w:val="18"/>
                  <w:szCs w:val="18"/>
                </w:rPr>
                <m:t>(Maximal Verfügbare Minuten - Ausfallzeit)</m:t>
              </m:r>
            </m:num>
            <m:den>
              <m:r>
                <m:rPr>
                  <m:nor/>
                </m:rPr>
                <w:rPr>
                  <w:rFonts w:ascii="Cambria Math" w:hAnsi="Cambria Math" w:cs="Tahoma"/>
                  <w:i/>
                  <w:sz w:val="18"/>
                  <w:szCs w:val="18"/>
                </w:rPr>
                <m:t>Maximal verfügbare Minuten</m:t>
              </m:r>
            </m:den>
          </m:f>
          <m:r>
            <w:rPr>
              <w:rFonts w:ascii="Cambria Math" w:hAnsi="Cambria Math" w:cs="Tahoma"/>
              <w:sz w:val="18"/>
              <w:szCs w:val="18"/>
            </w:rPr>
            <m:t xml:space="preserve"> x 100</m:t>
          </m:r>
        </m:oMath>
      </m:oMathPara>
    </w:p>
    <w:p w14:paraId="4DD12247" w14:textId="3EE0AD39" w:rsidR="00C735FD" w:rsidRPr="00EC3D00" w:rsidRDefault="00C735FD" w:rsidP="00C735FD">
      <w:pPr>
        <w:pStyle w:val="ProductList-Body"/>
        <w:ind w:left="360"/>
        <w:rPr>
          <w:rFonts w:ascii="Calibri" w:hAnsi="Calibri" w:cs="Calibri"/>
        </w:rPr>
      </w:pPr>
      <w:r>
        <w:rPr>
          <w:rFonts w:ascii="Calibri" w:hAnsi="Calibri" w:cs="Calibri"/>
          <w:b/>
          <w:color w:val="0072C6"/>
        </w:rPr>
        <w:t>Servicegutschrift</w:t>
      </w:r>
      <w:r w:rsidRPr="004B493D">
        <w:rPr>
          <w:rFonts w:ascii="Calibri" w:hAnsi="Calibri" w:cs="Calibri"/>
          <w:b/>
          <w:color w:val="0072C6"/>
        </w:rPr>
        <w:t>:</w:t>
      </w:r>
    </w:p>
    <w:p w14:paraId="6B1CE9C3" w14:textId="77777777" w:rsidR="00C735FD" w:rsidRDefault="00C735FD" w:rsidP="00C735FD">
      <w:pPr>
        <w:pStyle w:val="ProductList-Body"/>
        <w:ind w:left="360"/>
        <w:rPr>
          <w:rFonts w:ascii="Calibri" w:hAnsi="Calibri" w:cs="Calibri"/>
        </w:rPr>
      </w:pPr>
      <w:r>
        <w:rPr>
          <w:rFonts w:ascii="Calibri" w:hAnsi="Calibri" w:cs="Calibri"/>
        </w:rPr>
        <w:t>Folgende Service Levels und Servicegutschriften gelten für die Nutzung durch den Kunden von Virtuellen Computern in zwei oder mehr Verfügbarkeitszonen in derselben Region:</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C735FD" w:rsidRPr="00B44CF9" w14:paraId="66DDD2D5" w14:textId="77777777" w:rsidTr="00C64A04">
        <w:trPr>
          <w:tblHeader/>
        </w:trPr>
        <w:tc>
          <w:tcPr>
            <w:tcW w:w="5040" w:type="dxa"/>
            <w:shd w:val="clear" w:color="auto" w:fill="0072C6"/>
          </w:tcPr>
          <w:p w14:paraId="4F40D43A" w14:textId="77777777" w:rsidR="00C735FD" w:rsidRPr="00EC3D00" w:rsidRDefault="00C735FD" w:rsidP="00C64A04">
            <w:pPr>
              <w:pStyle w:val="ProductList-OfferingBody"/>
              <w:jc w:val="center"/>
              <w:rPr>
                <w:rFonts w:ascii="Calibri" w:hAnsi="Calibri" w:cs="Calibri"/>
                <w:color w:val="FFFFFF" w:themeColor="background1"/>
              </w:rPr>
            </w:pPr>
            <w:r>
              <w:rPr>
                <w:rFonts w:ascii="Calibri" w:hAnsi="Calibri" w:cs="Calibri"/>
                <w:color w:val="FFFFFF" w:themeColor="background1"/>
              </w:rPr>
              <w:t>Betriebszeitprozentsatz</w:t>
            </w:r>
          </w:p>
        </w:tc>
        <w:tc>
          <w:tcPr>
            <w:tcW w:w="5400" w:type="dxa"/>
            <w:shd w:val="clear" w:color="auto" w:fill="0072C6"/>
          </w:tcPr>
          <w:p w14:paraId="051A8E9D" w14:textId="77777777" w:rsidR="00C735FD" w:rsidRPr="00EC3D00" w:rsidRDefault="00C735FD" w:rsidP="00C64A04">
            <w:pPr>
              <w:pStyle w:val="ProductList-OfferingBody"/>
              <w:jc w:val="center"/>
              <w:rPr>
                <w:rFonts w:ascii="Calibri" w:hAnsi="Calibri" w:cs="Calibri"/>
                <w:color w:val="FFFFFF" w:themeColor="background1"/>
              </w:rPr>
            </w:pPr>
            <w:r>
              <w:rPr>
                <w:rFonts w:ascii="Calibri" w:hAnsi="Calibri" w:cs="Calibri"/>
                <w:color w:val="FFFFFF" w:themeColor="background1"/>
              </w:rPr>
              <w:t>Servicegutschrift</w:t>
            </w:r>
          </w:p>
        </w:tc>
      </w:tr>
      <w:tr w:rsidR="00C735FD" w:rsidRPr="00B44CF9" w14:paraId="099F5C73" w14:textId="77777777" w:rsidTr="00C64A04">
        <w:tc>
          <w:tcPr>
            <w:tcW w:w="5040" w:type="dxa"/>
          </w:tcPr>
          <w:p w14:paraId="66EE1F40" w14:textId="77777777" w:rsidR="00C735FD" w:rsidRPr="00EC3D00" w:rsidRDefault="00C735FD" w:rsidP="00C64A04">
            <w:pPr>
              <w:pStyle w:val="ProductList-OfferingBody"/>
              <w:jc w:val="center"/>
              <w:rPr>
                <w:rFonts w:ascii="Calibri" w:hAnsi="Calibri" w:cs="Calibri"/>
              </w:rPr>
            </w:pPr>
            <w:r>
              <w:rPr>
                <w:rFonts w:ascii="Calibri" w:hAnsi="Calibri" w:cs="Calibri"/>
              </w:rPr>
              <w:t>&lt; 99,99 %</w:t>
            </w:r>
          </w:p>
        </w:tc>
        <w:tc>
          <w:tcPr>
            <w:tcW w:w="5400" w:type="dxa"/>
          </w:tcPr>
          <w:p w14:paraId="5831CD57" w14:textId="77777777" w:rsidR="00C735FD" w:rsidRPr="00EC3D00" w:rsidRDefault="00C735FD" w:rsidP="00C64A04">
            <w:pPr>
              <w:pStyle w:val="ProductList-OfferingBody"/>
              <w:jc w:val="center"/>
              <w:rPr>
                <w:rFonts w:ascii="Calibri" w:hAnsi="Calibri" w:cs="Calibri"/>
              </w:rPr>
            </w:pPr>
            <w:r>
              <w:rPr>
                <w:rFonts w:ascii="Calibri" w:hAnsi="Calibri" w:cs="Calibri"/>
              </w:rPr>
              <w:t>10 %</w:t>
            </w:r>
          </w:p>
        </w:tc>
      </w:tr>
      <w:tr w:rsidR="00C735FD" w:rsidRPr="00B44CF9" w14:paraId="107919D4" w14:textId="77777777" w:rsidTr="00C64A04">
        <w:tc>
          <w:tcPr>
            <w:tcW w:w="5040" w:type="dxa"/>
          </w:tcPr>
          <w:p w14:paraId="41AA5316" w14:textId="77777777" w:rsidR="00C735FD" w:rsidRPr="00EC3D00" w:rsidRDefault="00C735FD" w:rsidP="00C64A04">
            <w:pPr>
              <w:pStyle w:val="ProductList-OfferingBody"/>
              <w:jc w:val="center"/>
              <w:rPr>
                <w:rFonts w:ascii="Calibri" w:hAnsi="Calibri" w:cs="Calibri"/>
              </w:rPr>
            </w:pPr>
            <w:r>
              <w:rPr>
                <w:rFonts w:ascii="Calibri" w:hAnsi="Calibri" w:cs="Calibri"/>
              </w:rPr>
              <w:t>&lt; 99 %</w:t>
            </w:r>
          </w:p>
        </w:tc>
        <w:tc>
          <w:tcPr>
            <w:tcW w:w="5400" w:type="dxa"/>
          </w:tcPr>
          <w:p w14:paraId="3E424C62" w14:textId="77777777" w:rsidR="00C735FD" w:rsidRPr="00EC3D00" w:rsidRDefault="00C735FD" w:rsidP="00C64A04">
            <w:pPr>
              <w:pStyle w:val="ProductList-OfferingBody"/>
              <w:jc w:val="center"/>
              <w:rPr>
                <w:rFonts w:ascii="Calibri" w:hAnsi="Calibri" w:cs="Calibri"/>
              </w:rPr>
            </w:pPr>
            <w:r>
              <w:rPr>
                <w:rFonts w:ascii="Calibri" w:hAnsi="Calibri" w:cs="Calibri"/>
              </w:rPr>
              <w:t>25 %</w:t>
            </w:r>
          </w:p>
        </w:tc>
      </w:tr>
      <w:tr w:rsidR="00C735FD" w:rsidRPr="00B44CF9" w14:paraId="76B9AF60" w14:textId="77777777" w:rsidTr="00C64A04">
        <w:tc>
          <w:tcPr>
            <w:tcW w:w="5040" w:type="dxa"/>
          </w:tcPr>
          <w:p w14:paraId="10E0A5C5" w14:textId="77777777" w:rsidR="00C735FD" w:rsidRPr="00EC3D00" w:rsidRDefault="00C735FD" w:rsidP="00C64A04">
            <w:pPr>
              <w:pStyle w:val="ProductList-OfferingBody"/>
              <w:jc w:val="center"/>
              <w:rPr>
                <w:rFonts w:ascii="Calibri" w:hAnsi="Calibri" w:cs="Calibri"/>
              </w:rPr>
            </w:pPr>
            <w:r>
              <w:rPr>
                <w:rFonts w:ascii="Calibri" w:hAnsi="Calibri" w:cs="Calibri"/>
              </w:rPr>
              <w:t>&lt; 95 %</w:t>
            </w:r>
          </w:p>
        </w:tc>
        <w:tc>
          <w:tcPr>
            <w:tcW w:w="5400" w:type="dxa"/>
          </w:tcPr>
          <w:p w14:paraId="1544428C" w14:textId="77777777" w:rsidR="00C735FD" w:rsidRPr="00EC3D00" w:rsidRDefault="00C735FD" w:rsidP="00C64A04">
            <w:pPr>
              <w:pStyle w:val="ProductList-OfferingBody"/>
              <w:jc w:val="center"/>
              <w:rPr>
                <w:rFonts w:ascii="Calibri" w:hAnsi="Calibri" w:cs="Calibri"/>
              </w:rPr>
            </w:pPr>
            <w:r>
              <w:rPr>
                <w:rFonts w:ascii="Calibri" w:hAnsi="Calibri" w:cs="Calibri"/>
              </w:rPr>
              <w:t>100 %</w:t>
            </w:r>
          </w:p>
        </w:tc>
      </w:tr>
    </w:tbl>
    <w:p w14:paraId="4C89F0C2" w14:textId="77777777" w:rsidR="00C735FD" w:rsidRPr="00EC3D00" w:rsidRDefault="00C735FD" w:rsidP="0030297C">
      <w:pPr>
        <w:pStyle w:val="ProductList-Body"/>
        <w:rPr>
          <w:rFonts w:ascii="Calibri" w:hAnsi="Calibri" w:cs="Calibri"/>
          <w:b/>
          <w:color w:val="00188F"/>
        </w:rPr>
      </w:pPr>
      <w:r>
        <w:rPr>
          <w:rFonts w:ascii="Calibri" w:hAnsi="Calibri" w:cs="Calibri"/>
          <w:b/>
          <w:color w:val="00188F"/>
        </w:rPr>
        <w:t>Berechnung der Betriebszeit und Service-Levels für Virtuelle Computer in einer Verfügbarkeitsgruppe oder in derselben Dedicated Host Group</w:t>
      </w:r>
    </w:p>
    <w:p w14:paraId="62E6181E" w14:textId="77777777" w:rsidR="00C735FD" w:rsidRPr="00EC3D00" w:rsidRDefault="00C735FD" w:rsidP="00C735FD">
      <w:pPr>
        <w:pStyle w:val="ProductList-Body"/>
        <w:ind w:left="360"/>
        <w:rPr>
          <w:rFonts w:ascii="Calibri" w:hAnsi="Calibri" w:cs="Calibri"/>
        </w:rPr>
      </w:pPr>
      <w:r>
        <w:rPr>
          <w:rFonts w:ascii="Calibri" w:hAnsi="Calibri" w:cs="Calibri"/>
          <w:b/>
          <w:color w:val="0070C0"/>
        </w:rPr>
        <w:t>Maximal verfügbare Minuten</w:t>
      </w:r>
      <w:r w:rsidRPr="00A113DE">
        <w:rPr>
          <w:rFonts w:ascii="Calibri" w:hAnsi="Calibri" w:cs="Calibri"/>
          <w:b/>
          <w:color w:val="0070C0"/>
        </w:rPr>
        <w:t>:</w:t>
      </w:r>
      <w:r>
        <w:rPr>
          <w:rFonts w:ascii="Calibri" w:hAnsi="Calibri" w:cs="Calibri"/>
        </w:rPr>
        <w:t xml:space="preserve"> Gesamtzahl der Minuten während eines Anwendbaren Zeitraums für alle Virtuellen Computer mit Internetzugang, die zwei oder mehr Instanzen in derselben Verfügbarkeitsgruppe oder in derselben Dedicated Host Group bereitstellen. Maximal verfügbare Minuten werden ab dem Zeitpunkt gemessen, zu dem mindestens zwei Virtuelle Computer in der gleichen Verfügbarkeitsgruppe oder in der gleichen Dedicated Host Group gestartet wurden, die sich aus einer durch Sie eingeleiteten Aktion ergeben bis zu dem Zeitpunkt, zu dem Sie eine Aktion eingeleitet haben, die zum Anhalten oder Löschen der Virtuellen Computer führen würde.</w:t>
      </w:r>
    </w:p>
    <w:p w14:paraId="30382857" w14:textId="77777777" w:rsidR="00C735FD" w:rsidRPr="00EC3D00" w:rsidRDefault="00C735FD" w:rsidP="00C735FD">
      <w:pPr>
        <w:pStyle w:val="ProductList-Body"/>
        <w:ind w:left="360"/>
        <w:rPr>
          <w:rFonts w:ascii="Calibri" w:hAnsi="Calibri" w:cs="Calibri"/>
        </w:rPr>
      </w:pPr>
      <w:r>
        <w:rPr>
          <w:rFonts w:ascii="Calibri" w:hAnsi="Calibri" w:cs="Calibri"/>
          <w:b/>
          <w:color w:val="0072C6"/>
        </w:rPr>
        <w:t>Ausfallzeit</w:t>
      </w:r>
      <w:r w:rsidRPr="0049611A">
        <w:rPr>
          <w:rFonts w:ascii="Calibri" w:hAnsi="Calibri" w:cs="Calibri"/>
          <w:b/>
          <w:color w:val="0072C6"/>
        </w:rPr>
        <w:t>:</w:t>
      </w:r>
      <w:r>
        <w:rPr>
          <w:rFonts w:ascii="Calibri" w:hAnsi="Calibri" w:cs="Calibri"/>
        </w:rPr>
        <w:t xml:space="preserve"> Die Summe der angesammelten Minuten, die Teil der Maximal verfügbaren Minuten sind, die keine virtuelle Computer-Konnektivität haben.</w:t>
      </w:r>
    </w:p>
    <w:p w14:paraId="75706B97" w14:textId="77777777" w:rsidR="00C735FD" w:rsidRPr="00EC3D00" w:rsidRDefault="00C735FD" w:rsidP="00C735FD">
      <w:pPr>
        <w:pStyle w:val="ProductList-Body"/>
        <w:keepNext/>
        <w:ind w:left="360"/>
        <w:rPr>
          <w:rFonts w:ascii="Calibri" w:hAnsi="Calibri" w:cs="Calibri"/>
        </w:rPr>
      </w:pPr>
      <w:r>
        <w:rPr>
          <w:rFonts w:ascii="Calibri" w:hAnsi="Calibri" w:cs="Calibri"/>
          <w:b/>
          <w:color w:val="0072C6"/>
        </w:rPr>
        <w:t>Betriebszeitprozentsatz</w:t>
      </w:r>
      <w:r w:rsidRPr="00AD3B45">
        <w:rPr>
          <w:rFonts w:ascii="Calibri" w:hAnsi="Calibri" w:cs="Calibri"/>
          <w:b/>
          <w:color w:val="0072C6"/>
        </w:rPr>
        <w:t>:</w:t>
      </w:r>
      <w:r>
        <w:rPr>
          <w:rFonts w:ascii="Calibri" w:hAnsi="Calibri" w:cs="Calibri"/>
        </w:rPr>
        <w:t xml:space="preserve"> für Virtuelle Computer wird berechnet aus den Maximal Verfügbaren Minuten abzüglich der Ausfallzeit, geteilt durch die Maximal Verfügbaren Minuten in einem Anwendbaren Zeitraum für ein bestimmtes Microsoft Azure-Abonnement. Der Betriebszeitprozentsatz wird durch die folgende Formel ermittelt:</w:t>
      </w:r>
    </w:p>
    <w:p w14:paraId="4B06E72A" w14:textId="77777777" w:rsidR="00C735FD" w:rsidRPr="00EF7CF9" w:rsidRDefault="00C735FD" w:rsidP="0030297C">
      <w:pPr>
        <w:pStyle w:val="ListParagraph"/>
        <w:spacing w:after="0" w:line="240" w:lineRule="auto"/>
        <w:contextualSpacing w:val="0"/>
        <w:rPr>
          <w:rFonts w:ascii="Cambria Math" w:hAnsi="Cambria Math" w:cs="Tahoma"/>
          <w:i/>
          <w:sz w:val="12"/>
          <w:szCs w:val="12"/>
        </w:rPr>
      </w:pPr>
      <m:oMathPara>
        <m:oMath>
          <m:r>
            <w:rPr>
              <w:rFonts w:ascii="Cambria Math" w:hAnsi="Cambria Math" w:cs="Tahoma"/>
              <w:sz w:val="18"/>
              <w:szCs w:val="18"/>
            </w:rPr>
            <m:t xml:space="preserve">Monatliche Betriebszeit in %= </m:t>
          </m:r>
          <m:f>
            <m:fPr>
              <m:ctrlPr>
                <w:rPr>
                  <w:rFonts w:ascii="Cambria Math" w:hAnsi="Cambria Math" w:cs="Tahoma"/>
                  <w:i/>
                  <w:sz w:val="18"/>
                  <w:szCs w:val="18"/>
                </w:rPr>
              </m:ctrlPr>
            </m:fPr>
            <m:num>
              <m:r>
                <m:rPr>
                  <m:nor/>
                </m:rPr>
                <w:rPr>
                  <w:rFonts w:ascii="Cambria Math" w:hAnsi="Cambria Math" w:cs="Tahoma"/>
                  <w:i/>
                  <w:sz w:val="18"/>
                  <w:szCs w:val="18"/>
                </w:rPr>
                <m:t>(Maximal Verfügbare Minuten - Ausfallzeit)</m:t>
              </m:r>
            </m:num>
            <m:den>
              <m:r>
                <m:rPr>
                  <m:nor/>
                </m:rPr>
                <w:rPr>
                  <w:rFonts w:ascii="Cambria Math" w:hAnsi="Cambria Math" w:cs="Tahoma"/>
                  <w:i/>
                  <w:sz w:val="18"/>
                  <w:szCs w:val="18"/>
                </w:rPr>
                <m:t>Maximal verfügbare Minuten</m:t>
              </m:r>
            </m:den>
          </m:f>
          <m:r>
            <w:rPr>
              <w:rFonts w:ascii="Cambria Math" w:hAnsi="Cambria Math" w:cs="Tahoma"/>
              <w:sz w:val="18"/>
              <w:szCs w:val="18"/>
            </w:rPr>
            <m:t xml:space="preserve"> x 100</m:t>
          </m:r>
        </m:oMath>
      </m:oMathPara>
    </w:p>
    <w:p w14:paraId="62DF054E" w14:textId="77777777" w:rsidR="00C735FD" w:rsidRPr="00EC3D00" w:rsidRDefault="00C735FD" w:rsidP="00C735FD">
      <w:pPr>
        <w:pStyle w:val="ProductList-Body"/>
        <w:keepNext/>
        <w:ind w:left="360"/>
        <w:rPr>
          <w:rFonts w:ascii="Calibri" w:hAnsi="Calibri" w:cs="Calibri"/>
        </w:rPr>
      </w:pPr>
      <w:r>
        <w:rPr>
          <w:rFonts w:ascii="Calibri" w:hAnsi="Calibri" w:cs="Calibri"/>
          <w:b/>
          <w:color w:val="0072C6"/>
        </w:rPr>
        <w:t>Servicegutschrift</w:t>
      </w:r>
      <w:r w:rsidRPr="00712108">
        <w:rPr>
          <w:rFonts w:ascii="Calibri" w:hAnsi="Calibri" w:cs="Calibri"/>
          <w:b/>
          <w:color w:val="0072C6"/>
        </w:rPr>
        <w:t>:</w:t>
      </w:r>
    </w:p>
    <w:p w14:paraId="20DB7361" w14:textId="77777777" w:rsidR="00C735FD" w:rsidRDefault="00C735FD" w:rsidP="00C735FD">
      <w:pPr>
        <w:pStyle w:val="ProductList-Body"/>
        <w:ind w:left="360"/>
        <w:rPr>
          <w:rFonts w:ascii="Calibri" w:hAnsi="Calibri" w:cs="Calibri"/>
        </w:rPr>
      </w:pPr>
      <w:r>
        <w:rPr>
          <w:rFonts w:ascii="Calibri" w:hAnsi="Calibri" w:cs="Calibri"/>
        </w:rPr>
        <w:t>Folgende Servicelevels und Servicegutschriften gelten für die Nutzung durch den Kunden von Virtuellen Computern in einer Verfügbarkeitsgruppe oder in derselben Dedicated Host Group. Diese SLA gilt nicht für Verfügbarkeitsgruppen, die gemeinsam genutzte Azure-Datenträger nutzen:</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C735FD" w:rsidRPr="00B44CF9" w14:paraId="45115CF9" w14:textId="77777777" w:rsidTr="00C64A04">
        <w:trPr>
          <w:tblHeader/>
        </w:trPr>
        <w:tc>
          <w:tcPr>
            <w:tcW w:w="5040" w:type="dxa"/>
            <w:shd w:val="clear" w:color="auto" w:fill="0072C6"/>
          </w:tcPr>
          <w:p w14:paraId="1DE61540" w14:textId="77777777" w:rsidR="00C735FD" w:rsidRPr="00EF7CF9" w:rsidRDefault="00C735FD" w:rsidP="00C64A0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1EC9F6E4" w14:textId="77777777" w:rsidR="00C735FD" w:rsidRPr="00EF7CF9" w:rsidRDefault="00C735FD" w:rsidP="00C64A04">
            <w:pPr>
              <w:pStyle w:val="ProductList-OfferingBody"/>
              <w:jc w:val="center"/>
              <w:rPr>
                <w:color w:val="FFFFFF" w:themeColor="background1"/>
              </w:rPr>
            </w:pPr>
            <w:r>
              <w:rPr>
                <w:color w:val="FFFFFF" w:themeColor="background1"/>
              </w:rPr>
              <w:t>Servicegutschrift</w:t>
            </w:r>
          </w:p>
        </w:tc>
      </w:tr>
      <w:tr w:rsidR="00C735FD" w:rsidRPr="00B44CF9" w14:paraId="20E2F188" w14:textId="77777777" w:rsidTr="00C64A04">
        <w:tc>
          <w:tcPr>
            <w:tcW w:w="5040" w:type="dxa"/>
          </w:tcPr>
          <w:p w14:paraId="4628959F" w14:textId="77777777" w:rsidR="00C735FD" w:rsidRPr="00EC3D00" w:rsidRDefault="00C735FD" w:rsidP="00C64A04">
            <w:pPr>
              <w:pStyle w:val="ProductList-OfferingBody"/>
              <w:jc w:val="center"/>
              <w:rPr>
                <w:rFonts w:ascii="Calibri" w:hAnsi="Calibri" w:cs="Calibri"/>
              </w:rPr>
            </w:pPr>
            <w:r>
              <w:rPr>
                <w:rFonts w:ascii="Calibri" w:hAnsi="Calibri" w:cs="Calibri"/>
              </w:rPr>
              <w:t>&lt; 99,95 %</w:t>
            </w:r>
          </w:p>
        </w:tc>
        <w:tc>
          <w:tcPr>
            <w:tcW w:w="5400" w:type="dxa"/>
          </w:tcPr>
          <w:p w14:paraId="1E00D473" w14:textId="77777777" w:rsidR="00C735FD" w:rsidRPr="00EC3D00" w:rsidRDefault="00C735FD" w:rsidP="00C64A04">
            <w:pPr>
              <w:pStyle w:val="ProductList-OfferingBody"/>
              <w:jc w:val="center"/>
              <w:rPr>
                <w:rFonts w:ascii="Calibri" w:hAnsi="Calibri" w:cs="Calibri"/>
              </w:rPr>
            </w:pPr>
            <w:r>
              <w:rPr>
                <w:rFonts w:ascii="Calibri" w:hAnsi="Calibri" w:cs="Calibri"/>
              </w:rPr>
              <w:t>10 %</w:t>
            </w:r>
          </w:p>
        </w:tc>
      </w:tr>
      <w:tr w:rsidR="00C735FD" w:rsidRPr="00B44CF9" w14:paraId="075E8F36" w14:textId="77777777" w:rsidTr="00C64A04">
        <w:tc>
          <w:tcPr>
            <w:tcW w:w="5040" w:type="dxa"/>
          </w:tcPr>
          <w:p w14:paraId="3D58B943" w14:textId="77777777" w:rsidR="00C735FD" w:rsidRPr="00EC3D00" w:rsidRDefault="00C735FD" w:rsidP="00C64A04">
            <w:pPr>
              <w:pStyle w:val="ProductList-OfferingBody"/>
              <w:jc w:val="center"/>
              <w:rPr>
                <w:rFonts w:ascii="Calibri" w:hAnsi="Calibri" w:cs="Calibri"/>
              </w:rPr>
            </w:pPr>
            <w:r>
              <w:rPr>
                <w:rFonts w:ascii="Calibri" w:hAnsi="Calibri" w:cs="Calibri"/>
              </w:rPr>
              <w:t>&lt; 99 %</w:t>
            </w:r>
          </w:p>
        </w:tc>
        <w:tc>
          <w:tcPr>
            <w:tcW w:w="5400" w:type="dxa"/>
          </w:tcPr>
          <w:p w14:paraId="0FC8046D" w14:textId="77777777" w:rsidR="00C735FD" w:rsidRPr="00EC3D00" w:rsidRDefault="00C735FD" w:rsidP="00C64A04">
            <w:pPr>
              <w:pStyle w:val="ProductList-OfferingBody"/>
              <w:jc w:val="center"/>
              <w:rPr>
                <w:rFonts w:ascii="Calibri" w:hAnsi="Calibri" w:cs="Calibri"/>
              </w:rPr>
            </w:pPr>
            <w:r>
              <w:rPr>
                <w:rFonts w:ascii="Calibri" w:hAnsi="Calibri" w:cs="Calibri"/>
              </w:rPr>
              <w:t>25 %</w:t>
            </w:r>
          </w:p>
        </w:tc>
      </w:tr>
      <w:tr w:rsidR="00C735FD" w:rsidRPr="00B44CF9" w14:paraId="6589560A" w14:textId="77777777" w:rsidTr="00C64A04">
        <w:tc>
          <w:tcPr>
            <w:tcW w:w="5040" w:type="dxa"/>
          </w:tcPr>
          <w:p w14:paraId="51A8B447" w14:textId="77777777" w:rsidR="00C735FD" w:rsidRPr="00EC3D00" w:rsidRDefault="00C735FD" w:rsidP="00C64A04">
            <w:pPr>
              <w:pStyle w:val="ProductList-OfferingBody"/>
              <w:jc w:val="center"/>
              <w:rPr>
                <w:rFonts w:ascii="Calibri" w:hAnsi="Calibri" w:cs="Calibri"/>
              </w:rPr>
            </w:pPr>
            <w:r>
              <w:rPr>
                <w:rFonts w:ascii="Calibri" w:hAnsi="Calibri" w:cs="Calibri"/>
              </w:rPr>
              <w:t>&lt; 95 %</w:t>
            </w:r>
          </w:p>
        </w:tc>
        <w:tc>
          <w:tcPr>
            <w:tcW w:w="5400" w:type="dxa"/>
          </w:tcPr>
          <w:p w14:paraId="5018E155" w14:textId="77777777" w:rsidR="00C735FD" w:rsidRPr="00EC3D00" w:rsidRDefault="00C735FD" w:rsidP="00C64A04">
            <w:pPr>
              <w:pStyle w:val="ProductList-OfferingBody"/>
              <w:jc w:val="center"/>
              <w:rPr>
                <w:rFonts w:ascii="Calibri" w:hAnsi="Calibri" w:cs="Calibri"/>
              </w:rPr>
            </w:pPr>
            <w:r>
              <w:rPr>
                <w:rFonts w:ascii="Calibri" w:hAnsi="Calibri" w:cs="Calibri"/>
              </w:rPr>
              <w:t>100 %</w:t>
            </w:r>
          </w:p>
        </w:tc>
      </w:tr>
    </w:tbl>
    <w:p w14:paraId="60B6A781" w14:textId="77777777" w:rsidR="00C735FD" w:rsidRPr="00EC3D00" w:rsidRDefault="00C735FD" w:rsidP="00C735FD">
      <w:pPr>
        <w:pStyle w:val="ProductList-Body"/>
        <w:spacing w:before="120"/>
        <w:rPr>
          <w:rFonts w:ascii="Calibri" w:hAnsi="Calibri" w:cs="Calibri"/>
          <w:b/>
          <w:color w:val="00188F"/>
        </w:rPr>
      </w:pPr>
      <w:r>
        <w:rPr>
          <w:rFonts w:ascii="Calibri" w:hAnsi="Calibri" w:cs="Calibri"/>
          <w:b/>
          <w:color w:val="00188F"/>
        </w:rPr>
        <w:lastRenderedPageBreak/>
        <w:t>Berechnung der Betriebszeit und Servicelevel für Virtuelle Einzelinstanz-Computer und Virtuelle Computer, die dieselben gemeinsam genutzten Datenträger verwenden</w:t>
      </w:r>
    </w:p>
    <w:p w14:paraId="5A44F2F4" w14:textId="77777777" w:rsidR="00C735FD" w:rsidRPr="00EC3D00" w:rsidRDefault="00C735FD" w:rsidP="00C735FD">
      <w:pPr>
        <w:pStyle w:val="ProductList-Body"/>
        <w:ind w:left="360"/>
        <w:rPr>
          <w:rFonts w:ascii="Calibri" w:hAnsi="Calibri" w:cs="Calibri"/>
        </w:rPr>
      </w:pPr>
      <w:r>
        <w:rPr>
          <w:rFonts w:ascii="Calibri" w:hAnsi="Calibri" w:cs="Calibri"/>
        </w:rPr>
        <w:t>„</w:t>
      </w:r>
      <w:r>
        <w:rPr>
          <w:rFonts w:ascii="Calibri" w:hAnsi="Calibri" w:cs="Calibri"/>
          <w:b/>
          <w:color w:val="0072C6"/>
        </w:rPr>
        <w:t>Minuten im Anwendbaren Zeitraum</w:t>
      </w:r>
      <w:r>
        <w:rPr>
          <w:rFonts w:ascii="Calibri" w:hAnsi="Calibri" w:cs="Calibri"/>
        </w:rPr>
        <w:t>“ ist die Gesamtzahl der Minuten in einem bestimmten Anwendbaren Zeitraum.</w:t>
      </w:r>
    </w:p>
    <w:p w14:paraId="2229547B" w14:textId="77777777" w:rsidR="00C735FD" w:rsidRPr="00EC3D00" w:rsidRDefault="00C735FD" w:rsidP="00C735FD">
      <w:pPr>
        <w:pStyle w:val="ProductList-Body"/>
        <w:ind w:left="360"/>
        <w:rPr>
          <w:rFonts w:ascii="Calibri" w:hAnsi="Calibri" w:cs="Calibri"/>
        </w:rPr>
      </w:pPr>
      <w:r>
        <w:rPr>
          <w:rFonts w:ascii="Calibri" w:hAnsi="Calibri" w:cs="Calibri"/>
          <w:b/>
          <w:color w:val="0072C6"/>
        </w:rPr>
        <w:t>Ausfallzeit</w:t>
      </w:r>
      <w:r w:rsidRPr="006D665E">
        <w:rPr>
          <w:rFonts w:ascii="Calibri" w:hAnsi="Calibri" w:cs="Calibri"/>
          <w:b/>
          <w:color w:val="0072C6"/>
        </w:rPr>
        <w:t>:</w:t>
      </w:r>
      <w:r>
        <w:rPr>
          <w:rFonts w:ascii="Calibri" w:hAnsi="Calibri" w:cs="Calibri"/>
        </w:rPr>
        <w:t xml:space="preserve"> ist die Gesamtzahl der Minuten im Anwendbaren Zeitraum, für die keine Verbindungen mit Virtuellen Computern bestehen.</w:t>
      </w:r>
    </w:p>
    <w:p w14:paraId="269AC45B" w14:textId="77777777" w:rsidR="00C735FD" w:rsidRPr="00EA1451" w:rsidRDefault="00C735FD" w:rsidP="00C735FD">
      <w:pPr>
        <w:pStyle w:val="ProductList-Body"/>
        <w:ind w:left="360"/>
        <w:rPr>
          <w:sz w:val="12"/>
          <w:szCs w:val="12"/>
        </w:rPr>
      </w:pPr>
      <w:r>
        <w:rPr>
          <w:rFonts w:ascii="Calibri" w:hAnsi="Calibri" w:cs="Calibri"/>
          <w:b/>
          <w:color w:val="0072C6"/>
        </w:rPr>
        <w:t>Betriebszeitprozentsatz</w:t>
      </w:r>
      <w:r w:rsidRPr="0008526F">
        <w:rPr>
          <w:rFonts w:ascii="Calibri" w:hAnsi="Calibri" w:cs="Calibri"/>
          <w:b/>
          <w:color w:val="0072C6"/>
        </w:rPr>
        <w:t>:</w:t>
      </w:r>
      <w:r>
        <w:rPr>
          <w:rFonts w:ascii="Calibri" w:hAnsi="Calibri" w:cs="Calibri"/>
        </w:rPr>
        <w:t xml:space="preserve"> wird berechnet, indem von 100 % der Prozentsatz der Minuten im Anwendbaren Zeitraum abgezogen wird, in denen ein Virtueller Einzelinstanz-Computer Ausfallzeit hatte oder in denen alle Virtuellen Computer, die dieselben gemeinsam genutzten Datenträger verwenden, Ausfallzeiten hatten.</w:t>
      </w:r>
    </w:p>
    <w:p w14:paraId="1A6BB073" w14:textId="77777777" w:rsidR="00C735FD" w:rsidRPr="001A7EB9" w:rsidRDefault="00C735FD" w:rsidP="004842FF">
      <w:pPr>
        <w:pStyle w:val="ListParagraph"/>
        <w:spacing w:before="120" w:after="0" w:line="240" w:lineRule="auto"/>
        <w:contextualSpacing w:val="0"/>
        <w:rPr>
          <w:rFonts w:ascii="Cambria Math" w:hAnsi="Cambria Math" w:cs="Tahoma"/>
          <w:i/>
          <w:sz w:val="12"/>
          <w:szCs w:val="12"/>
        </w:rPr>
      </w:pPr>
      <m:oMathPara>
        <m:oMath>
          <m:r>
            <w:rPr>
              <w:rFonts w:ascii="Cambria Math" w:hAnsi="Cambria Math" w:cs="Tahoma"/>
              <w:sz w:val="18"/>
              <w:szCs w:val="18"/>
              <w:lang w:val="en-US"/>
            </w:rPr>
            <m:t>Monatlic</m:t>
          </m:r>
          <m:r>
            <w:rPr>
              <w:rFonts w:ascii="Cambria Math" w:hAnsi="Cambria Math" w:cs="Tahoma"/>
              <w:sz w:val="18"/>
              <w:szCs w:val="18"/>
            </w:rPr>
            <m:t>h</m:t>
          </m:r>
          <m:r>
            <w:rPr>
              <w:rFonts w:ascii="Cambria Math" w:hAnsi="Cambria Math" w:cs="Tahoma"/>
              <w:sz w:val="18"/>
              <w:szCs w:val="18"/>
              <w:lang w:val="en-US"/>
            </w:rPr>
            <m:t>e</m:t>
          </m:r>
          <m:r>
            <w:rPr>
              <w:rFonts w:ascii="Cambria Math" w:hAnsi="Cambria Math" w:cs="Tahoma"/>
              <w:sz w:val="18"/>
              <w:szCs w:val="18"/>
            </w:rPr>
            <m:t xml:space="preserve"> </m:t>
          </m:r>
          <m:r>
            <w:rPr>
              <w:rFonts w:ascii="Cambria Math" w:hAnsi="Cambria Math" w:cs="Tahoma"/>
              <w:sz w:val="18"/>
              <w:szCs w:val="18"/>
              <w:lang w:val="en-US"/>
            </w:rPr>
            <m:t>Betriebszeit</m:t>
          </m:r>
          <m:r>
            <w:rPr>
              <w:rFonts w:ascii="Cambria Math" w:hAnsi="Cambria Math" w:cs="Tahoma"/>
              <w:sz w:val="18"/>
              <w:szCs w:val="18"/>
            </w:rPr>
            <m:t xml:space="preserve"> </m:t>
          </m:r>
          <m:r>
            <w:rPr>
              <w:rFonts w:ascii="Cambria Math" w:hAnsi="Cambria Math" w:cs="Tahoma"/>
              <w:sz w:val="18"/>
              <w:szCs w:val="18"/>
              <w:lang w:val="en-US"/>
            </w:rPr>
            <m:t>in</m:t>
          </m:r>
          <m:r>
            <w:rPr>
              <w:rFonts w:ascii="Cambria Math" w:hAnsi="Cambria Math" w:cs="Tahoma"/>
              <w:sz w:val="18"/>
              <w:szCs w:val="18"/>
            </w:rPr>
            <m:t xml:space="preserve"> %= </m:t>
          </m:r>
          <m:f>
            <m:fPr>
              <m:ctrlPr>
                <w:rPr>
                  <w:rFonts w:ascii="Cambria Math" w:hAnsi="Cambria Math" w:cs="Tahoma"/>
                  <w:i/>
                  <w:sz w:val="18"/>
                  <w:szCs w:val="18"/>
                </w:rPr>
              </m:ctrlPr>
            </m:fPr>
            <m:num>
              <m:r>
                <m:rPr>
                  <m:nor/>
                </m:rPr>
                <w:rPr>
                  <w:rFonts w:ascii="Cambria Math" w:hAnsi="Cambria Math" w:cs="Tahoma"/>
                  <w:i/>
                  <w:sz w:val="18"/>
                  <w:szCs w:val="18"/>
                </w:rPr>
                <m:t>(Minuten im Anwendbaren Zeitraum abzüglich Ausfallzeit)</m:t>
              </m:r>
            </m:num>
            <m:den>
              <m:r>
                <m:rPr>
                  <m:nor/>
                </m:rPr>
                <w:rPr>
                  <w:rFonts w:ascii="Cambria Math" w:hAnsi="Cambria Math" w:cs="Tahoma"/>
                  <w:i/>
                  <w:sz w:val="18"/>
                  <w:szCs w:val="18"/>
                </w:rPr>
                <m:t>Minuten im Anwendbaren Zeitraum</m:t>
              </m:r>
            </m:den>
          </m:f>
          <m:r>
            <w:rPr>
              <w:rFonts w:ascii="Cambria Math" w:hAnsi="Cambria Math" w:cs="Tahoma"/>
              <w:sz w:val="18"/>
              <w:szCs w:val="18"/>
            </w:rPr>
            <m:t xml:space="preserve"> x 100</m:t>
          </m:r>
        </m:oMath>
      </m:oMathPara>
    </w:p>
    <w:p w14:paraId="305CFA01" w14:textId="77777777" w:rsidR="00C735FD" w:rsidRPr="00697F69" w:rsidRDefault="00C735FD" w:rsidP="00C735FD">
      <w:pPr>
        <w:pStyle w:val="ProductList-Body"/>
        <w:ind w:left="360"/>
        <w:rPr>
          <w:rFonts w:ascii="Calibri" w:hAnsi="Calibri" w:cs="Calibri"/>
          <w:b/>
          <w:color w:val="0072C6"/>
        </w:rPr>
      </w:pPr>
      <w:r>
        <w:rPr>
          <w:rFonts w:ascii="Calibri" w:hAnsi="Calibri" w:cs="Calibri"/>
          <w:b/>
          <w:color w:val="0072C6"/>
        </w:rPr>
        <w:t>Servicegutschrift</w:t>
      </w:r>
      <w:r w:rsidRPr="00697F69">
        <w:rPr>
          <w:rFonts w:ascii="Calibri" w:hAnsi="Calibri" w:cs="Calibri"/>
          <w:b/>
          <w:color w:val="0072C6"/>
        </w:rPr>
        <w:t>:</w:t>
      </w:r>
    </w:p>
    <w:p w14:paraId="79EFC41D" w14:textId="77777777" w:rsidR="00C735FD" w:rsidRDefault="00C735FD" w:rsidP="00C735FD">
      <w:pPr>
        <w:pStyle w:val="ProductList-Body"/>
        <w:ind w:left="360"/>
        <w:rPr>
          <w:rFonts w:ascii="Calibri" w:hAnsi="Calibri" w:cs="Calibri"/>
        </w:rPr>
      </w:pPr>
      <w:r>
        <w:rPr>
          <w:rFonts w:ascii="Calibri" w:hAnsi="Calibri" w:cs="Calibri"/>
        </w:rPr>
        <w:t>Die folgenden Servicelevels und Servicegutschriften gelten für die Nutzung von Virtuellen Einzelinstanz-Computern und Virtuellen Computern, die dieselben gemeinsam genutzten Datenträger verwenden, durch den Kunden je nach Datenträgertyp. Für jede Einzelinstanz-VM, die mehrere Datenträgertypen verwendet, und für alle VMs, die dieselben gemeinsam genutzten Datenträger mehrerer Typen* verwenden, gilt die niedrigste SLA aller Datenträger auf der VM:</w:t>
      </w:r>
    </w:p>
    <w:p w14:paraId="7E437EDF" w14:textId="77777777" w:rsidR="00C735FD" w:rsidRPr="00EC3D00" w:rsidRDefault="00C735FD" w:rsidP="00C735FD">
      <w:pPr>
        <w:pStyle w:val="ProductList-Body"/>
        <w:ind w:left="360"/>
        <w:rPr>
          <w:rFonts w:ascii="Calibri" w:hAnsi="Calibri" w:cs="Calibri"/>
        </w:rPr>
      </w:pPr>
      <w:r>
        <w:rPr>
          <w:rFonts w:ascii="Calibri" w:hAnsi="Calibri" w:cs="Calibri"/>
        </w:rPr>
        <w:t>*Beispiel: Bei den zwei VM VM1 und VM2, die einen gemeinsam genutzten Premium-SSD-Datenträger und einen gemeinsam genutzten Standard-SSD-Datenträger verwenden, ist die Verfügbarkeits-SLA für VM1 und VM2 dieselbe wie die SLA für eine Einzelinstanz-VM mit Standard-SSD, wie unten dargestellt.</w:t>
      </w:r>
    </w:p>
    <w:tbl>
      <w:tblPr>
        <w:tblW w:w="4835" w:type="pct"/>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428"/>
        <w:gridCol w:w="2613"/>
        <w:gridCol w:w="2880"/>
        <w:gridCol w:w="2513"/>
      </w:tblGrid>
      <w:tr w:rsidR="00C735FD" w:rsidRPr="00B44CF9" w14:paraId="2FA41B1E" w14:textId="77777777" w:rsidTr="00C64A04">
        <w:trPr>
          <w:tblHeader/>
        </w:trPr>
        <w:tc>
          <w:tcPr>
            <w:tcW w:w="1164" w:type="pct"/>
            <w:shd w:val="clear" w:color="auto" w:fill="0072C6"/>
          </w:tcPr>
          <w:p w14:paraId="7E673867" w14:textId="77777777" w:rsidR="00C735FD" w:rsidRPr="00EC3D00" w:rsidRDefault="00C735FD" w:rsidP="00C64A04">
            <w:pPr>
              <w:pStyle w:val="ProductList-OfferingBody"/>
              <w:rPr>
                <w:rFonts w:ascii="Calibri" w:hAnsi="Calibri" w:cs="Calibri"/>
                <w:color w:val="FFFFFF" w:themeColor="background1"/>
              </w:rPr>
            </w:pPr>
            <w:r>
              <w:rPr>
                <w:rFonts w:ascii="Calibri" w:hAnsi="Calibri" w:cs="Calibri"/>
                <w:color w:val="FFFFFF" w:themeColor="background1"/>
              </w:rPr>
              <w:t>Betriebszeit in Prozent (Premium-SSD, Premium-SSD v2 und Ultra Disk)**</w:t>
            </w:r>
          </w:p>
        </w:tc>
        <w:tc>
          <w:tcPr>
            <w:tcW w:w="1252" w:type="pct"/>
            <w:shd w:val="clear" w:color="auto" w:fill="0072C6"/>
          </w:tcPr>
          <w:p w14:paraId="58EBD050" w14:textId="77777777" w:rsidR="00C735FD" w:rsidRPr="00EC3D00" w:rsidRDefault="00C735FD" w:rsidP="00C64A04">
            <w:pPr>
              <w:pStyle w:val="ProductList-OfferingBody"/>
              <w:jc w:val="center"/>
              <w:rPr>
                <w:rFonts w:ascii="Calibri" w:hAnsi="Calibri" w:cs="Calibri"/>
                <w:color w:val="FFFFFF" w:themeColor="background1"/>
              </w:rPr>
            </w:pPr>
            <w:r>
              <w:rPr>
                <w:rFonts w:ascii="Calibri" w:hAnsi="Calibri" w:cs="Calibri"/>
                <w:color w:val="FFFFFF" w:themeColor="background1"/>
              </w:rPr>
              <w:t>Betriebszeitprozentsatz (Verwalteter Datenträger mit SSD Standard)</w:t>
            </w:r>
          </w:p>
        </w:tc>
        <w:tc>
          <w:tcPr>
            <w:tcW w:w="1380" w:type="pct"/>
            <w:shd w:val="clear" w:color="auto" w:fill="0072C6"/>
          </w:tcPr>
          <w:p w14:paraId="69A36181" w14:textId="77777777" w:rsidR="00C735FD" w:rsidRPr="00EC3D00" w:rsidRDefault="00C735FD" w:rsidP="00C64A04">
            <w:pPr>
              <w:pStyle w:val="ProductList-OfferingBody"/>
              <w:jc w:val="center"/>
              <w:rPr>
                <w:rFonts w:ascii="Calibri" w:hAnsi="Calibri" w:cs="Calibri"/>
                <w:color w:val="FFFFFF" w:themeColor="background1"/>
              </w:rPr>
            </w:pPr>
            <w:r>
              <w:rPr>
                <w:rFonts w:ascii="Calibri" w:hAnsi="Calibri" w:cs="Calibri"/>
                <w:color w:val="FFFFFF" w:themeColor="background1"/>
              </w:rPr>
              <w:t>Betriebszeitprozentsatz (Verwalteter Datenträger mit HDD Standard)</w:t>
            </w:r>
          </w:p>
        </w:tc>
        <w:tc>
          <w:tcPr>
            <w:tcW w:w="1204" w:type="pct"/>
            <w:shd w:val="clear" w:color="auto" w:fill="0072C6"/>
          </w:tcPr>
          <w:p w14:paraId="3BE086E7" w14:textId="77777777" w:rsidR="00C735FD" w:rsidRPr="00EC3D00" w:rsidRDefault="00C735FD" w:rsidP="00C64A04">
            <w:pPr>
              <w:pStyle w:val="ProductList-OfferingBody"/>
              <w:jc w:val="center"/>
              <w:rPr>
                <w:rFonts w:ascii="Calibri" w:hAnsi="Calibri" w:cs="Calibri"/>
                <w:color w:val="FFFFFF" w:themeColor="background1"/>
              </w:rPr>
            </w:pPr>
            <w:r>
              <w:rPr>
                <w:rFonts w:ascii="Calibri" w:hAnsi="Calibri" w:cs="Calibri"/>
                <w:color w:val="FFFFFF" w:themeColor="background1"/>
              </w:rPr>
              <w:t>Servicegutschrift</w:t>
            </w:r>
          </w:p>
        </w:tc>
      </w:tr>
      <w:tr w:rsidR="00C735FD" w:rsidRPr="00B44CF9" w14:paraId="473044E4" w14:textId="77777777" w:rsidTr="00C64A04">
        <w:tc>
          <w:tcPr>
            <w:tcW w:w="1164" w:type="pct"/>
          </w:tcPr>
          <w:p w14:paraId="45B12783" w14:textId="77777777" w:rsidR="00C735FD" w:rsidRPr="00EC3D00" w:rsidRDefault="00C735FD" w:rsidP="00C64A04">
            <w:pPr>
              <w:pStyle w:val="ProductList-OfferingBody"/>
              <w:jc w:val="center"/>
              <w:rPr>
                <w:rFonts w:ascii="Calibri" w:hAnsi="Calibri" w:cs="Calibri"/>
              </w:rPr>
            </w:pPr>
            <w:r>
              <w:rPr>
                <w:rFonts w:ascii="Calibri" w:hAnsi="Calibri" w:cs="Calibri"/>
              </w:rPr>
              <w:t>&lt; 99.9 %</w:t>
            </w:r>
          </w:p>
        </w:tc>
        <w:tc>
          <w:tcPr>
            <w:tcW w:w="1252" w:type="pct"/>
          </w:tcPr>
          <w:p w14:paraId="3845AFB9" w14:textId="77777777" w:rsidR="00C735FD" w:rsidRPr="00EC3D00" w:rsidRDefault="00C735FD" w:rsidP="00C64A04">
            <w:pPr>
              <w:pStyle w:val="ProductList-OfferingBody"/>
              <w:jc w:val="center"/>
              <w:rPr>
                <w:rFonts w:ascii="Calibri" w:hAnsi="Calibri" w:cs="Calibri"/>
              </w:rPr>
            </w:pPr>
            <w:r>
              <w:rPr>
                <w:rFonts w:ascii="Calibri" w:hAnsi="Calibri" w:cs="Calibri"/>
              </w:rPr>
              <w:t>&lt;99.5 %</w:t>
            </w:r>
          </w:p>
        </w:tc>
        <w:tc>
          <w:tcPr>
            <w:tcW w:w="1380" w:type="pct"/>
          </w:tcPr>
          <w:p w14:paraId="64730B98" w14:textId="77777777" w:rsidR="00C735FD" w:rsidRPr="00EC3D00" w:rsidRDefault="00C735FD" w:rsidP="00C64A04">
            <w:pPr>
              <w:pStyle w:val="ProductList-OfferingBody"/>
              <w:jc w:val="center"/>
              <w:rPr>
                <w:rFonts w:ascii="Calibri" w:hAnsi="Calibri" w:cs="Calibri"/>
              </w:rPr>
            </w:pPr>
            <w:r>
              <w:rPr>
                <w:rFonts w:ascii="Calibri" w:hAnsi="Calibri" w:cs="Calibri"/>
              </w:rPr>
              <w:t>&lt;95 %</w:t>
            </w:r>
          </w:p>
        </w:tc>
        <w:tc>
          <w:tcPr>
            <w:tcW w:w="1204" w:type="pct"/>
          </w:tcPr>
          <w:p w14:paraId="2C90B9AF" w14:textId="77777777" w:rsidR="00C735FD" w:rsidRPr="00EC3D00" w:rsidRDefault="00C735FD" w:rsidP="00C64A04">
            <w:pPr>
              <w:pStyle w:val="ProductList-OfferingBody"/>
              <w:jc w:val="center"/>
              <w:rPr>
                <w:rFonts w:ascii="Calibri" w:hAnsi="Calibri" w:cs="Calibri"/>
              </w:rPr>
            </w:pPr>
            <w:r>
              <w:rPr>
                <w:rFonts w:ascii="Calibri" w:hAnsi="Calibri" w:cs="Calibri"/>
              </w:rPr>
              <w:t>10 %</w:t>
            </w:r>
          </w:p>
        </w:tc>
      </w:tr>
      <w:tr w:rsidR="00C735FD" w:rsidRPr="00B44CF9" w14:paraId="11828E8A" w14:textId="77777777" w:rsidTr="00C64A04">
        <w:tc>
          <w:tcPr>
            <w:tcW w:w="1164" w:type="pct"/>
          </w:tcPr>
          <w:p w14:paraId="21CFC243" w14:textId="77777777" w:rsidR="00C735FD" w:rsidRPr="00EC3D00" w:rsidRDefault="00C735FD" w:rsidP="00C64A04">
            <w:pPr>
              <w:pStyle w:val="ProductList-OfferingBody"/>
              <w:jc w:val="center"/>
              <w:rPr>
                <w:rFonts w:ascii="Calibri" w:hAnsi="Calibri" w:cs="Calibri"/>
              </w:rPr>
            </w:pPr>
            <w:r>
              <w:rPr>
                <w:rFonts w:ascii="Calibri" w:hAnsi="Calibri" w:cs="Calibri"/>
              </w:rPr>
              <w:t>&lt; 99 %</w:t>
            </w:r>
          </w:p>
        </w:tc>
        <w:tc>
          <w:tcPr>
            <w:tcW w:w="1252" w:type="pct"/>
          </w:tcPr>
          <w:p w14:paraId="3A5C393D" w14:textId="77777777" w:rsidR="00C735FD" w:rsidRPr="00EC3D00" w:rsidRDefault="00C735FD" w:rsidP="00C64A04">
            <w:pPr>
              <w:pStyle w:val="ProductList-OfferingBody"/>
              <w:jc w:val="center"/>
              <w:rPr>
                <w:rFonts w:ascii="Calibri" w:hAnsi="Calibri" w:cs="Calibri"/>
              </w:rPr>
            </w:pPr>
            <w:r>
              <w:rPr>
                <w:rFonts w:ascii="Calibri" w:hAnsi="Calibri" w:cs="Calibri"/>
              </w:rPr>
              <w:t>&lt;95 %</w:t>
            </w:r>
          </w:p>
        </w:tc>
        <w:tc>
          <w:tcPr>
            <w:tcW w:w="1380" w:type="pct"/>
          </w:tcPr>
          <w:p w14:paraId="7F0CBC23" w14:textId="77777777" w:rsidR="00C735FD" w:rsidRPr="00EC3D00" w:rsidRDefault="00C735FD" w:rsidP="00C64A04">
            <w:pPr>
              <w:pStyle w:val="ProductList-OfferingBody"/>
              <w:jc w:val="center"/>
              <w:rPr>
                <w:rFonts w:ascii="Calibri" w:hAnsi="Calibri" w:cs="Calibri"/>
              </w:rPr>
            </w:pPr>
            <w:r>
              <w:rPr>
                <w:rFonts w:ascii="Calibri" w:hAnsi="Calibri" w:cs="Calibri"/>
              </w:rPr>
              <w:t>&lt;92 %</w:t>
            </w:r>
          </w:p>
        </w:tc>
        <w:tc>
          <w:tcPr>
            <w:tcW w:w="1204" w:type="pct"/>
          </w:tcPr>
          <w:p w14:paraId="269A88E5" w14:textId="77777777" w:rsidR="00C735FD" w:rsidRPr="00EC3D00" w:rsidRDefault="00C735FD" w:rsidP="00C64A04">
            <w:pPr>
              <w:pStyle w:val="ProductList-OfferingBody"/>
              <w:jc w:val="center"/>
              <w:rPr>
                <w:rFonts w:ascii="Calibri" w:hAnsi="Calibri" w:cs="Calibri"/>
              </w:rPr>
            </w:pPr>
            <w:r>
              <w:rPr>
                <w:rFonts w:ascii="Calibri" w:hAnsi="Calibri" w:cs="Calibri"/>
              </w:rPr>
              <w:t>25 %</w:t>
            </w:r>
          </w:p>
        </w:tc>
      </w:tr>
      <w:tr w:rsidR="00C735FD" w:rsidRPr="00B44CF9" w14:paraId="76B04519" w14:textId="77777777" w:rsidTr="00C64A04">
        <w:tc>
          <w:tcPr>
            <w:tcW w:w="1164" w:type="pct"/>
          </w:tcPr>
          <w:p w14:paraId="58A2F356" w14:textId="77777777" w:rsidR="00C735FD" w:rsidRPr="00EC3D00" w:rsidRDefault="00C735FD" w:rsidP="00C64A04">
            <w:pPr>
              <w:pStyle w:val="ProductList-OfferingBody"/>
              <w:jc w:val="center"/>
              <w:rPr>
                <w:rFonts w:ascii="Calibri" w:hAnsi="Calibri" w:cs="Calibri"/>
              </w:rPr>
            </w:pPr>
            <w:r>
              <w:rPr>
                <w:rFonts w:ascii="Calibri" w:hAnsi="Calibri" w:cs="Calibri"/>
              </w:rPr>
              <w:t>&lt; 95 %</w:t>
            </w:r>
          </w:p>
        </w:tc>
        <w:tc>
          <w:tcPr>
            <w:tcW w:w="1252" w:type="pct"/>
          </w:tcPr>
          <w:p w14:paraId="7E5E14B6" w14:textId="77777777" w:rsidR="00C735FD" w:rsidRPr="00EC3D00" w:rsidRDefault="00C735FD" w:rsidP="00C64A04">
            <w:pPr>
              <w:pStyle w:val="ProductList-OfferingBody"/>
              <w:jc w:val="center"/>
              <w:rPr>
                <w:rFonts w:ascii="Calibri" w:hAnsi="Calibri" w:cs="Calibri"/>
              </w:rPr>
            </w:pPr>
            <w:r>
              <w:rPr>
                <w:rFonts w:ascii="Calibri" w:hAnsi="Calibri" w:cs="Calibri"/>
              </w:rPr>
              <w:t>&lt;90 %</w:t>
            </w:r>
          </w:p>
        </w:tc>
        <w:tc>
          <w:tcPr>
            <w:tcW w:w="1380" w:type="pct"/>
          </w:tcPr>
          <w:p w14:paraId="7A4D8E96" w14:textId="77777777" w:rsidR="00C735FD" w:rsidRPr="00EC3D00" w:rsidRDefault="00C735FD" w:rsidP="00C64A04">
            <w:pPr>
              <w:pStyle w:val="ProductList-OfferingBody"/>
              <w:jc w:val="center"/>
              <w:rPr>
                <w:rFonts w:ascii="Calibri" w:hAnsi="Calibri" w:cs="Calibri"/>
              </w:rPr>
            </w:pPr>
            <w:r>
              <w:rPr>
                <w:rFonts w:ascii="Calibri" w:hAnsi="Calibri" w:cs="Calibri"/>
              </w:rPr>
              <w:t>&lt;90 %</w:t>
            </w:r>
          </w:p>
        </w:tc>
        <w:tc>
          <w:tcPr>
            <w:tcW w:w="1204" w:type="pct"/>
          </w:tcPr>
          <w:p w14:paraId="0C641618" w14:textId="77777777" w:rsidR="00C735FD" w:rsidRPr="00EC3D00" w:rsidRDefault="00C735FD" w:rsidP="00C64A04">
            <w:pPr>
              <w:pStyle w:val="ProductList-OfferingBody"/>
              <w:jc w:val="center"/>
              <w:rPr>
                <w:rFonts w:ascii="Calibri" w:hAnsi="Calibri" w:cs="Calibri"/>
              </w:rPr>
            </w:pPr>
            <w:r>
              <w:rPr>
                <w:rFonts w:ascii="Calibri" w:hAnsi="Calibri" w:cs="Calibri"/>
              </w:rPr>
              <w:t>100 %</w:t>
            </w:r>
          </w:p>
        </w:tc>
      </w:tr>
    </w:tbl>
    <w:p w14:paraId="6357BAA1" w14:textId="77777777" w:rsidR="00C735FD" w:rsidRDefault="00C735FD" w:rsidP="00BE21E9">
      <w:pPr>
        <w:spacing w:after="0" w:line="240" w:lineRule="auto"/>
        <w:ind w:left="720"/>
        <w:rPr>
          <w:rFonts w:ascii="Calibri" w:hAnsi="Calibri" w:cs="Calibri"/>
          <w:sz w:val="18"/>
        </w:rPr>
      </w:pPr>
      <w:r>
        <w:rPr>
          <w:rFonts w:ascii="Calibri" w:hAnsi="Calibri" w:cs="Calibri"/>
          <w:sz w:val="18"/>
        </w:rPr>
        <w:t>**Premium-SSD für alle Betriebssystemfestplatten und Premium-SSD, Premium-SSD v2 oder Ultra-Disk für alle Datenträger.</w:t>
      </w:r>
    </w:p>
    <w:p w14:paraId="0548DE6A" w14:textId="30E77360"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3FD75679" w14:textId="72135C2E" w:rsidR="00BC2A9C" w:rsidRDefault="00BC2A9C" w:rsidP="00BC2A9C">
      <w:pPr>
        <w:pStyle w:val="ProductList-Offering2Heading"/>
        <w:keepNext/>
        <w:tabs>
          <w:tab w:val="clear" w:pos="360"/>
        </w:tabs>
        <w:outlineLvl w:val="2"/>
      </w:pPr>
      <w:bookmarkStart w:id="571" w:name="_Toc195543214"/>
      <w:bookmarkStart w:id="572" w:name="_Toc237449075"/>
      <w:r>
        <w:t>Azure Virtual Network Manager</w:t>
      </w:r>
      <w:bookmarkEnd w:id="571"/>
      <w:bookmarkEnd w:id="572"/>
    </w:p>
    <w:p w14:paraId="431D4064" w14:textId="77777777" w:rsidR="00BC2A9C" w:rsidRDefault="00BC2A9C" w:rsidP="00BC2A9C">
      <w:pPr>
        <w:pStyle w:val="ProductList-Body"/>
        <w:rPr>
          <w:b/>
          <w:color w:val="00188F"/>
        </w:rPr>
      </w:pPr>
      <w:r>
        <w:rPr>
          <w:b/>
          <w:color w:val="00188F"/>
        </w:rPr>
        <w:t>Zusätzliche Definitionen</w:t>
      </w:r>
    </w:p>
    <w:p w14:paraId="543C0D66" w14:textId="1939C879" w:rsidR="00BC2A9C" w:rsidRDefault="00BC2A9C" w:rsidP="00BC2A9C">
      <w:pPr>
        <w:pStyle w:val="ProductList-Body"/>
      </w:pPr>
      <w:r>
        <w:t>„</w:t>
      </w:r>
      <w:r>
        <w:rPr>
          <w:b/>
          <w:bCs/>
          <w:color w:val="00188F"/>
        </w:rPr>
        <w:t>Maximal Verfügbare Minuten</w:t>
      </w:r>
      <w:r>
        <w:t>“ ist die Gesamtzahl der Minuten in einem Anwendbaren Zeitraum, in denen ein bestimmter Azure Virtual Network Manager im Rahmen eines Microsoft Azure-Abonnements bereitgestellt wird.</w:t>
      </w:r>
    </w:p>
    <w:p w14:paraId="1EDAF06D" w14:textId="21ECED07" w:rsidR="00BC2A9C" w:rsidRDefault="00BC2A9C" w:rsidP="00BC2A9C">
      <w:pPr>
        <w:pStyle w:val="ProductList-Body"/>
      </w:pPr>
      <w:r>
        <w:t>„</w:t>
      </w:r>
      <w:r>
        <w:rPr>
          <w:b/>
          <w:bCs/>
          <w:color w:val="00188F"/>
        </w:rPr>
        <w:t>Ausfallzeit</w:t>
      </w:r>
      <w:r w:rsidR="00445B42">
        <w:t>“</w:t>
      </w:r>
      <w:r>
        <w:t xml:space="preserve"> ist die Gesamtzahl der Maximal verfügbaren Minuten, während derer ein Azure Virtual Network Manager nicht verfügbar ist. Eine Minute gilt als nicht verfügbar, wenn alle Versuche innerhalb der Minute, eine Verbindung mit dem Azure Virtual Network Manager herzustellen, erfolglos bleiben.</w:t>
      </w:r>
    </w:p>
    <w:p w14:paraId="50464E6D" w14:textId="21F6A423" w:rsidR="00BC2A9C" w:rsidRDefault="00BC2A9C" w:rsidP="00BC2A9C">
      <w:pPr>
        <w:pStyle w:val="ProductList-Body"/>
      </w:pPr>
      <w:r>
        <w:t>„</w:t>
      </w:r>
      <w:r>
        <w:rPr>
          <w:b/>
          <w:bCs/>
          <w:color w:val="00188F"/>
        </w:rPr>
        <w:t>Betriebszeitprozentsatz</w:t>
      </w:r>
      <w:r w:rsidR="00445B42">
        <w:t>“</w:t>
      </w:r>
      <w:r w:rsidRPr="00633DA0">
        <w:rPr>
          <w:b/>
          <w:bCs/>
          <w:color w:val="00188F"/>
        </w:rPr>
        <w:t xml:space="preserve">: </w:t>
      </w:r>
      <w:r>
        <w:t>Der Betriebszeitprozentsatz errechnet sich nach folgender Formel:</w:t>
      </w:r>
    </w:p>
    <w:p w14:paraId="6DAB46A1" w14:textId="4BE7052E" w:rsidR="00BC2A9C" w:rsidRPr="00246AD4" w:rsidRDefault="00000000" w:rsidP="0097708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5EC17AC2" w14:textId="77777777" w:rsidR="00BC2A9C" w:rsidRDefault="00BC2A9C" w:rsidP="00BC2A9C">
      <w:pPr>
        <w:pStyle w:val="ProductList-Body"/>
        <w:keepNext/>
        <w:rPr>
          <w:b/>
          <w:bCs/>
          <w:color w:val="00188F"/>
        </w:rPr>
      </w:pPr>
      <w:r>
        <w:rPr>
          <w:b/>
          <w:bCs/>
          <w:color w:val="00188F"/>
        </w:rPr>
        <w:t>Die folgenden Servicelevels und Servicegutschriften gelten für die Nutzung jedes Azure Virtual Network Managers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2A9C" w14:paraId="504D6103" w14:textId="77777777" w:rsidTr="00BC2A9C">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F8F5073" w14:textId="2E7E528C" w:rsidR="00BC2A9C" w:rsidRDefault="00AC48A7">
            <w:pPr>
              <w:pStyle w:val="ProductList-OfferingBody"/>
              <w:spacing w:line="254" w:lineRule="auto"/>
              <w:jc w:val="center"/>
              <w:rPr>
                <w:color w:val="FFFFFF" w:themeColor="background1"/>
              </w:rPr>
            </w:pPr>
            <w:r>
              <w:rPr>
                <w:color w:val="FFFFFF" w:themeColor="background1"/>
              </w:rPr>
              <w:t>Betriebszeitprozentsatz</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80E1BCC" w14:textId="77777777" w:rsidR="00BC2A9C" w:rsidRDefault="00BC2A9C">
            <w:pPr>
              <w:pStyle w:val="ProductList-OfferingBody"/>
              <w:spacing w:line="254" w:lineRule="auto"/>
              <w:jc w:val="center"/>
              <w:rPr>
                <w:color w:val="FFFFFF" w:themeColor="background1"/>
              </w:rPr>
            </w:pPr>
            <w:r>
              <w:rPr>
                <w:color w:val="FFFFFF" w:themeColor="background1"/>
              </w:rPr>
              <w:t>Servicegutschrift</w:t>
            </w:r>
          </w:p>
        </w:tc>
      </w:tr>
      <w:tr w:rsidR="00BC2A9C" w14:paraId="31BBCB3E" w14:textId="77777777" w:rsidTr="00BC2A9C">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8F8C54" w14:textId="77777777" w:rsidR="00BC2A9C" w:rsidRDefault="00BC2A9C">
            <w:pPr>
              <w:pStyle w:val="ProductList-OfferingBody"/>
              <w:spacing w:line="254" w:lineRule="auto"/>
              <w:jc w:val="center"/>
            </w:pPr>
            <w: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073CFE" w14:textId="77777777" w:rsidR="00BC2A9C" w:rsidRDefault="00BC2A9C">
            <w:pPr>
              <w:pStyle w:val="ProductList-OfferingBody"/>
              <w:spacing w:line="254" w:lineRule="auto"/>
              <w:jc w:val="center"/>
            </w:pPr>
            <w:r>
              <w:t>10 %</w:t>
            </w:r>
          </w:p>
        </w:tc>
      </w:tr>
      <w:tr w:rsidR="00BC2A9C" w14:paraId="7B5C353C" w14:textId="77777777" w:rsidTr="00BC2A9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70E3D1" w14:textId="77777777" w:rsidR="00BC2A9C" w:rsidRDefault="00BC2A9C">
            <w:pPr>
              <w:pStyle w:val="ProductList-OfferingBody"/>
              <w:spacing w:line="254"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E077AE" w14:textId="77777777" w:rsidR="00BC2A9C" w:rsidRDefault="00BC2A9C">
            <w:pPr>
              <w:pStyle w:val="ProductList-OfferingBody"/>
              <w:spacing w:line="254" w:lineRule="auto"/>
              <w:jc w:val="center"/>
            </w:pPr>
            <w:r>
              <w:t>25 %</w:t>
            </w:r>
          </w:p>
        </w:tc>
      </w:tr>
    </w:tbl>
    <w:p w14:paraId="320DA99B" w14:textId="43E983F8"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1E840184" w14:textId="5494FB94" w:rsidR="004005AF" w:rsidRPr="00EF7CF9" w:rsidRDefault="004005AF" w:rsidP="00EF42FD">
      <w:pPr>
        <w:pStyle w:val="ProductList-Offering2Heading"/>
        <w:tabs>
          <w:tab w:val="clear" w:pos="360"/>
          <w:tab w:val="clear" w:pos="720"/>
          <w:tab w:val="clear" w:pos="1080"/>
        </w:tabs>
        <w:outlineLvl w:val="2"/>
      </w:pPr>
      <w:bookmarkStart w:id="573" w:name="_Toc195543215"/>
      <w:bookmarkStart w:id="574" w:name="_Toc237449076"/>
      <w:r>
        <w:t>Azure Virtual WAN</w:t>
      </w:r>
      <w:bookmarkEnd w:id="461"/>
      <w:bookmarkEnd w:id="462"/>
      <w:bookmarkEnd w:id="573"/>
      <w:bookmarkEnd w:id="574"/>
    </w:p>
    <w:p w14:paraId="493AD4D5" w14:textId="77777777" w:rsidR="004005AF" w:rsidRPr="00EF7CF9" w:rsidRDefault="004005AF" w:rsidP="004005AF">
      <w:pPr>
        <w:pStyle w:val="ProductList-Body"/>
      </w:pPr>
      <w:r>
        <w:rPr>
          <w:b/>
          <w:color w:val="00188F"/>
        </w:rPr>
        <w:t>Zusätzliche Definitionen</w:t>
      </w:r>
      <w:r w:rsidRPr="00633DA0">
        <w:rPr>
          <w:b/>
          <w:bCs/>
          <w:color w:val="00188F"/>
        </w:rPr>
        <w:t>:</w:t>
      </w:r>
    </w:p>
    <w:p w14:paraId="7103CBD6" w14:textId="54FCA765" w:rsidR="004005AF" w:rsidRDefault="004005AF" w:rsidP="004005AF">
      <w:pPr>
        <w:pStyle w:val="ProductList-Body"/>
      </w:pPr>
      <w:r>
        <w:t>„</w:t>
      </w:r>
      <w:r>
        <w:rPr>
          <w:b/>
          <w:color w:val="00188F"/>
        </w:rPr>
        <w:t>Maximal Verfügbare Minuten</w:t>
      </w:r>
      <w:r>
        <w:t>“ ist die Gesamtzahl der Minuten in einem Anwendbaren Zeitraum, in denen ein bestimmtes Azure Virtual WAN im</w:t>
      </w:r>
      <w:r w:rsidR="00292B27">
        <w:t> </w:t>
      </w:r>
      <w:r>
        <w:t>Rahmen eines Microsoft Azure-Abonnements bereitgestellt wird.</w:t>
      </w:r>
    </w:p>
    <w:p w14:paraId="39AFD67D" w14:textId="7854E771" w:rsidR="004005AF" w:rsidRPr="00EF7CF9" w:rsidRDefault="004005AF" w:rsidP="004005AF">
      <w:pPr>
        <w:pStyle w:val="ProductList-Body"/>
      </w:pPr>
      <w:r>
        <w:t>„</w:t>
      </w:r>
      <w:r>
        <w:rPr>
          <w:b/>
          <w:color w:val="00188F"/>
        </w:rPr>
        <w:t>Ausfallzeit</w:t>
      </w:r>
      <w:r>
        <w:t>“ ist die Gesamtzahl der Maximal verfügbaren Minuten, während derer ein Azure Virtual WAN nicht verfügbar ist. Eine Minute gilt als</w:t>
      </w:r>
      <w:r w:rsidR="00292B27">
        <w:t> </w:t>
      </w:r>
      <w:r>
        <w:t>nicht verfügbar, wenn alle Versuche innerhalb dieser Minute, eine Verbindung mit Azure Virtual WAN herzustellen, erfolglos bleiben.</w:t>
      </w:r>
    </w:p>
    <w:p w14:paraId="29C45C18" w14:textId="7A7B4D3E" w:rsidR="004005AF" w:rsidRPr="00EF7CF9" w:rsidRDefault="00AC48A7" w:rsidP="004005AF">
      <w:pPr>
        <w:pStyle w:val="ProductList-Body"/>
      </w:pPr>
      <w:r>
        <w:rPr>
          <w:b/>
          <w:color w:val="00188F"/>
        </w:rPr>
        <w:t>Betriebszeitprozentsatz</w:t>
      </w:r>
      <w:r w:rsidRPr="00633DA0">
        <w:rPr>
          <w:b/>
          <w:bCs/>
          <w:color w:val="00188F"/>
        </w:rPr>
        <w:t>:</w:t>
      </w:r>
      <w:r>
        <w:t xml:space="preserve"> Der Betriebszeitprozentsatz errechnet sich nach folgender Formel:</w:t>
      </w:r>
    </w:p>
    <w:p w14:paraId="43A4F939" w14:textId="78BE9A56" w:rsidR="004005AF" w:rsidRPr="00EF7CF9" w:rsidRDefault="00000000" w:rsidP="00C735FD">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2AF9D3DA" w14:textId="77777777" w:rsidR="004005AF" w:rsidRPr="00EF7CF9" w:rsidRDefault="004005AF" w:rsidP="004005AF">
      <w:pPr>
        <w:pStyle w:val="ProductList-Body"/>
      </w:pPr>
      <w:r>
        <w:rPr>
          <w:b/>
          <w:color w:val="00188F"/>
        </w:rPr>
        <w:t>Servicegutschrift</w:t>
      </w:r>
      <w:r w:rsidRPr="00633DA0">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2C00BED" w14:textId="77777777" w:rsidTr="00277097">
        <w:trPr>
          <w:tblHeader/>
        </w:trPr>
        <w:tc>
          <w:tcPr>
            <w:tcW w:w="5400" w:type="dxa"/>
            <w:shd w:val="clear" w:color="auto" w:fill="0072C6"/>
          </w:tcPr>
          <w:p w14:paraId="4D412B5C" w14:textId="674F4320" w:rsidR="004005AF" w:rsidRPr="005A3C16" w:rsidRDefault="00AC48A7" w:rsidP="000F31B4">
            <w:pPr>
              <w:pStyle w:val="ProductList-OfferingBody"/>
              <w:jc w:val="center"/>
              <w:rPr>
                <w:color w:val="FFFFFF" w:themeColor="background1"/>
              </w:rPr>
            </w:pPr>
            <w:r>
              <w:rPr>
                <w:color w:val="FFFFFF" w:themeColor="background1"/>
              </w:rPr>
              <w:lastRenderedPageBreak/>
              <w:t>Betriebszeitprozentsatz</w:t>
            </w:r>
          </w:p>
        </w:tc>
        <w:tc>
          <w:tcPr>
            <w:tcW w:w="5400" w:type="dxa"/>
            <w:shd w:val="clear" w:color="auto" w:fill="0072C6"/>
          </w:tcPr>
          <w:p w14:paraId="5829481B" w14:textId="77777777" w:rsidR="004005AF" w:rsidRPr="005A3C16" w:rsidRDefault="004005AF" w:rsidP="000F31B4">
            <w:pPr>
              <w:pStyle w:val="ProductList-OfferingBody"/>
              <w:jc w:val="center"/>
              <w:rPr>
                <w:color w:val="FFFFFF" w:themeColor="background1"/>
              </w:rPr>
            </w:pPr>
            <w:r>
              <w:rPr>
                <w:color w:val="FFFFFF" w:themeColor="background1"/>
              </w:rPr>
              <w:t>Servicegutschrift</w:t>
            </w:r>
          </w:p>
        </w:tc>
      </w:tr>
      <w:tr w:rsidR="004005AF" w:rsidRPr="00B44CF9" w14:paraId="6A8DFB2D" w14:textId="77777777" w:rsidTr="00277097">
        <w:tc>
          <w:tcPr>
            <w:tcW w:w="5400" w:type="dxa"/>
          </w:tcPr>
          <w:p w14:paraId="5C964DF3" w14:textId="77777777" w:rsidR="004005AF" w:rsidRPr="005A3C16" w:rsidRDefault="004005AF" w:rsidP="000F31B4">
            <w:pPr>
              <w:pStyle w:val="ProductList-OfferingBody"/>
              <w:jc w:val="center"/>
            </w:pPr>
            <w:r>
              <w:t>&lt; 99,95 %</w:t>
            </w:r>
          </w:p>
        </w:tc>
        <w:tc>
          <w:tcPr>
            <w:tcW w:w="5400" w:type="dxa"/>
          </w:tcPr>
          <w:p w14:paraId="0D394EBA" w14:textId="77777777" w:rsidR="004005AF" w:rsidRPr="005A3C16" w:rsidRDefault="004005AF" w:rsidP="000F31B4">
            <w:pPr>
              <w:pStyle w:val="ProductList-OfferingBody"/>
              <w:jc w:val="center"/>
            </w:pPr>
            <w:r>
              <w:t>10 %</w:t>
            </w:r>
          </w:p>
        </w:tc>
      </w:tr>
      <w:tr w:rsidR="004005AF" w:rsidRPr="00B44CF9" w14:paraId="0C0BF9E8" w14:textId="77777777" w:rsidTr="00277097">
        <w:tc>
          <w:tcPr>
            <w:tcW w:w="5400" w:type="dxa"/>
          </w:tcPr>
          <w:p w14:paraId="63E9E3BC" w14:textId="77777777" w:rsidR="004005AF" w:rsidRPr="005A3C16" w:rsidRDefault="004005AF" w:rsidP="000F31B4">
            <w:pPr>
              <w:pStyle w:val="ProductList-OfferingBody"/>
              <w:jc w:val="center"/>
            </w:pPr>
            <w:r>
              <w:t>&lt; 99 %</w:t>
            </w:r>
          </w:p>
        </w:tc>
        <w:tc>
          <w:tcPr>
            <w:tcW w:w="5400" w:type="dxa"/>
          </w:tcPr>
          <w:p w14:paraId="1ED27CD7" w14:textId="77777777" w:rsidR="004005AF" w:rsidRPr="005A3C16" w:rsidRDefault="004005AF" w:rsidP="000F31B4">
            <w:pPr>
              <w:pStyle w:val="ProductList-OfferingBody"/>
              <w:jc w:val="center"/>
            </w:pPr>
            <w:r>
              <w:t>25 %</w:t>
            </w:r>
          </w:p>
        </w:tc>
      </w:tr>
    </w:tbl>
    <w:bookmarkStart w:id="575" w:name="_Toc11149692"/>
    <w:bookmarkStart w:id="576" w:name="_Toc52348995"/>
    <w:bookmarkStart w:id="577" w:name="VisualStudioAppCenter_BuildService"/>
    <w:bookmarkStart w:id="578" w:name="_Hlk496874584"/>
    <w:bookmarkStart w:id="579" w:name="_Toc457821588"/>
    <w:bookmarkStart w:id="580" w:name="_Hlk496876971"/>
    <w:bookmarkStart w:id="581" w:name="VisualStudioTeamServices_BuildService"/>
    <w:bookmarkEnd w:id="463"/>
    <w:p w14:paraId="2B21054A" w14:textId="5A03D225"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46827D04" w14:textId="3119AA48" w:rsidR="003B335C" w:rsidRPr="003B335C" w:rsidRDefault="003B335C" w:rsidP="003B335C">
      <w:pPr>
        <w:pStyle w:val="ProductList-Offering2Heading"/>
        <w:keepNext/>
        <w:outlineLvl w:val="2"/>
      </w:pPr>
      <w:bookmarkStart w:id="582" w:name="_Toc195543216"/>
      <w:bookmarkStart w:id="583" w:name="_Toc237449077"/>
      <w:r>
        <w:t>Azure VMware Solution</w:t>
      </w:r>
      <w:bookmarkEnd w:id="582"/>
      <w:bookmarkEnd w:id="583"/>
    </w:p>
    <w:p w14:paraId="1702D1F4" w14:textId="77777777" w:rsidR="003B335C" w:rsidRPr="003B335C" w:rsidRDefault="003B335C" w:rsidP="003B335C">
      <w:pPr>
        <w:pStyle w:val="ProductList-Body"/>
        <w:rPr>
          <w:b/>
          <w:bCs/>
          <w:color w:val="00188F"/>
        </w:rPr>
      </w:pPr>
      <w:r>
        <w:rPr>
          <w:b/>
          <w:bCs/>
          <w:color w:val="00188F"/>
        </w:rPr>
        <w:t>Zusätzliche Anforderungen</w:t>
      </w:r>
    </w:p>
    <w:p w14:paraId="78EF8824" w14:textId="77777777" w:rsidR="00976B26" w:rsidRPr="00C25966" w:rsidRDefault="00976B26" w:rsidP="00976B26">
      <w:pPr>
        <w:pStyle w:val="ProductList-Body"/>
        <w:rPr>
          <w:rFonts w:ascii="Calibri" w:hAnsi="Calibri" w:cs="Calibri"/>
        </w:rPr>
      </w:pPr>
      <w:r>
        <w:rPr>
          <w:rFonts w:ascii="Calibri" w:hAnsi="Calibri" w:cs="Calibri"/>
        </w:rPr>
        <w:t>Der Kunde ist verpflichtet, eine Mindestkonfiguration für jegliche Speicherung in virtuellen Computern aufrechtzuerhalten:</w:t>
      </w:r>
    </w:p>
    <w:p w14:paraId="1846BEE6" w14:textId="77777777" w:rsidR="00976B26" w:rsidRPr="00C25966" w:rsidRDefault="00976B26">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Für Standardcluster: Wenn der Cluster zwischen 3 und 5 Hosts hat, ist die Zahl der tolerierten Fehler = 1; wenn der Cluster zwischen 6 und 16 Hosts hat, ist die Zahl der tolerierten Fehler = 2.</w:t>
      </w:r>
    </w:p>
    <w:p w14:paraId="6D162DBB" w14:textId="77777777" w:rsidR="00976B26" w:rsidRPr="00C25966" w:rsidRDefault="00976B26">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Für gestreckte Cluster: Es werden mindestens 6 Knoten im Cluster bereitgestellt (3 in jeder Verfügbarkeitszone) und Sie müssen über eine Speicherrichtlinie für virtuelle Maschinen verfügen, die mindestens (i) eine primäre zu tolerierende Fehlerstufe von „Dual-Site Mirroring“ und (ii) eine sekundäre zu tolerierende Fehlerstufe von 1 für die Arbeitslast-VMs umfasst.</w:t>
      </w:r>
    </w:p>
    <w:p w14:paraId="06E55746" w14:textId="77777777" w:rsidR="00976B26" w:rsidRPr="00C25966" w:rsidRDefault="00976B26">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 xml:space="preserve">Speicherkapazität für den Cluster behält 25 % Schlupfspeicher verfügbar (wie im </w:t>
      </w:r>
      <w:hyperlink r:id="rId26" w:anchor="GUID-C0B73B38-F68D-4D7C-BCF4-67CCD1E9875A-en" w:history="1">
        <w:r>
          <w:rPr>
            <w:rStyle w:val="Hyperlink"/>
            <w:rFonts w:ascii="Calibri" w:hAnsi="Calibri" w:cs="Calibri"/>
          </w:rPr>
          <w:t>VSAN-Speicherleitfaden</w:t>
        </w:r>
      </w:hyperlink>
      <w:r>
        <w:rPr>
          <w:rFonts w:ascii="Calibri" w:hAnsi="Calibri" w:cs="Calibri"/>
        </w:rPr>
        <w:t xml:space="preserve"> beschrieben).</w:t>
      </w:r>
    </w:p>
    <w:p w14:paraId="2751C11E" w14:textId="77777777" w:rsidR="00976B26" w:rsidRPr="00C25966" w:rsidRDefault="00976B26">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Der Kunde hat keine Handlungen im Modus „Erhöhte Privilegien“ vorgenommen, die Microsoft daran hindern, die Verfügbarkeitszusage zu erfüllen.</w:t>
      </w:r>
    </w:p>
    <w:p w14:paraId="066A6794" w14:textId="77777777" w:rsidR="00976B26" w:rsidRPr="00C25966" w:rsidRDefault="00976B26">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Es ist ausreichend Kapazität auf dem Cluster vorhanden, um das Einschalten eines virtuellen Computers zu unterstützen.</w:t>
      </w:r>
    </w:p>
    <w:p w14:paraId="3B145DC6" w14:textId="77777777" w:rsidR="00976B26" w:rsidRPr="00C25966" w:rsidRDefault="00976B26">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Geplante Wartungen sind von den Berechnungen der gesamten verfügbaren Betriebszeit ausgenommen.</w:t>
      </w:r>
    </w:p>
    <w:p w14:paraId="175E59F0" w14:textId="77777777" w:rsidR="00976B26" w:rsidRPr="00975B85" w:rsidRDefault="00976B26" w:rsidP="00976B26">
      <w:pPr>
        <w:pStyle w:val="ProductList-Body"/>
        <w:spacing w:before="120"/>
        <w:rPr>
          <w:rFonts w:ascii="Calibri" w:hAnsi="Calibri" w:cs="Calibri"/>
          <w:b/>
          <w:color w:val="00188F"/>
        </w:rPr>
      </w:pPr>
      <w:r>
        <w:rPr>
          <w:rFonts w:ascii="Calibri" w:hAnsi="Calibri" w:cs="Calibri"/>
          <w:b/>
          <w:color w:val="00188F"/>
        </w:rPr>
        <w:t>Zusätzliche Definitionen</w:t>
      </w:r>
    </w:p>
    <w:p w14:paraId="19ACF9F9" w14:textId="77777777" w:rsidR="00976B26" w:rsidRPr="00975B85" w:rsidRDefault="00976B26" w:rsidP="00976B26">
      <w:pPr>
        <w:pStyle w:val="ProductList-Body"/>
        <w:rPr>
          <w:rFonts w:ascii="Calibri" w:hAnsi="Calibri" w:cs="Calibri"/>
          <w:b/>
          <w:color w:val="00188F"/>
        </w:rPr>
      </w:pPr>
      <w:r>
        <w:rPr>
          <w:rFonts w:ascii="Calibri" w:hAnsi="Calibri" w:cs="Calibri"/>
          <w:b/>
          <w:color w:val="00188F"/>
        </w:rPr>
        <w:t>Berechnung der Betriebszeit und Service-Levels für Azure VMware Solution Workload-Infrastruktur</w:t>
      </w:r>
    </w:p>
    <w:p w14:paraId="1BFE7843" w14:textId="77777777" w:rsidR="00976B26" w:rsidRPr="00975B85" w:rsidRDefault="00976B26" w:rsidP="00976B26">
      <w:pPr>
        <w:pStyle w:val="ProductList-Body"/>
        <w:rPr>
          <w:rFonts w:ascii="Calibri" w:hAnsi="Calibri" w:cs="Calibri"/>
        </w:rPr>
      </w:pPr>
      <w:r>
        <w:rPr>
          <w:rFonts w:ascii="Calibri" w:eastAsia="Times New Roman" w:hAnsi="Calibri" w:cs="Calibri"/>
          <w:b/>
          <w:bCs/>
          <w:color w:val="00188F"/>
          <w:szCs w:val="18"/>
          <w:bdr w:val="none" w:sz="0" w:space="0" w:color="auto" w:frame="1"/>
        </w:rPr>
        <w:t>„</w:t>
      </w:r>
      <w:r>
        <w:rPr>
          <w:rFonts w:ascii="Calibri" w:hAnsi="Calibri" w:cs="Calibri"/>
          <w:b/>
          <w:color w:val="00188F"/>
        </w:rPr>
        <w:t>Maximal Verfügbare Minuten</w:t>
      </w:r>
      <w:r>
        <w:rPr>
          <w:rFonts w:ascii="Calibri" w:eastAsia="Times New Roman" w:hAnsi="Calibri" w:cs="Calibri"/>
          <w:b/>
          <w:bCs/>
          <w:color w:val="00188F"/>
          <w:szCs w:val="18"/>
          <w:bdr w:val="none" w:sz="0" w:space="0" w:color="auto" w:frame="1"/>
        </w:rPr>
        <w:t>“</w:t>
      </w:r>
      <w:r>
        <w:rPr>
          <w:rFonts w:ascii="Calibri" w:hAnsi="Calibri" w:cs="Calibri"/>
        </w:rPr>
        <w:t xml:space="preserve"> ist die Gesamtzahl der Minuten während eines Anwendbaren Zeitraums für alle Virtuellen Computer innerhalb eines VMware vSphere-Clusters, in denen Azure VMware Solution in einem Microsoft Azure-Abonnement bereitgestellt wird.</w:t>
      </w:r>
    </w:p>
    <w:p w14:paraId="0C585BAA" w14:textId="77777777" w:rsidR="00976B26" w:rsidRPr="00975B85" w:rsidRDefault="00976B26" w:rsidP="00976B26">
      <w:pPr>
        <w:pStyle w:val="ProductList-Body"/>
        <w:tabs>
          <w:tab w:val="clear" w:pos="360"/>
          <w:tab w:val="clear" w:pos="720"/>
          <w:tab w:val="clear" w:pos="1080"/>
        </w:tabs>
        <w:rPr>
          <w:rFonts w:ascii="Calibri" w:hAnsi="Calibri" w:cs="Calibri"/>
        </w:rPr>
      </w:pPr>
      <w:r>
        <w:rPr>
          <w:rFonts w:ascii="Calibri" w:eastAsia="Times New Roman" w:hAnsi="Calibri" w:cs="Calibri"/>
          <w:b/>
          <w:bCs/>
          <w:color w:val="00188F"/>
          <w:szCs w:val="18"/>
          <w:bdr w:val="none" w:sz="0" w:space="0" w:color="auto" w:frame="1"/>
        </w:rPr>
        <w:t>„</w:t>
      </w:r>
      <w:r>
        <w:rPr>
          <w:rFonts w:ascii="Calibri" w:hAnsi="Calibri" w:cs="Calibri"/>
          <w:b/>
          <w:color w:val="00188F"/>
        </w:rPr>
        <w:t>Ausfallzeit</w:t>
      </w:r>
      <w:r>
        <w:rPr>
          <w:rFonts w:ascii="Calibri" w:eastAsia="Times New Roman" w:hAnsi="Calibri" w:cs="Calibri"/>
          <w:b/>
          <w:bCs/>
          <w:color w:val="00188F"/>
          <w:szCs w:val="18"/>
          <w:bdr w:val="none" w:sz="0" w:space="0" w:color="auto" w:frame="1"/>
        </w:rPr>
        <w:t>“</w:t>
      </w:r>
      <w:r>
        <w:rPr>
          <w:rFonts w:ascii="Calibri" w:hAnsi="Calibri" w:cs="Calibri"/>
        </w:rPr>
        <w:t xml:space="preserve"> ist die Gesamtzahl der Maximal Verfügbaren Minuten während eines Anwendbaren Zeitraums für einen bestimmten VMware vSphere-Cluster auf Azure, in denen der Dienst nicht verfügbar ist. Eine bestimmte Minute gilt als nicht verfügbar, wenn einer der folgenden Punkte zutrifft:</w:t>
      </w:r>
    </w:p>
    <w:p w14:paraId="34C13A83" w14:textId="77777777" w:rsidR="00976B26" w:rsidRPr="00975B85" w:rsidRDefault="00976B26">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Alle virtuellen Computer innerhalb eines laufenden Clusters haben vier aufeinanderfolgende Minuten lang keine Konnektivität.</w:t>
      </w:r>
    </w:p>
    <w:p w14:paraId="73EE7E71" w14:textId="77777777" w:rsidR="00976B26" w:rsidRPr="00975B85" w:rsidRDefault="00976B26">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Keiner der virtuellen Computer vier aufeinanderfolgende Minuten auf den Speicher zugreifen kann.</w:t>
      </w:r>
    </w:p>
    <w:p w14:paraId="1F75A080" w14:textId="77777777" w:rsidR="00976B26" w:rsidRPr="00975B85" w:rsidRDefault="00976B26">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Keiner der Virtuellen Computer kann während vier aufeinanderfolgender Minuten gestartet werden.</w:t>
      </w:r>
    </w:p>
    <w:p w14:paraId="7E9B1441" w14:textId="77777777" w:rsidR="00976B26" w:rsidRPr="00F10635" w:rsidRDefault="00976B26" w:rsidP="00976B26">
      <w:pPr>
        <w:pStyle w:val="ProductList-Body"/>
      </w:pPr>
      <w:r>
        <w:rPr>
          <w:rFonts w:ascii="Calibri" w:eastAsia="Times New Roman" w:hAnsi="Calibri" w:cs="Calibri"/>
          <w:b/>
          <w:bCs/>
          <w:color w:val="00188F"/>
          <w:szCs w:val="18"/>
          <w:bdr w:val="none" w:sz="0" w:space="0" w:color="auto" w:frame="1"/>
        </w:rPr>
        <w:t>„</w:t>
      </w:r>
      <w:r>
        <w:rPr>
          <w:rFonts w:ascii="Calibri" w:hAnsi="Calibri" w:cs="Calibri"/>
          <w:b/>
          <w:color w:val="00188F"/>
        </w:rPr>
        <w:t>Betriebszeitprozentsatz</w:t>
      </w:r>
      <w:r>
        <w:rPr>
          <w:rFonts w:ascii="Calibri" w:eastAsia="Times New Roman" w:hAnsi="Calibri" w:cs="Calibri"/>
          <w:b/>
          <w:bCs/>
          <w:color w:val="00188F"/>
          <w:szCs w:val="18"/>
          <w:bdr w:val="none" w:sz="0" w:space="0" w:color="auto" w:frame="1"/>
        </w:rPr>
        <w:t>“</w:t>
      </w:r>
      <w:r>
        <w:t>:</w:t>
      </w:r>
      <w:r>
        <w:rPr>
          <w:rFonts w:ascii="Calibri" w:hAnsi="Calibri" w:cs="Calibri"/>
        </w:rPr>
        <w:t>Der Betriebszeitprozentsatz errechnet sich nach folgender Formel:</w:t>
      </w:r>
    </w:p>
    <w:p w14:paraId="24A199A3" w14:textId="77777777" w:rsidR="00976B26" w:rsidRPr="00F10635" w:rsidRDefault="00000000" w:rsidP="0097708B">
      <w:pPr>
        <w:spacing w:before="120" w:after="0" w:line="240" w:lineRule="auto"/>
        <w:rPr>
          <w:rFonts w:ascii="Cambria Math" w:hAnsi="Cambria Math"/>
          <w:i/>
          <w:color w:val="000000" w:themeColor="text1"/>
          <w:sz w:val="18"/>
        </w:rPr>
      </w:pPr>
      <m:oMathPara>
        <m:oMath>
          <m:f>
            <m:fPr>
              <m:ctrlPr>
                <w:rPr>
                  <w:rFonts w:ascii="Cambria Math" w:hAnsi="Cambria Math"/>
                  <w:color w:val="000000" w:themeColor="text1"/>
                  <w:sz w:val="18"/>
                </w:rPr>
              </m:ctrlPr>
            </m:fPr>
            <m:num>
              <m:r>
                <w:rPr>
                  <w:rFonts w:ascii="Cambria Math" w:hAnsi="Cambria Math"/>
                  <w:color w:val="000000" w:themeColor="text1"/>
                  <w:sz w:val="18"/>
                </w:rPr>
                <m:t>Maximal verfügbare Minuten - Ausfallzeit</m:t>
              </m:r>
            </m:num>
            <m:den>
              <m:r>
                <w:rPr>
                  <w:rFonts w:ascii="Cambria Math" w:hAnsi="Cambria Math"/>
                  <w:color w:val="000000" w:themeColor="text1"/>
                  <w:sz w:val="18"/>
                </w:rPr>
                <m:t>Maximal verfügbare Minuten</m:t>
              </m:r>
            </m:den>
          </m:f>
          <m:r>
            <w:rPr>
              <w:rFonts w:ascii="Cambria Math" w:hAnsi="Cambria Math"/>
              <w:color w:val="000000" w:themeColor="text1"/>
              <w:sz w:val="18"/>
            </w:rPr>
            <m:t xml:space="preserve"> x 100</m:t>
          </m:r>
        </m:oMath>
      </m:oMathPara>
    </w:p>
    <w:p w14:paraId="668FC6B3" w14:textId="77777777" w:rsidR="00976B26" w:rsidRPr="00F44E97" w:rsidRDefault="00976B26" w:rsidP="00976B26">
      <w:pPr>
        <w:pStyle w:val="ProductList-Body"/>
        <w:rPr>
          <w:rFonts w:ascii="Calibri" w:hAnsi="Calibri" w:cs="Calibri"/>
          <w:b/>
          <w:color w:val="00188F"/>
        </w:rPr>
      </w:pPr>
      <w:r>
        <w:rPr>
          <w:rFonts w:ascii="Calibri" w:hAnsi="Calibri" w:cs="Calibri"/>
          <w:b/>
          <w:color w:val="00188F"/>
        </w:rPr>
        <w:t>Servicegutschrift</w:t>
      </w:r>
    </w:p>
    <w:tbl>
      <w:tblPr>
        <w:tblW w:w="1062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10"/>
        <w:gridCol w:w="5310"/>
      </w:tblGrid>
      <w:tr w:rsidR="00976B26" w14:paraId="167C2E17" w14:textId="77777777" w:rsidTr="00B74CA0">
        <w:trPr>
          <w:tblHeader/>
        </w:trPr>
        <w:tc>
          <w:tcPr>
            <w:tcW w:w="5310" w:type="dxa"/>
            <w:shd w:val="clear" w:color="auto" w:fill="0072C6"/>
          </w:tcPr>
          <w:p w14:paraId="34C69B9E" w14:textId="77777777" w:rsidR="00976B26" w:rsidRPr="00D768A9" w:rsidRDefault="00976B26" w:rsidP="00B74CA0">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Betriebszeitprozentsatz</w:t>
            </w:r>
          </w:p>
        </w:tc>
        <w:tc>
          <w:tcPr>
            <w:tcW w:w="5310" w:type="dxa"/>
            <w:shd w:val="clear" w:color="auto" w:fill="0072C6"/>
          </w:tcPr>
          <w:p w14:paraId="424CC707" w14:textId="77777777" w:rsidR="00976B26" w:rsidRPr="00D768A9" w:rsidRDefault="00976B26" w:rsidP="00B74CA0">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Servicegutschrift</w:t>
            </w:r>
          </w:p>
        </w:tc>
      </w:tr>
      <w:tr w:rsidR="00976B26" w14:paraId="07D6F999" w14:textId="77777777" w:rsidTr="00B74CA0">
        <w:tc>
          <w:tcPr>
            <w:tcW w:w="5310" w:type="dxa"/>
          </w:tcPr>
          <w:p w14:paraId="3500D3F7" w14:textId="77777777" w:rsidR="00976B26" w:rsidRPr="00D768A9" w:rsidRDefault="00976B26" w:rsidP="00B74CA0">
            <w:pPr>
              <w:pStyle w:val="ProductList-OfferingBody"/>
              <w:jc w:val="center"/>
              <w:rPr>
                <w:rFonts w:ascii="Calibri" w:hAnsi="Calibri" w:cs="Calibri"/>
                <w:szCs w:val="16"/>
              </w:rPr>
            </w:pPr>
            <w:r>
              <w:rPr>
                <w:rFonts w:ascii="Calibri" w:hAnsi="Calibri" w:cs="Calibri"/>
                <w:szCs w:val="16"/>
              </w:rPr>
              <w:t>&lt; 99,9 % für Standardcluster</w:t>
            </w:r>
          </w:p>
        </w:tc>
        <w:tc>
          <w:tcPr>
            <w:tcW w:w="5310" w:type="dxa"/>
          </w:tcPr>
          <w:p w14:paraId="7BD079A0" w14:textId="77777777" w:rsidR="00976B26" w:rsidRPr="00D768A9" w:rsidRDefault="00976B26" w:rsidP="00B74CA0">
            <w:pPr>
              <w:pStyle w:val="ProductList-OfferingBody"/>
              <w:jc w:val="center"/>
              <w:rPr>
                <w:rFonts w:ascii="Calibri" w:hAnsi="Calibri" w:cs="Calibri"/>
                <w:szCs w:val="16"/>
              </w:rPr>
            </w:pPr>
            <w:r>
              <w:rPr>
                <w:rFonts w:ascii="Calibri" w:hAnsi="Calibri" w:cs="Calibri"/>
                <w:szCs w:val="16"/>
              </w:rPr>
              <w:t>10%</w:t>
            </w:r>
          </w:p>
        </w:tc>
      </w:tr>
      <w:tr w:rsidR="00976B26" w14:paraId="5E6C7405" w14:textId="77777777" w:rsidTr="00B74CA0">
        <w:trPr>
          <w:trHeight w:val="215"/>
        </w:trPr>
        <w:tc>
          <w:tcPr>
            <w:tcW w:w="5310" w:type="dxa"/>
          </w:tcPr>
          <w:p w14:paraId="5D320978" w14:textId="77777777" w:rsidR="00976B26" w:rsidRPr="00D768A9" w:rsidRDefault="00976B26" w:rsidP="00B74CA0">
            <w:pPr>
              <w:pStyle w:val="ProductList-OfferingBody"/>
              <w:jc w:val="center"/>
              <w:rPr>
                <w:rFonts w:ascii="Calibri" w:hAnsi="Calibri" w:cs="Calibri"/>
                <w:szCs w:val="16"/>
              </w:rPr>
            </w:pPr>
            <w:r>
              <w:rPr>
                <w:rFonts w:ascii="Calibri" w:hAnsi="Calibri" w:cs="Calibri"/>
                <w:szCs w:val="16"/>
              </w:rPr>
              <w:t>&lt; 99,9 % für gestreckte Cluster</w:t>
            </w:r>
          </w:p>
        </w:tc>
        <w:tc>
          <w:tcPr>
            <w:tcW w:w="5310" w:type="dxa"/>
          </w:tcPr>
          <w:p w14:paraId="63A224D9" w14:textId="77777777" w:rsidR="00976B26" w:rsidRPr="00D768A9" w:rsidRDefault="00976B26" w:rsidP="00B74CA0">
            <w:pPr>
              <w:pStyle w:val="ProductList-OfferingBody"/>
              <w:jc w:val="center"/>
              <w:rPr>
                <w:rFonts w:ascii="Calibri" w:hAnsi="Calibri" w:cs="Calibri"/>
                <w:szCs w:val="16"/>
              </w:rPr>
            </w:pPr>
            <w:r>
              <w:rPr>
                <w:rFonts w:ascii="Calibri" w:hAnsi="Calibri" w:cs="Calibri"/>
                <w:szCs w:val="16"/>
              </w:rPr>
              <w:t>10%</w:t>
            </w:r>
          </w:p>
        </w:tc>
      </w:tr>
      <w:tr w:rsidR="00976B26" w14:paraId="37037C9D" w14:textId="77777777" w:rsidTr="00B74CA0">
        <w:tc>
          <w:tcPr>
            <w:tcW w:w="5310" w:type="dxa"/>
          </w:tcPr>
          <w:p w14:paraId="01ABBFD5" w14:textId="77777777" w:rsidR="00976B26" w:rsidRPr="00D768A9" w:rsidRDefault="00976B26" w:rsidP="00B74CA0">
            <w:pPr>
              <w:pStyle w:val="ProductList-OfferingBody"/>
              <w:jc w:val="center"/>
              <w:rPr>
                <w:rFonts w:ascii="Calibri" w:hAnsi="Calibri" w:cs="Calibri"/>
                <w:szCs w:val="16"/>
              </w:rPr>
            </w:pPr>
            <w:r>
              <w:rPr>
                <w:rFonts w:ascii="Calibri" w:hAnsi="Calibri" w:cs="Calibri"/>
                <w:szCs w:val="16"/>
              </w:rPr>
              <w:t>&lt; 99 % für beliebige Cluster</w:t>
            </w:r>
          </w:p>
        </w:tc>
        <w:tc>
          <w:tcPr>
            <w:tcW w:w="5310" w:type="dxa"/>
          </w:tcPr>
          <w:p w14:paraId="34EB03F4" w14:textId="77777777" w:rsidR="00976B26" w:rsidRPr="00D768A9" w:rsidRDefault="00976B26" w:rsidP="00B74CA0">
            <w:pPr>
              <w:pStyle w:val="ProductList-OfferingBody"/>
              <w:jc w:val="center"/>
              <w:rPr>
                <w:rFonts w:ascii="Calibri" w:hAnsi="Calibri" w:cs="Calibri"/>
                <w:szCs w:val="16"/>
              </w:rPr>
            </w:pPr>
            <w:r>
              <w:rPr>
                <w:rFonts w:ascii="Calibri" w:hAnsi="Calibri" w:cs="Calibri"/>
                <w:szCs w:val="16"/>
              </w:rPr>
              <w:t>25%</w:t>
            </w:r>
          </w:p>
        </w:tc>
      </w:tr>
    </w:tbl>
    <w:p w14:paraId="1BD05CC4" w14:textId="77777777" w:rsidR="00976B26" w:rsidRPr="00975B85" w:rsidRDefault="00976B26" w:rsidP="00976B26">
      <w:pPr>
        <w:pStyle w:val="ProductList-Body"/>
        <w:spacing w:before="120"/>
        <w:rPr>
          <w:rFonts w:ascii="Calibri" w:hAnsi="Calibri" w:cs="Calibri"/>
          <w:b/>
          <w:color w:val="00188F"/>
        </w:rPr>
      </w:pPr>
      <w:r>
        <w:rPr>
          <w:rFonts w:ascii="Calibri" w:hAnsi="Calibri" w:cs="Calibri"/>
          <w:b/>
          <w:color w:val="00188F"/>
        </w:rPr>
        <w:t>Berechnung der Betriebszeit und Service-Levels für Azure VMware-Verwaltungstools</w:t>
      </w:r>
    </w:p>
    <w:p w14:paraId="23839ADB" w14:textId="77777777" w:rsidR="00976B26" w:rsidRPr="00975B85" w:rsidRDefault="00976B26" w:rsidP="00976B26">
      <w:pPr>
        <w:pStyle w:val="ProductList-Body"/>
        <w:rPr>
          <w:rFonts w:ascii="Calibri" w:hAnsi="Calibri" w:cs="Calibri"/>
        </w:rPr>
      </w:pPr>
      <w:r>
        <w:rPr>
          <w:rFonts w:ascii="Calibri" w:eastAsia="Times New Roman" w:hAnsi="Calibri" w:cs="Calibri"/>
          <w:b/>
          <w:bCs/>
          <w:color w:val="00188F"/>
          <w:szCs w:val="18"/>
          <w:bdr w:val="none" w:sz="0" w:space="0" w:color="auto" w:frame="1"/>
        </w:rPr>
        <w:t>„</w:t>
      </w:r>
      <w:r>
        <w:rPr>
          <w:rFonts w:ascii="Calibri" w:hAnsi="Calibri" w:cs="Calibri"/>
          <w:b/>
          <w:color w:val="00188F"/>
        </w:rPr>
        <w:t>Maximal Verfügbare Minuten</w:t>
      </w:r>
      <w:r>
        <w:rPr>
          <w:rFonts w:ascii="Calibri" w:eastAsia="Times New Roman" w:hAnsi="Calibri" w:cs="Calibri"/>
          <w:b/>
          <w:bCs/>
          <w:color w:val="00188F"/>
          <w:szCs w:val="18"/>
          <w:bdr w:val="none" w:sz="0" w:space="0" w:color="auto" w:frame="1"/>
        </w:rPr>
        <w:t>“</w:t>
      </w:r>
      <w:r>
        <w:rPr>
          <w:rFonts w:ascii="Calibri" w:hAnsi="Calibri" w:cs="Calibri"/>
        </w:rPr>
        <w:t xml:space="preserve"> ist die Gesamtzahl der Minuten während eines Anwendbaren Zeitraums für einen bestimmten VMware vSphere-Cluster, in denen Azure VMware-Verwaltungstools in einem Microsoft Azure-Abonnement bereitgestellt wurden.</w:t>
      </w:r>
    </w:p>
    <w:p w14:paraId="0AD87A43" w14:textId="77777777" w:rsidR="00976B26" w:rsidRPr="00975B85" w:rsidRDefault="00976B26" w:rsidP="00976B26">
      <w:pPr>
        <w:pStyle w:val="ProductList-Body"/>
        <w:rPr>
          <w:rFonts w:ascii="Calibri" w:hAnsi="Calibri" w:cs="Calibri"/>
        </w:rPr>
      </w:pPr>
      <w:r>
        <w:rPr>
          <w:rFonts w:ascii="Calibri" w:eastAsia="Times New Roman" w:hAnsi="Calibri" w:cs="Calibri"/>
          <w:b/>
          <w:bCs/>
          <w:color w:val="00188F"/>
          <w:szCs w:val="18"/>
          <w:bdr w:val="none" w:sz="0" w:space="0" w:color="auto" w:frame="1"/>
        </w:rPr>
        <w:t>„</w:t>
      </w:r>
      <w:r>
        <w:rPr>
          <w:rFonts w:ascii="Calibri" w:hAnsi="Calibri" w:cs="Calibri"/>
          <w:b/>
          <w:color w:val="00188F"/>
        </w:rPr>
        <w:t>Ausfallzeit</w:t>
      </w:r>
      <w:r>
        <w:rPr>
          <w:rFonts w:ascii="Calibri" w:eastAsia="Times New Roman" w:hAnsi="Calibri" w:cs="Calibri"/>
          <w:b/>
          <w:bCs/>
          <w:color w:val="00188F"/>
          <w:szCs w:val="18"/>
          <w:bdr w:val="none" w:sz="0" w:space="0" w:color="auto" w:frame="1"/>
        </w:rPr>
        <w:t>“</w:t>
      </w:r>
      <w:r>
        <w:rPr>
          <w:rFonts w:ascii="Calibri" w:hAnsi="Calibri" w:cs="Calibri"/>
        </w:rPr>
        <w:t xml:space="preserve"> ist die Gesamtzahl der kumulierten Maximal Verfügbaren Minuten während eines Anwendbaren Zeitraums für einen bestimmten VMware vSphere-Cluster auf Azure, in denen die Verwaltungsdienste (vCenter Server und NSX Manager) nicht verfügbar sind. Eine bestimmte Minute gilt als nicht verfügbar, wenn einer der folgenden Punkte zutrifft:</w:t>
      </w:r>
    </w:p>
    <w:p w14:paraId="2DD70062" w14:textId="77777777" w:rsidR="00976B26" w:rsidRPr="00975B85" w:rsidRDefault="00976B26">
      <w:pPr>
        <w:pStyle w:val="ProductList-Body"/>
        <w:numPr>
          <w:ilvl w:val="0"/>
          <w:numId w:val="14"/>
        </w:numPr>
        <w:rPr>
          <w:rFonts w:ascii="Calibri" w:hAnsi="Calibri" w:cs="Calibri"/>
        </w:rPr>
      </w:pPr>
      <w:r>
        <w:rPr>
          <w:rFonts w:ascii="Calibri" w:hAnsi="Calibri" w:cs="Calibri"/>
        </w:rPr>
        <w:t>vCenter Server für vier aufeinanderfolgende Minuten über keine Konnektivität verfügt.</w:t>
      </w:r>
    </w:p>
    <w:p w14:paraId="2C36713E" w14:textId="77777777" w:rsidR="00976B26" w:rsidRPr="00975B85" w:rsidRDefault="00976B26">
      <w:pPr>
        <w:pStyle w:val="ProductList-Body"/>
        <w:numPr>
          <w:ilvl w:val="0"/>
          <w:numId w:val="14"/>
        </w:numPr>
        <w:rPr>
          <w:rFonts w:ascii="Calibri" w:hAnsi="Calibri" w:cs="Calibri"/>
        </w:rPr>
      </w:pPr>
      <w:r>
        <w:rPr>
          <w:rFonts w:ascii="Calibri" w:hAnsi="Calibri" w:cs="Calibri"/>
        </w:rPr>
        <w:t>NSX Manager für vier aufeinanderfolgende Minuten über keine Konnektivität verfügt.</w:t>
      </w:r>
    </w:p>
    <w:p w14:paraId="7E4C2823" w14:textId="2572DF68" w:rsidR="003B335C" w:rsidRDefault="003B335C" w:rsidP="003B335C">
      <w:pPr>
        <w:pStyle w:val="ProductList-Body"/>
      </w:pPr>
      <w:r>
        <w:t>„</w:t>
      </w:r>
      <w:r>
        <w:rPr>
          <w:b/>
          <w:bCs/>
          <w:color w:val="00188F"/>
        </w:rPr>
        <w:t>Betriebszeitprozentsatz</w:t>
      </w:r>
      <w:r w:rsidR="00445B42">
        <w:t>“</w:t>
      </w:r>
      <w:r w:rsidRPr="00633DA0">
        <w:rPr>
          <w:b/>
          <w:bCs/>
          <w:color w:val="00188F"/>
        </w:rPr>
        <w:t>:</w:t>
      </w:r>
      <w:r>
        <w:t xml:space="preserve"> Der Betriebszeitprozentsatz errechnet sich nach folgender Formel:</w:t>
      </w:r>
    </w:p>
    <w:p w14:paraId="1F98E7A5" w14:textId="04406200" w:rsidR="0087490E" w:rsidRPr="0048402F" w:rsidRDefault="00000000" w:rsidP="00976B26">
      <w:pPr>
        <w:spacing w:before="120" w:after="0" w:line="240" w:lineRule="auto"/>
        <w:rPr>
          <w:rFonts w:ascii="Cambria Math" w:eastAsiaTheme="minorEastAsia"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0AD71F65" w14:textId="28EDBCF8" w:rsidR="0048402F" w:rsidRPr="0048402F" w:rsidRDefault="0048402F" w:rsidP="0048402F">
      <w:pPr>
        <w:pStyle w:val="ProductList-Body"/>
        <w:rPr>
          <w:b/>
          <w:bCs/>
          <w:color w:val="00188F"/>
        </w:rPr>
      </w:pPr>
      <w:r>
        <w:rPr>
          <w:b/>
          <w:bCs/>
          <w:color w:val="00188F"/>
        </w:rPr>
        <w:t>Servicegutschrift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7490E" w:rsidRPr="00B44CF9" w14:paraId="16E12F41" w14:textId="77777777" w:rsidTr="00277097">
        <w:trPr>
          <w:tblHeader/>
        </w:trPr>
        <w:tc>
          <w:tcPr>
            <w:tcW w:w="5400" w:type="dxa"/>
            <w:shd w:val="clear" w:color="auto" w:fill="0072C6"/>
          </w:tcPr>
          <w:p w14:paraId="684B2B65" w14:textId="057A14E0" w:rsidR="0087490E" w:rsidRPr="005A3C16"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26CCB8FB" w14:textId="77777777" w:rsidR="0087490E" w:rsidRPr="005A3C16" w:rsidRDefault="0087490E" w:rsidP="000F31B4">
            <w:pPr>
              <w:pStyle w:val="ProductList-OfferingBody"/>
              <w:jc w:val="center"/>
              <w:rPr>
                <w:color w:val="FFFFFF" w:themeColor="background1"/>
              </w:rPr>
            </w:pPr>
            <w:r>
              <w:rPr>
                <w:color w:val="FFFFFF" w:themeColor="background1"/>
              </w:rPr>
              <w:t>Servicegutschrift</w:t>
            </w:r>
          </w:p>
        </w:tc>
      </w:tr>
      <w:tr w:rsidR="0087490E" w:rsidRPr="00B44CF9" w14:paraId="41DDA0BF" w14:textId="77777777" w:rsidTr="00277097">
        <w:tc>
          <w:tcPr>
            <w:tcW w:w="5400" w:type="dxa"/>
          </w:tcPr>
          <w:p w14:paraId="57DEA1AF" w14:textId="77777777" w:rsidR="0087490E" w:rsidRPr="005A3C16" w:rsidRDefault="0087490E" w:rsidP="000F31B4">
            <w:pPr>
              <w:pStyle w:val="ProductList-OfferingBody"/>
              <w:jc w:val="center"/>
            </w:pPr>
            <w:r>
              <w:t>&lt; 99,9 %</w:t>
            </w:r>
          </w:p>
        </w:tc>
        <w:tc>
          <w:tcPr>
            <w:tcW w:w="5400" w:type="dxa"/>
          </w:tcPr>
          <w:p w14:paraId="12EDA4F2" w14:textId="77777777" w:rsidR="0087490E" w:rsidRPr="005A3C16" w:rsidRDefault="0087490E" w:rsidP="000F31B4">
            <w:pPr>
              <w:pStyle w:val="ProductList-OfferingBody"/>
              <w:jc w:val="center"/>
            </w:pPr>
            <w:r>
              <w:t>10 %</w:t>
            </w:r>
          </w:p>
        </w:tc>
      </w:tr>
      <w:tr w:rsidR="0087490E" w:rsidRPr="00B44CF9" w14:paraId="73C85E7D" w14:textId="77777777" w:rsidTr="00277097">
        <w:tc>
          <w:tcPr>
            <w:tcW w:w="5400" w:type="dxa"/>
          </w:tcPr>
          <w:p w14:paraId="6E6C8824" w14:textId="77777777" w:rsidR="0087490E" w:rsidRPr="005A3C16" w:rsidRDefault="0087490E" w:rsidP="000F31B4">
            <w:pPr>
              <w:pStyle w:val="ProductList-OfferingBody"/>
              <w:jc w:val="center"/>
            </w:pPr>
            <w:r>
              <w:t>&lt; 99 %</w:t>
            </w:r>
          </w:p>
        </w:tc>
        <w:tc>
          <w:tcPr>
            <w:tcW w:w="5400" w:type="dxa"/>
          </w:tcPr>
          <w:p w14:paraId="54AFB53A" w14:textId="77777777" w:rsidR="0087490E" w:rsidRPr="005A3C16" w:rsidRDefault="0087490E" w:rsidP="000F31B4">
            <w:pPr>
              <w:pStyle w:val="ProductList-OfferingBody"/>
              <w:jc w:val="center"/>
            </w:pPr>
            <w:r>
              <w:t>25 %</w:t>
            </w:r>
          </w:p>
        </w:tc>
      </w:tr>
    </w:tbl>
    <w:p w14:paraId="44135523" w14:textId="13F15914"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2030F3AE" w14:textId="07E0AAE1" w:rsidR="00111EE9" w:rsidRPr="00111EE9" w:rsidRDefault="00111EE9" w:rsidP="00111EE9">
      <w:pPr>
        <w:pStyle w:val="ProductList-Offering2Heading"/>
        <w:keepNext/>
        <w:outlineLvl w:val="2"/>
      </w:pPr>
      <w:bookmarkStart w:id="584" w:name="_Toc195543217"/>
      <w:bookmarkStart w:id="585" w:name="_Toc237449078"/>
      <w:r>
        <w:t>Azure VMware Solution durch CloudSimple</w:t>
      </w:r>
      <w:bookmarkEnd w:id="584"/>
      <w:bookmarkEnd w:id="585"/>
    </w:p>
    <w:p w14:paraId="11011C87" w14:textId="77777777" w:rsidR="00111EE9" w:rsidRPr="00111EE9" w:rsidRDefault="00111EE9" w:rsidP="00111EE9">
      <w:pPr>
        <w:pStyle w:val="ProductList-Body"/>
        <w:rPr>
          <w:b/>
          <w:bCs/>
          <w:color w:val="00188F"/>
        </w:rPr>
      </w:pPr>
      <w:r>
        <w:rPr>
          <w:b/>
          <w:bCs/>
          <w:color w:val="00188F"/>
        </w:rPr>
        <w:t>Zusätzliche Anforderungen</w:t>
      </w:r>
    </w:p>
    <w:p w14:paraId="72B01100" w14:textId="77777777" w:rsidR="00111EE9" w:rsidRDefault="00111EE9" w:rsidP="00111EE9">
      <w:pPr>
        <w:pStyle w:val="ProductList-Body"/>
      </w:pPr>
      <w:r>
        <w:t>Der Kunde ist verpflichtet, eine Mindestkonfiguration für jegliche Speicherung in virtuellen Computern wie folgt aufrechtzuerhalten:</w:t>
      </w:r>
    </w:p>
    <w:p w14:paraId="12FA0843" w14:textId="24692FFC" w:rsidR="00111EE9" w:rsidRDefault="00111EE9">
      <w:pPr>
        <w:pStyle w:val="ProductList-Body"/>
        <w:numPr>
          <w:ilvl w:val="0"/>
          <w:numId w:val="15"/>
        </w:numPr>
      </w:pPr>
      <w:r>
        <w:t>Wenn der Cluster zwischen 3 und 5 Hosts hat, ist die Zahl der tolerierten Fehler = 1; wenn der Cluster zwischen 6 und 32 Hosts hat, ist</w:t>
      </w:r>
      <w:r w:rsidR="006D569D">
        <w:t> </w:t>
      </w:r>
      <w:r>
        <w:t>die</w:t>
      </w:r>
      <w:r w:rsidR="006D569D">
        <w:t> </w:t>
      </w:r>
      <w:r>
        <w:t>Zahl der tolerierten Fehler = 2</w:t>
      </w:r>
    </w:p>
    <w:p w14:paraId="1D1BBE52" w14:textId="03A08F0E" w:rsidR="00111EE9" w:rsidRDefault="00111EE9">
      <w:pPr>
        <w:pStyle w:val="ProductList-Body"/>
        <w:numPr>
          <w:ilvl w:val="0"/>
          <w:numId w:val="15"/>
        </w:numPr>
      </w:pPr>
      <w:r>
        <w:t xml:space="preserve">Speicherkapazität für den Cluster behält 25 % Schlupfspeicher verfügbar (wie im VSAN-Speicherleitfaden beschrieben) </w:t>
      </w:r>
      <w:hyperlink r:id="rId27" w:history="1">
        <w:r>
          <w:rPr>
            <w:rStyle w:val="Hyperlink"/>
          </w:rPr>
          <w:t>https://docs.vmware.com/en/VMware-vSphere/6.7/vsan-671-administration-guide.pdf</w:t>
        </w:r>
      </w:hyperlink>
    </w:p>
    <w:p w14:paraId="4C610A4F" w14:textId="77777777" w:rsidR="00111EE9" w:rsidRDefault="00111EE9">
      <w:pPr>
        <w:pStyle w:val="ProductList-Body"/>
        <w:numPr>
          <w:ilvl w:val="0"/>
          <w:numId w:val="15"/>
        </w:numPr>
      </w:pPr>
      <w:r>
        <w:t>Der Cluster verfügt über genügend Kapazität, um das Starten eines virtuellen Computers zu unterstützen, und der Client hat im Modus „Eskalierte Berechtigung“ keine Aktionen ausgeführt, die den Anbieter daran hindern, seine Verpflichtung zur Verfügbarkeit einzuhalten.</w:t>
      </w:r>
    </w:p>
    <w:p w14:paraId="41D54D38" w14:textId="419CC854" w:rsidR="00111EE9" w:rsidRDefault="00111EE9">
      <w:pPr>
        <w:pStyle w:val="ProductList-Body"/>
        <w:numPr>
          <w:ilvl w:val="0"/>
          <w:numId w:val="15"/>
        </w:numPr>
      </w:pPr>
      <w:r>
        <w:t>Geplante Wartungen sind von den Berechnungen der gesamten verfügbaren Betriebszeit ausgenommen</w:t>
      </w:r>
    </w:p>
    <w:p w14:paraId="2F0032FD" w14:textId="77777777" w:rsidR="00111EE9" w:rsidRPr="0048402F" w:rsidRDefault="00111EE9" w:rsidP="00133A8D">
      <w:pPr>
        <w:pStyle w:val="ProductList-Body"/>
        <w:spacing w:before="120"/>
        <w:rPr>
          <w:b/>
          <w:bCs/>
          <w:color w:val="00188F"/>
        </w:rPr>
      </w:pPr>
      <w:r>
        <w:rPr>
          <w:b/>
          <w:bCs/>
          <w:color w:val="00188F"/>
        </w:rPr>
        <w:t>Zusätzliche Definitionen</w:t>
      </w:r>
    </w:p>
    <w:p w14:paraId="35B0DEFD" w14:textId="377F9BF5" w:rsidR="00111EE9" w:rsidRPr="0048402F" w:rsidRDefault="00EE6E3C" w:rsidP="00111EE9">
      <w:pPr>
        <w:pStyle w:val="ProductList-Body"/>
        <w:rPr>
          <w:b/>
          <w:bCs/>
          <w:color w:val="00188F"/>
        </w:rPr>
      </w:pPr>
      <w:r>
        <w:rPr>
          <w:b/>
          <w:bCs/>
          <w:color w:val="00188F"/>
        </w:rPr>
        <w:t>Berechnung der Betriebszeit und Service-Levels für Azure VMware Solutions Workload-Infrastruktur</w:t>
      </w:r>
    </w:p>
    <w:p w14:paraId="5D6769E6" w14:textId="358EE3E4" w:rsidR="00111EE9" w:rsidRDefault="00111EE9" w:rsidP="00111EE9">
      <w:pPr>
        <w:pStyle w:val="ProductList-Body"/>
      </w:pPr>
      <w:r>
        <w:t>„</w:t>
      </w:r>
      <w:r>
        <w:rPr>
          <w:b/>
          <w:bCs/>
          <w:color w:val="00188F"/>
        </w:rPr>
        <w:t>Maximal Verfügbare Minuten</w:t>
      </w:r>
      <w:r>
        <w:t>“ ist die Gesamtzahl der Minuten während eines Anwendbaren Zeitraums für alle Virtuellen Computer innerhalb eines VMware-Clusters, in denen Azure VMware Solutions in einem Microsoft Azure-Abonnement bereitgestellt wird.</w:t>
      </w:r>
    </w:p>
    <w:p w14:paraId="07E62869" w14:textId="45C96C28" w:rsidR="00111EE9" w:rsidRDefault="00111EE9" w:rsidP="00111EE9">
      <w:pPr>
        <w:pStyle w:val="ProductList-Body"/>
      </w:pPr>
      <w:r>
        <w:t>„</w:t>
      </w:r>
      <w:r>
        <w:rPr>
          <w:b/>
          <w:bCs/>
          <w:color w:val="00188F"/>
        </w:rPr>
        <w:t>Ausfallzeit</w:t>
      </w:r>
      <w:r>
        <w:t>“ ist die Gesamtzahl der Maximal Verfügbaren Minuten während eines Anwendbaren Zeitraums für einen bestimmten VMware-Cluster auf Azure, in denen der Dienst nicht verfügbar ist. Eine Minute gilt als nicht verfügbar, wenn</w:t>
      </w:r>
    </w:p>
    <w:p w14:paraId="228F9330" w14:textId="77777777" w:rsidR="00111EE9" w:rsidRDefault="00111EE9">
      <w:pPr>
        <w:pStyle w:val="ProductList-Body"/>
        <w:numPr>
          <w:ilvl w:val="0"/>
          <w:numId w:val="16"/>
        </w:numPr>
      </w:pPr>
      <w:r>
        <w:t>Alle virtuellen Computer innerhalb eines laufenden Clusters vier aufeinanderfolgende Minuten lang keine Konnektivität haben.</w:t>
      </w:r>
    </w:p>
    <w:p w14:paraId="790E6190" w14:textId="77777777" w:rsidR="00111EE9" w:rsidRDefault="00111EE9">
      <w:pPr>
        <w:pStyle w:val="ProductList-Body"/>
        <w:numPr>
          <w:ilvl w:val="0"/>
          <w:numId w:val="16"/>
        </w:numPr>
      </w:pPr>
      <w:r>
        <w:t>Keiner der virtuellen Computer vier aufeinanderfolgende Minuten auf den Speicher zugreifen kann.</w:t>
      </w:r>
    </w:p>
    <w:p w14:paraId="37C1DC4E" w14:textId="77777777" w:rsidR="00111EE9" w:rsidRDefault="00111EE9">
      <w:pPr>
        <w:pStyle w:val="ProductList-Body"/>
        <w:numPr>
          <w:ilvl w:val="0"/>
          <w:numId w:val="16"/>
        </w:numPr>
      </w:pPr>
      <w:r>
        <w:t>Keiner der Virtuellen Computer kann während vier aufeinanderfolgender Minuten gestartet werden.</w:t>
      </w:r>
    </w:p>
    <w:p w14:paraId="232D7414" w14:textId="42DE39E9" w:rsidR="00111EE9" w:rsidRDefault="00111EE9" w:rsidP="00B61165">
      <w:pPr>
        <w:pStyle w:val="ProductList-Body"/>
        <w:keepNext/>
        <w:keepLines/>
      </w:pPr>
      <w:r>
        <w:t>„</w:t>
      </w:r>
      <w:r>
        <w:rPr>
          <w:b/>
          <w:bCs/>
          <w:color w:val="00188F"/>
        </w:rPr>
        <w:t>Betriebszeitprozentsatz</w:t>
      </w:r>
      <w:r w:rsidR="00445B42">
        <w:t>“</w:t>
      </w:r>
      <w:r w:rsidRPr="00633DA0">
        <w:rPr>
          <w:b/>
          <w:bCs/>
          <w:color w:val="00188F"/>
        </w:rPr>
        <w:t>:</w:t>
      </w:r>
      <w:r>
        <w:t xml:space="preserve"> Der Betriebszeitprozentsatz errechnet sich nach folgender Formel:</w:t>
      </w:r>
    </w:p>
    <w:p w14:paraId="19F1D4EB" w14:textId="3117905E" w:rsidR="0048402F" w:rsidRPr="00EF7CF9" w:rsidRDefault="00000000" w:rsidP="00976B26">
      <w:pPr>
        <w:keepNext/>
        <w:keepLines/>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3121ECCE" w14:textId="035CFF96" w:rsidR="00111EE9" w:rsidRPr="00C074BC" w:rsidRDefault="0048402F" w:rsidP="00111EE9">
      <w:pPr>
        <w:pStyle w:val="ProductList-Body"/>
        <w:rPr>
          <w:b/>
          <w:bCs/>
          <w:color w:val="00188F"/>
        </w:rPr>
      </w:pPr>
      <w:r>
        <w:rPr>
          <w:b/>
          <w:bCs/>
          <w:color w:val="00188F"/>
        </w:rPr>
        <w:t>Servicegutschrift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402F" w:rsidRPr="00B44CF9" w14:paraId="61871884" w14:textId="77777777" w:rsidTr="00277097">
        <w:trPr>
          <w:tblHeader/>
        </w:trPr>
        <w:tc>
          <w:tcPr>
            <w:tcW w:w="5400" w:type="dxa"/>
            <w:shd w:val="clear" w:color="auto" w:fill="0072C6"/>
          </w:tcPr>
          <w:p w14:paraId="3B9B5B07" w14:textId="2165ECEC" w:rsidR="0048402F" w:rsidRPr="005A3C16"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51FFE87E" w14:textId="77777777" w:rsidR="0048402F" w:rsidRPr="005A3C16" w:rsidRDefault="0048402F" w:rsidP="000F31B4">
            <w:pPr>
              <w:pStyle w:val="ProductList-OfferingBody"/>
              <w:jc w:val="center"/>
              <w:rPr>
                <w:color w:val="FFFFFF" w:themeColor="background1"/>
              </w:rPr>
            </w:pPr>
            <w:r>
              <w:rPr>
                <w:color w:val="FFFFFF" w:themeColor="background1"/>
              </w:rPr>
              <w:t>Servicegutschrift</w:t>
            </w:r>
          </w:p>
        </w:tc>
      </w:tr>
      <w:tr w:rsidR="0048402F" w:rsidRPr="00B44CF9" w14:paraId="27355E3D" w14:textId="77777777" w:rsidTr="00277097">
        <w:tc>
          <w:tcPr>
            <w:tcW w:w="5400" w:type="dxa"/>
          </w:tcPr>
          <w:p w14:paraId="16C46BA1" w14:textId="77777777" w:rsidR="0048402F" w:rsidRPr="005A3C16" w:rsidRDefault="0048402F" w:rsidP="000F31B4">
            <w:pPr>
              <w:pStyle w:val="ProductList-OfferingBody"/>
              <w:jc w:val="center"/>
            </w:pPr>
            <w:r>
              <w:t>&lt; 99,9 %</w:t>
            </w:r>
          </w:p>
        </w:tc>
        <w:tc>
          <w:tcPr>
            <w:tcW w:w="5400" w:type="dxa"/>
          </w:tcPr>
          <w:p w14:paraId="0861B3A4" w14:textId="77777777" w:rsidR="0048402F" w:rsidRPr="005A3C16" w:rsidRDefault="0048402F" w:rsidP="000F31B4">
            <w:pPr>
              <w:pStyle w:val="ProductList-OfferingBody"/>
              <w:jc w:val="center"/>
            </w:pPr>
            <w:r>
              <w:t>10 %</w:t>
            </w:r>
          </w:p>
        </w:tc>
      </w:tr>
      <w:tr w:rsidR="0048402F" w:rsidRPr="00B44CF9" w14:paraId="05205DAD" w14:textId="77777777" w:rsidTr="00277097">
        <w:tc>
          <w:tcPr>
            <w:tcW w:w="5400" w:type="dxa"/>
          </w:tcPr>
          <w:p w14:paraId="456D24D3" w14:textId="77777777" w:rsidR="0048402F" w:rsidRPr="005A3C16" w:rsidRDefault="0048402F" w:rsidP="000F31B4">
            <w:pPr>
              <w:pStyle w:val="ProductList-OfferingBody"/>
              <w:jc w:val="center"/>
            </w:pPr>
            <w:r>
              <w:t>&lt; 99 %</w:t>
            </w:r>
          </w:p>
        </w:tc>
        <w:tc>
          <w:tcPr>
            <w:tcW w:w="5400" w:type="dxa"/>
          </w:tcPr>
          <w:p w14:paraId="072A8441" w14:textId="1E9FCDF3" w:rsidR="0048402F" w:rsidRPr="005A3C16" w:rsidRDefault="0048402F" w:rsidP="000F31B4">
            <w:pPr>
              <w:pStyle w:val="ProductList-OfferingBody"/>
              <w:jc w:val="center"/>
            </w:pPr>
            <w:r>
              <w:t>30 %</w:t>
            </w:r>
          </w:p>
        </w:tc>
      </w:tr>
    </w:tbl>
    <w:p w14:paraId="7925C666" w14:textId="5E3EECAE" w:rsidR="00111EE9" w:rsidRPr="0048402F" w:rsidRDefault="00EE6E3C" w:rsidP="00307209">
      <w:pPr>
        <w:pStyle w:val="ProductList-Body"/>
        <w:spacing w:before="120"/>
        <w:rPr>
          <w:b/>
          <w:bCs/>
          <w:color w:val="00188F"/>
        </w:rPr>
      </w:pPr>
      <w:r>
        <w:rPr>
          <w:b/>
          <w:bCs/>
          <w:color w:val="00188F"/>
        </w:rPr>
        <w:t>Berechnung der Betriebszeit und Service-Levels für Azure VMware-Verwaltungstools</w:t>
      </w:r>
    </w:p>
    <w:p w14:paraId="39393875" w14:textId="05C6AAC9" w:rsidR="00111EE9" w:rsidRDefault="00111EE9" w:rsidP="00111EE9">
      <w:pPr>
        <w:pStyle w:val="ProductList-Body"/>
      </w:pPr>
      <w:r>
        <w:t>„</w:t>
      </w:r>
      <w:r>
        <w:rPr>
          <w:b/>
          <w:bCs/>
          <w:color w:val="00188F"/>
        </w:rPr>
        <w:t>Maximal Verfügbare Minuten</w:t>
      </w:r>
      <w:r>
        <w:t>“ ist die Gesamtzahl der Minuten während eines Anwendbaren Zeitraums für einen bestimmten VMware-Cluster, in</w:t>
      </w:r>
      <w:r w:rsidR="00445B42">
        <w:t> </w:t>
      </w:r>
      <w:r>
        <w:t>denen Azure VMware-Verwaltungstools in einem Microsoft Azure-Abonnement bereitgestellt wurden.</w:t>
      </w:r>
    </w:p>
    <w:p w14:paraId="6A3427D0" w14:textId="4774445A" w:rsidR="00111EE9" w:rsidRDefault="00111EE9" w:rsidP="00111EE9">
      <w:pPr>
        <w:pStyle w:val="ProductList-Body"/>
      </w:pPr>
      <w:r>
        <w:t>„</w:t>
      </w:r>
      <w:r>
        <w:rPr>
          <w:b/>
          <w:bCs/>
          <w:color w:val="00188F"/>
        </w:rPr>
        <w:t>Ausfallzeit</w:t>
      </w:r>
      <w:r>
        <w:t>“ ist die Gesamtzahl der kumulierten Maximal Verfügbaren Minuten während eines Anwendbaren Zeitraums für einen bestimmten VMware-Cluster auf Azure, in denen die Verwaltungsdienste (vCenter Server und NSX Manager) nicht verfügbar sind. Eine Minute gilt als nicht verfügbar, wenn</w:t>
      </w:r>
    </w:p>
    <w:p w14:paraId="03DFBFB1" w14:textId="77777777" w:rsidR="00111EE9" w:rsidRDefault="00111EE9">
      <w:pPr>
        <w:pStyle w:val="ProductList-Body"/>
        <w:numPr>
          <w:ilvl w:val="0"/>
          <w:numId w:val="17"/>
        </w:numPr>
      </w:pPr>
      <w:r>
        <w:t>vCenter Server für vier aufeinanderfolgende Minuten über keine Konnektivität verfügt.</w:t>
      </w:r>
    </w:p>
    <w:p w14:paraId="39C99AFB" w14:textId="77777777" w:rsidR="00111EE9" w:rsidRDefault="00111EE9">
      <w:pPr>
        <w:pStyle w:val="ProductList-Body"/>
        <w:numPr>
          <w:ilvl w:val="0"/>
          <w:numId w:val="17"/>
        </w:numPr>
      </w:pPr>
      <w:r>
        <w:t>NSX Manager für vier aufeinanderfolgende Minuten über keine Konnektivität verfügt.</w:t>
      </w:r>
    </w:p>
    <w:p w14:paraId="064B5313" w14:textId="28585049" w:rsidR="00111EE9" w:rsidRDefault="00111EE9" w:rsidP="00111EE9">
      <w:pPr>
        <w:pStyle w:val="ProductList-Body"/>
      </w:pPr>
      <w:r>
        <w:t>„</w:t>
      </w:r>
      <w:r>
        <w:rPr>
          <w:b/>
          <w:bCs/>
          <w:color w:val="00188F"/>
        </w:rPr>
        <w:t>Betriebszeitprozentsatz</w:t>
      </w:r>
      <w:r w:rsidR="00445B42">
        <w:t>“</w:t>
      </w:r>
      <w:r w:rsidRPr="00633DA0">
        <w:rPr>
          <w:b/>
          <w:bCs/>
          <w:color w:val="00188F"/>
        </w:rPr>
        <w:t>:</w:t>
      </w:r>
      <w:r>
        <w:t xml:space="preserve"> Der Betriebszeitprozentsatz errechnet sich nach folgender Formel:</w:t>
      </w:r>
    </w:p>
    <w:p w14:paraId="5E4EF5A0" w14:textId="700A3EA3" w:rsidR="0048402F" w:rsidRPr="00EF7CF9" w:rsidRDefault="00000000" w:rsidP="00976B26">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714D2D4E" w14:textId="30B312FE" w:rsidR="00111EE9" w:rsidRPr="0048402F" w:rsidRDefault="0048402F" w:rsidP="00111EE9">
      <w:pPr>
        <w:pStyle w:val="ProductList-Body"/>
        <w:rPr>
          <w:b/>
          <w:bCs/>
          <w:color w:val="00188F"/>
        </w:rPr>
      </w:pPr>
      <w:r>
        <w:rPr>
          <w:b/>
          <w:bCs/>
          <w:color w:val="00188F"/>
        </w:rPr>
        <w:t>Servicegutschrift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402F" w:rsidRPr="00B44CF9" w14:paraId="173A6555" w14:textId="77777777" w:rsidTr="00277097">
        <w:trPr>
          <w:tblHeader/>
        </w:trPr>
        <w:tc>
          <w:tcPr>
            <w:tcW w:w="5400" w:type="dxa"/>
            <w:shd w:val="clear" w:color="auto" w:fill="0072C6"/>
          </w:tcPr>
          <w:p w14:paraId="1C9F910D" w14:textId="34AD5CB4" w:rsidR="0048402F" w:rsidRPr="005A3C16"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308C7392" w14:textId="77777777" w:rsidR="0048402F" w:rsidRPr="005A3C16" w:rsidRDefault="0048402F" w:rsidP="000F31B4">
            <w:pPr>
              <w:pStyle w:val="ProductList-OfferingBody"/>
              <w:jc w:val="center"/>
              <w:rPr>
                <w:color w:val="FFFFFF" w:themeColor="background1"/>
              </w:rPr>
            </w:pPr>
            <w:r>
              <w:rPr>
                <w:color w:val="FFFFFF" w:themeColor="background1"/>
              </w:rPr>
              <w:t>Servicegutschrift</w:t>
            </w:r>
          </w:p>
        </w:tc>
      </w:tr>
      <w:tr w:rsidR="0048402F" w:rsidRPr="00B44CF9" w14:paraId="2FA92FBE" w14:textId="77777777" w:rsidTr="00277097">
        <w:tc>
          <w:tcPr>
            <w:tcW w:w="5400" w:type="dxa"/>
          </w:tcPr>
          <w:p w14:paraId="364E37AF" w14:textId="77777777" w:rsidR="0048402F" w:rsidRPr="005A3C16" w:rsidRDefault="0048402F" w:rsidP="000F31B4">
            <w:pPr>
              <w:pStyle w:val="ProductList-OfferingBody"/>
              <w:jc w:val="center"/>
            </w:pPr>
            <w:r>
              <w:t>&lt; 99,9 %</w:t>
            </w:r>
          </w:p>
        </w:tc>
        <w:tc>
          <w:tcPr>
            <w:tcW w:w="5400" w:type="dxa"/>
          </w:tcPr>
          <w:p w14:paraId="71BB0B30" w14:textId="77777777" w:rsidR="0048402F" w:rsidRPr="005A3C16" w:rsidRDefault="0048402F" w:rsidP="000F31B4">
            <w:pPr>
              <w:pStyle w:val="ProductList-OfferingBody"/>
              <w:jc w:val="center"/>
            </w:pPr>
            <w:r>
              <w:t>10 %</w:t>
            </w:r>
          </w:p>
        </w:tc>
      </w:tr>
      <w:tr w:rsidR="0048402F" w:rsidRPr="00B44CF9" w14:paraId="0059F644" w14:textId="77777777" w:rsidTr="00277097">
        <w:tc>
          <w:tcPr>
            <w:tcW w:w="5400" w:type="dxa"/>
          </w:tcPr>
          <w:p w14:paraId="089956E1" w14:textId="77777777" w:rsidR="0048402F" w:rsidRPr="005A3C16" w:rsidRDefault="0048402F" w:rsidP="000F31B4">
            <w:pPr>
              <w:pStyle w:val="ProductList-OfferingBody"/>
              <w:jc w:val="center"/>
            </w:pPr>
            <w:r>
              <w:t>&lt; 99 %</w:t>
            </w:r>
          </w:p>
        </w:tc>
        <w:tc>
          <w:tcPr>
            <w:tcW w:w="5400" w:type="dxa"/>
          </w:tcPr>
          <w:p w14:paraId="7DA6BAD2" w14:textId="77777777" w:rsidR="0048402F" w:rsidRPr="005A3C16" w:rsidRDefault="0048402F" w:rsidP="000F31B4">
            <w:pPr>
              <w:pStyle w:val="ProductList-OfferingBody"/>
              <w:jc w:val="center"/>
            </w:pPr>
            <w:r>
              <w:t>30 %</w:t>
            </w:r>
          </w:p>
        </w:tc>
      </w:tr>
    </w:tbl>
    <w:p w14:paraId="72A544DD" w14:textId="32095BD6"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1BD958DA" w14:textId="77777777" w:rsidR="00C074BC" w:rsidRPr="00C074BC" w:rsidRDefault="00C074BC" w:rsidP="00C074BC">
      <w:pPr>
        <w:pStyle w:val="ProductList-Offering2Heading"/>
        <w:keepNext/>
        <w:outlineLvl w:val="2"/>
      </w:pPr>
      <w:bookmarkStart w:id="586" w:name="_Toc195543218"/>
      <w:bookmarkStart w:id="587" w:name="_Toc237449079"/>
      <w:r>
        <w:t>Azure VNet NAT</w:t>
      </w:r>
      <w:bookmarkEnd w:id="586"/>
      <w:bookmarkEnd w:id="587"/>
    </w:p>
    <w:p w14:paraId="7C326E58" w14:textId="77777777" w:rsidR="00C074BC" w:rsidRPr="00C074BC" w:rsidRDefault="00C074BC" w:rsidP="00C074BC">
      <w:pPr>
        <w:pStyle w:val="ProductList-Body"/>
        <w:rPr>
          <w:b/>
          <w:bCs/>
          <w:color w:val="00188F"/>
        </w:rPr>
      </w:pPr>
      <w:r>
        <w:rPr>
          <w:b/>
          <w:bCs/>
          <w:color w:val="00188F"/>
        </w:rPr>
        <w:t>Zusätzliche Definitionen</w:t>
      </w:r>
    </w:p>
    <w:p w14:paraId="35C02D4A" w14:textId="77777777" w:rsidR="00C074BC" w:rsidRDefault="00C074BC" w:rsidP="00B61165">
      <w:pPr>
        <w:pStyle w:val="ProductList-Body"/>
        <w:ind w:right="144"/>
      </w:pPr>
      <w:r>
        <w:t>„</w:t>
      </w:r>
      <w:r>
        <w:rPr>
          <w:b/>
          <w:bCs/>
          <w:color w:val="00188F"/>
        </w:rPr>
        <w:t>Statische öffentliche IP-Adresse</w:t>
      </w:r>
      <w:r>
        <w:t>“ ist eine IP-Adresse, die für die Arbeitslast eines Nutzers konfiguriert wurde. Eine statische IP-Adresse ändert sich nicht.</w:t>
      </w:r>
    </w:p>
    <w:p w14:paraId="28DC0CC7" w14:textId="77777777" w:rsidR="00C074BC" w:rsidRDefault="00C074BC" w:rsidP="00C074BC">
      <w:pPr>
        <w:pStyle w:val="ProductList-Body"/>
      </w:pPr>
      <w:r>
        <w:t>Bei der „</w:t>
      </w:r>
      <w:r>
        <w:rPr>
          <w:b/>
          <w:bCs/>
          <w:color w:val="00188F"/>
        </w:rPr>
        <w:t>Netzwerkadressübersetzung</w:t>
      </w:r>
      <w:r>
        <w:t>“ werden private IP-Adressen eines privaten Netzwerks in eine öffentliche IP-Adresse umgewandelt, damit mehrere Azure-Rechenressourcen (d. h. virtuelle Computer) über eine einzige öffentliche Adresse mit dem Internet verbunden werden können.</w:t>
      </w:r>
    </w:p>
    <w:p w14:paraId="4957B914" w14:textId="5E34ABBD" w:rsidR="00C074BC" w:rsidRDefault="00C074BC" w:rsidP="00C074BC">
      <w:pPr>
        <w:pStyle w:val="ProductList-Body"/>
      </w:pPr>
      <w:r>
        <w:t>„</w:t>
      </w:r>
      <w:r>
        <w:rPr>
          <w:b/>
          <w:bCs/>
          <w:color w:val="00188F"/>
        </w:rPr>
        <w:t>Konnektivität</w:t>
      </w:r>
      <w:r>
        <w:t>“ ist bidirektionaler Netzwerkverkehr über unterstützte IP-Transportprotokolle, der von jeder IP-Adresse, die so konfiguriert ist, dass</w:t>
      </w:r>
      <w:r w:rsidR="0029586E">
        <w:t> </w:t>
      </w:r>
      <w:r>
        <w:t>Datenverkehr zugelassen wird, gesendet und empfangen werden kann.</w:t>
      </w:r>
    </w:p>
    <w:p w14:paraId="2CF65708" w14:textId="77777777" w:rsidR="00C074BC" w:rsidRDefault="00C074BC" w:rsidP="00C074BC">
      <w:pPr>
        <w:pStyle w:val="ProductList-Body"/>
      </w:pPr>
      <w:r>
        <w:t>„</w:t>
      </w:r>
      <w:r>
        <w:rPr>
          <w:b/>
          <w:bCs/>
          <w:color w:val="00188F"/>
        </w:rPr>
        <w:t>Ausgehender Netzwerkverkehr</w:t>
      </w:r>
      <w:r>
        <w:t>“ ist Verkehr, der von einem privaten Netzwerk zu einem öffentlichen Endpunkt über das Internet fließt.</w:t>
      </w:r>
    </w:p>
    <w:p w14:paraId="15FC86BD" w14:textId="79CA3363" w:rsidR="00C074BC" w:rsidRPr="00C074BC" w:rsidRDefault="00EE6E3C" w:rsidP="00133A8D">
      <w:pPr>
        <w:pStyle w:val="ProductList-Body"/>
        <w:spacing w:before="120"/>
        <w:rPr>
          <w:b/>
          <w:bCs/>
          <w:color w:val="00188F"/>
        </w:rPr>
      </w:pPr>
      <w:r>
        <w:rPr>
          <w:b/>
          <w:bCs/>
          <w:color w:val="00188F"/>
        </w:rPr>
        <w:t>Berechnung der Betriebszeit und Service-Levels für Azure VNet NAT</w:t>
      </w:r>
    </w:p>
    <w:p w14:paraId="13C9C4ED" w14:textId="5D22608A" w:rsidR="00C074BC" w:rsidRDefault="00C074BC" w:rsidP="00C074BC">
      <w:pPr>
        <w:pStyle w:val="ProductList-Body"/>
      </w:pPr>
      <w:r>
        <w:t>„</w:t>
      </w:r>
      <w:r>
        <w:rPr>
          <w:b/>
          <w:bCs/>
          <w:color w:val="00188F"/>
        </w:rPr>
        <w:t>Maximal Verfügbare Minuten</w:t>
      </w:r>
      <w:r>
        <w:t>“ ist die Gesamtzahl der Minuten, in denen Azure VNet NAT (für zwei oder mehr Fehlerfreie Virtuelle Computer) vom Kunden in einem Microsoft Azure-Abonnement während eines Anwendbaren Zeitraums bereitgestellt wird.</w:t>
      </w:r>
    </w:p>
    <w:p w14:paraId="5DA3B703" w14:textId="77777777" w:rsidR="00C074BC" w:rsidRDefault="00C074BC" w:rsidP="00C074BC">
      <w:pPr>
        <w:pStyle w:val="ProductList-Body"/>
      </w:pPr>
      <w:r>
        <w:t>„</w:t>
      </w:r>
      <w:r>
        <w:rPr>
          <w:b/>
          <w:bCs/>
          <w:color w:val="00188F"/>
        </w:rPr>
        <w:t>Ausfallzeit</w:t>
      </w:r>
      <w:r>
        <w:t>“ ist die Gesamtzahl der Minuten innerhalb der Maximal Verfügbaren Minuten, in denen das jeweilige Azure VNet NAT nicht verfügbar ist. Eine Minute gilt als nicht verfügbar, wenn alle Fehlerfreien virtuellen Computer keine Konnektivität über den VNet NAT-Endpunkt haben. Ausfallzeit umfasst keine Minuten, die aus SNAT-Portauslastungen resultieren.</w:t>
      </w:r>
    </w:p>
    <w:p w14:paraId="545A6DFC" w14:textId="64499284" w:rsidR="00C074BC" w:rsidRDefault="00C074BC" w:rsidP="00C074BC">
      <w:pPr>
        <w:pStyle w:val="ProductList-Body"/>
      </w:pPr>
      <w:r>
        <w:t>Der „</w:t>
      </w:r>
      <w:r>
        <w:rPr>
          <w:b/>
          <w:bCs/>
          <w:color w:val="00188F"/>
        </w:rPr>
        <w:t>Betriebszeitprozentsatz</w:t>
      </w:r>
      <w:r>
        <w:t>“ für Azure VNet NAT errechnet sich aus den Maximal Verfügbaren Minuten abzüglich der Ausfallzeit geteilt durch die</w:t>
      </w:r>
      <w:r w:rsidR="005137FD">
        <w:t> </w:t>
      </w:r>
      <w:r>
        <w:t>Maximal Verfügbaren Minuten in einem Anwendbaren Zeitraum, multipliziert mit 100.</w:t>
      </w:r>
    </w:p>
    <w:p w14:paraId="14D300FF" w14:textId="637DBE90" w:rsidR="00C074BC" w:rsidRDefault="00AC48A7" w:rsidP="00C074BC">
      <w:pPr>
        <w:pStyle w:val="ProductList-Body"/>
      </w:pPr>
      <w:r>
        <w:t>Der Betriebszeitprozentsatz wird durch die folgende Formel ermittelt:</w:t>
      </w:r>
    </w:p>
    <w:p w14:paraId="7623F496" w14:textId="5411E0E9" w:rsidR="00C074BC" w:rsidRPr="00EF7CF9" w:rsidRDefault="00000000" w:rsidP="00DD7BB6">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254A7BEA" w14:textId="77777777" w:rsidR="00C074BC" w:rsidRPr="00307209" w:rsidRDefault="00C074BC" w:rsidP="00C074BC">
      <w:pPr>
        <w:pStyle w:val="ProductList-Body"/>
        <w:rPr>
          <w:b/>
          <w:color w:val="00188F"/>
        </w:rPr>
      </w:pPr>
      <w:r w:rsidRPr="00307209">
        <w:rPr>
          <w:b/>
          <w:color w:val="00188F"/>
        </w:rPr>
        <w:t>Die folgenden Servicelevels und Servicegutschriften gelten für die Nutzung des Azure NAT Gateway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074BC" w:rsidRPr="00B44CF9" w14:paraId="1478731F" w14:textId="77777777" w:rsidTr="00277097">
        <w:trPr>
          <w:tblHeader/>
        </w:trPr>
        <w:tc>
          <w:tcPr>
            <w:tcW w:w="5400" w:type="dxa"/>
            <w:shd w:val="clear" w:color="auto" w:fill="0072C6"/>
          </w:tcPr>
          <w:p w14:paraId="4B83ABFC" w14:textId="4ACB8C9A" w:rsidR="00C074BC" w:rsidRPr="005A3C16"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1569BCB0" w14:textId="77777777" w:rsidR="00C074BC" w:rsidRPr="005A3C16" w:rsidRDefault="00C074BC" w:rsidP="000F31B4">
            <w:pPr>
              <w:pStyle w:val="ProductList-OfferingBody"/>
              <w:jc w:val="center"/>
              <w:rPr>
                <w:color w:val="FFFFFF" w:themeColor="background1"/>
              </w:rPr>
            </w:pPr>
            <w:r>
              <w:rPr>
                <w:color w:val="FFFFFF" w:themeColor="background1"/>
              </w:rPr>
              <w:t>Servicegutschrift</w:t>
            </w:r>
          </w:p>
        </w:tc>
      </w:tr>
      <w:tr w:rsidR="00C074BC" w:rsidRPr="00B44CF9" w14:paraId="46D64DFF" w14:textId="77777777" w:rsidTr="00277097">
        <w:tc>
          <w:tcPr>
            <w:tcW w:w="5400" w:type="dxa"/>
          </w:tcPr>
          <w:p w14:paraId="6BE5352A" w14:textId="795C5DE0" w:rsidR="00C074BC" w:rsidRPr="005A3C16" w:rsidRDefault="00C074BC" w:rsidP="000F31B4">
            <w:pPr>
              <w:pStyle w:val="ProductList-OfferingBody"/>
              <w:jc w:val="center"/>
            </w:pPr>
            <w:r>
              <w:t>&lt; 99,99 %</w:t>
            </w:r>
          </w:p>
        </w:tc>
        <w:tc>
          <w:tcPr>
            <w:tcW w:w="5400" w:type="dxa"/>
          </w:tcPr>
          <w:p w14:paraId="53358258" w14:textId="77777777" w:rsidR="00C074BC" w:rsidRPr="005A3C16" w:rsidRDefault="00C074BC" w:rsidP="000F31B4">
            <w:pPr>
              <w:pStyle w:val="ProductList-OfferingBody"/>
              <w:jc w:val="center"/>
            </w:pPr>
            <w:r>
              <w:t>10 %</w:t>
            </w:r>
          </w:p>
        </w:tc>
      </w:tr>
      <w:tr w:rsidR="00C074BC" w:rsidRPr="00B44CF9" w14:paraId="757DE237" w14:textId="77777777" w:rsidTr="00277097">
        <w:tc>
          <w:tcPr>
            <w:tcW w:w="5400" w:type="dxa"/>
          </w:tcPr>
          <w:p w14:paraId="267B1C49" w14:textId="3F6BCC6A" w:rsidR="00C074BC" w:rsidRPr="005A3C16" w:rsidRDefault="00C074BC" w:rsidP="000F31B4">
            <w:pPr>
              <w:pStyle w:val="ProductList-OfferingBody"/>
              <w:jc w:val="center"/>
            </w:pPr>
            <w:r>
              <w:t>&lt; 99,9 %</w:t>
            </w:r>
          </w:p>
        </w:tc>
        <w:tc>
          <w:tcPr>
            <w:tcW w:w="5400" w:type="dxa"/>
          </w:tcPr>
          <w:p w14:paraId="5BF8DE88" w14:textId="6FD720FA" w:rsidR="00C074BC" w:rsidRPr="005A3C16" w:rsidRDefault="00C074BC" w:rsidP="000F31B4">
            <w:pPr>
              <w:pStyle w:val="ProductList-OfferingBody"/>
              <w:jc w:val="center"/>
            </w:pPr>
            <w:r>
              <w:t>25 %</w:t>
            </w:r>
          </w:p>
        </w:tc>
      </w:tr>
    </w:tbl>
    <w:p w14:paraId="4E147D97" w14:textId="2CD13551"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430F03E3" w14:textId="4BD8E524" w:rsidR="004005AF" w:rsidRPr="00EF7CF9" w:rsidRDefault="004005AF" w:rsidP="00D3434F">
      <w:pPr>
        <w:pStyle w:val="ProductList-Offering2Heading"/>
        <w:keepNext/>
        <w:outlineLvl w:val="2"/>
      </w:pPr>
      <w:bookmarkStart w:id="588" w:name="_Toc195543219"/>
      <w:bookmarkStart w:id="589" w:name="_Toc237449080"/>
      <w:r>
        <w:t>V</w:t>
      </w:r>
      <w:r w:rsidR="00F12B05">
        <w:t xml:space="preserve">irtual Network </w:t>
      </w:r>
      <w:r>
        <w:t>Gateway</w:t>
      </w:r>
      <w:bookmarkEnd w:id="575"/>
      <w:bookmarkEnd w:id="576"/>
      <w:bookmarkEnd w:id="588"/>
      <w:bookmarkEnd w:id="589"/>
    </w:p>
    <w:p w14:paraId="3214EABD" w14:textId="77777777" w:rsidR="004005AF" w:rsidRPr="00EF7CF9" w:rsidRDefault="004005AF" w:rsidP="004005AF">
      <w:pPr>
        <w:pStyle w:val="ProductList-Body"/>
      </w:pPr>
      <w:r>
        <w:rPr>
          <w:b/>
          <w:color w:val="00188F"/>
        </w:rPr>
        <w:t>Zusätzliche Definitionen</w:t>
      </w:r>
      <w:r w:rsidRPr="00633DA0">
        <w:rPr>
          <w:b/>
          <w:bCs/>
          <w:color w:val="00188F"/>
        </w:rPr>
        <w:t>:</w:t>
      </w:r>
    </w:p>
    <w:p w14:paraId="4D37E704" w14:textId="77777777" w:rsidR="003F3219" w:rsidRPr="00BA2725" w:rsidRDefault="003F3219" w:rsidP="00133A8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Maximal Verfügbare Minuten</w:t>
      </w:r>
      <w:r>
        <w:rPr>
          <w:rFonts w:ascii="Calibri" w:eastAsia="Calibri" w:hAnsi="Calibri" w:cs="Arial"/>
          <w:sz w:val="18"/>
        </w:rPr>
        <w:t>“ ist die Gesamtzahl der Minuten in einem Anwendbaren Zeitraum, in denen ein bestimmter Virtual Network Gateway im Rahmen eines Microsoft Azure-Abonnements bereitgestellt wird.</w:t>
      </w:r>
    </w:p>
    <w:p w14:paraId="74A673CB" w14:textId="77777777" w:rsidR="003F3219" w:rsidRPr="00BA2725" w:rsidRDefault="003F3219" w:rsidP="00133A8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Ausfallzeit</w:t>
      </w:r>
      <w:r w:rsidRPr="001272A6">
        <w:rPr>
          <w:rFonts w:ascii="Calibri" w:eastAsia="Calibri" w:hAnsi="Calibri" w:cs="Arial"/>
          <w:b/>
          <w:bCs/>
          <w:sz w:val="18"/>
        </w:rPr>
        <w:t>:</w:t>
      </w:r>
      <w:r>
        <w:rPr>
          <w:rFonts w:ascii="Calibri" w:eastAsia="Calibri" w:hAnsi="Calibri" w:cs="Arial"/>
          <w:sz w:val="18"/>
        </w:rPr>
        <w:t xml:space="preserve"> ist die Gesamtzahl der maximal verfügbaren Minuten, während denen ein Virtual Network Gateway nicht verfügbar ist. Eine Minute gilt als nicht verfügbar, wenn alle Verbindungsversuche mit dem Virtual Network Gateway innerhalb eines Zeitfensters von dreißig Sekunden innerhalb dieser Minute erfolglos sind.</w:t>
      </w:r>
    </w:p>
    <w:p w14:paraId="30B52FCD" w14:textId="77777777" w:rsidR="003F3219" w:rsidRPr="00BA2725" w:rsidRDefault="003F3219" w:rsidP="00133A8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Betriebszeitprozentsatz</w:t>
      </w:r>
      <w:r w:rsidRPr="00653949">
        <w:rPr>
          <w:rFonts w:ascii="Calibri" w:eastAsia="Calibri" w:hAnsi="Calibri" w:cs="Arial"/>
          <w:b/>
          <w:bCs/>
          <w:sz w:val="18"/>
        </w:rPr>
        <w:t>:</w:t>
      </w:r>
      <w:r>
        <w:rPr>
          <w:rFonts w:ascii="Calibri" w:eastAsia="Calibri" w:hAnsi="Calibri" w:cs="Arial"/>
          <w:sz w:val="18"/>
        </w:rPr>
        <w:t xml:space="preserve"> Der Betriebszeitprozentsatz für ein bestimmtes Virtual Network Gateway berechnet sich aus den Maximal Verfügbaren Minuten abzüglich der Ausfallzeit, geteilt durch die Maximal Verfügbaren Minuten in einem Anwendbaren Zeitraum für das Virtual Network Gateway. Der Betriebszeitprozentsatz wird durch die folgende Formel ermittelt:</w:t>
      </w:r>
    </w:p>
    <w:p w14:paraId="05797522" w14:textId="77777777" w:rsidR="003F3219" w:rsidRPr="006F394A" w:rsidRDefault="00000000" w:rsidP="00DD7BB6">
      <w:pPr>
        <w:spacing w:before="120" w:after="120" w:line="240" w:lineRule="auto"/>
        <w:ind w:left="720"/>
        <w:rPr>
          <w:rFonts w:ascii="Cambria Math" w:eastAsia="Calibri" w:hAnsi="Cambria Math" w:cs="Tahoma"/>
          <w:i/>
          <w:sz w:val="18"/>
          <w:szCs w:val="18"/>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Maximal verfügbare Minuten - Ausfallzeit</m:t>
              </m:r>
            </m:num>
            <m:den>
              <m:r>
                <m:rPr>
                  <m:nor/>
                </m:rPr>
                <w:rPr>
                  <w:rFonts w:ascii="Cambria Math" w:eastAsia="Calibri" w:hAnsi="Cambria Math" w:cs="Tahoma"/>
                  <w:i/>
                  <w:sz w:val="18"/>
                  <w:szCs w:val="18"/>
                </w:rPr>
                <m:t>Maximal Verfügbare Minuten</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588BA6CA" w14:textId="77777777" w:rsidR="003F3219" w:rsidRDefault="003F3219" w:rsidP="003F321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Die folgenden Servicelevels und Servicegutschriften gelten für die Nutzung jedes Virtual Network Gateway durch den Kunden</w:t>
      </w:r>
      <w:r w:rsidRPr="0029682C">
        <w:rPr>
          <w:rFonts w:ascii="Calibri" w:eastAsia="Calibri" w:hAnsi="Calibri" w:cs="Arial"/>
          <w:b/>
          <w:bCs/>
          <w:sz w:val="18"/>
        </w:rPr>
        <w:t>:</w:t>
      </w:r>
    </w:p>
    <w:p w14:paraId="3E0B3097" w14:textId="77777777" w:rsidR="004005AF" w:rsidRPr="00EF7CF9" w:rsidRDefault="004005AF" w:rsidP="004005AF">
      <w:pPr>
        <w:pStyle w:val="ProductList-Body"/>
        <w:ind w:left="360"/>
      </w:pPr>
      <w:r>
        <w:rPr>
          <w:b/>
          <w:color w:val="00188F"/>
        </w:rPr>
        <w:t>Servicegutschrift für Basis-Gateway für VPN oder ExpressRoute</w:t>
      </w:r>
      <w:r w:rsidRPr="00633DA0">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80"/>
      </w:tblGrid>
      <w:tr w:rsidR="004005AF" w:rsidRPr="00B44CF9" w14:paraId="25735ADB" w14:textId="77777777" w:rsidTr="00E227DB">
        <w:trPr>
          <w:tblHeader/>
        </w:trPr>
        <w:tc>
          <w:tcPr>
            <w:tcW w:w="5220" w:type="dxa"/>
            <w:shd w:val="clear" w:color="auto" w:fill="0072C6"/>
          </w:tcPr>
          <w:p w14:paraId="4E53F423" w14:textId="0F0061A5" w:rsidR="004005AF" w:rsidRPr="00EF7CF9" w:rsidRDefault="00AC48A7" w:rsidP="000F31B4">
            <w:pPr>
              <w:pStyle w:val="ProductList-OfferingBody"/>
              <w:ind w:left="-23" w:firstLine="23"/>
              <w:jc w:val="center"/>
              <w:rPr>
                <w:color w:val="FFFFFF" w:themeColor="background1"/>
              </w:rPr>
            </w:pPr>
            <w:r>
              <w:rPr>
                <w:color w:val="FFFFFF" w:themeColor="background1"/>
              </w:rPr>
              <w:t>Betriebszeitprozentsatz</w:t>
            </w:r>
          </w:p>
        </w:tc>
        <w:tc>
          <w:tcPr>
            <w:tcW w:w="5580" w:type="dxa"/>
            <w:shd w:val="clear" w:color="auto" w:fill="0072C6"/>
          </w:tcPr>
          <w:p w14:paraId="05C9B00B" w14:textId="77777777" w:rsidR="004005AF" w:rsidRPr="00EF7CF9" w:rsidRDefault="004005AF" w:rsidP="000F31B4">
            <w:pPr>
              <w:pStyle w:val="ProductList-OfferingBody"/>
              <w:jc w:val="center"/>
              <w:rPr>
                <w:color w:val="FFFFFF" w:themeColor="background1"/>
              </w:rPr>
            </w:pPr>
            <w:r>
              <w:rPr>
                <w:color w:val="FFFFFF" w:themeColor="background1"/>
              </w:rPr>
              <w:t>Servicegutschrift</w:t>
            </w:r>
          </w:p>
        </w:tc>
      </w:tr>
      <w:tr w:rsidR="004005AF" w:rsidRPr="00B44CF9" w14:paraId="5AB7E201" w14:textId="77777777" w:rsidTr="00E227DB">
        <w:tc>
          <w:tcPr>
            <w:tcW w:w="5220" w:type="dxa"/>
          </w:tcPr>
          <w:p w14:paraId="55715AA0" w14:textId="77777777" w:rsidR="004005AF" w:rsidRPr="00EF7CF9" w:rsidRDefault="004005AF" w:rsidP="000F31B4">
            <w:pPr>
              <w:pStyle w:val="ProductList-OfferingBody"/>
              <w:ind w:left="-23" w:firstLine="23"/>
              <w:jc w:val="center"/>
            </w:pPr>
            <w:r>
              <w:t>&lt; 99,9 %</w:t>
            </w:r>
          </w:p>
        </w:tc>
        <w:tc>
          <w:tcPr>
            <w:tcW w:w="5580" w:type="dxa"/>
          </w:tcPr>
          <w:p w14:paraId="78AE8882" w14:textId="77777777" w:rsidR="004005AF" w:rsidRPr="00EF7CF9" w:rsidRDefault="004005AF" w:rsidP="000F31B4">
            <w:pPr>
              <w:pStyle w:val="ProductList-OfferingBody"/>
              <w:jc w:val="center"/>
            </w:pPr>
            <w:r>
              <w:t>10 %</w:t>
            </w:r>
          </w:p>
        </w:tc>
      </w:tr>
      <w:tr w:rsidR="004005AF" w:rsidRPr="00B44CF9" w14:paraId="2272A8E6" w14:textId="77777777" w:rsidTr="00E227DB">
        <w:tc>
          <w:tcPr>
            <w:tcW w:w="5220" w:type="dxa"/>
          </w:tcPr>
          <w:p w14:paraId="5B662717" w14:textId="77777777" w:rsidR="004005AF" w:rsidRPr="00EF7CF9" w:rsidRDefault="004005AF" w:rsidP="000F31B4">
            <w:pPr>
              <w:pStyle w:val="ProductList-OfferingBody"/>
              <w:ind w:left="-23" w:firstLine="23"/>
              <w:jc w:val="center"/>
            </w:pPr>
            <w:r>
              <w:t>&lt; 99 %</w:t>
            </w:r>
          </w:p>
        </w:tc>
        <w:tc>
          <w:tcPr>
            <w:tcW w:w="5580" w:type="dxa"/>
          </w:tcPr>
          <w:p w14:paraId="78F67851" w14:textId="77777777" w:rsidR="004005AF" w:rsidRPr="00EF7CF9" w:rsidRDefault="004005AF" w:rsidP="000F31B4">
            <w:pPr>
              <w:pStyle w:val="ProductList-OfferingBody"/>
              <w:jc w:val="center"/>
            </w:pPr>
            <w:r>
              <w:t>25 %</w:t>
            </w:r>
          </w:p>
        </w:tc>
      </w:tr>
    </w:tbl>
    <w:p w14:paraId="07CE327E" w14:textId="292E8BE0" w:rsidR="004005AF" w:rsidRPr="00EF7CF9" w:rsidRDefault="004005AF" w:rsidP="00133A8D">
      <w:pPr>
        <w:pStyle w:val="ProductList-Body"/>
        <w:spacing w:before="120"/>
      </w:pPr>
      <w:r>
        <w:rPr>
          <w:b/>
          <w:bCs/>
          <w:color w:val="00188F"/>
        </w:rPr>
        <w:t>Gateway für VPN und Gateway für ExpressRoute SKUs außer Basic</w:t>
      </w:r>
      <w:r w:rsidRPr="00633DA0">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80"/>
      </w:tblGrid>
      <w:tr w:rsidR="004005AF" w:rsidRPr="00B44CF9" w14:paraId="3E8F65D1" w14:textId="77777777" w:rsidTr="00E227DB">
        <w:trPr>
          <w:trHeight w:val="249"/>
          <w:tblHeader/>
        </w:trPr>
        <w:tc>
          <w:tcPr>
            <w:tcW w:w="5220" w:type="dxa"/>
            <w:shd w:val="clear" w:color="auto" w:fill="0072C6"/>
          </w:tcPr>
          <w:p w14:paraId="0C73C4F2" w14:textId="1CAEA70C" w:rsidR="004005AF" w:rsidRPr="00EF7CF9" w:rsidRDefault="00AC48A7" w:rsidP="000F31B4">
            <w:pPr>
              <w:pStyle w:val="ProductList-OfferingBody"/>
              <w:jc w:val="center"/>
              <w:rPr>
                <w:color w:val="FFFFFF" w:themeColor="background1"/>
              </w:rPr>
            </w:pPr>
            <w:r>
              <w:rPr>
                <w:color w:val="FFFFFF" w:themeColor="background1"/>
              </w:rPr>
              <w:t>Betriebszeitprozentsatz</w:t>
            </w:r>
          </w:p>
        </w:tc>
        <w:tc>
          <w:tcPr>
            <w:tcW w:w="5580" w:type="dxa"/>
            <w:shd w:val="clear" w:color="auto" w:fill="0072C6"/>
          </w:tcPr>
          <w:p w14:paraId="50574218" w14:textId="77777777" w:rsidR="004005AF" w:rsidRPr="00EF7CF9" w:rsidRDefault="004005AF" w:rsidP="000F31B4">
            <w:pPr>
              <w:pStyle w:val="ProductList-OfferingBody"/>
              <w:jc w:val="center"/>
              <w:rPr>
                <w:color w:val="FFFFFF" w:themeColor="background1"/>
              </w:rPr>
            </w:pPr>
            <w:r>
              <w:rPr>
                <w:color w:val="FFFFFF" w:themeColor="background1"/>
              </w:rPr>
              <w:t>Servicegutschrift</w:t>
            </w:r>
          </w:p>
        </w:tc>
      </w:tr>
      <w:tr w:rsidR="004005AF" w:rsidRPr="00B44CF9" w14:paraId="20D2E025" w14:textId="77777777" w:rsidTr="00E227DB">
        <w:trPr>
          <w:trHeight w:val="242"/>
        </w:trPr>
        <w:tc>
          <w:tcPr>
            <w:tcW w:w="5220" w:type="dxa"/>
          </w:tcPr>
          <w:p w14:paraId="1E41C743" w14:textId="77777777" w:rsidR="004005AF" w:rsidRPr="00EF7CF9" w:rsidRDefault="004005AF" w:rsidP="000F31B4">
            <w:pPr>
              <w:pStyle w:val="ProductList-OfferingBody"/>
              <w:jc w:val="center"/>
            </w:pPr>
            <w:r>
              <w:t>&lt; 99,95 %</w:t>
            </w:r>
          </w:p>
        </w:tc>
        <w:tc>
          <w:tcPr>
            <w:tcW w:w="5580" w:type="dxa"/>
          </w:tcPr>
          <w:p w14:paraId="5C8621FD" w14:textId="77777777" w:rsidR="004005AF" w:rsidRPr="00EF7CF9" w:rsidRDefault="004005AF" w:rsidP="000F31B4">
            <w:pPr>
              <w:pStyle w:val="ProductList-OfferingBody"/>
              <w:jc w:val="center"/>
            </w:pPr>
            <w:r>
              <w:t>10 %</w:t>
            </w:r>
          </w:p>
        </w:tc>
      </w:tr>
      <w:tr w:rsidR="004005AF" w:rsidRPr="00B44CF9" w14:paraId="6508444F" w14:textId="77777777" w:rsidTr="00E227DB">
        <w:trPr>
          <w:trHeight w:val="249"/>
        </w:trPr>
        <w:tc>
          <w:tcPr>
            <w:tcW w:w="5220" w:type="dxa"/>
          </w:tcPr>
          <w:p w14:paraId="54EDC13C" w14:textId="77777777" w:rsidR="004005AF" w:rsidRPr="00EF7CF9" w:rsidRDefault="004005AF" w:rsidP="000F31B4">
            <w:pPr>
              <w:pStyle w:val="ProductList-OfferingBody"/>
              <w:keepNext/>
              <w:jc w:val="center"/>
            </w:pPr>
            <w:r>
              <w:t>&lt; 99 %</w:t>
            </w:r>
          </w:p>
        </w:tc>
        <w:tc>
          <w:tcPr>
            <w:tcW w:w="5580" w:type="dxa"/>
          </w:tcPr>
          <w:p w14:paraId="401AF3D0" w14:textId="77777777" w:rsidR="004005AF" w:rsidRPr="00EF7CF9" w:rsidRDefault="004005AF" w:rsidP="000F31B4">
            <w:pPr>
              <w:pStyle w:val="ProductList-OfferingBody"/>
              <w:keepNext/>
              <w:jc w:val="center"/>
            </w:pPr>
            <w:r>
              <w:t>25 %</w:t>
            </w:r>
          </w:p>
        </w:tc>
      </w:tr>
    </w:tbl>
    <w:bookmarkEnd w:id="577"/>
    <w:bookmarkEnd w:id="578"/>
    <w:bookmarkEnd w:id="579"/>
    <w:bookmarkEnd w:id="580"/>
    <w:bookmarkEnd w:id="581"/>
    <w:p w14:paraId="145EA3BD" w14:textId="010C2894"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1D0785CF" w14:textId="77777777" w:rsidR="00637D9A" w:rsidRPr="00637D9A" w:rsidRDefault="00637D9A" w:rsidP="00637D9A">
      <w:pPr>
        <w:pStyle w:val="ProductList-Offering2Heading"/>
        <w:keepNext/>
        <w:outlineLvl w:val="2"/>
      </w:pPr>
      <w:bookmarkStart w:id="590" w:name="_Toc195543220"/>
      <w:bookmarkStart w:id="591" w:name="_Toc237449081"/>
      <w:r>
        <w:t>Azure Web PubSub</w:t>
      </w:r>
      <w:bookmarkEnd w:id="590"/>
      <w:bookmarkEnd w:id="591"/>
    </w:p>
    <w:p w14:paraId="44A5270C" w14:textId="77777777" w:rsidR="00637D9A" w:rsidRPr="00637D9A" w:rsidRDefault="00637D9A" w:rsidP="00637D9A">
      <w:pPr>
        <w:pStyle w:val="ProductList-Body"/>
        <w:rPr>
          <w:b/>
          <w:bCs/>
          <w:color w:val="00188F"/>
        </w:rPr>
      </w:pPr>
      <w:r>
        <w:rPr>
          <w:b/>
          <w:bCs/>
          <w:color w:val="00188F"/>
        </w:rPr>
        <w:t>Zusätzliche Definitionen</w:t>
      </w:r>
    </w:p>
    <w:p w14:paraId="0ED7D0D4" w14:textId="77777777" w:rsidR="00637D9A" w:rsidRDefault="00637D9A" w:rsidP="00637D9A">
      <w:pPr>
        <w:pStyle w:val="ProductList-Body"/>
      </w:pPr>
      <w:r>
        <w:t>„</w:t>
      </w:r>
      <w:r>
        <w:rPr>
          <w:b/>
          <w:bCs/>
          <w:color w:val="00188F"/>
        </w:rPr>
        <w:t>Web PubSub-Dienstendpunkt</w:t>
      </w:r>
      <w:r>
        <w:t>“ ist der Hostname, über den Server oder Clients auf den Web PubSub-Dienst zugreifen, um Web PubSub-Transaktionen auszuführen.</w:t>
      </w:r>
    </w:p>
    <w:p w14:paraId="3F676377" w14:textId="77777777" w:rsidR="00637D9A" w:rsidRDefault="00637D9A" w:rsidP="00637D9A">
      <w:pPr>
        <w:pStyle w:val="ProductList-Body"/>
      </w:pPr>
      <w:r>
        <w:t>„</w:t>
      </w:r>
      <w:r>
        <w:rPr>
          <w:b/>
          <w:bCs/>
          <w:color w:val="00188F"/>
        </w:rPr>
        <w:t>Web PubSub-Transaktionen</w:t>
      </w:r>
      <w:r>
        <w:t>“ ist die Gruppe der Transaktionsanforderungen, die über einen Web PubSub-Dienstendpunkt vom Client an den Server oder vom Server an den Client gesendet werden. Zu diesen Transaktionsanforderungen gehören der Aufbau der Verbindung zwischen Server/Client und Web-PubSub-Service-Endpunkt oder das Senden von Nachrichten über den Web-PubSub-Service-Endpunkt.</w:t>
      </w:r>
    </w:p>
    <w:p w14:paraId="7A6D697D" w14:textId="734B425C" w:rsidR="00637D9A" w:rsidRPr="00637D9A" w:rsidRDefault="00EE6E3C" w:rsidP="00DD7BB6">
      <w:pPr>
        <w:pStyle w:val="ProductList-Body"/>
        <w:rPr>
          <w:b/>
          <w:bCs/>
          <w:color w:val="00188F"/>
        </w:rPr>
      </w:pPr>
      <w:r>
        <w:rPr>
          <w:b/>
          <w:bCs/>
          <w:color w:val="00188F"/>
        </w:rPr>
        <w:t>Berechnung der Betriebszeit und Service-Levels für eine Web PubSub-Service-Instanz</w:t>
      </w:r>
    </w:p>
    <w:p w14:paraId="5274C6D6" w14:textId="293DBCCF" w:rsidR="00637D9A" w:rsidRDefault="00637D9A" w:rsidP="00637D9A">
      <w:pPr>
        <w:pStyle w:val="ProductList-Body"/>
      </w:pPr>
      <w:r>
        <w:t>„</w:t>
      </w:r>
      <w:r>
        <w:rPr>
          <w:b/>
          <w:bCs/>
          <w:color w:val="00188F"/>
        </w:rPr>
        <w:t>Maximal Verfügbare Minuten</w:t>
      </w:r>
      <w:r>
        <w:t>“ ist die Gesamtzahl der Minuten, in denen der Web PubSub-Service während eines Anwendbaren Zeitraums vom Kunden in einem bestimmten Microsoft Azure-Abonnement bereitgestellt wird.</w:t>
      </w:r>
    </w:p>
    <w:p w14:paraId="54F466A0" w14:textId="40810E91" w:rsidR="00637D9A" w:rsidRDefault="00637D9A" w:rsidP="00637D9A">
      <w:pPr>
        <w:pStyle w:val="ProductList-Body"/>
      </w:pPr>
      <w:r>
        <w:t>„</w:t>
      </w:r>
      <w:r>
        <w:rPr>
          <w:b/>
          <w:bCs/>
          <w:color w:val="00188F"/>
        </w:rPr>
        <w:t>Ausfallzeit</w:t>
      </w:r>
      <w:r>
        <w:t>“ ist die Gesamtzahl der Maximal Verfügbaren Minuten während eines Anwendbaren Zeitraums für den Web PubSub-Service, in denen der Web PubSub-Service nicht verfügbar ist. Eine Minute gilt als nicht verfügbar, wenn alle Versuche innerhalb der Minute, Web PubSub-Transaktionen zu senden, entweder zu einem Fehlercode oder nicht binnen einer Minute zu einem Erfolgscode führen.</w:t>
      </w:r>
    </w:p>
    <w:p w14:paraId="2D69C325" w14:textId="3218A173" w:rsidR="00637D9A" w:rsidRDefault="00637D9A" w:rsidP="00637D9A">
      <w:pPr>
        <w:pStyle w:val="ProductList-Body"/>
      </w:pPr>
      <w:r>
        <w:t>Der „</w:t>
      </w:r>
      <w:r>
        <w:rPr>
          <w:b/>
          <w:bCs/>
          <w:color w:val="00188F"/>
        </w:rPr>
        <w:t>Betriebszeitprozentsatz</w:t>
      </w:r>
      <w:r>
        <w:t>“ für den Web PubSub-Service wird berechnet als Maximal Verfügbare Minuten abzüglich der Ausfallzeit geteilt durch die Maximal Verfügbaren Minuten.</w:t>
      </w:r>
    </w:p>
    <w:p w14:paraId="61D19559" w14:textId="75F68B45" w:rsidR="00637D9A" w:rsidRDefault="00AC48A7" w:rsidP="00637D9A">
      <w:pPr>
        <w:pStyle w:val="ProductList-Body"/>
      </w:pPr>
      <w:r>
        <w:t>Der Betriebszeitprozentsatz wird durch die folgende Formel ermittelt:</w:t>
      </w:r>
    </w:p>
    <w:p w14:paraId="062095F6" w14:textId="66877FE4" w:rsidR="00A21B39" w:rsidRPr="00246AD4" w:rsidRDefault="00000000" w:rsidP="00DD7BB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2EDCA498" w14:textId="7B9E9CBC" w:rsidR="00637D9A" w:rsidRPr="00A21B39" w:rsidRDefault="00637D9A" w:rsidP="00637D9A">
      <w:pPr>
        <w:pStyle w:val="ProductList-Body"/>
        <w:rPr>
          <w:b/>
          <w:bCs/>
          <w:color w:val="00188F"/>
        </w:rPr>
      </w:pPr>
      <w:r>
        <w:rPr>
          <w:b/>
          <w:bCs/>
          <w:color w:val="00188F"/>
        </w:rPr>
        <w:t xml:space="preserve">Die folgenden Service-Levels und Servicegutschriften gelten für die Nutzung der Standardstufen des Web PubSub-Service durch den Kunden.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80"/>
      </w:tblGrid>
      <w:tr w:rsidR="00A21B39" w:rsidRPr="00B44CF9" w14:paraId="4138CB16" w14:textId="77777777" w:rsidTr="0023562B">
        <w:trPr>
          <w:trHeight w:val="249"/>
          <w:tblHeader/>
        </w:trPr>
        <w:tc>
          <w:tcPr>
            <w:tcW w:w="5220" w:type="dxa"/>
            <w:shd w:val="clear" w:color="auto" w:fill="0072C6"/>
          </w:tcPr>
          <w:p w14:paraId="6152B28C" w14:textId="0E49D5BF" w:rsidR="00A21B39" w:rsidRPr="00EF7CF9" w:rsidRDefault="00AC48A7" w:rsidP="000F31B4">
            <w:pPr>
              <w:pStyle w:val="ProductList-OfferingBody"/>
              <w:jc w:val="center"/>
              <w:rPr>
                <w:color w:val="FFFFFF" w:themeColor="background1"/>
              </w:rPr>
            </w:pPr>
            <w:r>
              <w:rPr>
                <w:color w:val="FFFFFF" w:themeColor="background1"/>
              </w:rPr>
              <w:t>Betriebszeitprozentsatz</w:t>
            </w:r>
          </w:p>
        </w:tc>
        <w:tc>
          <w:tcPr>
            <w:tcW w:w="5580" w:type="dxa"/>
            <w:shd w:val="clear" w:color="auto" w:fill="0072C6"/>
          </w:tcPr>
          <w:p w14:paraId="3C987E79" w14:textId="77777777" w:rsidR="00A21B39" w:rsidRPr="00EF7CF9" w:rsidRDefault="00A21B39" w:rsidP="000F31B4">
            <w:pPr>
              <w:pStyle w:val="ProductList-OfferingBody"/>
              <w:jc w:val="center"/>
              <w:rPr>
                <w:color w:val="FFFFFF" w:themeColor="background1"/>
              </w:rPr>
            </w:pPr>
            <w:r>
              <w:rPr>
                <w:color w:val="FFFFFF" w:themeColor="background1"/>
              </w:rPr>
              <w:t>Servicegutschrift</w:t>
            </w:r>
          </w:p>
        </w:tc>
      </w:tr>
      <w:tr w:rsidR="00A21B39" w:rsidRPr="00B44CF9" w14:paraId="57CB3DBA" w14:textId="77777777" w:rsidTr="0023562B">
        <w:trPr>
          <w:trHeight w:val="242"/>
        </w:trPr>
        <w:tc>
          <w:tcPr>
            <w:tcW w:w="5220" w:type="dxa"/>
          </w:tcPr>
          <w:p w14:paraId="3AD3F0BF" w14:textId="24FDC99B" w:rsidR="00A21B39" w:rsidRPr="00EF7CF9" w:rsidRDefault="00A21B39" w:rsidP="000F31B4">
            <w:pPr>
              <w:pStyle w:val="ProductList-OfferingBody"/>
              <w:jc w:val="center"/>
            </w:pPr>
            <w:r>
              <w:t>&lt; 99,9 %</w:t>
            </w:r>
          </w:p>
        </w:tc>
        <w:tc>
          <w:tcPr>
            <w:tcW w:w="5580" w:type="dxa"/>
          </w:tcPr>
          <w:p w14:paraId="6FC79C7C" w14:textId="77777777" w:rsidR="00A21B39" w:rsidRPr="00EF7CF9" w:rsidRDefault="00A21B39" w:rsidP="000F31B4">
            <w:pPr>
              <w:pStyle w:val="ProductList-OfferingBody"/>
              <w:jc w:val="center"/>
            </w:pPr>
            <w:r>
              <w:t>10 %</w:t>
            </w:r>
          </w:p>
        </w:tc>
      </w:tr>
      <w:tr w:rsidR="00A21B39" w:rsidRPr="00B44CF9" w14:paraId="04DCC853" w14:textId="77777777" w:rsidTr="0023562B">
        <w:trPr>
          <w:trHeight w:val="249"/>
        </w:trPr>
        <w:tc>
          <w:tcPr>
            <w:tcW w:w="5220" w:type="dxa"/>
          </w:tcPr>
          <w:p w14:paraId="2B0BEC00" w14:textId="77777777" w:rsidR="00A21B39" w:rsidRPr="00EF7CF9" w:rsidRDefault="00A21B39" w:rsidP="000F31B4">
            <w:pPr>
              <w:pStyle w:val="ProductList-OfferingBody"/>
              <w:keepNext/>
              <w:jc w:val="center"/>
            </w:pPr>
            <w:r>
              <w:t>&lt; 99 %</w:t>
            </w:r>
          </w:p>
        </w:tc>
        <w:tc>
          <w:tcPr>
            <w:tcW w:w="5580" w:type="dxa"/>
          </w:tcPr>
          <w:p w14:paraId="03699744" w14:textId="77777777" w:rsidR="00A21B39" w:rsidRPr="00EF7CF9" w:rsidRDefault="00A21B39" w:rsidP="000F31B4">
            <w:pPr>
              <w:pStyle w:val="ProductList-OfferingBody"/>
              <w:keepNext/>
              <w:jc w:val="center"/>
            </w:pPr>
            <w:r>
              <w:t>25 %</w:t>
            </w:r>
          </w:p>
        </w:tc>
      </w:tr>
    </w:tbl>
    <w:p w14:paraId="27262C33" w14:textId="2EE0418E"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6E5FA765" w14:textId="13D77B47" w:rsidR="0054334B" w:rsidRPr="002D6760" w:rsidRDefault="0054334B" w:rsidP="00773EC7">
      <w:pPr>
        <w:pStyle w:val="ProductList-Offering2Heading"/>
        <w:keepNext/>
        <w:outlineLvl w:val="2"/>
      </w:pPr>
      <w:bookmarkStart w:id="592" w:name="_Toc195543221"/>
      <w:bookmarkStart w:id="593" w:name="_Toc237449082"/>
      <w:r>
        <w:t>Windows 10 IoT-Kerndienste</w:t>
      </w:r>
      <w:bookmarkEnd w:id="592"/>
      <w:bookmarkEnd w:id="593"/>
    </w:p>
    <w:p w14:paraId="66A5ACEC" w14:textId="438CD4D1" w:rsidR="0054334B" w:rsidRPr="002D6760" w:rsidRDefault="00EE6E3C" w:rsidP="0054334B">
      <w:pPr>
        <w:pStyle w:val="ProductList-Body"/>
        <w:rPr>
          <w:b/>
          <w:bCs/>
          <w:color w:val="00188F"/>
        </w:rPr>
      </w:pPr>
      <w:r>
        <w:rPr>
          <w:b/>
          <w:bCs/>
          <w:color w:val="00188F"/>
        </w:rPr>
        <w:t>Berechnung der Betriebszeit und Service-Levels für Windows 10 IoT-Kerndienste</w:t>
      </w:r>
    </w:p>
    <w:p w14:paraId="7CE7D4D7" w14:textId="6464B461" w:rsidR="0054334B" w:rsidRDefault="0054334B" w:rsidP="0054334B">
      <w:pPr>
        <w:pStyle w:val="ProductList-Body"/>
      </w:pPr>
      <w:r>
        <w:t>„</w:t>
      </w:r>
      <w:r>
        <w:rPr>
          <w:b/>
          <w:bCs/>
          <w:color w:val="00188F"/>
        </w:rPr>
        <w:t>Maximal Verfügbare Minuten</w:t>
      </w:r>
      <w:r>
        <w:t>“ ist die Gesamtzahl der Minuten für einen bestimmten Windows 10 IoT Core Service, der durch den Kunden im</w:t>
      </w:r>
      <w:r w:rsidR="00933342">
        <w:t> </w:t>
      </w:r>
      <w:r>
        <w:t>Rahmen eines Microsoft Azure-Abonnements während eines Anwendbaren Zeitraums bereitgestellt wird.</w:t>
      </w:r>
    </w:p>
    <w:p w14:paraId="64DD26A7" w14:textId="77777777" w:rsidR="0054334B" w:rsidRDefault="0054334B" w:rsidP="0054334B">
      <w:pPr>
        <w:pStyle w:val="ProductList-Body"/>
      </w:pPr>
      <w:r>
        <w:t>„</w:t>
      </w:r>
      <w:r>
        <w:rPr>
          <w:b/>
          <w:bCs/>
          <w:color w:val="00188F"/>
        </w:rPr>
        <w:t>Ausfallzeit</w:t>
      </w:r>
      <w:r>
        <w:t>“ ist die Gesamtzahl der Minuten innerhalb der Maximal Verfügbaren Minuten, in denen die Windows 10 IoT Core Services nicht verfügbar sind. Eine Minute gilt für eine bestimmte Windows 10 IoT Core Services-Instanz als nicht verfügbar, wenn alle fortlaufend unternommenen Versuche, sich im Geräte-Update-Center anzumelden oder einen Vorgang im Geräte-Update-Center während der gesamten Minute durchzuführen, entweder einen Fehlercode zurückgeben oder nicht binnen zwei Minuten zu einem Erfolgscode führen.</w:t>
      </w:r>
    </w:p>
    <w:p w14:paraId="1320B9E6" w14:textId="60A7EEAD" w:rsidR="0054334B" w:rsidRDefault="0054334B" w:rsidP="0054334B">
      <w:pPr>
        <w:pStyle w:val="ProductList-Body"/>
      </w:pPr>
      <w:r>
        <w:t>„</w:t>
      </w:r>
      <w:r>
        <w:rPr>
          <w:b/>
          <w:bCs/>
          <w:color w:val="00188F"/>
        </w:rPr>
        <w:t>Betriebszeitprozentsatz</w:t>
      </w:r>
      <w:r w:rsidR="00445B42">
        <w:t>“</w:t>
      </w:r>
      <w:r w:rsidRPr="00633DA0">
        <w:rPr>
          <w:b/>
          <w:bCs/>
          <w:color w:val="00188F"/>
        </w:rPr>
        <w:t>:</w:t>
      </w:r>
      <w:r>
        <w:t xml:space="preserve"> Der Betriebszeitprozentsatz errechnet sich nach folgender Formel:</w:t>
      </w:r>
    </w:p>
    <w:p w14:paraId="32206A53" w14:textId="7742329B" w:rsidR="0054334B" w:rsidRPr="00EF7CF9" w:rsidRDefault="00000000" w:rsidP="00DD7BB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209BD2F6" w14:textId="77777777" w:rsidR="0054334B" w:rsidRPr="00E51CB1" w:rsidRDefault="0054334B" w:rsidP="00250244">
      <w:pPr>
        <w:pStyle w:val="ProductList-Body"/>
        <w:keepNext/>
        <w:rPr>
          <w:b/>
          <w:bCs/>
          <w:color w:val="00188F"/>
        </w:rPr>
      </w:pPr>
      <w:r>
        <w:rPr>
          <w:b/>
          <w:bCs/>
          <w:color w:val="00188F"/>
        </w:rPr>
        <w:t>Die folgenden Service-Levels und Servicegutschriften gelten für die Nutzung von Windows 10 IoT Core Services durch den Kunden: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4334B" w:rsidRPr="00B44CF9" w14:paraId="6DA9CA6A" w14:textId="77777777" w:rsidTr="00277097">
        <w:trPr>
          <w:tblHeader/>
        </w:trPr>
        <w:tc>
          <w:tcPr>
            <w:tcW w:w="5400" w:type="dxa"/>
            <w:shd w:val="clear" w:color="auto" w:fill="0072C6"/>
          </w:tcPr>
          <w:p w14:paraId="14F8F4EC" w14:textId="713051C0" w:rsidR="0054334B"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2DD8B523" w14:textId="77777777" w:rsidR="0054334B" w:rsidRPr="00EF7CF9" w:rsidRDefault="0054334B" w:rsidP="000F31B4">
            <w:pPr>
              <w:pStyle w:val="ProductList-OfferingBody"/>
              <w:jc w:val="center"/>
              <w:rPr>
                <w:color w:val="FFFFFF" w:themeColor="background1"/>
              </w:rPr>
            </w:pPr>
            <w:r>
              <w:rPr>
                <w:color w:val="FFFFFF" w:themeColor="background1"/>
              </w:rPr>
              <w:t>Servicegutschrift</w:t>
            </w:r>
          </w:p>
        </w:tc>
      </w:tr>
      <w:tr w:rsidR="0054334B" w:rsidRPr="00B44CF9" w14:paraId="0A48226B" w14:textId="77777777" w:rsidTr="00277097">
        <w:tc>
          <w:tcPr>
            <w:tcW w:w="5400" w:type="dxa"/>
          </w:tcPr>
          <w:p w14:paraId="25C74862" w14:textId="77777777" w:rsidR="0054334B" w:rsidRPr="00EF7CF9" w:rsidRDefault="0054334B" w:rsidP="000F31B4">
            <w:pPr>
              <w:pStyle w:val="ProductList-OfferingBody"/>
              <w:jc w:val="center"/>
            </w:pPr>
            <w:r>
              <w:t>&lt; 99,9 %</w:t>
            </w:r>
          </w:p>
        </w:tc>
        <w:tc>
          <w:tcPr>
            <w:tcW w:w="5400" w:type="dxa"/>
          </w:tcPr>
          <w:p w14:paraId="6930A573" w14:textId="77777777" w:rsidR="0054334B" w:rsidRPr="00EF7CF9" w:rsidRDefault="0054334B" w:rsidP="000F31B4">
            <w:pPr>
              <w:pStyle w:val="ProductList-OfferingBody"/>
              <w:jc w:val="center"/>
            </w:pPr>
            <w:r>
              <w:t>10 %</w:t>
            </w:r>
          </w:p>
        </w:tc>
      </w:tr>
      <w:tr w:rsidR="0054334B" w:rsidRPr="00B44CF9" w14:paraId="729307E9" w14:textId="77777777" w:rsidTr="00277097">
        <w:tc>
          <w:tcPr>
            <w:tcW w:w="5400" w:type="dxa"/>
          </w:tcPr>
          <w:p w14:paraId="0C5D1D18" w14:textId="77777777" w:rsidR="0054334B" w:rsidRPr="00EF7CF9" w:rsidRDefault="0054334B" w:rsidP="000F31B4">
            <w:pPr>
              <w:pStyle w:val="ProductList-OfferingBody"/>
              <w:jc w:val="center"/>
            </w:pPr>
            <w:r>
              <w:t>&lt; 99 %</w:t>
            </w:r>
          </w:p>
        </w:tc>
        <w:tc>
          <w:tcPr>
            <w:tcW w:w="5400" w:type="dxa"/>
          </w:tcPr>
          <w:p w14:paraId="6B31DA5D" w14:textId="77777777" w:rsidR="0054334B" w:rsidRPr="00EF7CF9" w:rsidRDefault="0054334B" w:rsidP="000F31B4">
            <w:pPr>
              <w:pStyle w:val="ProductList-OfferingBody"/>
              <w:keepNext/>
              <w:jc w:val="center"/>
            </w:pPr>
            <w:r>
              <w:t>25 %</w:t>
            </w:r>
          </w:p>
        </w:tc>
      </w:tr>
    </w:tbl>
    <w:p w14:paraId="5FAD3275" w14:textId="4019CCF2"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1E8BDC16" w14:textId="4FF5E47A" w:rsidR="003A16EB" w:rsidRPr="00EF7CF9" w:rsidRDefault="003A16EB" w:rsidP="00EF42FD">
      <w:pPr>
        <w:pStyle w:val="ProductList-OfferingGroupHeading"/>
        <w:tabs>
          <w:tab w:val="clear" w:pos="360"/>
          <w:tab w:val="clear" w:pos="720"/>
          <w:tab w:val="clear" w:pos="1080"/>
        </w:tabs>
        <w:outlineLvl w:val="1"/>
      </w:pPr>
      <w:bookmarkStart w:id="594" w:name="_Toc195543222"/>
      <w:bookmarkStart w:id="595" w:name="_Toc237449083"/>
      <w:r>
        <w:t>Sonstige Onlinedienste</w:t>
      </w:r>
      <w:bookmarkEnd w:id="148"/>
      <w:bookmarkEnd w:id="594"/>
      <w:bookmarkEnd w:id="595"/>
    </w:p>
    <w:p w14:paraId="7002A494" w14:textId="77777777" w:rsidR="00657A3A" w:rsidRDefault="00657A3A" w:rsidP="00657A3A">
      <w:pPr>
        <w:pStyle w:val="ProductList-Offering2Heading"/>
        <w:tabs>
          <w:tab w:val="clear" w:pos="360"/>
          <w:tab w:val="clear" w:pos="720"/>
          <w:tab w:val="clear" w:pos="1080"/>
        </w:tabs>
        <w:outlineLvl w:val="2"/>
      </w:pPr>
      <w:bookmarkStart w:id="596" w:name="_Toc55920316"/>
      <w:bookmarkStart w:id="597" w:name="_Toc195543223"/>
      <w:bookmarkStart w:id="598" w:name="_Toc237449084"/>
      <w:bookmarkStart w:id="599" w:name="MicrosoftDefenderforIdentity"/>
      <w:bookmarkStart w:id="600" w:name="_Toc457821592"/>
      <w:r>
        <w:t>Microsoft Defender für Identität</w:t>
      </w:r>
      <w:bookmarkEnd w:id="596"/>
      <w:bookmarkEnd w:id="597"/>
      <w:bookmarkEnd w:id="598"/>
    </w:p>
    <w:bookmarkEnd w:id="599"/>
    <w:p w14:paraId="3070A80B" w14:textId="77777777" w:rsidR="00657A3A" w:rsidRPr="00DA6241" w:rsidRDefault="00657A3A" w:rsidP="00657A3A">
      <w:pPr>
        <w:pStyle w:val="ProductList-Body"/>
      </w:pPr>
      <w:r>
        <w:rPr>
          <w:b/>
          <w:color w:val="00188F"/>
        </w:rPr>
        <w:t>Zusätzliche Definitionen</w:t>
      </w:r>
      <w:r w:rsidRPr="00633DA0">
        <w:rPr>
          <w:b/>
          <w:bCs/>
          <w:color w:val="00188F"/>
        </w:rPr>
        <w:t>:</w:t>
      </w:r>
    </w:p>
    <w:p w14:paraId="7B084D0A" w14:textId="6CEB8596" w:rsidR="00ED3A16" w:rsidRDefault="00657A3A" w:rsidP="00657A3A">
      <w:pPr>
        <w:spacing w:after="0"/>
        <w:rPr>
          <w:sz w:val="18"/>
        </w:rPr>
      </w:pPr>
      <w:r>
        <w:rPr>
          <w:sz w:val="18"/>
        </w:rPr>
        <w:t>„</w:t>
      </w:r>
      <w:r>
        <w:rPr>
          <w:b/>
          <w:color w:val="00188F"/>
          <w:sz w:val="18"/>
        </w:rPr>
        <w:t>Ausfallzeit</w:t>
      </w:r>
      <w:r>
        <w:rPr>
          <w:sz w:val="18"/>
        </w:rPr>
        <w:t>“ ist jeder Zeitraum, in dem der Administrator nicht auf das Microsoft Defender für Identität-Portal zugreifen kann.</w:t>
      </w:r>
    </w:p>
    <w:p w14:paraId="08807E89" w14:textId="069779A6" w:rsidR="00ED3A16" w:rsidRPr="00CE181C" w:rsidRDefault="00AC48A7" w:rsidP="00ED3A16">
      <w:pPr>
        <w:pStyle w:val="ProductList-Body"/>
      </w:pPr>
      <w:r>
        <w:rPr>
          <w:b/>
          <w:bCs/>
          <w:color w:val="00188F"/>
        </w:rPr>
        <w:t>Betriebszeitprozentsatz</w:t>
      </w:r>
      <w:r w:rsidRPr="00633DA0">
        <w:rPr>
          <w:b/>
          <w:bCs/>
          <w:color w:val="00188F"/>
        </w:rPr>
        <w:t>:</w:t>
      </w:r>
      <w:r>
        <w:t xml:space="preserve"> Der Betriebszeitprozentsatz errechnet sich nach folgender Formel: </w:t>
      </w:r>
    </w:p>
    <w:p w14:paraId="6E7DBA75" w14:textId="419C49E9" w:rsidR="00ED3A16" w:rsidRDefault="00000000" w:rsidP="00DD7BB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Nutzerminuten abzüglich Ausfallzeit</m:t>
              </m:r>
            </m:num>
            <m:den>
              <m:r>
                <m:rPr>
                  <m:nor/>
                </m:rPr>
                <w:rPr>
                  <w:rFonts w:ascii="Cambria Math" w:hAnsi="Cambria Math" w:cs="Calibri"/>
                  <w:i/>
                  <w:sz w:val="18"/>
                  <w:szCs w:val="18"/>
                </w:rPr>
                <m:t>Nutzerminuten</m:t>
              </m:r>
            </m:den>
          </m:f>
          <m:r>
            <w:rPr>
              <w:rFonts w:ascii="Cambria Math" w:hAnsi="Cambria Math" w:cs="Calibri"/>
              <w:sz w:val="18"/>
              <w:szCs w:val="18"/>
            </w:rPr>
            <m:t xml:space="preserve"> x 100</m:t>
          </m:r>
        </m:oMath>
      </m:oMathPara>
    </w:p>
    <w:p w14:paraId="68670114" w14:textId="01F9FC32" w:rsidR="00ED3A16" w:rsidRDefault="00AC48A7" w:rsidP="00ED3A16">
      <w:pPr>
        <w:pStyle w:val="ProductList-Body"/>
      </w:pPr>
      <w: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14AF9495" w14:textId="77777777" w:rsidR="00D843BA" w:rsidRDefault="00D843BA" w:rsidP="00ED3A16">
      <w:pPr>
        <w:pStyle w:val="ProductList-Body"/>
        <w:rPr>
          <w:szCs w:val="18"/>
        </w:rPr>
      </w:pPr>
    </w:p>
    <w:p w14:paraId="117C8F41" w14:textId="77777777" w:rsidR="00ED3A16" w:rsidRDefault="00ED3A16" w:rsidP="00DC0631">
      <w:pPr>
        <w:pStyle w:val="ProductList-Body"/>
        <w:keepNext/>
      </w:pPr>
      <w:r>
        <w:rPr>
          <w:b/>
          <w:bCs/>
          <w:color w:val="00188F"/>
        </w:rPr>
        <w:t>Servicegutschrift</w:t>
      </w:r>
      <w:r w:rsidRPr="00633DA0">
        <w:rPr>
          <w:b/>
          <w:bCs/>
          <w:color w:val="00188F"/>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ED3A16" w:rsidRPr="00B44CF9" w14:paraId="26761017" w14:textId="77777777" w:rsidTr="00CA2047">
        <w:trPr>
          <w:tblHeader/>
        </w:trPr>
        <w:tc>
          <w:tcPr>
            <w:tcW w:w="5400" w:type="dxa"/>
            <w:shd w:val="clear" w:color="auto" w:fill="0072C6"/>
            <w:tcMar>
              <w:top w:w="0" w:type="dxa"/>
              <w:left w:w="108" w:type="dxa"/>
              <w:bottom w:w="0" w:type="dxa"/>
              <w:right w:w="108" w:type="dxa"/>
            </w:tcMar>
            <w:hideMark/>
          </w:tcPr>
          <w:p w14:paraId="72906DAD" w14:textId="45127F37" w:rsidR="00ED3A16" w:rsidRPr="00CE181C" w:rsidRDefault="00AC48A7" w:rsidP="00CA2047">
            <w:pPr>
              <w:pStyle w:val="ProductList-OfferingBody"/>
              <w:spacing w:line="252" w:lineRule="auto"/>
              <w:jc w:val="center"/>
              <w:rPr>
                <w:color w:val="FFFFFF"/>
              </w:rPr>
            </w:pPr>
            <w:r>
              <w:rPr>
                <w:color w:val="FFFFFF"/>
              </w:rPr>
              <w:t>Betriebszeitprozentsatz</w:t>
            </w:r>
          </w:p>
        </w:tc>
        <w:tc>
          <w:tcPr>
            <w:tcW w:w="5400" w:type="dxa"/>
            <w:shd w:val="clear" w:color="auto" w:fill="0072C6"/>
            <w:tcMar>
              <w:top w:w="0" w:type="dxa"/>
              <w:left w:w="108" w:type="dxa"/>
              <w:bottom w:w="0" w:type="dxa"/>
              <w:right w:w="108" w:type="dxa"/>
            </w:tcMar>
            <w:hideMark/>
          </w:tcPr>
          <w:p w14:paraId="29CC877A" w14:textId="77777777" w:rsidR="00ED3A16" w:rsidRPr="00CE181C" w:rsidRDefault="00ED3A16" w:rsidP="00CA2047">
            <w:pPr>
              <w:pStyle w:val="ProductList-OfferingBody"/>
              <w:spacing w:line="252" w:lineRule="auto"/>
              <w:jc w:val="center"/>
              <w:rPr>
                <w:color w:val="FFFFFF"/>
              </w:rPr>
            </w:pPr>
            <w:r>
              <w:rPr>
                <w:color w:val="FFFFFF"/>
              </w:rPr>
              <w:t>Servicegutschrift</w:t>
            </w:r>
          </w:p>
        </w:tc>
      </w:tr>
      <w:tr w:rsidR="00ED3A16" w:rsidRPr="00B44CF9" w14:paraId="0EE596BB" w14:textId="77777777" w:rsidTr="00CA2047">
        <w:tc>
          <w:tcPr>
            <w:tcW w:w="5400" w:type="dxa"/>
            <w:tcMar>
              <w:top w:w="0" w:type="dxa"/>
              <w:left w:w="108" w:type="dxa"/>
              <w:bottom w:w="0" w:type="dxa"/>
              <w:right w:w="108" w:type="dxa"/>
            </w:tcMar>
            <w:hideMark/>
          </w:tcPr>
          <w:p w14:paraId="1A5401BF" w14:textId="77777777" w:rsidR="00ED3A16" w:rsidRDefault="00ED3A16" w:rsidP="00CA2047">
            <w:pPr>
              <w:pStyle w:val="ProductList-OfferingBody"/>
              <w:spacing w:line="252" w:lineRule="auto"/>
              <w:jc w:val="center"/>
            </w:pPr>
            <w:r>
              <w:t>&lt; 99,9 %</w:t>
            </w:r>
          </w:p>
        </w:tc>
        <w:tc>
          <w:tcPr>
            <w:tcW w:w="5400" w:type="dxa"/>
            <w:tcMar>
              <w:top w:w="0" w:type="dxa"/>
              <w:left w:w="108" w:type="dxa"/>
              <w:bottom w:w="0" w:type="dxa"/>
              <w:right w:w="108" w:type="dxa"/>
            </w:tcMar>
            <w:hideMark/>
          </w:tcPr>
          <w:p w14:paraId="23D3C97D" w14:textId="03623311" w:rsidR="00ED3A16" w:rsidRDefault="00ED3A16" w:rsidP="00CA2047">
            <w:pPr>
              <w:pStyle w:val="ProductList-OfferingBody"/>
              <w:spacing w:line="252" w:lineRule="auto"/>
              <w:jc w:val="center"/>
            </w:pPr>
            <w:r>
              <w:t>10 %</w:t>
            </w:r>
          </w:p>
        </w:tc>
      </w:tr>
      <w:tr w:rsidR="00ED3A16" w:rsidRPr="00B44CF9" w14:paraId="08E88553" w14:textId="77777777" w:rsidTr="00CA2047">
        <w:tc>
          <w:tcPr>
            <w:tcW w:w="5400" w:type="dxa"/>
            <w:tcMar>
              <w:top w:w="0" w:type="dxa"/>
              <w:left w:w="108" w:type="dxa"/>
              <w:bottom w:w="0" w:type="dxa"/>
              <w:right w:w="108" w:type="dxa"/>
            </w:tcMar>
            <w:hideMark/>
          </w:tcPr>
          <w:p w14:paraId="18D44101" w14:textId="77777777" w:rsidR="00ED3A16" w:rsidRDefault="00ED3A16" w:rsidP="00CA2047">
            <w:pPr>
              <w:pStyle w:val="ProductList-OfferingBody"/>
              <w:spacing w:line="252" w:lineRule="auto"/>
              <w:jc w:val="center"/>
            </w:pPr>
            <w:r>
              <w:t>&lt; 99 %</w:t>
            </w:r>
          </w:p>
        </w:tc>
        <w:tc>
          <w:tcPr>
            <w:tcW w:w="5400" w:type="dxa"/>
            <w:tcMar>
              <w:top w:w="0" w:type="dxa"/>
              <w:left w:w="108" w:type="dxa"/>
              <w:bottom w:w="0" w:type="dxa"/>
              <w:right w:w="108" w:type="dxa"/>
            </w:tcMar>
            <w:hideMark/>
          </w:tcPr>
          <w:p w14:paraId="21CE7844" w14:textId="04C132C0" w:rsidR="00ED3A16" w:rsidRDefault="00ED3A16" w:rsidP="00CA2047">
            <w:pPr>
              <w:pStyle w:val="ProductList-OfferingBody"/>
              <w:spacing w:line="252" w:lineRule="auto"/>
              <w:jc w:val="center"/>
            </w:pPr>
            <w:r>
              <w:t>25 %</w:t>
            </w:r>
          </w:p>
        </w:tc>
      </w:tr>
    </w:tbl>
    <w:p w14:paraId="71891A92" w14:textId="6B50BBC9"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07EF96CA" w14:textId="7156FC2A" w:rsidR="00E856FE" w:rsidRDefault="00E856FE" w:rsidP="00E856FE">
      <w:pPr>
        <w:pStyle w:val="ProductList-Offering2Heading"/>
        <w:tabs>
          <w:tab w:val="clear" w:pos="360"/>
          <w:tab w:val="clear" w:pos="720"/>
          <w:tab w:val="clear" w:pos="1080"/>
        </w:tabs>
        <w:outlineLvl w:val="2"/>
      </w:pPr>
      <w:bookmarkStart w:id="601" w:name="_Toc195543224"/>
      <w:bookmarkStart w:id="602" w:name="_Toc237449085"/>
      <w:r>
        <w:t>Microsoft Defender für IoT</w:t>
      </w:r>
      <w:bookmarkEnd w:id="601"/>
      <w:bookmarkEnd w:id="602"/>
    </w:p>
    <w:p w14:paraId="0D787271" w14:textId="77777777" w:rsidR="00E856FE" w:rsidRDefault="00E856FE" w:rsidP="00E856FE">
      <w:pPr>
        <w:pStyle w:val="ProductList-Body"/>
      </w:pPr>
      <w:r>
        <w:rPr>
          <w:b/>
          <w:color w:val="00188F"/>
        </w:rPr>
        <w:t>Zusätzliche Definitionen</w:t>
      </w:r>
      <w:r w:rsidRPr="00633DA0">
        <w:rPr>
          <w:b/>
          <w:bCs/>
          <w:color w:val="00188F"/>
        </w:rPr>
        <w:t>:</w:t>
      </w:r>
    </w:p>
    <w:p w14:paraId="30311482" w14:textId="2C9B01CE" w:rsidR="0050152D" w:rsidRDefault="0050152D" w:rsidP="0050152D">
      <w:pPr>
        <w:pStyle w:val="ProductList-Body"/>
      </w:pPr>
      <w:r>
        <w:t>„</w:t>
      </w:r>
      <w:r>
        <w:rPr>
          <w:b/>
          <w:bCs/>
          <w:color w:val="00188F"/>
        </w:rPr>
        <w:t>Maximal Verfügbare Minuten</w:t>
      </w:r>
      <w:r w:rsidR="00445B42">
        <w:t>“</w:t>
      </w:r>
      <w:r>
        <w:t xml:space="preserve"> steht für die Gesamtanzahl der kumulierten Minuten während eines Anwendbaren Zeitraums für das Microsoft Defender for IoT-Portal. Die maximal verfügbaren Minuten werden ab dem Zeitpunkt der Erstellung eines Abonnements nach erfolgreichem Abschluss des Onboarding-Prozesses berechnet.</w:t>
      </w:r>
    </w:p>
    <w:p w14:paraId="65EC79CF" w14:textId="263D7187" w:rsidR="0050152D" w:rsidRPr="00F66064" w:rsidRDefault="0050152D" w:rsidP="0050152D">
      <w:pPr>
        <w:pStyle w:val="ProductList-Body"/>
      </w:pPr>
      <w:r>
        <w:t>„</w:t>
      </w:r>
      <w:r>
        <w:rPr>
          <w:b/>
          <w:bCs/>
          <w:color w:val="00188F"/>
        </w:rPr>
        <w:t>Ausfallzeit</w:t>
      </w:r>
      <w:r w:rsidR="00445B42">
        <w:t>“</w:t>
      </w:r>
      <w:r>
        <w:t xml:space="preserve"> Die Gesamtzahl der Minuten, in denen ein Kunde nicht auf einen Teil eines Microsoft Defender for IoT-Portals zugreifen kann, für</w:t>
      </w:r>
      <w:r w:rsidR="009B1F13">
        <w:t> </w:t>
      </w:r>
      <w:r>
        <w:t>den</w:t>
      </w:r>
      <w:r w:rsidR="009B1F13">
        <w:t> </w:t>
      </w:r>
      <w:r>
        <w:t>er über entsprechende Berechtigungen und eine aktive, gültige Lizenz verfügt.</w:t>
      </w:r>
    </w:p>
    <w:p w14:paraId="3C09ECCD" w14:textId="6C2156A4" w:rsidR="0050152D" w:rsidRDefault="0050152D" w:rsidP="0050152D">
      <w:pPr>
        <w:pStyle w:val="ProductList-Body"/>
      </w:pPr>
      <w:r w:rsidRPr="00445B42">
        <w:t>„</w:t>
      </w:r>
      <w:r>
        <w:rPr>
          <w:b/>
          <w:color w:val="00188F"/>
        </w:rPr>
        <w:t>Abonnement</w:t>
      </w:r>
      <w:r w:rsidR="00445B42">
        <w:t>“</w:t>
      </w:r>
      <w:r>
        <w:rPr>
          <w:rStyle w:val="normaltextrun"/>
          <w:rFonts w:ascii="Calibri" w:hAnsi="Calibri" w:cs="Calibri"/>
          <w:color w:val="000000"/>
          <w:sz w:val="22"/>
          <w:shd w:val="clear" w:color="auto" w:fill="FFFFFF"/>
        </w:rPr>
        <w:t xml:space="preserve"> </w:t>
      </w:r>
      <w:r>
        <w:t>zeigt die Cloud-Umgebung an, die für einen bestimmten Kunden für Microsoft Defender for IoT spezifisch ist.</w:t>
      </w:r>
    </w:p>
    <w:p w14:paraId="63CE5A86" w14:textId="33966DB9" w:rsidR="0050152D" w:rsidRDefault="0050152D" w:rsidP="0050152D">
      <w:pPr>
        <w:pStyle w:val="ProductList-Body"/>
      </w:pPr>
      <w:r>
        <w:t>„</w:t>
      </w:r>
      <w:r>
        <w:rPr>
          <w:b/>
          <w:color w:val="00188F"/>
        </w:rPr>
        <w:t>Betriebszeitprozentsatz</w:t>
      </w:r>
      <w:r w:rsidR="00445B42">
        <w:t>“</w:t>
      </w:r>
      <w:r w:rsidRPr="00633DA0">
        <w:rPr>
          <w:b/>
          <w:bCs/>
          <w:color w:val="00188F"/>
        </w:rPr>
        <w:t>:</w:t>
      </w:r>
      <w:r>
        <w:t xml:space="preserve"> Die Ausfallzeit wird in Nutzerminuten gemessen. Das heißt, für einen Anwendbaren Zeitraum ist die Ausfallzeit die Summe der Dauer (in Minuten) jedes Vorfalls während des Anwendbaren Zeitraums, multipliziert mit der Anzahl der von diesem Vorfall betroffenen Nutzer. Der Betriebszeitprozentsatz errechnet sich nach folgender Formel:</w:t>
      </w:r>
    </w:p>
    <w:p w14:paraId="38A08E23" w14:textId="23CC552D" w:rsidR="00591147" w:rsidRPr="00246AD4" w:rsidRDefault="00000000" w:rsidP="00DD7BB6">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098D8363" w14:textId="77777777" w:rsidR="00EC1B71" w:rsidRDefault="00EC1B71" w:rsidP="00EC1B71">
      <w:pPr>
        <w:pStyle w:val="ProductList-Body"/>
        <w:keepNext/>
      </w:pPr>
      <w:r>
        <w:rPr>
          <w:b/>
          <w:bCs/>
          <w:color w:val="00188F"/>
        </w:rPr>
        <w:t>Servicegutschrift</w:t>
      </w:r>
      <w:r w:rsidRPr="00633DA0">
        <w:rPr>
          <w:b/>
          <w:bCs/>
          <w:color w:val="00188F"/>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EC1B71" w:rsidRPr="00B44CF9" w14:paraId="29630091" w14:textId="77777777" w:rsidTr="000F31B4">
        <w:trPr>
          <w:tblHeader/>
        </w:trPr>
        <w:tc>
          <w:tcPr>
            <w:tcW w:w="5400" w:type="dxa"/>
            <w:shd w:val="clear" w:color="auto" w:fill="0072C6"/>
            <w:tcMar>
              <w:top w:w="0" w:type="dxa"/>
              <w:left w:w="108" w:type="dxa"/>
              <w:bottom w:w="0" w:type="dxa"/>
              <w:right w:w="108" w:type="dxa"/>
            </w:tcMar>
            <w:hideMark/>
          </w:tcPr>
          <w:p w14:paraId="14F61F18" w14:textId="119EE327" w:rsidR="00EC1B71" w:rsidRPr="00CE181C" w:rsidRDefault="00AC48A7" w:rsidP="000F31B4">
            <w:pPr>
              <w:pStyle w:val="ProductList-OfferingBody"/>
              <w:spacing w:line="252" w:lineRule="auto"/>
              <w:jc w:val="center"/>
              <w:rPr>
                <w:color w:val="FFFFFF"/>
              </w:rPr>
            </w:pPr>
            <w:r>
              <w:rPr>
                <w:color w:val="FFFFFF"/>
              </w:rPr>
              <w:t>Betriebszeitprozentsatz</w:t>
            </w:r>
          </w:p>
        </w:tc>
        <w:tc>
          <w:tcPr>
            <w:tcW w:w="5400" w:type="dxa"/>
            <w:shd w:val="clear" w:color="auto" w:fill="0072C6"/>
            <w:tcMar>
              <w:top w:w="0" w:type="dxa"/>
              <w:left w:w="108" w:type="dxa"/>
              <w:bottom w:w="0" w:type="dxa"/>
              <w:right w:w="108" w:type="dxa"/>
            </w:tcMar>
            <w:hideMark/>
          </w:tcPr>
          <w:p w14:paraId="4113A30D" w14:textId="77777777" w:rsidR="00EC1B71" w:rsidRPr="00CE181C" w:rsidRDefault="00EC1B71" w:rsidP="000F31B4">
            <w:pPr>
              <w:pStyle w:val="ProductList-OfferingBody"/>
              <w:spacing w:line="252" w:lineRule="auto"/>
              <w:jc w:val="center"/>
              <w:rPr>
                <w:color w:val="FFFFFF"/>
              </w:rPr>
            </w:pPr>
            <w:r>
              <w:rPr>
                <w:color w:val="FFFFFF"/>
              </w:rPr>
              <w:t>Servicegutschrift</w:t>
            </w:r>
          </w:p>
        </w:tc>
      </w:tr>
      <w:tr w:rsidR="00EC1B71" w:rsidRPr="00B44CF9" w14:paraId="2BA8454E" w14:textId="77777777" w:rsidTr="000F31B4">
        <w:tc>
          <w:tcPr>
            <w:tcW w:w="5400" w:type="dxa"/>
            <w:tcMar>
              <w:top w:w="0" w:type="dxa"/>
              <w:left w:w="108" w:type="dxa"/>
              <w:bottom w:w="0" w:type="dxa"/>
              <w:right w:w="108" w:type="dxa"/>
            </w:tcMar>
            <w:hideMark/>
          </w:tcPr>
          <w:p w14:paraId="56198228" w14:textId="77777777" w:rsidR="00EC1B71" w:rsidRDefault="00EC1B71" w:rsidP="000F31B4">
            <w:pPr>
              <w:pStyle w:val="ProductList-OfferingBody"/>
              <w:spacing w:line="252" w:lineRule="auto"/>
              <w:jc w:val="center"/>
            </w:pPr>
            <w:r>
              <w:t>&lt; 99,9 %</w:t>
            </w:r>
          </w:p>
        </w:tc>
        <w:tc>
          <w:tcPr>
            <w:tcW w:w="5400" w:type="dxa"/>
            <w:tcMar>
              <w:top w:w="0" w:type="dxa"/>
              <w:left w:w="108" w:type="dxa"/>
              <w:bottom w:w="0" w:type="dxa"/>
              <w:right w:w="108" w:type="dxa"/>
            </w:tcMar>
            <w:hideMark/>
          </w:tcPr>
          <w:p w14:paraId="2BA31D50" w14:textId="77777777" w:rsidR="00EC1B71" w:rsidRDefault="00EC1B71" w:rsidP="000F31B4">
            <w:pPr>
              <w:pStyle w:val="ProductList-OfferingBody"/>
              <w:spacing w:line="252" w:lineRule="auto"/>
              <w:jc w:val="center"/>
            </w:pPr>
            <w:r>
              <w:t>10 %</w:t>
            </w:r>
          </w:p>
        </w:tc>
      </w:tr>
      <w:tr w:rsidR="00EC1B71" w:rsidRPr="00B44CF9" w14:paraId="07F55B49" w14:textId="77777777" w:rsidTr="000F31B4">
        <w:tc>
          <w:tcPr>
            <w:tcW w:w="5400" w:type="dxa"/>
            <w:tcMar>
              <w:top w:w="0" w:type="dxa"/>
              <w:left w:w="108" w:type="dxa"/>
              <w:bottom w:w="0" w:type="dxa"/>
              <w:right w:w="108" w:type="dxa"/>
            </w:tcMar>
            <w:hideMark/>
          </w:tcPr>
          <w:p w14:paraId="7177807F" w14:textId="77777777" w:rsidR="00EC1B71" w:rsidRDefault="00EC1B71" w:rsidP="000F31B4">
            <w:pPr>
              <w:pStyle w:val="ProductList-OfferingBody"/>
              <w:spacing w:line="252" w:lineRule="auto"/>
              <w:jc w:val="center"/>
            </w:pPr>
            <w:r>
              <w:t>&lt; 99 %</w:t>
            </w:r>
          </w:p>
        </w:tc>
        <w:tc>
          <w:tcPr>
            <w:tcW w:w="5400" w:type="dxa"/>
            <w:tcMar>
              <w:top w:w="0" w:type="dxa"/>
              <w:left w:w="108" w:type="dxa"/>
              <w:bottom w:w="0" w:type="dxa"/>
              <w:right w:w="108" w:type="dxa"/>
            </w:tcMar>
            <w:hideMark/>
          </w:tcPr>
          <w:p w14:paraId="10898D10" w14:textId="77777777" w:rsidR="00EC1B71" w:rsidRDefault="00EC1B71" w:rsidP="000F31B4">
            <w:pPr>
              <w:pStyle w:val="ProductList-OfferingBody"/>
              <w:spacing w:line="252" w:lineRule="auto"/>
              <w:jc w:val="center"/>
            </w:pPr>
            <w:r>
              <w:t>25 %</w:t>
            </w:r>
          </w:p>
        </w:tc>
      </w:tr>
    </w:tbl>
    <w:p w14:paraId="5071DA77" w14:textId="19FD1D3A" w:rsidR="00E15FC0" w:rsidRDefault="00F81546" w:rsidP="00307209">
      <w:pPr>
        <w:pStyle w:val="paragraph"/>
        <w:spacing w:before="120" w:beforeAutospacing="0" w:after="0" w:afterAutospacing="0"/>
        <w:textAlignment w:val="baseline"/>
        <w:rPr>
          <w:rStyle w:val="eop"/>
          <w:rFonts w:ascii="Calibri" w:hAnsi="Calibri" w:cs="Calibri"/>
          <w:sz w:val="18"/>
          <w:szCs w:val="18"/>
        </w:rPr>
      </w:pPr>
      <w:r>
        <w:rPr>
          <w:rStyle w:val="normaltextrun"/>
          <w:rFonts w:ascii="Calibri" w:hAnsi="Calibri" w:cs="Calibri"/>
          <w:b/>
          <w:bCs/>
          <w:color w:val="00188F"/>
          <w:sz w:val="18"/>
          <w:szCs w:val="18"/>
        </w:rPr>
        <w:t>Servicelevel-Ausnahmen</w:t>
      </w:r>
      <w:r w:rsidRPr="00633DA0">
        <w:rPr>
          <w:rFonts w:asciiTheme="minorHAnsi" w:eastAsiaTheme="minorHAnsi" w:hAnsiTheme="minorHAnsi" w:cstheme="minorBidi"/>
          <w:b/>
          <w:bCs/>
          <w:color w:val="00188F"/>
          <w:sz w:val="18"/>
          <w:szCs w:val="22"/>
        </w:rPr>
        <w:t>:</w:t>
      </w:r>
      <w:r>
        <w:rPr>
          <w:rStyle w:val="normaltextrun"/>
          <w:rFonts w:ascii="Calibri" w:hAnsi="Calibri" w:cs="Calibri"/>
          <w:sz w:val="18"/>
          <w:szCs w:val="18"/>
        </w:rPr>
        <w:t xml:space="preserve"> Dieses SLA gilt nicht für Vor-Ort-Komponenten wie Sensoren und Security Agents.</w:t>
      </w:r>
    </w:p>
    <w:p w14:paraId="6C3509E7" w14:textId="4DCC536A"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7686F9ED" w14:textId="6EB05967" w:rsidR="003A16EB" w:rsidRPr="00EF7CF9" w:rsidRDefault="003A16EB" w:rsidP="00C735FD">
      <w:pPr>
        <w:pStyle w:val="ProductList-Offering2Heading"/>
        <w:keepNext/>
        <w:tabs>
          <w:tab w:val="clear" w:pos="360"/>
          <w:tab w:val="clear" w:pos="720"/>
          <w:tab w:val="clear" w:pos="1080"/>
        </w:tabs>
        <w:outlineLvl w:val="2"/>
      </w:pPr>
      <w:bookmarkStart w:id="603" w:name="_Toc195543225"/>
      <w:bookmarkStart w:id="604" w:name="_Toc237449086"/>
      <w:r>
        <w:t>Bing Maps Enterprise-Plattform</w:t>
      </w:r>
      <w:bookmarkEnd w:id="600"/>
      <w:bookmarkEnd w:id="603"/>
      <w:bookmarkEnd w:id="604"/>
    </w:p>
    <w:p w14:paraId="6227B95F" w14:textId="50A804E6" w:rsidR="00515EF4" w:rsidRPr="00EF7CF9" w:rsidRDefault="003A16EB" w:rsidP="002A586E">
      <w:pPr>
        <w:pStyle w:val="ProductList-Body"/>
      </w:pPr>
      <w:r>
        <w:rPr>
          <w:b/>
          <w:color w:val="00188F"/>
        </w:rPr>
        <w:t>Ausfallzeit</w:t>
      </w:r>
      <w:r w:rsidRPr="00633DA0">
        <w:rPr>
          <w:b/>
          <w:bCs/>
          <w:color w:val="00188F"/>
        </w:rPr>
        <w:t>:</w:t>
      </w:r>
      <w:r>
        <w:t xml:space="preserve"> Jeder Zeitraum, in dem der Dienst entsprechend den Messungen in den Rechenzentren von Microsoft nicht verfügbar ist, vorausgesetzt, es werden die Zugriffs-, Authentifizierungs- und Verfolgungsmethoden verwendet, die in den Bing Maps Platform SDKs dokumentiert sind.</w:t>
      </w:r>
    </w:p>
    <w:p w14:paraId="332EF34F" w14:textId="4CD8429C" w:rsidR="003A16EB" w:rsidRPr="00EF7CF9" w:rsidRDefault="00AC48A7" w:rsidP="002A586E">
      <w:pPr>
        <w:pStyle w:val="ProductList-Body"/>
      </w:pPr>
      <w:r>
        <w:rPr>
          <w:b/>
          <w:color w:val="00188F"/>
        </w:rPr>
        <w:t>Betriebszeitprozentsatz</w:t>
      </w:r>
      <w:r w:rsidRPr="00633DA0">
        <w:rPr>
          <w:b/>
          <w:bCs/>
          <w:color w:val="00188F"/>
        </w:rPr>
        <w:t>:</w:t>
      </w:r>
      <w:r>
        <w:t xml:space="preserve"> Der Betriebszeitprozentsatz errechnet sich nach folgender Formel:</w:t>
      </w:r>
    </w:p>
    <w:p w14:paraId="44E374EC" w14:textId="29E5CCF2" w:rsidR="00515EF4" w:rsidRPr="00EF7CF9" w:rsidRDefault="00000000" w:rsidP="00DD7BB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Gesamtzahl der Minuten in einem Anwendbaren Zeitraum abzüglich Ausfallzeit</m:t>
              </m:r>
            </m:num>
            <m:den>
              <m:r>
                <m:rPr>
                  <m:nor/>
                </m:rPr>
                <w:rPr>
                  <w:rFonts w:ascii="Cambria Math" w:hAnsi="Cambria Math" w:cs="Calibri"/>
                  <w:i/>
                  <w:sz w:val="18"/>
                  <w:szCs w:val="18"/>
                </w:rPr>
                <m:t>Gesamtzahl der Minuten in einem Anwendbaren Zeitraum</m:t>
              </m:r>
            </m:den>
          </m:f>
          <m:r>
            <w:rPr>
              <w:rFonts w:ascii="Cambria Math" w:hAnsi="Cambria Math" w:cs="Calibri"/>
              <w:sz w:val="18"/>
              <w:szCs w:val="18"/>
            </w:rPr>
            <m:t xml:space="preserve"> x 100</m:t>
          </m:r>
        </m:oMath>
      </m:oMathPara>
    </w:p>
    <w:p w14:paraId="73896EC6" w14:textId="5C58694F" w:rsidR="008E5959" w:rsidRDefault="00515EF4" w:rsidP="002A586E">
      <w:pPr>
        <w:pStyle w:val="ProductList-Body"/>
      </w:pPr>
      <w:r>
        <w:t>wobei die Ausfallzeit als die Gesamtzahl der Minuten während des Anwendbaren Zeitraums gemessen wird, in denen die oben genannten Aspekte des Dienstes nicht verfügbar sind.</w:t>
      </w:r>
    </w:p>
    <w:p w14:paraId="6AA8A846" w14:textId="77777777" w:rsidR="00D843BA" w:rsidRPr="00EF7CF9" w:rsidRDefault="00D843BA" w:rsidP="002A586E">
      <w:pPr>
        <w:pStyle w:val="ProductList-Body"/>
      </w:pPr>
    </w:p>
    <w:p w14:paraId="26174FF9" w14:textId="7B753AAA" w:rsidR="00515EF4" w:rsidRPr="00EF7CF9" w:rsidRDefault="00515EF4" w:rsidP="002A586E">
      <w:pPr>
        <w:pStyle w:val="ProductList-Body"/>
      </w:pPr>
      <w:r>
        <w:rPr>
          <w:b/>
          <w:color w:val="00188F"/>
        </w:rPr>
        <w:t>Servicegutschrift</w:t>
      </w:r>
      <w:r w:rsidRPr="00633DA0">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5EF4" w:rsidRPr="00B44CF9" w14:paraId="072DD82D" w14:textId="77777777" w:rsidTr="00515EF4">
        <w:trPr>
          <w:tblHeader/>
        </w:trPr>
        <w:tc>
          <w:tcPr>
            <w:tcW w:w="5400" w:type="dxa"/>
            <w:shd w:val="clear" w:color="auto" w:fill="0072C6"/>
          </w:tcPr>
          <w:p w14:paraId="6763C431" w14:textId="46CCEE57" w:rsidR="00515EF4" w:rsidRPr="00EF7CF9" w:rsidRDefault="00AC48A7" w:rsidP="002A586E">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796A899A" w14:textId="77777777" w:rsidR="00515EF4" w:rsidRPr="00EF7CF9" w:rsidRDefault="00515EF4" w:rsidP="002A586E">
            <w:pPr>
              <w:pStyle w:val="ProductList-OfferingBody"/>
              <w:jc w:val="center"/>
              <w:rPr>
                <w:color w:val="FFFFFF" w:themeColor="background1"/>
              </w:rPr>
            </w:pPr>
            <w:r>
              <w:rPr>
                <w:color w:val="FFFFFF" w:themeColor="background1"/>
              </w:rPr>
              <w:t>Servicegutschrift</w:t>
            </w:r>
          </w:p>
        </w:tc>
      </w:tr>
      <w:tr w:rsidR="00515EF4" w:rsidRPr="00B44CF9" w14:paraId="3FB6EA7D" w14:textId="77777777" w:rsidTr="00515EF4">
        <w:tc>
          <w:tcPr>
            <w:tcW w:w="5400" w:type="dxa"/>
          </w:tcPr>
          <w:p w14:paraId="04CAFA50" w14:textId="61E959DE" w:rsidR="00515EF4" w:rsidRPr="00EF7CF9" w:rsidRDefault="00515EF4" w:rsidP="002A586E">
            <w:pPr>
              <w:pStyle w:val="ProductList-OfferingBody"/>
              <w:jc w:val="center"/>
            </w:pPr>
            <w:r>
              <w:t>&lt; 99,9 %</w:t>
            </w:r>
          </w:p>
        </w:tc>
        <w:tc>
          <w:tcPr>
            <w:tcW w:w="5400" w:type="dxa"/>
          </w:tcPr>
          <w:p w14:paraId="79F178DF" w14:textId="7F10E0CE" w:rsidR="00515EF4" w:rsidRPr="00EF7CF9" w:rsidRDefault="00515EF4" w:rsidP="002A586E">
            <w:pPr>
              <w:pStyle w:val="ProductList-OfferingBody"/>
              <w:jc w:val="center"/>
            </w:pPr>
            <w:r>
              <w:t>25 %</w:t>
            </w:r>
          </w:p>
        </w:tc>
      </w:tr>
      <w:tr w:rsidR="00515EF4" w:rsidRPr="00B44CF9" w14:paraId="777F4AA6" w14:textId="77777777" w:rsidTr="00515EF4">
        <w:tc>
          <w:tcPr>
            <w:tcW w:w="5400" w:type="dxa"/>
          </w:tcPr>
          <w:p w14:paraId="674E9167" w14:textId="50297AE8" w:rsidR="00515EF4" w:rsidRPr="00EF7CF9" w:rsidRDefault="00515EF4" w:rsidP="002A586E">
            <w:pPr>
              <w:pStyle w:val="ProductList-OfferingBody"/>
              <w:jc w:val="center"/>
            </w:pPr>
            <w:r>
              <w:t>&lt; 99 %</w:t>
            </w:r>
          </w:p>
        </w:tc>
        <w:tc>
          <w:tcPr>
            <w:tcW w:w="5400" w:type="dxa"/>
          </w:tcPr>
          <w:p w14:paraId="4C2D0E02" w14:textId="661EED97" w:rsidR="00515EF4" w:rsidRPr="00EF7CF9" w:rsidRDefault="00515EF4" w:rsidP="002A586E">
            <w:pPr>
              <w:pStyle w:val="ProductList-OfferingBody"/>
              <w:jc w:val="center"/>
            </w:pPr>
            <w:r>
              <w:t>50 %</w:t>
            </w:r>
          </w:p>
        </w:tc>
      </w:tr>
      <w:tr w:rsidR="00515EF4" w:rsidRPr="00B44CF9" w14:paraId="4EB982B3" w14:textId="77777777" w:rsidTr="00515EF4">
        <w:tc>
          <w:tcPr>
            <w:tcW w:w="5400" w:type="dxa"/>
          </w:tcPr>
          <w:p w14:paraId="1CE067A9" w14:textId="625CE747" w:rsidR="00515EF4" w:rsidRPr="00EF7CF9" w:rsidRDefault="00515EF4" w:rsidP="002A586E">
            <w:pPr>
              <w:pStyle w:val="ProductList-OfferingBody"/>
              <w:jc w:val="center"/>
            </w:pPr>
            <w:r>
              <w:t>&lt; 95 %</w:t>
            </w:r>
          </w:p>
        </w:tc>
        <w:tc>
          <w:tcPr>
            <w:tcW w:w="5400" w:type="dxa"/>
          </w:tcPr>
          <w:p w14:paraId="67F575EA" w14:textId="0AACC5D0" w:rsidR="00515EF4" w:rsidRPr="00EF7CF9" w:rsidRDefault="00515EF4" w:rsidP="002A586E">
            <w:pPr>
              <w:pStyle w:val="ProductList-OfferingBody"/>
              <w:jc w:val="center"/>
            </w:pPr>
            <w:r>
              <w:t>100 %</w:t>
            </w:r>
          </w:p>
        </w:tc>
      </w:tr>
    </w:tbl>
    <w:p w14:paraId="087D7891" w14:textId="25FE396F" w:rsidR="00515EF4" w:rsidRPr="00EF7CF9" w:rsidRDefault="00515EF4" w:rsidP="00133A8D">
      <w:pPr>
        <w:pStyle w:val="ProductList-Body"/>
        <w:spacing w:before="120"/>
      </w:pPr>
      <w:r>
        <w:rPr>
          <w:b/>
          <w:color w:val="00188F"/>
        </w:rPr>
        <w:t>Service-Level-Ausnahmen</w:t>
      </w:r>
      <w:r w:rsidRPr="00633DA0">
        <w:rPr>
          <w:b/>
          <w:bCs/>
          <w:color w:val="00188F"/>
        </w:rPr>
        <w:t>:</w:t>
      </w:r>
      <w:r>
        <w:t xml:space="preserve"> Diese SLA gilt nicht für den Erwerb der Bing Maps Enterprise-Plattform über Open Value und Open Value Subscription-Volumenlizenzverträge.</w:t>
      </w:r>
    </w:p>
    <w:p w14:paraId="084D7DBE" w14:textId="3EE05600" w:rsidR="001E0407" w:rsidRPr="00EF7CF9" w:rsidRDefault="00515EF4" w:rsidP="00133A8D">
      <w:pPr>
        <w:pStyle w:val="ProductList-Body"/>
        <w:spacing w:before="120"/>
      </w:pPr>
      <w:r>
        <w:t>Servicegutschriften sind in folgenden Fällen nicht anwendbar: (i) Wenn Sie jegliche Dienstaktualisierungen nicht innerhalb des in den Nutzungsbestimmungen für die Bing Maps Platform API angegebenen Zeitraums implementieren, und (ii) wenn Sie Microsoft nicht mindestens neunzig (90) Tage im Voraus über jeden bekannten wesentlichen Anstieg des Nutzungsvolumens benachrichtigen, wobei als wesentlicher Anstieg des Nutzungsvolumens 50 % oder mehr der Nutzung im vorherigen Anwendbaren Zeitraum definiert sind.</w:t>
      </w:r>
    </w:p>
    <w:bookmarkStart w:id="605" w:name="_Toc413421605"/>
    <w:bookmarkStart w:id="606" w:name="_Toc457821593"/>
    <w:p w14:paraId="49C9CED0" w14:textId="33B75050"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710B993D" w14:textId="77777777" w:rsidR="00FD7891" w:rsidRPr="00EF7CF9" w:rsidRDefault="00FD7891" w:rsidP="002D6760">
      <w:pPr>
        <w:pStyle w:val="ProductList-Offering2Heading"/>
        <w:keepNext/>
        <w:outlineLvl w:val="2"/>
      </w:pPr>
      <w:bookmarkStart w:id="607" w:name="_Toc195543226"/>
      <w:bookmarkStart w:id="608" w:name="_Toc237449087"/>
      <w:r>
        <w:t>Bing Maps Mobile Asset Management</w:t>
      </w:r>
      <w:bookmarkEnd w:id="605"/>
      <w:bookmarkEnd w:id="606"/>
      <w:bookmarkEnd w:id="607"/>
      <w:bookmarkEnd w:id="608"/>
    </w:p>
    <w:p w14:paraId="65029C5D" w14:textId="606DEF1A" w:rsidR="00FD7891" w:rsidRPr="00EF7CF9" w:rsidRDefault="00FD7891" w:rsidP="002A586E">
      <w:pPr>
        <w:pStyle w:val="ProductList-Body"/>
      </w:pPr>
      <w:r>
        <w:rPr>
          <w:b/>
          <w:color w:val="00188F"/>
        </w:rPr>
        <w:t>Ausfallzeit</w:t>
      </w:r>
      <w:r w:rsidRPr="00633DA0">
        <w:rPr>
          <w:b/>
          <w:bCs/>
          <w:color w:val="00188F"/>
        </w:rPr>
        <w:t>:</w:t>
      </w:r>
      <w:r>
        <w:t xml:space="preserve"> Jeder Zeitraum, in dem der Dienst entsprechend den Messungen in den Rechenzentren von Microsoft nicht verfügbar ist, vorausgesetzt, es werden die Zugriffs-, Authentifizierungs- und Verfolgungsmethoden verwendet, die in den Bing Maps Platform SDKs dokumentiert sind.</w:t>
      </w:r>
    </w:p>
    <w:p w14:paraId="10C2AC36" w14:textId="7B6AEA68" w:rsidR="00FD7891" w:rsidRPr="00EF7CF9" w:rsidRDefault="00AC48A7" w:rsidP="002A586E">
      <w:pPr>
        <w:pStyle w:val="ProductList-Body"/>
      </w:pPr>
      <w:r>
        <w:rPr>
          <w:b/>
          <w:color w:val="00188F"/>
        </w:rPr>
        <w:t>Betriebszeitprozentsatz</w:t>
      </w:r>
      <w:r w:rsidRPr="00633DA0">
        <w:rPr>
          <w:b/>
          <w:bCs/>
          <w:color w:val="00188F"/>
        </w:rPr>
        <w:t>:</w:t>
      </w:r>
      <w:r>
        <w:t xml:space="preserve"> Der Betriebszeitprozentsatz errechnet sich nach folgender Formel:</w:t>
      </w:r>
    </w:p>
    <w:p w14:paraId="3D1C7AD3" w14:textId="665985A6" w:rsidR="00FD7891" w:rsidRPr="00EF7CF9" w:rsidRDefault="00000000" w:rsidP="00DD7BB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Gesamtzahl der Minuten in einem Anwendbaren Zeitraum abzüglich Ausfallzeit</m:t>
              </m:r>
            </m:num>
            <m:den>
              <m:r>
                <m:rPr>
                  <m:nor/>
                </m:rPr>
                <w:rPr>
                  <w:rFonts w:ascii="Cambria Math" w:hAnsi="Cambria Math" w:cs="Calibri"/>
                  <w:i/>
                  <w:sz w:val="18"/>
                  <w:szCs w:val="18"/>
                </w:rPr>
                <m:t>Gesamtzahl der Minuten in einem Anwendbaren Zeitraum</m:t>
              </m:r>
            </m:den>
          </m:f>
          <m:r>
            <w:rPr>
              <w:rFonts w:ascii="Cambria Math" w:hAnsi="Cambria Math" w:cs="Calibri"/>
              <w:sz w:val="18"/>
              <w:szCs w:val="18"/>
            </w:rPr>
            <m:t xml:space="preserve"> x 100</m:t>
          </m:r>
        </m:oMath>
      </m:oMathPara>
    </w:p>
    <w:p w14:paraId="08A0B750" w14:textId="3A875414" w:rsidR="00FD7891" w:rsidRDefault="00FD7891" w:rsidP="002A586E">
      <w:pPr>
        <w:pStyle w:val="ProductList-Body"/>
      </w:pPr>
      <w:r>
        <w:t>wobei die Ausfallzeit als die Gesamtzahl der Minuten während des Anwendbaren Zeitraums gemessen wird, in denen die oben genannten Aspekte des Dienstes nicht verfügbar sind.</w:t>
      </w:r>
    </w:p>
    <w:p w14:paraId="5E9C07B0" w14:textId="77777777" w:rsidR="0090752C" w:rsidRPr="00EF7CF9" w:rsidRDefault="0090752C" w:rsidP="002A586E">
      <w:pPr>
        <w:pStyle w:val="ProductList-Body"/>
      </w:pPr>
    </w:p>
    <w:p w14:paraId="152AABCC" w14:textId="6C944870" w:rsidR="00FD7891" w:rsidRPr="00EF7CF9" w:rsidRDefault="00FD7891" w:rsidP="002A586E">
      <w:pPr>
        <w:pStyle w:val="ProductList-Body"/>
      </w:pPr>
      <w:r>
        <w:rPr>
          <w:b/>
          <w:color w:val="00188F"/>
        </w:rPr>
        <w:t>Servicegutschrift</w:t>
      </w:r>
      <w:r w:rsidRPr="00633DA0">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D7891" w:rsidRPr="00B44CF9" w14:paraId="284D0B9B" w14:textId="77777777" w:rsidTr="00085A0D">
        <w:trPr>
          <w:tblHeader/>
        </w:trPr>
        <w:tc>
          <w:tcPr>
            <w:tcW w:w="5400" w:type="dxa"/>
            <w:shd w:val="clear" w:color="auto" w:fill="0072C6"/>
          </w:tcPr>
          <w:p w14:paraId="210D6C28" w14:textId="74B166B1" w:rsidR="00FD7891" w:rsidRPr="00EF7CF9" w:rsidRDefault="00AC48A7" w:rsidP="002A586E">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1AFAF31B" w14:textId="77777777" w:rsidR="00FD7891" w:rsidRPr="00EF7CF9" w:rsidRDefault="00FD7891" w:rsidP="002A586E">
            <w:pPr>
              <w:pStyle w:val="ProductList-OfferingBody"/>
              <w:jc w:val="center"/>
              <w:rPr>
                <w:color w:val="FFFFFF" w:themeColor="background1"/>
              </w:rPr>
            </w:pPr>
            <w:r>
              <w:rPr>
                <w:color w:val="FFFFFF" w:themeColor="background1"/>
              </w:rPr>
              <w:t>Servicegutschrift</w:t>
            </w:r>
          </w:p>
        </w:tc>
      </w:tr>
      <w:tr w:rsidR="00FD7891" w:rsidRPr="00B44CF9" w14:paraId="50ECA16C" w14:textId="77777777" w:rsidTr="00085A0D">
        <w:tc>
          <w:tcPr>
            <w:tcW w:w="5400" w:type="dxa"/>
          </w:tcPr>
          <w:p w14:paraId="2EC30703" w14:textId="77777777" w:rsidR="00FD7891" w:rsidRPr="00EF7CF9" w:rsidRDefault="00FD7891" w:rsidP="002A586E">
            <w:pPr>
              <w:pStyle w:val="ProductList-OfferingBody"/>
              <w:jc w:val="center"/>
            </w:pPr>
            <w:r>
              <w:t>&lt; 99,9 %</w:t>
            </w:r>
          </w:p>
        </w:tc>
        <w:tc>
          <w:tcPr>
            <w:tcW w:w="5400" w:type="dxa"/>
          </w:tcPr>
          <w:p w14:paraId="0AF0BF6E" w14:textId="77777777" w:rsidR="00FD7891" w:rsidRPr="00EF7CF9" w:rsidRDefault="00FD7891" w:rsidP="002A586E">
            <w:pPr>
              <w:pStyle w:val="ProductList-OfferingBody"/>
              <w:jc w:val="center"/>
            </w:pPr>
            <w:r>
              <w:t>25 %</w:t>
            </w:r>
          </w:p>
        </w:tc>
      </w:tr>
      <w:tr w:rsidR="00FD7891" w:rsidRPr="00B44CF9" w14:paraId="43224057" w14:textId="77777777" w:rsidTr="00085A0D">
        <w:tc>
          <w:tcPr>
            <w:tcW w:w="5400" w:type="dxa"/>
          </w:tcPr>
          <w:p w14:paraId="20F98A7F" w14:textId="77777777" w:rsidR="00FD7891" w:rsidRPr="00EF7CF9" w:rsidRDefault="00FD7891" w:rsidP="002A586E">
            <w:pPr>
              <w:pStyle w:val="ProductList-OfferingBody"/>
              <w:jc w:val="center"/>
            </w:pPr>
            <w:r>
              <w:t>&lt; 99 %</w:t>
            </w:r>
          </w:p>
        </w:tc>
        <w:tc>
          <w:tcPr>
            <w:tcW w:w="5400" w:type="dxa"/>
          </w:tcPr>
          <w:p w14:paraId="2042F0F2" w14:textId="77777777" w:rsidR="00FD7891" w:rsidRPr="00EF7CF9" w:rsidRDefault="00FD7891" w:rsidP="002A586E">
            <w:pPr>
              <w:pStyle w:val="ProductList-OfferingBody"/>
              <w:jc w:val="center"/>
            </w:pPr>
            <w:r>
              <w:t>50 %</w:t>
            </w:r>
          </w:p>
        </w:tc>
      </w:tr>
      <w:tr w:rsidR="00FD7891" w:rsidRPr="00B44CF9" w14:paraId="464E7413" w14:textId="77777777" w:rsidTr="00085A0D">
        <w:tc>
          <w:tcPr>
            <w:tcW w:w="5400" w:type="dxa"/>
          </w:tcPr>
          <w:p w14:paraId="140B2DF0" w14:textId="77777777" w:rsidR="00FD7891" w:rsidRPr="00EF7CF9" w:rsidRDefault="00FD7891" w:rsidP="002A586E">
            <w:pPr>
              <w:pStyle w:val="ProductList-OfferingBody"/>
              <w:jc w:val="center"/>
            </w:pPr>
            <w:r>
              <w:t>&lt; 95 %</w:t>
            </w:r>
          </w:p>
        </w:tc>
        <w:tc>
          <w:tcPr>
            <w:tcW w:w="5400" w:type="dxa"/>
          </w:tcPr>
          <w:p w14:paraId="0BEE0BFC" w14:textId="77777777" w:rsidR="00FD7891" w:rsidRPr="00EF7CF9" w:rsidRDefault="00FD7891" w:rsidP="002A586E">
            <w:pPr>
              <w:pStyle w:val="ProductList-OfferingBody"/>
              <w:jc w:val="center"/>
            </w:pPr>
            <w:r>
              <w:t>100 %</w:t>
            </w:r>
          </w:p>
        </w:tc>
      </w:tr>
    </w:tbl>
    <w:p w14:paraId="6FE4E46D" w14:textId="773326ED" w:rsidR="00FD7891" w:rsidRPr="00EF7CF9" w:rsidRDefault="00FD7891" w:rsidP="00133A8D">
      <w:pPr>
        <w:pStyle w:val="ProductList-Body"/>
        <w:spacing w:before="120"/>
      </w:pPr>
      <w:r>
        <w:rPr>
          <w:b/>
          <w:color w:val="00188F"/>
        </w:rPr>
        <w:t>Service-Level-Ausnahmen</w:t>
      </w:r>
      <w:r w:rsidRPr="00633DA0">
        <w:rPr>
          <w:b/>
          <w:bCs/>
          <w:color w:val="00188F"/>
        </w:rPr>
        <w:t>:</w:t>
      </w:r>
      <w:r>
        <w:t xml:space="preserve"> Diese SLA gilt nicht für den Erwerb der Bing Maps Enterprise-Plattform über Open Value und Open Value Subscription-Volumenlizenzverträge.</w:t>
      </w:r>
    </w:p>
    <w:p w14:paraId="3F493427" w14:textId="54BD95ED" w:rsidR="00FD7891" w:rsidRPr="00EF7CF9" w:rsidRDefault="00FD7891" w:rsidP="00133A8D">
      <w:pPr>
        <w:pStyle w:val="ProductList-Body"/>
        <w:keepNext/>
        <w:spacing w:before="120"/>
      </w:pPr>
      <w:r>
        <w:t>Servicegutschriften sind in folgenden Fällen nicht anwendbar: (i) Wenn Sie jegliche Dienstaktualisierungen nicht innerhalb des in den Nutzungsbestimmungen für die Bing Maps Platform API angegebenen Zeitraums implementieren, und (ii) wenn Sie Microsoft nicht mindestens neunzig (90) Tage im Voraus über jeden bekannten wesentlichen Anstieg des Nutzungsvolumens benachrichtigen, wobei als wesentlicher Anstieg des Nutzungsvolumens 50 % oder mehr der Nutzung im vorherigen Anwendbaren Zeitraum definiert sind.</w:t>
      </w:r>
    </w:p>
    <w:bookmarkStart w:id="609" w:name="Intune"/>
    <w:bookmarkStart w:id="610" w:name="PowerBIPro"/>
    <w:p w14:paraId="5E0FF0FB" w14:textId="629A108B"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55C15C4F" w14:textId="77777777" w:rsidR="00F06C94" w:rsidRPr="00EF7CF9" w:rsidRDefault="00F06C94" w:rsidP="002A586E">
      <w:pPr>
        <w:pStyle w:val="ProductList-Offering2Heading"/>
        <w:tabs>
          <w:tab w:val="clear" w:pos="360"/>
          <w:tab w:val="clear" w:pos="720"/>
          <w:tab w:val="clear" w:pos="1080"/>
        </w:tabs>
        <w:outlineLvl w:val="2"/>
      </w:pPr>
      <w:bookmarkStart w:id="611" w:name="_Toc195543227"/>
      <w:bookmarkStart w:id="612" w:name="_Toc237449088"/>
      <w:r>
        <w:t>Microsoft Cloud App Security</w:t>
      </w:r>
      <w:bookmarkEnd w:id="611"/>
      <w:bookmarkEnd w:id="612"/>
    </w:p>
    <w:p w14:paraId="75FF14F8" w14:textId="5F93533E" w:rsidR="00F06C94" w:rsidRPr="00EF7CF9" w:rsidRDefault="00F06C94" w:rsidP="002A586E">
      <w:pPr>
        <w:pStyle w:val="ProductList-Body"/>
      </w:pPr>
      <w:r>
        <w:rPr>
          <w:b/>
          <w:color w:val="00188F"/>
        </w:rPr>
        <w:t>Ausfallzeit</w:t>
      </w:r>
      <w:r w:rsidRPr="00633DA0">
        <w:rPr>
          <w:b/>
          <w:bCs/>
          <w:color w:val="00188F"/>
        </w:rPr>
        <w:t>:</w:t>
      </w:r>
      <w:r>
        <w:t xml:space="preserve"> Jeder Zeitraum, in dem sich der IT-Administrator des Kunden oder vom Kunden autorisierte Nutzer nicht mit den richtigen Anmeldeinformationen anmelden können. Geplante Ausfallzeiten betragen maximal 10 Stunden pro Kalenderjahr.</w:t>
      </w:r>
    </w:p>
    <w:p w14:paraId="4E621058" w14:textId="55CFFED2" w:rsidR="00F06C94" w:rsidRDefault="00AC48A7" w:rsidP="002A586E">
      <w:pPr>
        <w:pStyle w:val="ProductList-Body"/>
      </w:pPr>
      <w:r>
        <w:rPr>
          <w:b/>
          <w:color w:val="00188F"/>
        </w:rPr>
        <w:t>Betriebszeitprozentsatz</w:t>
      </w:r>
      <w:r w:rsidRPr="00633DA0">
        <w:rPr>
          <w:b/>
          <w:bCs/>
          <w:color w:val="00188F"/>
        </w:rPr>
        <w:t>:</w:t>
      </w:r>
      <w:r>
        <w:t xml:space="preserve"> Der Betriebszeitprozentsatz errechnet sich nach folgender Formel:</w:t>
      </w:r>
    </w:p>
    <w:p w14:paraId="2319D5B0" w14:textId="136920BA" w:rsidR="00F06C94" w:rsidRPr="009E2B16" w:rsidRDefault="00000000" w:rsidP="00DD7BB6">
      <w:pPr>
        <w:spacing w:before="120" w:after="120" w:line="240" w:lineRule="auto"/>
        <w:jc w:val="both"/>
        <w:rPr>
          <w:rFonts w:ascii="Cambria Math" w:hAnsi="Cambria Math" w:cs="Calibri"/>
          <w:i/>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Nutzerminuten abzüglich Ausfallzeit</m:t>
              </m:r>
            </m:num>
            <m:den>
              <m:r>
                <m:rPr>
                  <m:nor/>
                </m:rPr>
                <w:rPr>
                  <w:rFonts w:ascii="Cambria Math" w:hAnsi="Cambria Math" w:cs="Calibri"/>
                  <w:i/>
                  <w:sz w:val="18"/>
                  <w:szCs w:val="18"/>
                </w:rPr>
                <m:t>Nutzerminuten</m:t>
              </m:r>
            </m:den>
          </m:f>
          <m:r>
            <w:rPr>
              <w:rFonts w:ascii="Cambria Math" w:hAnsi="Cambria Math" w:cs="Calibri"/>
              <w:sz w:val="18"/>
              <w:szCs w:val="18"/>
            </w:rPr>
            <m:t xml:space="preserve"> x 100</m:t>
          </m:r>
        </m:oMath>
      </m:oMathPara>
    </w:p>
    <w:p w14:paraId="563EA36A" w14:textId="03030F6F" w:rsidR="00F06C94" w:rsidRDefault="00AC48A7" w:rsidP="002A586E">
      <w:pPr>
        <w:pStyle w:val="ProductList-Body"/>
      </w:pPr>
      <w: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00EB312C" w14:textId="77777777" w:rsidR="0090752C" w:rsidRPr="00EF7CF9" w:rsidRDefault="0090752C" w:rsidP="002A586E">
      <w:pPr>
        <w:pStyle w:val="ProductList-Body"/>
      </w:pPr>
    </w:p>
    <w:p w14:paraId="4BE32466" w14:textId="77777777" w:rsidR="00F06C94" w:rsidRPr="00EF7CF9" w:rsidRDefault="00F06C94" w:rsidP="002A586E">
      <w:pPr>
        <w:pStyle w:val="ProductList-Body"/>
      </w:pPr>
      <w:r>
        <w:rPr>
          <w:b/>
          <w:bCs/>
          <w:color w:val="00188F"/>
        </w:rPr>
        <w:t>Servicegutschrift</w:t>
      </w:r>
      <w:r w:rsidRPr="00633DA0">
        <w:rPr>
          <w:b/>
          <w:bCs/>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400"/>
        <w:gridCol w:w="5400"/>
      </w:tblGrid>
      <w:tr w:rsidR="00F06C94" w:rsidRPr="00B44CF9" w14:paraId="2367C59E" w14:textId="77777777" w:rsidTr="00B75220">
        <w:trPr>
          <w:tblHeader/>
        </w:trPr>
        <w:tc>
          <w:tcPr>
            <w:tcW w:w="5400" w:type="dxa"/>
            <w:shd w:val="clear" w:color="auto" w:fill="0072C6"/>
            <w:tcMar>
              <w:top w:w="0" w:type="dxa"/>
              <w:left w:w="108" w:type="dxa"/>
              <w:bottom w:w="0" w:type="dxa"/>
              <w:right w:w="108" w:type="dxa"/>
            </w:tcMar>
            <w:hideMark/>
          </w:tcPr>
          <w:p w14:paraId="63F83DC9" w14:textId="2773D265" w:rsidR="00F06C94" w:rsidRPr="00EF7CF9" w:rsidRDefault="00AC48A7" w:rsidP="002A586E">
            <w:pPr>
              <w:pStyle w:val="ProductList-OfferingBody"/>
              <w:spacing w:line="252" w:lineRule="auto"/>
              <w:jc w:val="center"/>
              <w:rPr>
                <w:color w:val="FFFFFF"/>
              </w:rPr>
            </w:pPr>
            <w:r>
              <w:rPr>
                <w:color w:val="FFFFFF"/>
              </w:rPr>
              <w:t>Betriebszeitprozentsatz</w:t>
            </w:r>
          </w:p>
        </w:tc>
        <w:tc>
          <w:tcPr>
            <w:tcW w:w="5400" w:type="dxa"/>
            <w:shd w:val="clear" w:color="auto" w:fill="0072C6"/>
            <w:tcMar>
              <w:top w:w="0" w:type="dxa"/>
              <w:left w:w="108" w:type="dxa"/>
              <w:bottom w:w="0" w:type="dxa"/>
              <w:right w:w="108" w:type="dxa"/>
            </w:tcMar>
            <w:hideMark/>
          </w:tcPr>
          <w:p w14:paraId="456734F7" w14:textId="77777777" w:rsidR="00F06C94" w:rsidRPr="00EF7CF9" w:rsidRDefault="00F06C94" w:rsidP="002A586E">
            <w:pPr>
              <w:pStyle w:val="ProductList-OfferingBody"/>
              <w:spacing w:line="252" w:lineRule="auto"/>
              <w:jc w:val="center"/>
              <w:rPr>
                <w:color w:val="FFFFFF"/>
              </w:rPr>
            </w:pPr>
            <w:r>
              <w:rPr>
                <w:color w:val="FFFFFF"/>
              </w:rPr>
              <w:t>Servicegutschrift</w:t>
            </w:r>
          </w:p>
        </w:tc>
      </w:tr>
      <w:tr w:rsidR="00F06C94" w:rsidRPr="00B44CF9" w14:paraId="2BDCFE67" w14:textId="77777777" w:rsidTr="00B75220">
        <w:tc>
          <w:tcPr>
            <w:tcW w:w="5400" w:type="dxa"/>
            <w:tcMar>
              <w:top w:w="0" w:type="dxa"/>
              <w:left w:w="108" w:type="dxa"/>
              <w:bottom w:w="0" w:type="dxa"/>
              <w:right w:w="108" w:type="dxa"/>
            </w:tcMar>
            <w:hideMark/>
          </w:tcPr>
          <w:p w14:paraId="5F1508BA" w14:textId="77777777" w:rsidR="00F06C94" w:rsidRPr="00EF7CF9" w:rsidRDefault="00F06C94" w:rsidP="002A586E">
            <w:pPr>
              <w:pStyle w:val="ProductList-OfferingBody"/>
              <w:spacing w:line="252" w:lineRule="auto"/>
              <w:jc w:val="center"/>
            </w:pPr>
            <w:r>
              <w:t>&lt; 99,9 %</w:t>
            </w:r>
          </w:p>
        </w:tc>
        <w:tc>
          <w:tcPr>
            <w:tcW w:w="5400" w:type="dxa"/>
            <w:tcMar>
              <w:top w:w="0" w:type="dxa"/>
              <w:left w:w="108" w:type="dxa"/>
              <w:bottom w:w="0" w:type="dxa"/>
              <w:right w:w="108" w:type="dxa"/>
            </w:tcMar>
            <w:hideMark/>
          </w:tcPr>
          <w:p w14:paraId="44FCA89A" w14:textId="77777777" w:rsidR="00F06C94" w:rsidRPr="00EF7CF9" w:rsidRDefault="00F06C94" w:rsidP="002A586E">
            <w:pPr>
              <w:pStyle w:val="ProductList-OfferingBody"/>
              <w:spacing w:line="252" w:lineRule="auto"/>
              <w:jc w:val="center"/>
            </w:pPr>
            <w:r>
              <w:t>10 %</w:t>
            </w:r>
          </w:p>
        </w:tc>
      </w:tr>
      <w:tr w:rsidR="00F06C94" w:rsidRPr="00B44CF9" w14:paraId="4D7617D8" w14:textId="77777777" w:rsidTr="00B75220">
        <w:tc>
          <w:tcPr>
            <w:tcW w:w="5400" w:type="dxa"/>
            <w:tcMar>
              <w:top w:w="0" w:type="dxa"/>
              <w:left w:w="108" w:type="dxa"/>
              <w:bottom w:w="0" w:type="dxa"/>
              <w:right w:w="108" w:type="dxa"/>
            </w:tcMar>
            <w:hideMark/>
          </w:tcPr>
          <w:p w14:paraId="581882D1" w14:textId="77777777" w:rsidR="00F06C94" w:rsidRPr="00EF7CF9" w:rsidRDefault="00F06C94" w:rsidP="002A586E">
            <w:pPr>
              <w:pStyle w:val="ProductList-OfferingBody"/>
              <w:spacing w:line="252" w:lineRule="auto"/>
              <w:jc w:val="center"/>
            </w:pPr>
            <w:r>
              <w:t>&lt; 99 %</w:t>
            </w:r>
          </w:p>
        </w:tc>
        <w:tc>
          <w:tcPr>
            <w:tcW w:w="5400" w:type="dxa"/>
            <w:tcMar>
              <w:top w:w="0" w:type="dxa"/>
              <w:left w:w="108" w:type="dxa"/>
              <w:bottom w:w="0" w:type="dxa"/>
              <w:right w:w="108" w:type="dxa"/>
            </w:tcMar>
            <w:hideMark/>
          </w:tcPr>
          <w:p w14:paraId="3F5F7E1E" w14:textId="77777777" w:rsidR="00F06C94" w:rsidRPr="00EF7CF9" w:rsidRDefault="00F06C94" w:rsidP="002A586E">
            <w:pPr>
              <w:pStyle w:val="ProductList-OfferingBody"/>
              <w:spacing w:line="252" w:lineRule="auto"/>
              <w:jc w:val="center"/>
            </w:pPr>
            <w:r>
              <w:t>25 %</w:t>
            </w:r>
          </w:p>
        </w:tc>
      </w:tr>
    </w:tbl>
    <w:p w14:paraId="5AF92A53" w14:textId="4377F599" w:rsidR="00F06C94" w:rsidRPr="00EF7CF9" w:rsidRDefault="00F06C94" w:rsidP="00133A8D">
      <w:pPr>
        <w:pStyle w:val="ProductList-Body"/>
        <w:spacing w:before="120"/>
      </w:pPr>
      <w:r>
        <w:rPr>
          <w:b/>
          <w:color w:val="00188F"/>
        </w:rPr>
        <w:t>Service-Level-Ausnahmen</w:t>
      </w:r>
      <w:r w:rsidRPr="00633DA0">
        <w:rPr>
          <w:b/>
          <w:bCs/>
          <w:color w:val="00188F"/>
        </w:rPr>
        <w:t>:</w:t>
      </w:r>
      <w:r>
        <w:t xml:space="preserve"> Das Service-Level findet keine Anwendung auf: (i) Vor-Ort-Software, die als Teil des Diensteabonnements lizenziert ist, oder (ii) internetbasierte Dienste (mit Ausnahme von Microsoft Cloud App Security), die Updates über eine Anwendungsprogrammierschnittstelle (Application Programming Interface, API) an Dienste bereitstellen, die als Teil des Diensteabonnements lizenziert sind.</w:t>
      </w:r>
    </w:p>
    <w:p w14:paraId="249CAAD9" w14:textId="62AB0DC6"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5B350296" w14:textId="4AE082CD" w:rsidR="0050657D" w:rsidRDefault="001E05AD" w:rsidP="00DC0631">
      <w:pPr>
        <w:pStyle w:val="ProductList-Offering2Heading"/>
        <w:tabs>
          <w:tab w:val="clear" w:pos="360"/>
          <w:tab w:val="clear" w:pos="720"/>
          <w:tab w:val="clear" w:pos="1080"/>
        </w:tabs>
        <w:outlineLvl w:val="2"/>
      </w:pPr>
      <w:bookmarkStart w:id="613" w:name="_Toc237449089"/>
      <w:bookmarkStart w:id="614" w:name="_Toc195543228"/>
      <w:r>
        <w:t xml:space="preserve">Microsoft </w:t>
      </w:r>
      <w:r w:rsidR="0050657D">
        <w:t>Dragon Copilot</w:t>
      </w:r>
      <w:bookmarkEnd w:id="613"/>
    </w:p>
    <w:p w14:paraId="326802C2" w14:textId="77777777" w:rsidR="00FE77B8" w:rsidRPr="00C130F5" w:rsidRDefault="00FE77B8" w:rsidP="00FE77B8">
      <w:pPr>
        <w:pStyle w:val="ProductList-Body"/>
        <w:rPr>
          <w:rFonts w:ascii="Calibri" w:hAnsi="Calibri" w:cs="Calibri"/>
          <w:b/>
          <w:color w:val="00188F"/>
        </w:rPr>
      </w:pPr>
      <w:r>
        <w:rPr>
          <w:rFonts w:ascii="Calibri" w:hAnsi="Calibri" w:cs="Calibri"/>
          <w:b/>
          <w:color w:val="00188F"/>
        </w:rPr>
        <w:t>Zusätzliche Definitionen:</w:t>
      </w:r>
    </w:p>
    <w:p w14:paraId="42B9BBCB" w14:textId="77777777" w:rsidR="00EF2B56" w:rsidRDefault="00EF2B56" w:rsidP="00EF2B56">
      <w:pPr>
        <w:pStyle w:val="ProductList-Body"/>
        <w:rPr>
          <w:rFonts w:ascii="Calibri" w:hAnsi="Calibri" w:cs="Calibri"/>
          <w:bCs/>
        </w:rPr>
      </w:pPr>
      <w:r>
        <w:rPr>
          <w:rFonts w:ascii="Calibri" w:hAnsi="Calibri" w:cs="Calibri"/>
          <w:b/>
          <w:color w:val="00188F"/>
        </w:rPr>
        <w:t xml:space="preserve">„Ambient Speech“ </w:t>
      </w:r>
      <w:r>
        <w:rPr>
          <w:rFonts w:ascii="Calibri" w:hAnsi="Calibri" w:cs="Calibri"/>
          <w:bCs/>
        </w:rPr>
        <w:t>bezeichnet die Möglichkeit, eine medizinische Behandlung oder andere Sprachaufnahmen aufzuzeichnen, um Ausgabedaten und/oder eine Dokumentation der Behandlung zu generieren.</w:t>
      </w:r>
    </w:p>
    <w:p w14:paraId="0B295E00" w14:textId="77777777" w:rsidR="00FE77B8" w:rsidRPr="00C130F5" w:rsidRDefault="00FE77B8" w:rsidP="00FE77B8">
      <w:pPr>
        <w:pStyle w:val="ProductList-Body"/>
        <w:rPr>
          <w:rFonts w:ascii="Calibri" w:hAnsi="Calibri" w:cs="Calibri"/>
          <w:b/>
          <w:color w:val="00188F"/>
        </w:rPr>
      </w:pPr>
      <w:r>
        <w:rPr>
          <w:rFonts w:ascii="Calibri" w:hAnsi="Calibri" w:cs="Calibri"/>
          <w:b/>
          <w:color w:val="00188F"/>
        </w:rPr>
        <w:t xml:space="preserve">„Ausfallzeit für Ambient Speech“ </w:t>
      </w:r>
      <w:r>
        <w:rPr>
          <w:rFonts w:ascii="Calibri" w:hAnsi="Calibri" w:cs="Calibri"/>
          <w:bCs/>
        </w:rPr>
        <w:t>bezeichnet die für Ambient Speech geltende Ausfallzeit. Die Ausfallzeit für Ambient Speech ist der Zeitraum in Minuten, in dem Ambient Speech aufgrund eines Absturzes, einer Fehlfunktion oder einer anderen Dienstunterbrechung, für die Microsoft verantwortlich ist, erheblich beeinträchtigt oder nicht verfügbar ist. Ambient Speech gilt als erheblich beeinträchtigt, wenn der Dienst unter normalen Netzwerkbedingungen nicht innerhalb von 15 Minuten reagiert.</w:t>
      </w:r>
    </w:p>
    <w:p w14:paraId="4D07E637" w14:textId="77777777" w:rsidR="00FE77B8" w:rsidRPr="00C130F5" w:rsidRDefault="00FE77B8" w:rsidP="00FE77B8">
      <w:pPr>
        <w:pStyle w:val="ProductList-Body"/>
        <w:rPr>
          <w:rFonts w:ascii="Calibri" w:hAnsi="Calibri" w:cs="Calibri"/>
          <w:b/>
          <w:color w:val="00188F"/>
        </w:rPr>
      </w:pPr>
      <w:r>
        <w:rPr>
          <w:rFonts w:ascii="Calibri" w:hAnsi="Calibri" w:cs="Calibri"/>
          <w:b/>
          <w:color w:val="00188F"/>
        </w:rPr>
        <w:t xml:space="preserve">„Front-End Speech“ </w:t>
      </w:r>
      <w:r>
        <w:rPr>
          <w:rFonts w:ascii="Calibri" w:hAnsi="Calibri" w:cs="Calibri"/>
          <w:bCs/>
        </w:rPr>
        <w:t>bezeichnet die Fähigkeit, Informationen in die Zielanwendung zu diktieren und bestimmte Aktionen mit expliziten Sprachbefehlen auszulösen.</w:t>
      </w:r>
    </w:p>
    <w:p w14:paraId="43179902" w14:textId="77777777" w:rsidR="00FE77B8" w:rsidRPr="00C130F5" w:rsidRDefault="00FE77B8" w:rsidP="00FE77B8">
      <w:pPr>
        <w:pStyle w:val="ProductList-Body"/>
        <w:rPr>
          <w:rFonts w:ascii="Calibri" w:hAnsi="Calibri" w:cs="Calibri"/>
          <w:b/>
          <w:color w:val="00188F"/>
        </w:rPr>
      </w:pPr>
      <w:r>
        <w:rPr>
          <w:rFonts w:ascii="Calibri" w:hAnsi="Calibri" w:cs="Calibri"/>
          <w:b/>
          <w:color w:val="00188F"/>
        </w:rPr>
        <w:t>„Ausfallzeit für Front-End-Speech“</w:t>
      </w:r>
      <w:r>
        <w:rPr>
          <w:rFonts w:ascii="Calibri" w:hAnsi="Calibri" w:cs="Calibri"/>
          <w:bCs/>
        </w:rPr>
        <w:t xml:space="preserve"> bezeichnet die für Front-End-Speech geltende Ausfallzeit. Die Ausfallzeit für Front-End-Speech ist der Zeitraum in Minuten, in dem Front-End-Speech aufgrund eines Absturzes, einer Fehlfunktion oder einer anderen Dienstunterbrechung, für die Microsoft verantwortlich ist, erheblich beeinträchtigt oder nicht verfügbar ist. Fron-End-Speech gilt als erheblich beeinträchtigt, wenn der Dienst unter normalen Netzwerkbedingungen nicht innerhalb von 2 Minuten reagiert.</w:t>
      </w:r>
    </w:p>
    <w:p w14:paraId="7B55B113" w14:textId="77777777" w:rsidR="00FE77B8" w:rsidRPr="00C130F5" w:rsidRDefault="00FE77B8" w:rsidP="00FE77B8">
      <w:pPr>
        <w:pStyle w:val="ProductList-Body"/>
        <w:rPr>
          <w:rFonts w:ascii="Calibri" w:hAnsi="Calibri" w:cs="Calibri"/>
          <w:b/>
          <w:color w:val="00188F"/>
        </w:rPr>
      </w:pPr>
      <w:r>
        <w:rPr>
          <w:rFonts w:ascii="Calibri" w:hAnsi="Calibri" w:cs="Calibri"/>
          <w:b/>
          <w:color w:val="00188F"/>
        </w:rPr>
        <w:t xml:space="preserve">Betriebszeitprozentsatz: </w:t>
      </w:r>
      <w:r>
        <w:rPr>
          <w:rFonts w:ascii="Calibri" w:hAnsi="Calibri" w:cs="Calibri"/>
          <w:bCs/>
        </w:rPr>
        <w:t>Der Betriebszeitprozentsatz für Ambient Speech wird anhand der folgenden Formel berechnet:</w:t>
      </w:r>
    </w:p>
    <w:p w14:paraId="21770D75" w14:textId="77777777" w:rsidR="00FE77B8" w:rsidRDefault="00000000" w:rsidP="00FE77B8">
      <w:pPr>
        <w:spacing w:before="120" w:after="120" w:line="240" w:lineRule="auto"/>
        <w:jc w:val="both"/>
        <w:rPr>
          <w:rFonts w:ascii="Aptos" w:eastAsia="Aptos" w:hAnsi="Aptos" w:cs="Aptos"/>
          <w:color w:val="000000" w:themeColor="text1"/>
          <w:sz w:val="18"/>
          <w:szCs w:val="18"/>
        </w:rPr>
      </w:pPr>
      <m:oMathPara>
        <m:oMath>
          <m:f>
            <m:fPr>
              <m:ctrlPr>
                <w:rPr>
                  <w:rFonts w:ascii="Cambria Math" w:hAnsi="Cambria Math"/>
                  <w:sz w:val="18"/>
                  <w:szCs w:val="18"/>
                </w:rPr>
              </m:ctrlPr>
            </m:fPr>
            <m:num>
              <m:r>
                <w:rPr>
                  <w:rFonts w:ascii="Cambria Math" w:hAnsi="Cambria Math"/>
                  <w:sz w:val="18"/>
                  <w:szCs w:val="18"/>
                </w:rPr>
                <m:t>Nutzerminuten - Ausfallzeit für Ambient Speech </m:t>
              </m:r>
            </m:num>
            <m:den>
              <m:r>
                <w:rPr>
                  <w:rFonts w:ascii="Cambria Math" w:hAnsi="Cambria Math"/>
                  <w:sz w:val="18"/>
                  <w:szCs w:val="18"/>
                </w:rPr>
                <m:t>Nutzerminuten</m:t>
              </m:r>
            </m:den>
          </m:f>
          <m:r>
            <w:rPr>
              <w:rFonts w:ascii="Cambria Math" w:hAnsi="Cambria Math"/>
              <w:sz w:val="18"/>
              <w:szCs w:val="18"/>
            </w:rPr>
            <m:t> x 100</m:t>
          </m:r>
        </m:oMath>
      </m:oMathPara>
    </w:p>
    <w:p w14:paraId="6F4BF62D" w14:textId="77777777" w:rsidR="00FE77B8" w:rsidRPr="005D7F76" w:rsidRDefault="00FE77B8" w:rsidP="00FE77B8">
      <w:pPr>
        <w:pStyle w:val="ProductList-Body"/>
        <w:rPr>
          <w:rFonts w:ascii="Calibri" w:hAnsi="Calibri" w:cs="Calibri"/>
          <w:bCs/>
        </w:rPr>
      </w:pPr>
      <w:r>
        <w:rPr>
          <w:rFonts w:ascii="Calibri" w:hAnsi="Calibri" w:cs="Calibri"/>
          <w:bCs/>
        </w:rPr>
        <w:t>Die Ausfallzeit für Ambient Speech wird in Nutzerminuten gemessen, d. h. für jeden anwendbaren Zeitraum ist die Ausfallzeit für Ambient Speech die Summe der Dauer (in Minuten) jedes Vorfalls, der während dieses anwendbaren Zeitraums auftritt, multipliziert mit der Anzahl der von diesem Vorfall betroffenen Nutzer.</w:t>
      </w:r>
    </w:p>
    <w:p w14:paraId="503010C9" w14:textId="77777777" w:rsidR="00FE77B8" w:rsidRPr="005D7F76" w:rsidRDefault="00FE77B8" w:rsidP="00FE77B8">
      <w:pPr>
        <w:tabs>
          <w:tab w:val="left" w:pos="360"/>
          <w:tab w:val="left" w:pos="720"/>
          <w:tab w:val="left" w:pos="1080"/>
        </w:tabs>
        <w:spacing w:after="0" w:line="240" w:lineRule="auto"/>
        <w:rPr>
          <w:rFonts w:ascii="Calibri" w:hAnsi="Calibri" w:cs="Calibri"/>
          <w:bCs/>
          <w:sz w:val="18"/>
        </w:rPr>
      </w:pPr>
    </w:p>
    <w:p w14:paraId="5F00D359" w14:textId="77777777" w:rsidR="00FE77B8" w:rsidRPr="005D7F76" w:rsidRDefault="00FE77B8" w:rsidP="00FE77B8">
      <w:pPr>
        <w:pStyle w:val="ProductList-Body"/>
        <w:rPr>
          <w:rFonts w:ascii="Calibri" w:hAnsi="Calibri" w:cs="Calibri"/>
          <w:bCs/>
        </w:rPr>
      </w:pPr>
      <w:r>
        <w:rPr>
          <w:rFonts w:ascii="Calibri" w:hAnsi="Calibri" w:cs="Calibri"/>
          <w:bCs/>
        </w:rPr>
        <w:t>Der Betriebszeitprozentsatz für Front-End-Speech wird anhand der folgenden Formel berechnet:</w:t>
      </w:r>
    </w:p>
    <w:p w14:paraId="3DB8DF7D" w14:textId="77777777" w:rsidR="00FE77B8" w:rsidRDefault="00000000" w:rsidP="00FE77B8">
      <w:pPr>
        <w:spacing w:before="120" w:after="120" w:line="240" w:lineRule="auto"/>
        <w:jc w:val="both"/>
      </w:pPr>
      <m:oMathPara>
        <m:oMath>
          <m:f>
            <m:fPr>
              <m:ctrlPr>
                <w:rPr>
                  <w:rFonts w:ascii="Cambria Math" w:hAnsi="Cambria Math"/>
                  <w:sz w:val="18"/>
                  <w:szCs w:val="18"/>
                </w:rPr>
              </m:ctrlPr>
            </m:fPr>
            <m:num>
              <m:r>
                <w:rPr>
                  <w:rFonts w:ascii="Cambria Math" w:hAnsi="Cambria Math"/>
                  <w:sz w:val="18"/>
                  <w:szCs w:val="18"/>
                </w:rPr>
                <m:t>Nutzerminuten - Ausfallzeit für Front-End-Speech </m:t>
              </m:r>
            </m:num>
            <m:den>
              <m:r>
                <w:rPr>
                  <w:rFonts w:ascii="Cambria Math" w:hAnsi="Cambria Math"/>
                  <w:sz w:val="18"/>
                  <w:szCs w:val="18"/>
                </w:rPr>
                <m:t>Nutzerminuten</m:t>
              </m:r>
            </m:den>
          </m:f>
          <m:r>
            <w:rPr>
              <w:rFonts w:ascii="Cambria Math" w:hAnsi="Cambria Math"/>
              <w:sz w:val="18"/>
              <w:szCs w:val="18"/>
            </w:rPr>
            <m:t> x 100</m:t>
          </m:r>
        </m:oMath>
      </m:oMathPara>
    </w:p>
    <w:p w14:paraId="7862964C" w14:textId="77777777" w:rsidR="00FE77B8" w:rsidRDefault="00FE77B8" w:rsidP="00FE77B8">
      <w:pPr>
        <w:pStyle w:val="ProductList-Body"/>
        <w:rPr>
          <w:rFonts w:ascii="Calibri" w:hAnsi="Calibri" w:cs="Calibri"/>
          <w:bCs/>
        </w:rPr>
      </w:pPr>
      <w:r>
        <w:rPr>
          <w:rFonts w:ascii="Calibri" w:hAnsi="Calibri" w:cs="Calibri"/>
          <w:bCs/>
        </w:rPr>
        <w:t>Die Ausfallzeit für Front-End-Speech wird in Nutzerminuten gemessen, d. h. für jeden anwendbaren Zeitraum ist die Ausfallzeit für Front-End-Speech die Summe der Dauer (in Minuten) jedes Vorfalls, der während dieses anwendbaren Zeitraums auftritt, multipliziert mit der Anzahl der von diesem Vorfall betroffenen Nutzer.</w:t>
      </w:r>
    </w:p>
    <w:p w14:paraId="37BA8852" w14:textId="77777777" w:rsidR="0090752C" w:rsidRPr="005D7F76" w:rsidRDefault="0090752C" w:rsidP="00FE77B8">
      <w:pPr>
        <w:pStyle w:val="ProductList-Body"/>
        <w:rPr>
          <w:rFonts w:ascii="Calibri" w:hAnsi="Calibri" w:cs="Calibri"/>
          <w:bCs/>
        </w:rPr>
      </w:pPr>
    </w:p>
    <w:p w14:paraId="4A3E95F7" w14:textId="77777777" w:rsidR="00FE77B8" w:rsidRPr="000C6829" w:rsidRDefault="00FE77B8" w:rsidP="00FE77B8">
      <w:pPr>
        <w:shd w:val="clear" w:color="auto" w:fill="FFFFFF"/>
        <w:spacing w:after="0" w:line="240" w:lineRule="auto"/>
        <w:rPr>
          <w:rFonts w:ascii="Calibri" w:eastAsia="Times New Roman" w:hAnsi="Calibri" w:cs="Calibri"/>
          <w:b/>
          <w:color w:val="00188F"/>
          <w:sz w:val="18"/>
          <w:szCs w:val="18"/>
          <w:bdr w:val="none" w:sz="0" w:space="0" w:color="auto" w:frame="1"/>
        </w:rPr>
      </w:pPr>
      <w:r>
        <w:rPr>
          <w:rFonts w:ascii="Calibri" w:eastAsia="Times New Roman" w:hAnsi="Calibri" w:cs="Calibri"/>
          <w:b/>
          <w:color w:val="00188F"/>
          <w:sz w:val="18"/>
          <w:szCs w:val="18"/>
          <w:bdr w:val="none" w:sz="0" w:space="0" w:color="auto" w:frame="1"/>
        </w:rPr>
        <w:t>Serviceguthaben für Ambient Speech:</w:t>
      </w:r>
    </w:p>
    <w:tbl>
      <w:tblPr>
        <w:tblW w:w="10800" w:type="dxa"/>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00"/>
        <w:gridCol w:w="5400"/>
      </w:tblGrid>
      <w:tr w:rsidR="00FE77B8" w14:paraId="07D58695"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5E0C0FA7" w14:textId="77777777" w:rsidR="00FE77B8" w:rsidRPr="00DA45B3" w:rsidRDefault="00FE77B8"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Betriebszeitprozentsatz</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0FC15B3A" w14:textId="77777777" w:rsidR="00FE77B8" w:rsidRPr="00DA45B3" w:rsidRDefault="00FE77B8"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Servicegutschrift</w:t>
            </w:r>
          </w:p>
        </w:tc>
      </w:tr>
      <w:tr w:rsidR="00FE77B8" w14:paraId="51B970D6"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598B2AF" w14:textId="7C0C4039" w:rsidR="00FE77B8" w:rsidRPr="00FB7EE5" w:rsidRDefault="00FE77B8" w:rsidP="00CD184E">
            <w:pPr>
              <w:pStyle w:val="ProductList-OfferingBody"/>
              <w:jc w:val="center"/>
              <w:rPr>
                <w:rFonts w:ascii="Calibri" w:eastAsia="Aptos" w:hAnsi="Calibri" w:cs="Calibri"/>
                <w:szCs w:val="16"/>
              </w:rPr>
            </w:pPr>
            <w:r>
              <w:rPr>
                <w:rFonts w:ascii="Calibri" w:eastAsia="Aptos" w:hAnsi="Calibri" w:cs="Calibri"/>
                <w:szCs w:val="16"/>
              </w:rPr>
              <w:t>&lt; 99</w:t>
            </w:r>
            <w:r w:rsidR="00B265F2">
              <w:rPr>
                <w:rFonts w:ascii="Calibri" w:eastAsia="Aptos" w:hAnsi="Calibri" w:cs="Calibri"/>
                <w:szCs w:val="16"/>
              </w:rPr>
              <w:t>,9</w:t>
            </w:r>
            <w:r>
              <w:rPr>
                <w:rFonts w:ascii="Calibri" w:eastAsia="Aptos" w:hAnsi="Calibri" w:cs="Calibri"/>
                <w:szCs w:val="16"/>
              </w:rPr>
              <w:t> %</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E0BB206" w14:textId="77777777" w:rsidR="00FE77B8" w:rsidRPr="00FB7EE5" w:rsidRDefault="00FE77B8" w:rsidP="00CD184E">
            <w:pPr>
              <w:pStyle w:val="ProductList-OfferingBody"/>
              <w:jc w:val="center"/>
              <w:rPr>
                <w:rFonts w:ascii="Calibri" w:eastAsia="Aptos" w:hAnsi="Calibri" w:cs="Calibri"/>
                <w:szCs w:val="16"/>
              </w:rPr>
            </w:pPr>
            <w:r>
              <w:rPr>
                <w:rFonts w:ascii="Calibri" w:eastAsia="Aptos" w:hAnsi="Calibri" w:cs="Calibri"/>
                <w:szCs w:val="16"/>
              </w:rPr>
              <w:t>5%</w:t>
            </w:r>
          </w:p>
        </w:tc>
      </w:tr>
      <w:tr w:rsidR="00FE77B8" w14:paraId="706C8BEE"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22AA7DE" w14:textId="0C8A5B0A" w:rsidR="00FE77B8" w:rsidRPr="00FB7EE5" w:rsidRDefault="00FE77B8" w:rsidP="00CD184E">
            <w:pPr>
              <w:pStyle w:val="ProductList-OfferingBody"/>
              <w:jc w:val="center"/>
              <w:rPr>
                <w:rFonts w:ascii="Calibri" w:eastAsia="Aptos" w:hAnsi="Calibri" w:cs="Calibri"/>
                <w:szCs w:val="16"/>
              </w:rPr>
            </w:pPr>
            <w:r>
              <w:rPr>
                <w:rFonts w:ascii="Calibri" w:eastAsia="Aptos" w:hAnsi="Calibri" w:cs="Calibri"/>
                <w:szCs w:val="16"/>
              </w:rPr>
              <w:t>&lt; 98</w:t>
            </w:r>
            <w:r w:rsidR="00B265F2">
              <w:rPr>
                <w:rFonts w:ascii="Calibri" w:eastAsia="Aptos" w:hAnsi="Calibri" w:cs="Calibri"/>
                <w:szCs w:val="16"/>
              </w:rPr>
              <w:t>,5</w:t>
            </w:r>
            <w:r>
              <w:rPr>
                <w:rFonts w:ascii="Calibri" w:eastAsia="Aptos" w:hAnsi="Calibri" w:cs="Calibri"/>
                <w:szCs w:val="16"/>
              </w:rPr>
              <w:t> %</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976DF97" w14:textId="77777777" w:rsidR="00FE77B8" w:rsidRPr="00FB7EE5" w:rsidRDefault="00FE77B8" w:rsidP="00CD184E">
            <w:pPr>
              <w:pStyle w:val="ProductList-OfferingBody"/>
              <w:jc w:val="center"/>
              <w:rPr>
                <w:rFonts w:ascii="Calibri" w:eastAsia="Aptos" w:hAnsi="Calibri" w:cs="Calibri"/>
                <w:szCs w:val="16"/>
              </w:rPr>
            </w:pPr>
            <w:r>
              <w:rPr>
                <w:rFonts w:ascii="Calibri" w:eastAsia="Aptos" w:hAnsi="Calibri" w:cs="Calibri"/>
                <w:szCs w:val="16"/>
              </w:rPr>
              <w:t>10%</w:t>
            </w:r>
          </w:p>
        </w:tc>
      </w:tr>
    </w:tbl>
    <w:p w14:paraId="0F410EC4" w14:textId="77777777" w:rsidR="00FE77B8" w:rsidRPr="00FE67CC" w:rsidRDefault="00FE77B8" w:rsidP="00FE77B8">
      <w:pPr>
        <w:shd w:val="clear" w:color="auto" w:fill="FFFFFF"/>
        <w:spacing w:before="120" w:after="0" w:line="240" w:lineRule="auto"/>
        <w:rPr>
          <w:rFonts w:ascii="Calibri" w:eastAsia="Times New Roman" w:hAnsi="Calibri" w:cs="Calibri"/>
          <w:b/>
          <w:color w:val="00188F"/>
          <w:sz w:val="18"/>
          <w:szCs w:val="18"/>
          <w:bdr w:val="none" w:sz="0" w:space="0" w:color="auto" w:frame="1"/>
          <w:lang w:val="en-US"/>
        </w:rPr>
      </w:pPr>
      <w:r w:rsidRPr="00FE67CC">
        <w:rPr>
          <w:rFonts w:ascii="Calibri" w:eastAsia="Times New Roman" w:hAnsi="Calibri" w:cs="Calibri"/>
          <w:b/>
          <w:color w:val="00188F"/>
          <w:sz w:val="18"/>
          <w:szCs w:val="18"/>
          <w:bdr w:val="none" w:sz="0" w:space="0" w:color="auto" w:frame="1"/>
          <w:lang w:val="en-US"/>
        </w:rPr>
        <w:t>Serviceguthaben für Front-End Speech:</w:t>
      </w:r>
    </w:p>
    <w:tbl>
      <w:tblPr>
        <w:tblW w:w="10800" w:type="dxa"/>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00"/>
        <w:gridCol w:w="5400"/>
      </w:tblGrid>
      <w:tr w:rsidR="00FE77B8" w14:paraId="3A196321" w14:textId="77777777" w:rsidTr="00CD184E">
        <w:trPr>
          <w:trHeight w:val="29"/>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4DE03EDB" w14:textId="77777777" w:rsidR="00FE77B8" w:rsidRPr="00FB7EE5" w:rsidRDefault="00FE77B8"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Betriebszeitprozentsatz</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2ED8469B" w14:textId="77777777" w:rsidR="00FE77B8" w:rsidRPr="00FB7EE5" w:rsidRDefault="00FE77B8"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Servicegutschrift</w:t>
            </w:r>
          </w:p>
        </w:tc>
      </w:tr>
      <w:tr w:rsidR="00FE77B8" w14:paraId="1E42C279"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AFCB304" w14:textId="77777777" w:rsidR="00FE77B8" w:rsidRPr="00FB7EE5" w:rsidRDefault="00FE77B8" w:rsidP="00CD184E">
            <w:pPr>
              <w:pStyle w:val="ProductList-OfferingBody"/>
              <w:jc w:val="center"/>
              <w:rPr>
                <w:rFonts w:ascii="Calibri" w:eastAsia="Aptos" w:hAnsi="Calibri" w:cs="Calibri"/>
                <w:szCs w:val="16"/>
              </w:rPr>
            </w:pPr>
            <w:r>
              <w:rPr>
                <w:rFonts w:ascii="Calibri" w:eastAsia="Aptos" w:hAnsi="Calibri" w:cs="Calibri"/>
                <w:szCs w:val="16"/>
              </w:rPr>
              <w:t>&lt; 99,9 %</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B6C8BFA" w14:textId="77777777" w:rsidR="00FE77B8" w:rsidRPr="00FB7EE5" w:rsidRDefault="00FE77B8" w:rsidP="00CD184E">
            <w:pPr>
              <w:pStyle w:val="ProductList-OfferingBody"/>
              <w:jc w:val="center"/>
              <w:rPr>
                <w:rFonts w:ascii="Calibri" w:eastAsia="Aptos" w:hAnsi="Calibri" w:cs="Calibri"/>
                <w:szCs w:val="16"/>
              </w:rPr>
            </w:pPr>
            <w:r>
              <w:rPr>
                <w:rFonts w:ascii="Calibri" w:eastAsia="Aptos" w:hAnsi="Calibri" w:cs="Calibri"/>
                <w:szCs w:val="16"/>
              </w:rPr>
              <w:t>5%</w:t>
            </w:r>
          </w:p>
        </w:tc>
      </w:tr>
      <w:tr w:rsidR="00FE77B8" w14:paraId="6F8B2E37"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22B6ED5" w14:textId="77777777" w:rsidR="00FE77B8" w:rsidRPr="00FB7EE5" w:rsidRDefault="00FE77B8" w:rsidP="00CD184E">
            <w:pPr>
              <w:pStyle w:val="ProductList-OfferingBody"/>
              <w:jc w:val="center"/>
              <w:rPr>
                <w:rFonts w:ascii="Calibri" w:eastAsia="Aptos" w:hAnsi="Calibri" w:cs="Calibri"/>
                <w:szCs w:val="16"/>
              </w:rPr>
            </w:pPr>
            <w:r>
              <w:rPr>
                <w:rFonts w:ascii="Calibri" w:eastAsia="Aptos" w:hAnsi="Calibri" w:cs="Calibri"/>
                <w:szCs w:val="16"/>
              </w:rPr>
              <w:t>&lt; 98,5 %</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74790CF" w14:textId="77777777" w:rsidR="00FE77B8" w:rsidRPr="00FB7EE5" w:rsidRDefault="00FE77B8" w:rsidP="00CD184E">
            <w:pPr>
              <w:pStyle w:val="ProductList-OfferingBody"/>
              <w:jc w:val="center"/>
              <w:rPr>
                <w:rFonts w:ascii="Calibri" w:eastAsia="Aptos" w:hAnsi="Calibri" w:cs="Calibri"/>
                <w:szCs w:val="16"/>
              </w:rPr>
            </w:pPr>
            <w:r>
              <w:rPr>
                <w:rFonts w:ascii="Calibri" w:eastAsia="Aptos" w:hAnsi="Calibri" w:cs="Calibri"/>
                <w:szCs w:val="16"/>
              </w:rPr>
              <w:t>10%</w:t>
            </w:r>
          </w:p>
        </w:tc>
      </w:tr>
    </w:tbl>
    <w:p w14:paraId="4978DCBB" w14:textId="77777777" w:rsidR="00FE77B8" w:rsidRPr="000C6829" w:rsidRDefault="00FE77B8" w:rsidP="00FE77B8">
      <w:pPr>
        <w:pStyle w:val="ProductList-Body"/>
        <w:spacing w:before="120"/>
        <w:rPr>
          <w:rFonts w:ascii="Calibri" w:hAnsi="Calibri" w:cs="Calibri"/>
          <w:b/>
          <w:color w:val="00188F"/>
        </w:rPr>
      </w:pPr>
      <w:r>
        <w:rPr>
          <w:rFonts w:ascii="Calibri" w:hAnsi="Calibri" w:cs="Calibri"/>
          <w:b/>
          <w:color w:val="00188F"/>
        </w:rPr>
        <w:t xml:space="preserve">Zusätzliche Bestimmungen: </w:t>
      </w:r>
    </w:p>
    <w:p w14:paraId="3CB8C960" w14:textId="77777777" w:rsidR="00FE77B8" w:rsidRPr="000C6829" w:rsidRDefault="00FE77B8" w:rsidP="00FE77B8">
      <w:pPr>
        <w:spacing w:after="0" w:line="240" w:lineRule="auto"/>
        <w:rPr>
          <w:rFonts w:ascii="Calibri" w:hAnsi="Calibri" w:cs="Calibri"/>
          <w:sz w:val="18"/>
          <w:szCs w:val="18"/>
        </w:rPr>
      </w:pPr>
      <w:r>
        <w:rPr>
          <w:rFonts w:ascii="Calibri" w:hAnsi="Calibri" w:cs="Calibri"/>
          <w:sz w:val="18"/>
          <w:szCs w:val="18"/>
        </w:rPr>
        <w:t xml:space="preserve">Für Dragon Copilot ist in einem anwendbaren Zeitraum nur ein Serviceguthaben zulässig. Wenn ein Kunde ansonsten Anspruch sowohl auf ein Serviceguthaben für Front-End Speech als auch auf ein Serviceguthaben für Ambient Speech hat, kann der Kunde das Serviceguthaben mit dem höheren Betrag beanspruchen. </w:t>
      </w:r>
    </w:p>
    <w:p w14:paraId="18C0F3F2" w14:textId="77777777" w:rsidR="00FE77B8" w:rsidRPr="00D67F75" w:rsidRDefault="00FE77B8" w:rsidP="00FE77B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5A85610C" w14:textId="444EE50D" w:rsidR="005C2F5C" w:rsidRPr="00EF7CF9" w:rsidRDefault="005C2F5C" w:rsidP="00DC0631">
      <w:pPr>
        <w:pStyle w:val="ProductList-Offering2Heading"/>
        <w:tabs>
          <w:tab w:val="clear" w:pos="360"/>
          <w:tab w:val="clear" w:pos="720"/>
          <w:tab w:val="clear" w:pos="1080"/>
        </w:tabs>
        <w:outlineLvl w:val="2"/>
      </w:pPr>
      <w:bookmarkStart w:id="615" w:name="_Toc237449090"/>
      <w:r>
        <w:t>Microsoft Power Automate</w:t>
      </w:r>
      <w:bookmarkEnd w:id="614"/>
      <w:bookmarkEnd w:id="615"/>
    </w:p>
    <w:p w14:paraId="49E8FEB2" w14:textId="1CA232CB" w:rsidR="005C2F5C" w:rsidRPr="00EF7CF9" w:rsidRDefault="005C2F5C" w:rsidP="002A586E">
      <w:pPr>
        <w:pStyle w:val="ProductList-Body"/>
      </w:pPr>
      <w:r>
        <w:rPr>
          <w:b/>
          <w:color w:val="00188F"/>
        </w:rPr>
        <w:t>Ausfallzeit</w:t>
      </w:r>
      <w:r w:rsidRPr="00633DA0">
        <w:rPr>
          <w:b/>
          <w:bCs/>
          <w:color w:val="00188F"/>
        </w:rPr>
        <w:t>:</w:t>
      </w:r>
      <w:r>
        <w:t xml:space="preserve"> </w:t>
      </w:r>
      <w:r>
        <w:rPr>
          <w:szCs w:val="18"/>
        </w:rPr>
        <w:t>Zeiträume, in denen Nutzerflüsse keine Verbindung mit dem Internetgateway von Microsoft haben.</w:t>
      </w:r>
    </w:p>
    <w:p w14:paraId="666A64CA" w14:textId="402497D7" w:rsidR="005C2F5C" w:rsidRPr="00EF7CF9" w:rsidRDefault="00AC48A7" w:rsidP="002A586E">
      <w:pPr>
        <w:pStyle w:val="ProductList-Body"/>
      </w:pPr>
      <w:r>
        <w:rPr>
          <w:b/>
          <w:color w:val="00188F"/>
        </w:rPr>
        <w:t>Betriebszeitprozentsatz</w:t>
      </w:r>
      <w:r w:rsidRPr="00633DA0">
        <w:rPr>
          <w:b/>
          <w:bCs/>
          <w:color w:val="00188F"/>
        </w:rPr>
        <w:t>:</w:t>
      </w:r>
      <w:r>
        <w:t xml:space="preserve"> Der Betriebszeitprozentsatz errechnet sich nach folgender Formel:</w:t>
      </w:r>
    </w:p>
    <w:p w14:paraId="735410C1" w14:textId="149BD106" w:rsidR="005C2F5C" w:rsidRPr="00EF7CF9" w:rsidRDefault="00000000" w:rsidP="00DD7BB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Gesamtanzahl der Minuten in einem Monat - Ausfallzeiten</m:t>
              </m:r>
            </m:num>
            <m:den>
              <m:r>
                <w:rPr>
                  <w:rFonts w:ascii="Cambria Math" w:hAnsi="Cambria Math" w:cs="Calibri"/>
                  <w:sz w:val="18"/>
                  <w:szCs w:val="18"/>
                </w:rPr>
                <m:t>Gesamtzahl der Minuten in einem Monat</m:t>
              </m:r>
            </m:den>
          </m:f>
          <m:r>
            <w:rPr>
              <w:rFonts w:ascii="Cambria Math" w:hAnsi="Cambria Math" w:cs="Calibri"/>
              <w:sz w:val="18"/>
              <w:szCs w:val="18"/>
            </w:rPr>
            <m:t xml:space="preserve"> x 100</m:t>
          </m:r>
        </m:oMath>
      </m:oMathPara>
    </w:p>
    <w:p w14:paraId="7B13A9E1" w14:textId="32A264BA" w:rsidR="005C2F5C" w:rsidRDefault="00AC48A7" w:rsidP="002A586E">
      <w:pPr>
        <w:pStyle w:val="ProductList-Body"/>
      </w:pPr>
      <w: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1AD77962" w14:textId="77777777" w:rsidR="0090752C" w:rsidRPr="00EF7CF9" w:rsidRDefault="0090752C" w:rsidP="002A586E">
      <w:pPr>
        <w:pStyle w:val="ProductList-Body"/>
      </w:pPr>
    </w:p>
    <w:p w14:paraId="28235451" w14:textId="77777777" w:rsidR="005C2F5C" w:rsidRPr="00EF7CF9" w:rsidRDefault="005C2F5C" w:rsidP="002A586E">
      <w:pPr>
        <w:pStyle w:val="ProductList-Body"/>
      </w:pPr>
      <w:r>
        <w:rPr>
          <w:b/>
          <w:color w:val="00188F"/>
        </w:rPr>
        <w:t>Servicegutschrift</w:t>
      </w:r>
      <w:r w:rsidRPr="00633DA0">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2F5C" w:rsidRPr="00B44CF9" w14:paraId="54A3A4A7" w14:textId="77777777" w:rsidTr="00170FD9">
        <w:trPr>
          <w:tblHeader/>
        </w:trPr>
        <w:tc>
          <w:tcPr>
            <w:tcW w:w="5400" w:type="dxa"/>
            <w:shd w:val="clear" w:color="auto" w:fill="0072C6"/>
          </w:tcPr>
          <w:p w14:paraId="6E66690F" w14:textId="1AFF0911" w:rsidR="005C2F5C" w:rsidRPr="00EF7CF9" w:rsidRDefault="00AC48A7" w:rsidP="002A586E">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69D96925" w14:textId="77777777" w:rsidR="005C2F5C" w:rsidRPr="00EF7CF9" w:rsidRDefault="005C2F5C" w:rsidP="002A586E">
            <w:pPr>
              <w:pStyle w:val="ProductList-OfferingBody"/>
              <w:jc w:val="center"/>
              <w:rPr>
                <w:color w:val="FFFFFF" w:themeColor="background1"/>
              </w:rPr>
            </w:pPr>
            <w:r>
              <w:rPr>
                <w:color w:val="FFFFFF" w:themeColor="background1"/>
              </w:rPr>
              <w:t>Servicegutschrift</w:t>
            </w:r>
          </w:p>
        </w:tc>
      </w:tr>
      <w:tr w:rsidR="005C2F5C" w:rsidRPr="00B44CF9" w14:paraId="23AD7662" w14:textId="77777777" w:rsidTr="00170FD9">
        <w:tc>
          <w:tcPr>
            <w:tcW w:w="5400" w:type="dxa"/>
          </w:tcPr>
          <w:p w14:paraId="24F0904F" w14:textId="77777777" w:rsidR="005C2F5C" w:rsidRPr="00EF7CF9" w:rsidRDefault="005C2F5C" w:rsidP="002A586E">
            <w:pPr>
              <w:pStyle w:val="ProductList-OfferingBody"/>
              <w:jc w:val="center"/>
            </w:pPr>
            <w:r>
              <w:t>&lt; 99,9 %</w:t>
            </w:r>
          </w:p>
        </w:tc>
        <w:tc>
          <w:tcPr>
            <w:tcW w:w="5400" w:type="dxa"/>
          </w:tcPr>
          <w:p w14:paraId="3BDCE0EB" w14:textId="77777777" w:rsidR="005C2F5C" w:rsidRPr="00EF7CF9" w:rsidRDefault="005C2F5C" w:rsidP="002A586E">
            <w:pPr>
              <w:pStyle w:val="ProductList-OfferingBody"/>
              <w:jc w:val="center"/>
            </w:pPr>
            <w:r>
              <w:t>25 %</w:t>
            </w:r>
          </w:p>
        </w:tc>
      </w:tr>
      <w:tr w:rsidR="005C2F5C" w:rsidRPr="00B44CF9" w14:paraId="44163FA5" w14:textId="77777777" w:rsidTr="00170FD9">
        <w:tc>
          <w:tcPr>
            <w:tcW w:w="5400" w:type="dxa"/>
          </w:tcPr>
          <w:p w14:paraId="50A34D5D" w14:textId="77777777" w:rsidR="005C2F5C" w:rsidRPr="00EF7CF9" w:rsidRDefault="005C2F5C" w:rsidP="002A586E">
            <w:pPr>
              <w:pStyle w:val="ProductList-OfferingBody"/>
              <w:jc w:val="center"/>
            </w:pPr>
            <w:r>
              <w:t>&lt; 99 %</w:t>
            </w:r>
          </w:p>
        </w:tc>
        <w:tc>
          <w:tcPr>
            <w:tcW w:w="5400" w:type="dxa"/>
          </w:tcPr>
          <w:p w14:paraId="23DBD8BB" w14:textId="77777777" w:rsidR="005C2F5C" w:rsidRPr="00EF7CF9" w:rsidRDefault="005C2F5C" w:rsidP="002A586E">
            <w:pPr>
              <w:pStyle w:val="ProductList-OfferingBody"/>
              <w:jc w:val="center"/>
            </w:pPr>
            <w:r>
              <w:t>50 %</w:t>
            </w:r>
          </w:p>
        </w:tc>
      </w:tr>
      <w:tr w:rsidR="005C2F5C" w:rsidRPr="00B44CF9" w14:paraId="1964C12E" w14:textId="77777777" w:rsidTr="00170FD9">
        <w:tc>
          <w:tcPr>
            <w:tcW w:w="5400" w:type="dxa"/>
          </w:tcPr>
          <w:p w14:paraId="2494823F" w14:textId="77777777" w:rsidR="005C2F5C" w:rsidRPr="00EF7CF9" w:rsidRDefault="005C2F5C" w:rsidP="002A586E">
            <w:pPr>
              <w:pStyle w:val="ProductList-OfferingBody"/>
              <w:jc w:val="center"/>
            </w:pPr>
            <w:r>
              <w:t>&lt; 95 %</w:t>
            </w:r>
          </w:p>
        </w:tc>
        <w:tc>
          <w:tcPr>
            <w:tcW w:w="5400" w:type="dxa"/>
          </w:tcPr>
          <w:p w14:paraId="7055748A" w14:textId="77777777" w:rsidR="005C2F5C" w:rsidRPr="00EF7CF9" w:rsidRDefault="005C2F5C" w:rsidP="002A586E">
            <w:pPr>
              <w:pStyle w:val="ProductList-OfferingBody"/>
              <w:jc w:val="center"/>
            </w:pPr>
            <w:r>
              <w:t>100 %</w:t>
            </w:r>
          </w:p>
        </w:tc>
      </w:tr>
    </w:tbl>
    <w:p w14:paraId="2952FC42" w14:textId="700E91CD" w:rsidR="00E077E7" w:rsidRPr="00D67F75" w:rsidRDefault="0023562B" w:rsidP="0023562B">
      <w:pPr>
        <w:pStyle w:val="ProductList-Body"/>
        <w:shd w:val="clear" w:color="auto" w:fill="808080" w:themeFill="background1" w:themeFillShade="80"/>
        <w:tabs>
          <w:tab w:val="clear" w:pos="360"/>
          <w:tab w:val="clear" w:pos="720"/>
          <w:tab w:val="clear" w:pos="1080"/>
          <w:tab w:val="center" w:pos="5400"/>
          <w:tab w:val="right" w:pos="10800"/>
        </w:tabs>
        <w:spacing w:before="120" w:after="240"/>
        <w:rPr>
          <w:sz w:val="16"/>
          <w:szCs w:val="16"/>
        </w:rPr>
      </w:pPr>
      <w:r>
        <w:tab/>
      </w:r>
      <w:r>
        <w:tab/>
      </w:r>
      <w:hyperlink w:anchor="TOC" w:history="1">
        <w:r w:rsidR="005F7C2C" w:rsidRPr="00D67F75">
          <w:rPr>
            <w:rStyle w:val="Hyperlink"/>
            <w:sz w:val="16"/>
            <w:szCs w:val="16"/>
          </w:rPr>
          <w:t>Inhalt</w:t>
        </w:r>
      </w:hyperlink>
      <w:r w:rsidR="005F7C2C" w:rsidRPr="00D67F75">
        <w:rPr>
          <w:sz w:val="16"/>
          <w:szCs w:val="16"/>
        </w:rPr>
        <w:t xml:space="preserve"> / </w:t>
      </w:r>
      <w:hyperlink w:anchor="Definitions" w:history="1">
        <w:r w:rsidR="005F7C2C" w:rsidRPr="00D67F75">
          <w:rPr>
            <w:rStyle w:val="Hyperlink"/>
            <w:sz w:val="16"/>
            <w:szCs w:val="16"/>
          </w:rPr>
          <w:t>Begriffsbestimmungen</w:t>
        </w:r>
      </w:hyperlink>
    </w:p>
    <w:p w14:paraId="4A4716DA" w14:textId="28A9A87A" w:rsidR="00CE764A" w:rsidRPr="00EF7CF9" w:rsidRDefault="00CE764A" w:rsidP="00CE764A">
      <w:pPr>
        <w:pStyle w:val="ProductList-Offering2Heading"/>
        <w:tabs>
          <w:tab w:val="clear" w:pos="360"/>
          <w:tab w:val="clear" w:pos="720"/>
          <w:tab w:val="clear" w:pos="1080"/>
        </w:tabs>
        <w:outlineLvl w:val="2"/>
      </w:pPr>
      <w:bookmarkStart w:id="616" w:name="_Toc195543229"/>
      <w:bookmarkStart w:id="617" w:name="_Toc237449091"/>
      <w:r>
        <w:t xml:space="preserve">Microsoft Power </w:t>
      </w:r>
      <w:r w:rsidR="005A6FFF">
        <w:t>Pages</w:t>
      </w:r>
      <w:bookmarkEnd w:id="616"/>
      <w:bookmarkEnd w:id="617"/>
    </w:p>
    <w:p w14:paraId="15594B85" w14:textId="77777777" w:rsidR="00546672" w:rsidRPr="00546672" w:rsidRDefault="00546672" w:rsidP="00546672">
      <w:pPr>
        <w:shd w:val="clear" w:color="auto" w:fill="FFFFFF"/>
        <w:spacing w:after="0" w:line="240" w:lineRule="auto"/>
        <w:rPr>
          <w:rFonts w:eastAsia="Times New Roman" w:cstheme="minorHAnsi"/>
          <w:color w:val="242424"/>
          <w:sz w:val="18"/>
          <w:szCs w:val="18"/>
        </w:rPr>
      </w:pPr>
      <w:r w:rsidRPr="00546672">
        <w:rPr>
          <w:rFonts w:eastAsia="Times New Roman" w:cstheme="minorHAnsi"/>
          <w:color w:val="242424"/>
          <w:sz w:val="18"/>
          <w:szCs w:val="18"/>
          <w:bdr w:val="none" w:sz="0" w:space="0" w:color="auto" w:frame="1"/>
        </w:rPr>
        <w:t>Diese Vereinbarung zum Servicelevel gilt für die Endbenutzer-Website, die mit Power Pages veröffentlicht wird, wenn die folgenden Kriterien erfüllt sind: Die Website muss sich im Produktionsmodus befinden, die Website-Sichtbarkeit muss auf „Öffentlich“ festgelegt sein und sie muss mit einer Produktionsumgebung verknüpft sein.</w:t>
      </w:r>
    </w:p>
    <w:p w14:paraId="1DB2F866" w14:textId="77777777" w:rsidR="00546672" w:rsidRPr="00546672" w:rsidRDefault="00546672" w:rsidP="00546672">
      <w:pPr>
        <w:shd w:val="clear" w:color="auto" w:fill="FFFFFF"/>
        <w:spacing w:after="0" w:line="240" w:lineRule="auto"/>
        <w:rPr>
          <w:rFonts w:eastAsia="Times New Roman" w:cstheme="minorHAnsi"/>
          <w:color w:val="242424"/>
          <w:sz w:val="18"/>
          <w:szCs w:val="18"/>
        </w:rPr>
      </w:pPr>
      <w:r w:rsidRPr="00546672">
        <w:rPr>
          <w:rFonts w:eastAsia="Times New Roman" w:cstheme="minorHAnsi"/>
          <w:b/>
          <w:bCs/>
          <w:color w:val="00188F"/>
          <w:sz w:val="18"/>
          <w:szCs w:val="18"/>
          <w:bdr w:val="none" w:sz="0" w:space="0" w:color="auto" w:frame="1"/>
        </w:rPr>
        <w:t>Zusätzliche Definitionen:</w:t>
      </w:r>
    </w:p>
    <w:p w14:paraId="75F014AD" w14:textId="77777777" w:rsidR="00546672" w:rsidRPr="00546672" w:rsidRDefault="00546672" w:rsidP="00546672">
      <w:pPr>
        <w:shd w:val="clear" w:color="auto" w:fill="FFFFFF"/>
        <w:spacing w:after="0" w:line="240" w:lineRule="auto"/>
        <w:rPr>
          <w:rFonts w:eastAsia="Times New Roman" w:cstheme="minorHAnsi"/>
          <w:color w:val="242424"/>
          <w:sz w:val="18"/>
          <w:szCs w:val="18"/>
        </w:rPr>
      </w:pPr>
      <w:r w:rsidRPr="00546672">
        <w:rPr>
          <w:rFonts w:eastAsia="Times New Roman" w:cstheme="minorHAnsi"/>
          <w:b/>
          <w:bCs/>
          <w:color w:val="00188F"/>
          <w:sz w:val="18"/>
          <w:szCs w:val="18"/>
          <w:bdr w:val="none" w:sz="0" w:space="0" w:color="auto" w:frame="1"/>
        </w:rPr>
        <w:t>„Gesamtzahl der Website-Anfragen“</w:t>
      </w:r>
      <w:r w:rsidRPr="00546672">
        <w:rPr>
          <w:rFonts w:eastAsia="Times New Roman" w:cstheme="minorHAnsi"/>
          <w:b/>
          <w:bCs/>
          <w:color w:val="201F1E"/>
          <w:sz w:val="24"/>
          <w:szCs w:val="24"/>
          <w:bdr w:val="none" w:sz="0" w:space="0" w:color="auto" w:frame="1"/>
        </w:rPr>
        <w:t xml:space="preserve"> </w:t>
      </w:r>
      <w:r w:rsidRPr="00546672">
        <w:rPr>
          <w:rFonts w:eastAsia="Times New Roman" w:cstheme="minorHAnsi"/>
          <w:color w:val="000000"/>
          <w:sz w:val="18"/>
          <w:szCs w:val="18"/>
          <w:bdr w:val="none" w:sz="0" w:space="0" w:color="auto" w:frame="1"/>
        </w:rPr>
        <w:t>ist die Gesamtzahl der Website-Anfragen, die von autorisierten (authentifizierten oder anonymen) Endbenutzern während eines Anwendbaren Zeitraums an eine Power Pages-Website gestellt werden.</w:t>
      </w:r>
    </w:p>
    <w:p w14:paraId="165636D3" w14:textId="77777777" w:rsidR="00546672" w:rsidRPr="00546672" w:rsidRDefault="00546672" w:rsidP="00546672">
      <w:pPr>
        <w:shd w:val="clear" w:color="auto" w:fill="FFFFFF"/>
        <w:spacing w:after="0" w:line="240" w:lineRule="auto"/>
        <w:rPr>
          <w:rFonts w:eastAsia="Times New Roman" w:cstheme="minorHAnsi"/>
          <w:color w:val="242424"/>
          <w:sz w:val="18"/>
          <w:szCs w:val="18"/>
        </w:rPr>
      </w:pPr>
      <w:r w:rsidRPr="00546672">
        <w:rPr>
          <w:rFonts w:eastAsia="Times New Roman" w:cstheme="minorHAnsi"/>
          <w:b/>
          <w:bCs/>
          <w:color w:val="00188F"/>
          <w:sz w:val="18"/>
          <w:szCs w:val="18"/>
          <w:bdr w:val="none" w:sz="0" w:space="0" w:color="auto" w:frame="1"/>
        </w:rPr>
        <w:t>„Fehlgeschlagene Website-Anfragen“</w:t>
      </w:r>
      <w:r w:rsidRPr="00546672">
        <w:rPr>
          <w:rFonts w:eastAsia="Times New Roman" w:cstheme="minorHAnsi"/>
          <w:color w:val="000000"/>
          <w:sz w:val="18"/>
          <w:szCs w:val="18"/>
          <w:bdr w:val="none" w:sz="0" w:space="0" w:color="auto" w:frame="1"/>
        </w:rPr>
        <w:t> ist die Gesamtzahl der Anfragen innerhalb der Gesamtzahl der Website-Anfragen, für die Power Pages aufgrund eines Systemfehlers in Power Pages eine Fehlerantwort sendet. Benutzerfehler, Probleme aufgrund unzureichender Lizenzierung oder Fehler, die auf die Konfiguration oder Anpassung des Kunden zurückzuführen sind, sind nicht in Fehlgeschlagenen Website-Anfragen enthalten.</w:t>
      </w:r>
    </w:p>
    <w:p w14:paraId="069882AA" w14:textId="77777777" w:rsidR="00546672" w:rsidRDefault="00546672" w:rsidP="00546672">
      <w:pPr>
        <w:shd w:val="clear" w:color="auto" w:fill="FFFFFF"/>
        <w:spacing w:after="0" w:line="240" w:lineRule="auto"/>
        <w:rPr>
          <w:rFonts w:eastAsia="Times New Roman" w:cstheme="minorHAnsi"/>
          <w:color w:val="242424"/>
          <w:sz w:val="18"/>
          <w:szCs w:val="18"/>
          <w:bdr w:val="none" w:sz="0" w:space="0" w:color="auto" w:frame="1"/>
        </w:rPr>
      </w:pPr>
      <w:r w:rsidRPr="00546672">
        <w:rPr>
          <w:rFonts w:eastAsia="Times New Roman" w:cstheme="minorHAnsi"/>
          <w:b/>
          <w:bCs/>
          <w:color w:val="00188F"/>
          <w:sz w:val="18"/>
          <w:szCs w:val="18"/>
          <w:bdr w:val="none" w:sz="0" w:space="0" w:color="auto" w:frame="1"/>
        </w:rPr>
        <w:t>Betriebszeitprozentsatz:</w:t>
      </w:r>
      <w:r w:rsidRPr="00546672">
        <w:rPr>
          <w:rFonts w:eastAsia="Times New Roman" w:cstheme="minorHAnsi"/>
          <w:color w:val="242424"/>
          <w:sz w:val="18"/>
          <w:szCs w:val="18"/>
          <w:bdr w:val="none" w:sz="0" w:space="0" w:color="auto" w:frame="1"/>
        </w:rPr>
        <w:t xml:space="preserve"> Der Prozentsatz der Betriebszeit errechnet sich nach folgender Formel:</w:t>
      </w:r>
    </w:p>
    <w:p w14:paraId="3D840780" w14:textId="77777777" w:rsidR="004122AB" w:rsidRPr="00F8560A" w:rsidRDefault="00000000" w:rsidP="00FE77B8">
      <w:pPr>
        <w:shd w:val="clear" w:color="auto" w:fill="FFFFFF"/>
        <w:spacing w:before="120" w:after="0" w:line="240" w:lineRule="auto"/>
        <w:rPr>
          <w:rFonts w:ascii="Calibri" w:eastAsia="Times New Roman" w:hAnsi="Calibri" w:cs="Calibri"/>
          <w:color w:val="242424"/>
        </w:rPr>
      </w:pPr>
      <m:oMathPara>
        <m:oMath>
          <m:f>
            <m:fPr>
              <m:ctrlPr>
                <w:rPr>
                  <w:rFonts w:ascii="Cambria Math" w:eastAsia="Calibri" w:hAnsi="Cambria Math" w:cs="Calibri"/>
                  <w:i/>
                  <w:sz w:val="18"/>
                  <w:szCs w:val="18"/>
                </w:rPr>
              </m:ctrlPr>
            </m:fPr>
            <m:num>
              <m:r>
                <w:rPr>
                  <w:rFonts w:ascii="Cambria Math" w:eastAsia="Calibri" w:hAnsi="Cambria Math" w:cs="Calibri"/>
                  <w:sz w:val="18"/>
                  <w:szCs w:val="18"/>
                </w:rPr>
                <m:t>Gesamtzahl der Website-Anfragen - Fehlgeschlagene Website-Anfragen</m:t>
              </m:r>
            </m:num>
            <m:den>
              <m:r>
                <w:rPr>
                  <w:rFonts w:ascii="Cambria Math" w:eastAsia="Calibri" w:hAnsi="Cambria Math" w:cs="Calibri"/>
                  <w:sz w:val="18"/>
                  <w:szCs w:val="18"/>
                </w:rPr>
                <m:t>Gesamtzahl der Website-Anfragen</m:t>
              </m:r>
            </m:den>
          </m:f>
          <m:r>
            <w:rPr>
              <w:rFonts w:ascii="Cambria Math" w:eastAsia="Calibri" w:hAnsi="Cambria Math" w:cs="Calibri"/>
              <w:sz w:val="18"/>
              <w:szCs w:val="18"/>
            </w:rPr>
            <m:t xml:space="preserve"> x 100</m:t>
          </m:r>
        </m:oMath>
      </m:oMathPara>
    </w:p>
    <w:p w14:paraId="33C83E45" w14:textId="77777777" w:rsidR="00600D9A" w:rsidRPr="00600D9A" w:rsidRDefault="00600D9A" w:rsidP="00600D9A">
      <w:pPr>
        <w:shd w:val="clear" w:color="auto" w:fill="FFFFFF"/>
        <w:spacing w:after="0" w:line="240" w:lineRule="auto"/>
        <w:rPr>
          <w:rFonts w:eastAsia="Times New Roman" w:cstheme="minorHAnsi"/>
          <w:color w:val="242424"/>
          <w:sz w:val="18"/>
          <w:szCs w:val="18"/>
        </w:rPr>
      </w:pPr>
      <w:r w:rsidRPr="00600D9A">
        <w:rPr>
          <w:rFonts w:eastAsia="Times New Roman" w:cstheme="minorHAnsi"/>
          <w:b/>
          <w:bCs/>
          <w:color w:val="00188F"/>
          <w:sz w:val="18"/>
          <w:szCs w:val="18"/>
          <w:bdr w:val="none" w:sz="0" w:space="0" w:color="auto" w:frame="1"/>
        </w:rPr>
        <w:t>Servicegutschrift: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600D9A" w:rsidRPr="00F8560A" w14:paraId="09FA5527" w14:textId="77777777" w:rsidTr="002D5D7A">
        <w:trPr>
          <w:tblHeader/>
        </w:trPr>
        <w:tc>
          <w:tcPr>
            <w:tcW w:w="5400" w:type="dxa"/>
            <w:shd w:val="clear" w:color="auto" w:fill="0072C6"/>
          </w:tcPr>
          <w:p w14:paraId="2409A91F" w14:textId="77777777" w:rsidR="00600D9A" w:rsidRPr="00600D9A" w:rsidRDefault="00600D9A" w:rsidP="002D5D7A">
            <w:pPr>
              <w:tabs>
                <w:tab w:val="left" w:pos="360"/>
                <w:tab w:val="left" w:pos="720"/>
                <w:tab w:val="left" w:pos="1080"/>
              </w:tabs>
              <w:spacing w:before="20" w:after="20" w:line="240" w:lineRule="auto"/>
              <w:ind w:left="-14" w:right="-101"/>
              <w:jc w:val="center"/>
              <w:rPr>
                <w:rFonts w:eastAsia="Calibri" w:cstheme="minorHAnsi"/>
                <w:color w:val="FFFFFF"/>
                <w:sz w:val="16"/>
              </w:rPr>
            </w:pPr>
            <w:r w:rsidRPr="00600D9A">
              <w:rPr>
                <w:rFonts w:eastAsia="Calibri" w:cstheme="minorHAnsi"/>
                <w:color w:val="FFFFFF"/>
                <w:sz w:val="16"/>
              </w:rPr>
              <w:t>Betriebszeitprozentsatz</w:t>
            </w:r>
          </w:p>
        </w:tc>
        <w:tc>
          <w:tcPr>
            <w:tcW w:w="5400" w:type="dxa"/>
            <w:shd w:val="clear" w:color="auto" w:fill="0072C6"/>
          </w:tcPr>
          <w:p w14:paraId="21A9CBC0" w14:textId="77777777" w:rsidR="00600D9A" w:rsidRPr="00600D9A" w:rsidRDefault="00600D9A" w:rsidP="002D5D7A">
            <w:pPr>
              <w:tabs>
                <w:tab w:val="left" w:pos="360"/>
                <w:tab w:val="left" w:pos="720"/>
                <w:tab w:val="left" w:pos="1080"/>
              </w:tabs>
              <w:spacing w:before="20" w:after="20" w:line="240" w:lineRule="auto"/>
              <w:ind w:left="-14" w:right="-101"/>
              <w:jc w:val="center"/>
              <w:rPr>
                <w:rFonts w:eastAsia="Calibri" w:cstheme="minorHAnsi"/>
                <w:color w:val="FFFFFF"/>
                <w:sz w:val="16"/>
              </w:rPr>
            </w:pPr>
            <w:r w:rsidRPr="00600D9A">
              <w:rPr>
                <w:rFonts w:eastAsia="Calibri" w:cstheme="minorHAnsi"/>
                <w:color w:val="FFFFFF"/>
                <w:sz w:val="16"/>
              </w:rPr>
              <w:t>Servicegutschrift</w:t>
            </w:r>
          </w:p>
        </w:tc>
      </w:tr>
      <w:tr w:rsidR="00600D9A" w:rsidRPr="00F8560A" w14:paraId="0CDC9301" w14:textId="77777777" w:rsidTr="002D5D7A">
        <w:tc>
          <w:tcPr>
            <w:tcW w:w="5400" w:type="dxa"/>
          </w:tcPr>
          <w:p w14:paraId="63A168D2" w14:textId="77777777" w:rsidR="00600D9A" w:rsidRPr="00600D9A" w:rsidRDefault="00600D9A" w:rsidP="002D5D7A">
            <w:pPr>
              <w:tabs>
                <w:tab w:val="left" w:pos="360"/>
                <w:tab w:val="left" w:pos="720"/>
                <w:tab w:val="left" w:pos="1080"/>
              </w:tabs>
              <w:spacing w:before="20" w:after="20" w:line="240" w:lineRule="auto"/>
              <w:ind w:left="-14" w:right="-101"/>
              <w:jc w:val="center"/>
              <w:rPr>
                <w:rFonts w:eastAsia="Calibri" w:cstheme="minorHAnsi"/>
                <w:sz w:val="16"/>
              </w:rPr>
            </w:pPr>
            <w:r w:rsidRPr="00600D9A">
              <w:rPr>
                <w:rFonts w:eastAsia="Calibri" w:cstheme="minorHAnsi"/>
                <w:sz w:val="16"/>
              </w:rPr>
              <w:t>&lt; 99,9 %</w:t>
            </w:r>
          </w:p>
        </w:tc>
        <w:tc>
          <w:tcPr>
            <w:tcW w:w="5400" w:type="dxa"/>
          </w:tcPr>
          <w:p w14:paraId="423F2E36" w14:textId="77777777" w:rsidR="00600D9A" w:rsidRPr="00600D9A" w:rsidRDefault="00600D9A" w:rsidP="002D5D7A">
            <w:pPr>
              <w:tabs>
                <w:tab w:val="left" w:pos="360"/>
                <w:tab w:val="left" w:pos="720"/>
                <w:tab w:val="left" w:pos="1080"/>
              </w:tabs>
              <w:spacing w:before="20" w:after="20" w:line="240" w:lineRule="auto"/>
              <w:ind w:left="-14" w:right="-101"/>
              <w:jc w:val="center"/>
              <w:rPr>
                <w:rFonts w:eastAsia="Calibri" w:cstheme="minorHAnsi"/>
                <w:sz w:val="16"/>
              </w:rPr>
            </w:pPr>
            <w:r w:rsidRPr="00600D9A">
              <w:rPr>
                <w:rFonts w:eastAsia="Calibri" w:cstheme="minorHAnsi"/>
                <w:sz w:val="16"/>
              </w:rPr>
              <w:t>10 %</w:t>
            </w:r>
          </w:p>
        </w:tc>
      </w:tr>
    </w:tbl>
    <w:p w14:paraId="2A0DA787" w14:textId="77777777" w:rsidR="00600D9A" w:rsidRPr="00D67F75" w:rsidRDefault="00600D9A" w:rsidP="00600D9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0DA652E1" w14:textId="5B2C37B3" w:rsidR="00040759" w:rsidRPr="00EF7CF9" w:rsidRDefault="00040759" w:rsidP="00252FD7">
      <w:pPr>
        <w:pStyle w:val="ProductList-Offering2Heading"/>
        <w:tabs>
          <w:tab w:val="clear" w:pos="360"/>
          <w:tab w:val="clear" w:pos="720"/>
          <w:tab w:val="clear" w:pos="1080"/>
        </w:tabs>
        <w:outlineLvl w:val="2"/>
      </w:pPr>
      <w:bookmarkStart w:id="618" w:name="_Toc195543230"/>
      <w:bookmarkStart w:id="619" w:name="_Toc237449092"/>
      <w:r>
        <w:t>Microsoft Intune</w:t>
      </w:r>
      <w:bookmarkEnd w:id="609"/>
      <w:bookmarkEnd w:id="618"/>
      <w:bookmarkEnd w:id="619"/>
    </w:p>
    <w:p w14:paraId="40C62B19" w14:textId="77445B94" w:rsidR="00040759" w:rsidRPr="00EF7CF9" w:rsidRDefault="00040759" w:rsidP="002A586E">
      <w:pPr>
        <w:pStyle w:val="ProductList-Body"/>
      </w:pPr>
      <w:r>
        <w:rPr>
          <w:b/>
          <w:color w:val="00188F"/>
        </w:rPr>
        <w:t>Ausfallzeit</w:t>
      </w:r>
      <w:r w:rsidRPr="00633DA0">
        <w:rPr>
          <w:b/>
          <w:bCs/>
          <w:color w:val="00188F"/>
        </w:rPr>
        <w:t>:</w:t>
      </w:r>
      <w:r>
        <w:t xml:space="preserve"> </w:t>
      </w:r>
      <w:r>
        <w:rPr>
          <w:szCs w:val="18"/>
        </w:rPr>
        <w:t>Jeder Zeitraum, in dem sich der IT-Administrator des Kunden oder vom Kunden autorisierte Nutzer nicht mit den richtigen Anmeldeinformationen anmelden können. Geplante Ausfallzeiten betragen maximal 10 Stunden pro Kalenderjahr.</w:t>
      </w:r>
    </w:p>
    <w:p w14:paraId="26A518D2" w14:textId="675F9BA8" w:rsidR="00040759" w:rsidRPr="00EF7CF9" w:rsidRDefault="00AC48A7" w:rsidP="00657A3A">
      <w:pPr>
        <w:pStyle w:val="ProductList-Body"/>
        <w:keepNext/>
      </w:pPr>
      <w:r>
        <w:rPr>
          <w:b/>
          <w:color w:val="00188F"/>
        </w:rPr>
        <w:t>Betriebszeitprozentsatz</w:t>
      </w:r>
      <w:r w:rsidRPr="00633DA0">
        <w:rPr>
          <w:b/>
          <w:bCs/>
          <w:color w:val="00188F"/>
        </w:rPr>
        <w:t>:</w:t>
      </w:r>
      <w:r>
        <w:t xml:space="preserve"> Der Betriebszeitprozentsatz errechnet sich nach folgender Formel:</w:t>
      </w:r>
    </w:p>
    <w:p w14:paraId="2D1D4ECA" w14:textId="38AE9052" w:rsidR="00040759" w:rsidRPr="00EF7CF9" w:rsidRDefault="00000000" w:rsidP="00DD7BB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Nutzerminuten abzüglich Ausfallzeit</m:t>
              </m:r>
            </m:num>
            <m:den>
              <m:r>
                <m:rPr>
                  <m:nor/>
                </m:rPr>
                <w:rPr>
                  <w:rFonts w:ascii="Cambria Math" w:hAnsi="Cambria Math" w:cs="Calibri"/>
                  <w:i/>
                  <w:sz w:val="18"/>
                  <w:szCs w:val="18"/>
                </w:rPr>
                <m:t>Nutzerminuten</m:t>
              </m:r>
            </m:den>
          </m:f>
          <m:r>
            <w:rPr>
              <w:rFonts w:ascii="Cambria Math" w:hAnsi="Cambria Math" w:cs="Calibri"/>
              <w:sz w:val="18"/>
              <w:szCs w:val="18"/>
            </w:rPr>
            <m:t xml:space="preserve"> x 100</m:t>
          </m:r>
        </m:oMath>
      </m:oMathPara>
    </w:p>
    <w:p w14:paraId="5864548D" w14:textId="0222B506" w:rsidR="00040759" w:rsidRDefault="00AC48A7" w:rsidP="002A586E">
      <w:pPr>
        <w:pStyle w:val="ProductList-Body"/>
      </w:pPr>
      <w: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757F4EAE" w14:textId="77777777" w:rsidR="0090752C" w:rsidRPr="00EF7CF9" w:rsidRDefault="0090752C" w:rsidP="002A586E">
      <w:pPr>
        <w:pStyle w:val="ProductList-Body"/>
      </w:pPr>
    </w:p>
    <w:p w14:paraId="29DA534D" w14:textId="3B9D6918" w:rsidR="00040759" w:rsidRPr="00EF7CF9" w:rsidRDefault="00040759" w:rsidP="002A586E">
      <w:pPr>
        <w:pStyle w:val="ProductList-Body"/>
      </w:pPr>
      <w:r>
        <w:rPr>
          <w:b/>
          <w:color w:val="00188F"/>
        </w:rPr>
        <w:t>Servicegutschrift</w:t>
      </w:r>
      <w:r w:rsidRPr="00633DA0">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0759" w:rsidRPr="00B44CF9" w14:paraId="50066391" w14:textId="77777777" w:rsidTr="00085CEE">
        <w:trPr>
          <w:tblHeader/>
        </w:trPr>
        <w:tc>
          <w:tcPr>
            <w:tcW w:w="5400" w:type="dxa"/>
            <w:shd w:val="clear" w:color="auto" w:fill="0072C6"/>
          </w:tcPr>
          <w:p w14:paraId="37BA754F" w14:textId="088752A4" w:rsidR="00040759" w:rsidRPr="00EF7CF9" w:rsidRDefault="00AC48A7" w:rsidP="002A586E">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0733245B" w14:textId="77777777" w:rsidR="00040759" w:rsidRPr="00EF7CF9" w:rsidRDefault="00040759" w:rsidP="002A586E">
            <w:pPr>
              <w:pStyle w:val="ProductList-OfferingBody"/>
              <w:jc w:val="center"/>
              <w:rPr>
                <w:color w:val="FFFFFF" w:themeColor="background1"/>
              </w:rPr>
            </w:pPr>
            <w:r>
              <w:rPr>
                <w:color w:val="FFFFFF" w:themeColor="background1"/>
              </w:rPr>
              <w:t>Servicegutschrift</w:t>
            </w:r>
          </w:p>
        </w:tc>
      </w:tr>
      <w:tr w:rsidR="00040759" w:rsidRPr="00B44CF9" w14:paraId="71BA356A" w14:textId="77777777" w:rsidTr="00085CEE">
        <w:tc>
          <w:tcPr>
            <w:tcW w:w="5400" w:type="dxa"/>
          </w:tcPr>
          <w:p w14:paraId="20268779" w14:textId="77777777" w:rsidR="00040759" w:rsidRPr="00EF7CF9" w:rsidRDefault="00040759" w:rsidP="002A586E">
            <w:pPr>
              <w:pStyle w:val="ProductList-OfferingBody"/>
              <w:jc w:val="center"/>
            </w:pPr>
            <w:r>
              <w:t>&lt; 99,9 %</w:t>
            </w:r>
          </w:p>
        </w:tc>
        <w:tc>
          <w:tcPr>
            <w:tcW w:w="5400" w:type="dxa"/>
          </w:tcPr>
          <w:p w14:paraId="0127DF9D" w14:textId="77777777" w:rsidR="00040759" w:rsidRPr="00EF7CF9" w:rsidRDefault="00040759" w:rsidP="002A586E">
            <w:pPr>
              <w:pStyle w:val="ProductList-OfferingBody"/>
              <w:jc w:val="center"/>
            </w:pPr>
            <w:r>
              <w:t>25 %</w:t>
            </w:r>
          </w:p>
        </w:tc>
      </w:tr>
      <w:tr w:rsidR="00040759" w:rsidRPr="00B44CF9" w14:paraId="03609D59" w14:textId="77777777" w:rsidTr="00085CEE">
        <w:tc>
          <w:tcPr>
            <w:tcW w:w="5400" w:type="dxa"/>
          </w:tcPr>
          <w:p w14:paraId="0FA02A3C" w14:textId="77777777" w:rsidR="00040759" w:rsidRPr="00EF7CF9" w:rsidRDefault="00040759" w:rsidP="002A586E">
            <w:pPr>
              <w:pStyle w:val="ProductList-OfferingBody"/>
              <w:jc w:val="center"/>
            </w:pPr>
            <w:r>
              <w:t>&lt; 99 %</w:t>
            </w:r>
          </w:p>
        </w:tc>
        <w:tc>
          <w:tcPr>
            <w:tcW w:w="5400" w:type="dxa"/>
          </w:tcPr>
          <w:p w14:paraId="0E80EF14" w14:textId="77777777" w:rsidR="00040759" w:rsidRPr="00EF7CF9" w:rsidRDefault="00040759" w:rsidP="002A586E">
            <w:pPr>
              <w:pStyle w:val="ProductList-OfferingBody"/>
              <w:jc w:val="center"/>
            </w:pPr>
            <w:r>
              <w:t>50 %</w:t>
            </w:r>
          </w:p>
        </w:tc>
      </w:tr>
      <w:tr w:rsidR="00040759" w:rsidRPr="00B44CF9" w14:paraId="020CF830" w14:textId="77777777" w:rsidTr="00085CEE">
        <w:tc>
          <w:tcPr>
            <w:tcW w:w="5400" w:type="dxa"/>
          </w:tcPr>
          <w:p w14:paraId="2C8112F6" w14:textId="77777777" w:rsidR="00040759" w:rsidRPr="00EF7CF9" w:rsidRDefault="00040759" w:rsidP="002A586E">
            <w:pPr>
              <w:pStyle w:val="ProductList-OfferingBody"/>
              <w:jc w:val="center"/>
            </w:pPr>
            <w:r>
              <w:t>&lt; 95 %</w:t>
            </w:r>
          </w:p>
        </w:tc>
        <w:tc>
          <w:tcPr>
            <w:tcW w:w="5400" w:type="dxa"/>
          </w:tcPr>
          <w:p w14:paraId="6EC1209C" w14:textId="77777777" w:rsidR="00040759" w:rsidRPr="00EF7CF9" w:rsidRDefault="00040759" w:rsidP="002A586E">
            <w:pPr>
              <w:pStyle w:val="ProductList-OfferingBody"/>
              <w:jc w:val="center"/>
            </w:pPr>
            <w:r>
              <w:t>100 %</w:t>
            </w:r>
          </w:p>
        </w:tc>
      </w:tr>
    </w:tbl>
    <w:p w14:paraId="1AEA814F" w14:textId="6C98E72D" w:rsidR="00040759" w:rsidRPr="00EF7CF9" w:rsidRDefault="00040759" w:rsidP="00403BA7">
      <w:pPr>
        <w:pStyle w:val="ProductList-Body"/>
        <w:spacing w:before="120"/>
      </w:pPr>
      <w:r>
        <w:rPr>
          <w:b/>
          <w:color w:val="00188F"/>
        </w:rPr>
        <w:t>Service-Level-Ausnahmen</w:t>
      </w:r>
      <w:r w:rsidRPr="00633DA0">
        <w:rPr>
          <w:b/>
          <w:bCs/>
          <w:color w:val="00188F"/>
        </w:rPr>
        <w:t>:</w:t>
      </w:r>
      <w:r>
        <w:t xml:space="preserve"> Das Service-Level findet keine Anwendung auf: (i) Vor-Ort-Software, die als Teil des Diensteabonnements lizenziert ist</w:t>
      </w:r>
      <w:r w:rsidR="003F0F16">
        <w:t> </w:t>
      </w:r>
      <w:r>
        <w:t>oder (ii) internetbasierte Dienste (mit Ausnahme von Microsoft Intune), die Updates für Vor-Ort-Software bereitstellen, die als Teil des Diensteabonnements lizenziert ist.</w:t>
      </w:r>
    </w:p>
    <w:p w14:paraId="6FA43702" w14:textId="6CCAE959"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3C0C7EA3" w14:textId="5A5ED172" w:rsidR="00B4740C" w:rsidRPr="00EF7CF9" w:rsidRDefault="00B4740C" w:rsidP="00403BA7">
      <w:pPr>
        <w:pStyle w:val="ProductList-Offering2Heading"/>
        <w:keepNext/>
        <w:outlineLvl w:val="2"/>
      </w:pPr>
      <w:bookmarkStart w:id="620" w:name="_Toc195543231"/>
      <w:bookmarkStart w:id="621" w:name="_Toc237449093"/>
      <w:r>
        <w:t>Microsoft Kaizala Pro</w:t>
      </w:r>
      <w:bookmarkEnd w:id="620"/>
      <w:bookmarkEnd w:id="621"/>
    </w:p>
    <w:p w14:paraId="4662FA79" w14:textId="291BF666" w:rsidR="00B4740C" w:rsidRPr="00EF7CF9" w:rsidRDefault="008835A9" w:rsidP="002A586E">
      <w:pPr>
        <w:pStyle w:val="ProductList-Body"/>
      </w:pPr>
      <w:r>
        <w:rPr>
          <w:b/>
          <w:color w:val="00188F"/>
        </w:rPr>
        <w:t>Ausfallzeit</w:t>
      </w:r>
      <w:r w:rsidRPr="00633DA0">
        <w:rPr>
          <w:b/>
          <w:bCs/>
          <w:color w:val="00188F"/>
        </w:rPr>
        <w:t>:</w:t>
      </w:r>
      <w:r>
        <w:t xml:space="preserve"> Zeitraum, in dem Endbenutzer keinen Lese- oder Schreibzugriff auf Nachrichten in Organisationsgruppen haben, für die sie die erforderlichen Berechtigungen besitzen</w:t>
      </w:r>
    </w:p>
    <w:p w14:paraId="69788DFB" w14:textId="49F29779" w:rsidR="00B4740C" w:rsidRDefault="00AC48A7" w:rsidP="002A586E">
      <w:pPr>
        <w:pStyle w:val="ProductList-Body"/>
      </w:pPr>
      <w:r>
        <w:rPr>
          <w:b/>
          <w:color w:val="00188F"/>
        </w:rPr>
        <w:t>Betriebszeitprozentsatz</w:t>
      </w:r>
      <w:r w:rsidRPr="00633DA0">
        <w:rPr>
          <w:b/>
          <w:bCs/>
          <w:color w:val="00188F"/>
        </w:rPr>
        <w:t>:</w:t>
      </w:r>
      <w:r>
        <w:t xml:space="preserve"> Der Betriebszeitprozentsatz errechnet sich nach folgender Formel:</w:t>
      </w:r>
    </w:p>
    <w:p w14:paraId="7E61F59D" w14:textId="1BE37C06" w:rsidR="00B4740C" w:rsidRPr="00EF7CF9" w:rsidRDefault="00000000" w:rsidP="00DD7BB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Nutzerminuten abzüglich Ausfallzeit</m:t>
              </m:r>
            </m:num>
            <m:den>
              <m:r>
                <m:rPr>
                  <m:nor/>
                </m:rPr>
                <w:rPr>
                  <w:rFonts w:ascii="Cambria Math" w:hAnsi="Cambria Math" w:cs="Calibri"/>
                  <w:i/>
                  <w:sz w:val="18"/>
                  <w:szCs w:val="18"/>
                </w:rPr>
                <m:t>Nutzerminuten</m:t>
              </m:r>
            </m:den>
          </m:f>
          <m:r>
            <w:rPr>
              <w:rFonts w:ascii="Cambria Math" w:hAnsi="Cambria Math" w:cs="Calibri"/>
              <w:sz w:val="18"/>
              <w:szCs w:val="18"/>
            </w:rPr>
            <m:t xml:space="preserve"> x 100</m:t>
          </m:r>
        </m:oMath>
      </m:oMathPara>
    </w:p>
    <w:p w14:paraId="0F18822C" w14:textId="60BC009E" w:rsidR="00B4740C" w:rsidRDefault="00AC48A7" w:rsidP="002A586E">
      <w:pPr>
        <w:pStyle w:val="ProductList-Body"/>
      </w:pPr>
      <w: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35B62D27" w14:textId="77777777" w:rsidR="0090752C" w:rsidRPr="00EF7CF9" w:rsidRDefault="0090752C" w:rsidP="002A586E">
      <w:pPr>
        <w:pStyle w:val="ProductList-Body"/>
      </w:pPr>
    </w:p>
    <w:p w14:paraId="3EEDCC5E" w14:textId="6C502919" w:rsidR="00B4740C" w:rsidRPr="00EF7CF9" w:rsidRDefault="00B4740C" w:rsidP="002A586E">
      <w:pPr>
        <w:pStyle w:val="ProductList-Body"/>
      </w:pPr>
      <w:r>
        <w:rPr>
          <w:b/>
          <w:color w:val="00188F"/>
        </w:rPr>
        <w:t>Servicegutschrift</w:t>
      </w:r>
      <w:r w:rsidRPr="00633DA0">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4740C" w:rsidRPr="00B44CF9" w14:paraId="167B64CC" w14:textId="77777777" w:rsidTr="00B0776A">
        <w:trPr>
          <w:tblHeader/>
        </w:trPr>
        <w:tc>
          <w:tcPr>
            <w:tcW w:w="5400" w:type="dxa"/>
            <w:shd w:val="clear" w:color="auto" w:fill="0072C6"/>
          </w:tcPr>
          <w:p w14:paraId="43C60026" w14:textId="27708823" w:rsidR="00B4740C" w:rsidRPr="00EF7CF9" w:rsidRDefault="00AC48A7" w:rsidP="002A586E">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1E008F05" w14:textId="77777777" w:rsidR="00B4740C" w:rsidRPr="00EF7CF9" w:rsidRDefault="00B4740C" w:rsidP="002A586E">
            <w:pPr>
              <w:pStyle w:val="ProductList-OfferingBody"/>
              <w:jc w:val="center"/>
              <w:rPr>
                <w:color w:val="FFFFFF" w:themeColor="background1"/>
              </w:rPr>
            </w:pPr>
            <w:r>
              <w:rPr>
                <w:color w:val="FFFFFF" w:themeColor="background1"/>
              </w:rPr>
              <w:t>Servicegutschrift</w:t>
            </w:r>
          </w:p>
        </w:tc>
      </w:tr>
      <w:tr w:rsidR="00B4740C" w:rsidRPr="00B44CF9" w14:paraId="405B8F03" w14:textId="77777777" w:rsidTr="00B0776A">
        <w:tc>
          <w:tcPr>
            <w:tcW w:w="5400" w:type="dxa"/>
          </w:tcPr>
          <w:p w14:paraId="16D69F82" w14:textId="77777777" w:rsidR="00B4740C" w:rsidRPr="00EF7CF9" w:rsidRDefault="00B4740C" w:rsidP="002A586E">
            <w:pPr>
              <w:pStyle w:val="ProductList-OfferingBody"/>
              <w:jc w:val="center"/>
            </w:pPr>
            <w:r>
              <w:t>&lt; 99,9 %</w:t>
            </w:r>
          </w:p>
        </w:tc>
        <w:tc>
          <w:tcPr>
            <w:tcW w:w="5400" w:type="dxa"/>
          </w:tcPr>
          <w:p w14:paraId="42B1F6F3" w14:textId="77777777" w:rsidR="00B4740C" w:rsidRPr="00EF7CF9" w:rsidRDefault="00B4740C" w:rsidP="002A586E">
            <w:pPr>
              <w:pStyle w:val="ProductList-OfferingBody"/>
              <w:jc w:val="center"/>
            </w:pPr>
            <w:r>
              <w:t>25 %</w:t>
            </w:r>
          </w:p>
        </w:tc>
      </w:tr>
      <w:tr w:rsidR="00B4740C" w:rsidRPr="00B44CF9" w14:paraId="6C54F27A" w14:textId="77777777" w:rsidTr="00B0776A">
        <w:tc>
          <w:tcPr>
            <w:tcW w:w="5400" w:type="dxa"/>
          </w:tcPr>
          <w:p w14:paraId="138A2B8D" w14:textId="77777777" w:rsidR="00B4740C" w:rsidRPr="00EF7CF9" w:rsidRDefault="00B4740C" w:rsidP="002A586E">
            <w:pPr>
              <w:pStyle w:val="ProductList-OfferingBody"/>
              <w:jc w:val="center"/>
            </w:pPr>
            <w:r>
              <w:t>&lt; 99 %</w:t>
            </w:r>
          </w:p>
        </w:tc>
        <w:tc>
          <w:tcPr>
            <w:tcW w:w="5400" w:type="dxa"/>
          </w:tcPr>
          <w:p w14:paraId="36B5824F" w14:textId="77777777" w:rsidR="00B4740C" w:rsidRPr="00EF7CF9" w:rsidRDefault="00B4740C" w:rsidP="002A586E">
            <w:pPr>
              <w:pStyle w:val="ProductList-OfferingBody"/>
              <w:jc w:val="center"/>
            </w:pPr>
            <w:r>
              <w:t>50 %</w:t>
            </w:r>
          </w:p>
        </w:tc>
      </w:tr>
      <w:tr w:rsidR="00B4740C" w:rsidRPr="00B44CF9" w14:paraId="7068D5C9" w14:textId="77777777" w:rsidTr="00B0776A">
        <w:tc>
          <w:tcPr>
            <w:tcW w:w="5400" w:type="dxa"/>
          </w:tcPr>
          <w:p w14:paraId="11E73419" w14:textId="77777777" w:rsidR="00B4740C" w:rsidRPr="00EF7CF9" w:rsidRDefault="00B4740C" w:rsidP="002A586E">
            <w:pPr>
              <w:pStyle w:val="ProductList-OfferingBody"/>
              <w:jc w:val="center"/>
            </w:pPr>
            <w:r>
              <w:t>&lt; 95 %</w:t>
            </w:r>
          </w:p>
        </w:tc>
        <w:tc>
          <w:tcPr>
            <w:tcW w:w="5400" w:type="dxa"/>
          </w:tcPr>
          <w:p w14:paraId="6DC66DA2" w14:textId="77777777" w:rsidR="00B4740C" w:rsidRPr="00EF7CF9" w:rsidRDefault="00B4740C" w:rsidP="002A586E">
            <w:pPr>
              <w:pStyle w:val="ProductList-OfferingBody"/>
              <w:jc w:val="center"/>
            </w:pPr>
            <w:r>
              <w:t>100 %</w:t>
            </w:r>
          </w:p>
        </w:tc>
      </w:tr>
    </w:tbl>
    <w:p w14:paraId="09DF2910" w14:textId="1EB6584A"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4E1AF830" w14:textId="0C931E1D" w:rsidR="005C2F5C" w:rsidRPr="00EF7CF9" w:rsidRDefault="005C2F5C" w:rsidP="00027ACB">
      <w:pPr>
        <w:pStyle w:val="ProductList-Offering2Heading"/>
        <w:keepNext/>
        <w:tabs>
          <w:tab w:val="clear" w:pos="360"/>
          <w:tab w:val="clear" w:pos="720"/>
          <w:tab w:val="clear" w:pos="1080"/>
        </w:tabs>
        <w:outlineLvl w:val="2"/>
      </w:pPr>
      <w:bookmarkStart w:id="622" w:name="_Toc195543232"/>
      <w:bookmarkStart w:id="623" w:name="_Toc237449094"/>
      <w:r>
        <w:t>Microsoft PowerApps</w:t>
      </w:r>
      <w:bookmarkEnd w:id="622"/>
      <w:bookmarkEnd w:id="623"/>
    </w:p>
    <w:p w14:paraId="5CE1D2EF" w14:textId="231BF3A3" w:rsidR="005C2F5C" w:rsidRPr="00EF7CF9" w:rsidRDefault="005C2F5C" w:rsidP="002A586E">
      <w:pPr>
        <w:pStyle w:val="ProductList-Body"/>
      </w:pPr>
      <w:r>
        <w:rPr>
          <w:b/>
          <w:color w:val="00188F"/>
        </w:rPr>
        <w:t>Ausfallzeit</w:t>
      </w:r>
      <w:r w:rsidRPr="00633DA0">
        <w:rPr>
          <w:b/>
          <w:bCs/>
          <w:color w:val="00188F"/>
        </w:rPr>
        <w:t>:</w:t>
      </w:r>
      <w:r>
        <w:t xml:space="preserve"> </w:t>
      </w:r>
      <w:r>
        <w:rPr>
          <w:szCs w:val="18"/>
        </w:rPr>
        <w:t>Zeiträume, in denen Nutzer beliebige Teile der Daten in Microsoft Power Apps, für die sie entsprechende Berechtigungen besitzen, nicht lesen oder bearbeiten können.</w:t>
      </w:r>
    </w:p>
    <w:p w14:paraId="55599CC6" w14:textId="23D6BB75" w:rsidR="005C2F5C" w:rsidRPr="00EF7CF9" w:rsidRDefault="00AC48A7" w:rsidP="002A586E">
      <w:pPr>
        <w:pStyle w:val="ProductList-Body"/>
      </w:pPr>
      <w:r>
        <w:rPr>
          <w:b/>
          <w:color w:val="00188F"/>
        </w:rPr>
        <w:t>Betriebszeitprozentsatz</w:t>
      </w:r>
      <w:r w:rsidRPr="00633DA0">
        <w:rPr>
          <w:b/>
          <w:bCs/>
          <w:color w:val="00188F"/>
        </w:rPr>
        <w:t>:</w:t>
      </w:r>
      <w:r>
        <w:t xml:space="preserve"> Der Betriebszeitprozentsatz errechnet sich nach folgender Formel:</w:t>
      </w:r>
    </w:p>
    <w:p w14:paraId="5AAB2FAD" w14:textId="3E87457A" w:rsidR="005C2F5C" w:rsidRPr="00EF7CF9" w:rsidRDefault="00000000" w:rsidP="00DD7BB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Gesamtanzahl der Minuten in einem Monat - Ausfallzeiten</m:t>
              </m:r>
            </m:num>
            <m:den>
              <m:r>
                <w:rPr>
                  <w:rFonts w:ascii="Cambria Math" w:hAnsi="Cambria Math" w:cs="Calibri"/>
                  <w:sz w:val="18"/>
                  <w:szCs w:val="18"/>
                </w:rPr>
                <m:t>Gesamtzahl der Minuten in einem Monat</m:t>
              </m:r>
            </m:den>
          </m:f>
          <m:r>
            <w:rPr>
              <w:rFonts w:ascii="Cambria Math" w:hAnsi="Cambria Math" w:cs="Calibri"/>
              <w:sz w:val="18"/>
              <w:szCs w:val="18"/>
            </w:rPr>
            <m:t xml:space="preserve"> x 100</m:t>
          </m:r>
        </m:oMath>
      </m:oMathPara>
    </w:p>
    <w:p w14:paraId="7450D62A" w14:textId="27465AEE" w:rsidR="005C2F5C" w:rsidRDefault="00AC48A7" w:rsidP="002A586E">
      <w:pPr>
        <w:pStyle w:val="ProductList-Body"/>
      </w:pPr>
      <w: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75833D86" w14:textId="77777777" w:rsidR="0090752C" w:rsidRPr="00EF7CF9" w:rsidRDefault="0090752C" w:rsidP="002A586E">
      <w:pPr>
        <w:pStyle w:val="ProductList-Body"/>
      </w:pPr>
    </w:p>
    <w:p w14:paraId="7568F746" w14:textId="77777777" w:rsidR="005C2F5C" w:rsidRPr="00EF7CF9" w:rsidRDefault="005C2F5C" w:rsidP="002A586E">
      <w:pPr>
        <w:pStyle w:val="ProductList-Body"/>
      </w:pPr>
      <w:r>
        <w:rPr>
          <w:b/>
          <w:color w:val="00188F"/>
        </w:rPr>
        <w:t>Servicegutschrift</w:t>
      </w:r>
      <w:r w:rsidRPr="00633DA0">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2F5C" w:rsidRPr="00B44CF9" w14:paraId="4A3E8449" w14:textId="77777777" w:rsidTr="00170FD9">
        <w:trPr>
          <w:tblHeader/>
        </w:trPr>
        <w:tc>
          <w:tcPr>
            <w:tcW w:w="5400" w:type="dxa"/>
            <w:shd w:val="clear" w:color="auto" w:fill="0072C6"/>
          </w:tcPr>
          <w:p w14:paraId="56E32261" w14:textId="511B176E" w:rsidR="005C2F5C" w:rsidRPr="00EF7CF9" w:rsidRDefault="00AC48A7" w:rsidP="002A586E">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62AAB715" w14:textId="77777777" w:rsidR="005C2F5C" w:rsidRPr="00EF7CF9" w:rsidRDefault="005C2F5C" w:rsidP="002A586E">
            <w:pPr>
              <w:pStyle w:val="ProductList-OfferingBody"/>
              <w:jc w:val="center"/>
              <w:rPr>
                <w:color w:val="FFFFFF" w:themeColor="background1"/>
              </w:rPr>
            </w:pPr>
            <w:r>
              <w:rPr>
                <w:color w:val="FFFFFF" w:themeColor="background1"/>
              </w:rPr>
              <w:t>Servicegutschrift</w:t>
            </w:r>
          </w:p>
        </w:tc>
      </w:tr>
      <w:tr w:rsidR="005C2F5C" w:rsidRPr="00B44CF9" w14:paraId="5A086A81" w14:textId="77777777" w:rsidTr="00170FD9">
        <w:tc>
          <w:tcPr>
            <w:tcW w:w="5400" w:type="dxa"/>
          </w:tcPr>
          <w:p w14:paraId="5B65AE53" w14:textId="77777777" w:rsidR="005C2F5C" w:rsidRPr="00EF7CF9" w:rsidRDefault="005C2F5C" w:rsidP="002A586E">
            <w:pPr>
              <w:pStyle w:val="ProductList-OfferingBody"/>
              <w:jc w:val="center"/>
            </w:pPr>
            <w:r>
              <w:t>&lt; 99,9 %</w:t>
            </w:r>
          </w:p>
        </w:tc>
        <w:tc>
          <w:tcPr>
            <w:tcW w:w="5400" w:type="dxa"/>
          </w:tcPr>
          <w:p w14:paraId="66DD7CC4" w14:textId="77777777" w:rsidR="005C2F5C" w:rsidRPr="00EF7CF9" w:rsidRDefault="005C2F5C" w:rsidP="002A586E">
            <w:pPr>
              <w:pStyle w:val="ProductList-OfferingBody"/>
              <w:jc w:val="center"/>
            </w:pPr>
            <w:r>
              <w:t>25 %</w:t>
            </w:r>
          </w:p>
        </w:tc>
      </w:tr>
      <w:tr w:rsidR="005C2F5C" w:rsidRPr="00B44CF9" w14:paraId="6B64D232" w14:textId="77777777" w:rsidTr="00170FD9">
        <w:tc>
          <w:tcPr>
            <w:tcW w:w="5400" w:type="dxa"/>
          </w:tcPr>
          <w:p w14:paraId="0FEAC802" w14:textId="77777777" w:rsidR="005C2F5C" w:rsidRPr="00EF7CF9" w:rsidRDefault="005C2F5C" w:rsidP="002A586E">
            <w:pPr>
              <w:pStyle w:val="ProductList-OfferingBody"/>
              <w:jc w:val="center"/>
            </w:pPr>
            <w:r>
              <w:t>&lt; 99 %</w:t>
            </w:r>
          </w:p>
        </w:tc>
        <w:tc>
          <w:tcPr>
            <w:tcW w:w="5400" w:type="dxa"/>
          </w:tcPr>
          <w:p w14:paraId="3D07B2D8" w14:textId="77777777" w:rsidR="005C2F5C" w:rsidRPr="00EF7CF9" w:rsidRDefault="005C2F5C" w:rsidP="002A586E">
            <w:pPr>
              <w:pStyle w:val="ProductList-OfferingBody"/>
              <w:jc w:val="center"/>
            </w:pPr>
            <w:r>
              <w:t>50 %</w:t>
            </w:r>
          </w:p>
        </w:tc>
      </w:tr>
      <w:tr w:rsidR="005C2F5C" w:rsidRPr="00B44CF9" w14:paraId="35FBE36C" w14:textId="77777777" w:rsidTr="00170FD9">
        <w:tc>
          <w:tcPr>
            <w:tcW w:w="5400" w:type="dxa"/>
          </w:tcPr>
          <w:p w14:paraId="15E0BE2E" w14:textId="77777777" w:rsidR="005C2F5C" w:rsidRPr="00EF7CF9" w:rsidRDefault="005C2F5C" w:rsidP="002A586E">
            <w:pPr>
              <w:pStyle w:val="ProductList-OfferingBody"/>
              <w:jc w:val="center"/>
            </w:pPr>
            <w:r>
              <w:t>&lt; 95 %</w:t>
            </w:r>
          </w:p>
        </w:tc>
        <w:tc>
          <w:tcPr>
            <w:tcW w:w="5400" w:type="dxa"/>
          </w:tcPr>
          <w:p w14:paraId="69ECA17B" w14:textId="77777777" w:rsidR="005C2F5C" w:rsidRPr="00EF7CF9" w:rsidRDefault="005C2F5C" w:rsidP="002A586E">
            <w:pPr>
              <w:pStyle w:val="ProductList-OfferingBody"/>
              <w:jc w:val="center"/>
            </w:pPr>
            <w:r>
              <w:t>100 %</w:t>
            </w:r>
          </w:p>
        </w:tc>
      </w:tr>
    </w:tbl>
    <w:bookmarkStart w:id="624" w:name="_Toc34826924"/>
    <w:p w14:paraId="22C07E2E" w14:textId="0FF74BD1"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6D0E9B8B" w14:textId="378C2831" w:rsidR="00BF3499" w:rsidRPr="008E63D8" w:rsidRDefault="00BF3499" w:rsidP="00EF42FD">
      <w:pPr>
        <w:pStyle w:val="ProductList-Offering2Heading"/>
        <w:tabs>
          <w:tab w:val="clear" w:pos="360"/>
          <w:tab w:val="clear" w:pos="720"/>
          <w:tab w:val="clear" w:pos="1080"/>
        </w:tabs>
        <w:outlineLvl w:val="2"/>
      </w:pPr>
      <w:bookmarkStart w:id="625" w:name="_Toc195543233"/>
      <w:bookmarkStart w:id="626" w:name="_Toc237449095"/>
      <w:r w:rsidRPr="008E63D8">
        <w:t xml:space="preserve">Microsoft </w:t>
      </w:r>
      <w:bookmarkEnd w:id="624"/>
      <w:r w:rsidR="008E63D8" w:rsidRPr="008E63D8">
        <w:t>Copilot Studio</w:t>
      </w:r>
      <w:bookmarkEnd w:id="625"/>
      <w:bookmarkEnd w:id="626"/>
    </w:p>
    <w:p w14:paraId="64720E1E" w14:textId="77777777" w:rsidR="00BF3499" w:rsidRPr="00445B42" w:rsidRDefault="00BF3499" w:rsidP="00BF3499">
      <w:pPr>
        <w:shd w:val="clear" w:color="auto" w:fill="FFFFFF"/>
        <w:spacing w:after="0" w:line="240" w:lineRule="auto"/>
        <w:rPr>
          <w:rFonts w:ascii="Calibri" w:eastAsia="Calibri" w:hAnsi="Calibri" w:cs="Arial"/>
          <w:b/>
          <w:color w:val="00188F"/>
          <w:sz w:val="18"/>
          <w:szCs w:val="18"/>
        </w:rPr>
      </w:pPr>
      <w:r w:rsidRPr="00445B42">
        <w:rPr>
          <w:rFonts w:ascii="Calibri" w:eastAsia="Calibri" w:hAnsi="Calibri" w:cs="Arial"/>
          <w:b/>
          <w:color w:val="00188F"/>
          <w:sz w:val="18"/>
          <w:szCs w:val="18"/>
        </w:rPr>
        <w:t>Zusätzliche Definitionen</w:t>
      </w:r>
      <w:r w:rsidRPr="00445B42">
        <w:rPr>
          <w:b/>
          <w:bCs/>
          <w:color w:val="00188F"/>
          <w:sz w:val="18"/>
          <w:szCs w:val="18"/>
        </w:rPr>
        <w:t>:</w:t>
      </w:r>
      <w:r w:rsidRPr="00445B42">
        <w:rPr>
          <w:rFonts w:ascii="Calibri" w:eastAsia="Calibri" w:hAnsi="Calibri" w:cs="Arial"/>
          <w:b/>
          <w:color w:val="00188F"/>
          <w:sz w:val="18"/>
          <w:szCs w:val="18"/>
        </w:rPr>
        <w:t xml:space="preserve"> </w:t>
      </w:r>
    </w:p>
    <w:p w14:paraId="06948106" w14:textId="312537C7" w:rsidR="00BF3499" w:rsidRPr="00445B42" w:rsidRDefault="00BF3499" w:rsidP="00BF3499">
      <w:pPr>
        <w:shd w:val="clear" w:color="auto" w:fill="FFFFFF"/>
        <w:spacing w:after="0" w:line="240" w:lineRule="auto"/>
        <w:rPr>
          <w:rFonts w:ascii="Calibri" w:eastAsia="Calibri" w:hAnsi="Calibri" w:cs="Arial"/>
          <w:sz w:val="18"/>
          <w:szCs w:val="18"/>
        </w:rPr>
      </w:pPr>
      <w:r w:rsidRPr="00445B42">
        <w:rPr>
          <w:sz w:val="18"/>
          <w:szCs w:val="18"/>
        </w:rPr>
        <w:t>„</w:t>
      </w:r>
      <w:r w:rsidRPr="00445B42">
        <w:rPr>
          <w:rFonts w:ascii="Calibri" w:eastAsia="Calibri" w:hAnsi="Calibri" w:cs="Arial"/>
          <w:b/>
          <w:color w:val="00188F"/>
          <w:sz w:val="18"/>
          <w:szCs w:val="18"/>
        </w:rPr>
        <w:t>Gesamtnachrichtenanforderungen</w:t>
      </w:r>
      <w:r w:rsidRPr="00445B42">
        <w:rPr>
          <w:sz w:val="18"/>
          <w:szCs w:val="18"/>
        </w:rPr>
        <w:t>“ </w:t>
      </w:r>
      <w:r w:rsidRPr="00445B42">
        <w:rPr>
          <w:rFonts w:ascii="Calibri" w:eastAsia="Calibri" w:hAnsi="Calibri" w:cs="Arial"/>
          <w:sz w:val="18"/>
          <w:szCs w:val="18"/>
        </w:rPr>
        <w:t xml:space="preserve">ist die Gesamtzahl der Anforderungen eines Endbenutzers an </w:t>
      </w:r>
      <w:r w:rsidR="008E63D8">
        <w:rPr>
          <w:rFonts w:ascii="Calibri" w:eastAsia="Calibri" w:hAnsi="Calibri" w:cs="Arial"/>
          <w:sz w:val="18"/>
          <w:szCs w:val="18"/>
        </w:rPr>
        <w:t>Copilot Studio</w:t>
      </w:r>
      <w:r w:rsidRPr="00445B42">
        <w:rPr>
          <w:rFonts w:ascii="Calibri" w:eastAsia="Calibri" w:hAnsi="Calibri" w:cs="Arial"/>
          <w:sz w:val="18"/>
          <w:szCs w:val="18"/>
        </w:rPr>
        <w:t xml:space="preserve"> während eines Anwendbaren Zeitraums.</w:t>
      </w:r>
    </w:p>
    <w:p w14:paraId="0140F598" w14:textId="1406C124" w:rsidR="00BF3499" w:rsidRPr="00445B42" w:rsidRDefault="00BF3499" w:rsidP="00BF3499">
      <w:pPr>
        <w:shd w:val="clear" w:color="auto" w:fill="FFFFFF"/>
        <w:spacing w:after="0" w:line="240" w:lineRule="auto"/>
        <w:rPr>
          <w:rFonts w:ascii="Calibri" w:eastAsia="Calibri" w:hAnsi="Calibri" w:cs="Arial"/>
          <w:sz w:val="18"/>
          <w:szCs w:val="18"/>
        </w:rPr>
      </w:pPr>
      <w:r w:rsidRPr="00445B42">
        <w:rPr>
          <w:sz w:val="18"/>
          <w:szCs w:val="18"/>
        </w:rPr>
        <w:t>„</w:t>
      </w:r>
      <w:r w:rsidRPr="00445B42">
        <w:rPr>
          <w:rFonts w:ascii="Calibri" w:eastAsia="Calibri" w:hAnsi="Calibri" w:cs="Arial"/>
          <w:b/>
          <w:color w:val="00188F"/>
          <w:sz w:val="18"/>
          <w:szCs w:val="18"/>
        </w:rPr>
        <w:t>Fehlgeschlagene Nachrichtenanforderungen</w:t>
      </w:r>
      <w:r w:rsidRPr="00445B42">
        <w:rPr>
          <w:sz w:val="18"/>
          <w:szCs w:val="18"/>
        </w:rPr>
        <w:t xml:space="preserve">“ </w:t>
      </w:r>
      <w:r w:rsidRPr="00445B42">
        <w:rPr>
          <w:rFonts w:ascii="Calibri" w:eastAsia="Calibri" w:hAnsi="Calibri" w:cs="Arial"/>
          <w:sz w:val="18"/>
          <w:szCs w:val="18"/>
        </w:rPr>
        <w:t>bezeichnet die Gesamtzahl der Anforderungen innerhalb der Gesamtnachrichtenanforderungen, an</w:t>
      </w:r>
      <w:r w:rsidR="000A6D82">
        <w:rPr>
          <w:rFonts w:ascii="Calibri" w:eastAsia="Calibri" w:hAnsi="Calibri" w:cs="Arial"/>
          <w:sz w:val="18"/>
          <w:szCs w:val="18"/>
        </w:rPr>
        <w:t> </w:t>
      </w:r>
      <w:r w:rsidRPr="00445B42">
        <w:rPr>
          <w:rFonts w:ascii="Calibri" w:eastAsia="Calibri" w:hAnsi="Calibri" w:cs="Arial"/>
          <w:sz w:val="18"/>
          <w:szCs w:val="18"/>
        </w:rPr>
        <w:t xml:space="preserve">die die </w:t>
      </w:r>
      <w:r w:rsidR="008E63D8">
        <w:rPr>
          <w:rFonts w:ascii="Calibri" w:eastAsia="Calibri" w:hAnsi="Calibri" w:cs="Arial"/>
          <w:sz w:val="18"/>
          <w:szCs w:val="18"/>
        </w:rPr>
        <w:t>Copilot Studio</w:t>
      </w:r>
      <w:r w:rsidR="008E63D8" w:rsidRPr="00445B42">
        <w:rPr>
          <w:rFonts w:ascii="Calibri" w:eastAsia="Calibri" w:hAnsi="Calibri" w:cs="Arial"/>
          <w:sz w:val="18"/>
          <w:szCs w:val="18"/>
        </w:rPr>
        <w:t xml:space="preserve"> </w:t>
      </w:r>
      <w:r w:rsidRPr="00445B42">
        <w:rPr>
          <w:rFonts w:ascii="Calibri" w:eastAsia="Calibri" w:hAnsi="Calibri" w:cs="Arial"/>
          <w:sz w:val="18"/>
          <w:szCs w:val="18"/>
        </w:rPr>
        <w:t xml:space="preserve">aufgrund eines Systemfehlers innerhalb der </w:t>
      </w:r>
      <w:r w:rsidR="008E63D8">
        <w:rPr>
          <w:rFonts w:ascii="Calibri" w:eastAsia="Calibri" w:hAnsi="Calibri" w:cs="Arial"/>
          <w:sz w:val="18"/>
          <w:szCs w:val="18"/>
        </w:rPr>
        <w:t>Copilot Studio</w:t>
      </w:r>
      <w:r w:rsidR="008E63D8" w:rsidRPr="00445B42">
        <w:rPr>
          <w:rFonts w:ascii="Calibri" w:eastAsia="Calibri" w:hAnsi="Calibri" w:cs="Arial"/>
          <w:sz w:val="18"/>
          <w:szCs w:val="18"/>
        </w:rPr>
        <w:t xml:space="preserve"> </w:t>
      </w:r>
      <w:r w:rsidRPr="00445B42">
        <w:rPr>
          <w:rFonts w:ascii="Calibri" w:eastAsia="Calibri" w:hAnsi="Calibri" w:cs="Arial"/>
          <w:sz w:val="18"/>
          <w:szCs w:val="18"/>
        </w:rPr>
        <w:t>keine Antwortnachricht senden können.</w:t>
      </w:r>
    </w:p>
    <w:p w14:paraId="777E0808" w14:textId="3CC75F91" w:rsidR="00BF3499" w:rsidRPr="00445B42" w:rsidRDefault="00AC48A7" w:rsidP="00BF3499">
      <w:pPr>
        <w:tabs>
          <w:tab w:val="left" w:pos="360"/>
          <w:tab w:val="left" w:pos="720"/>
          <w:tab w:val="left" w:pos="1080"/>
        </w:tabs>
        <w:spacing w:after="0" w:line="240" w:lineRule="auto"/>
        <w:rPr>
          <w:rFonts w:ascii="Calibri" w:eastAsia="Calibri" w:hAnsi="Calibri" w:cs="Arial"/>
          <w:sz w:val="18"/>
          <w:szCs w:val="18"/>
        </w:rPr>
      </w:pPr>
      <w:r w:rsidRPr="00445B42">
        <w:rPr>
          <w:rFonts w:ascii="Calibri" w:eastAsia="Calibri" w:hAnsi="Calibri" w:cs="Arial"/>
          <w:b/>
          <w:color w:val="00188F"/>
          <w:sz w:val="18"/>
          <w:szCs w:val="18"/>
        </w:rPr>
        <w:t>Betriebszeitprozentsatz</w:t>
      </w:r>
      <w:r w:rsidRPr="00445B42">
        <w:rPr>
          <w:b/>
          <w:bCs/>
          <w:color w:val="00188F"/>
          <w:sz w:val="18"/>
          <w:szCs w:val="18"/>
        </w:rPr>
        <w:t>:</w:t>
      </w:r>
      <w:r w:rsidRPr="00445B42">
        <w:rPr>
          <w:rFonts w:ascii="Calibri" w:eastAsia="Calibri" w:hAnsi="Calibri" w:cs="Arial"/>
          <w:sz w:val="18"/>
          <w:szCs w:val="18"/>
        </w:rPr>
        <w:t xml:space="preserve"> Der Betriebszeitprozentsatz errechnet sich nach folgender Formel:</w:t>
      </w:r>
    </w:p>
    <w:p w14:paraId="5FFCCA93" w14:textId="203AD45C" w:rsidR="00BF3499" w:rsidRPr="001878FE" w:rsidRDefault="00000000" w:rsidP="00DD7BB6">
      <w:pPr>
        <w:spacing w:before="120" w:after="0" w:line="240" w:lineRule="auto"/>
        <w:jc w:val="both"/>
        <w:rPr>
          <w:rFonts w:ascii="Calibri" w:eastAsia="Calibri" w:hAnsi="Calibri" w:cs="Arial"/>
          <w:sz w:val="18"/>
          <w:szCs w:val="18"/>
        </w:rPr>
      </w:pPr>
      <m:oMathPara>
        <m:oMathParaPr>
          <m:jc m:val="center"/>
        </m:oMathParaPr>
        <m:oMath>
          <m:f>
            <m:fPr>
              <m:ctrlPr>
                <w:rPr>
                  <w:rFonts w:ascii="Cambria Math" w:eastAsia="Calibri" w:hAnsi="Cambria Math" w:cs="Calibri"/>
                  <w:i/>
                  <w:sz w:val="18"/>
                  <w:szCs w:val="18"/>
                </w:rPr>
              </m:ctrlPr>
            </m:fPr>
            <m:num>
              <m:r>
                <w:rPr>
                  <w:rFonts w:ascii="Cambria Math" w:eastAsia="Calibri" w:hAnsi="Cambria Math" w:cs="Calibri"/>
                  <w:sz w:val="18"/>
                  <w:szCs w:val="18"/>
                </w:rPr>
                <m:t>Gesamtnachrichtenanforderungen - Fehlgeschlagene Nachrichtenanforderungen</m:t>
              </m:r>
            </m:num>
            <m:den>
              <m:r>
                <w:rPr>
                  <w:rFonts w:ascii="Cambria Math" w:eastAsia="Calibri" w:hAnsi="Cambria Math" w:cs="Calibri"/>
                  <w:sz w:val="18"/>
                  <w:szCs w:val="18"/>
                </w:rPr>
                <m:t>Gesamtzahl der Nachrichtenanforderungen</m:t>
              </m:r>
            </m:den>
          </m:f>
          <m:r>
            <w:rPr>
              <w:rFonts w:ascii="Cambria Math" w:eastAsia="Calibri" w:hAnsi="Cambria Math" w:cs="Calibri"/>
              <w:sz w:val="18"/>
              <w:szCs w:val="18"/>
            </w:rPr>
            <m:t xml:space="preserve"> x 100</m:t>
          </m:r>
        </m:oMath>
      </m:oMathPara>
    </w:p>
    <w:p w14:paraId="7FF4554C" w14:textId="38E2628D" w:rsidR="00BF3499" w:rsidRDefault="00BF3499" w:rsidP="00EA1447">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Servicegutschrift</w:t>
      </w:r>
      <w:r w:rsidRPr="00633DA0">
        <w:rPr>
          <w:b/>
          <w:bCs/>
          <w:color w:val="00188F"/>
          <w:sz w:val="18"/>
        </w:rPr>
        <w:t>:</w:t>
      </w:r>
    </w:p>
    <w:tbl>
      <w:tblPr>
        <w:tblStyle w:val="TableGrid"/>
        <w:tblW w:w="10795" w:type="dxa"/>
        <w:tblLook w:val="04A0" w:firstRow="1" w:lastRow="0" w:firstColumn="1" w:lastColumn="0" w:noHBand="0" w:noVBand="1"/>
      </w:tblPr>
      <w:tblGrid>
        <w:gridCol w:w="5395"/>
        <w:gridCol w:w="5400"/>
      </w:tblGrid>
      <w:tr w:rsidR="00BF3499" w:rsidRPr="006D4DC5" w14:paraId="196F5C8D" w14:textId="77777777" w:rsidTr="00600D9A">
        <w:trPr>
          <w:tblHeader/>
        </w:trPr>
        <w:tc>
          <w:tcPr>
            <w:tcW w:w="5395" w:type="dxa"/>
            <w:shd w:val="clear" w:color="auto" w:fill="0072C6"/>
          </w:tcPr>
          <w:p w14:paraId="5B793407" w14:textId="47AA0289" w:rsidR="00BF3499" w:rsidRPr="006D4DC5" w:rsidRDefault="00AC48A7" w:rsidP="00EA1447">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53CDCE47" w14:textId="77777777" w:rsidR="00BF3499" w:rsidRPr="006D4DC5" w:rsidRDefault="00BF3499" w:rsidP="00EA1447">
            <w:pPr>
              <w:pStyle w:val="ProductList-OfferingBody"/>
              <w:jc w:val="center"/>
              <w:rPr>
                <w:color w:val="FFFFFF" w:themeColor="background1"/>
              </w:rPr>
            </w:pPr>
            <w:r>
              <w:rPr>
                <w:color w:val="FFFFFF" w:themeColor="background1"/>
              </w:rPr>
              <w:t>Servicegutschrift</w:t>
            </w:r>
          </w:p>
        </w:tc>
      </w:tr>
      <w:tr w:rsidR="00BF3499" w:rsidRPr="006D4DC5" w14:paraId="5DAFB5E4" w14:textId="77777777" w:rsidTr="00600D9A">
        <w:trPr>
          <w:tblHeader/>
        </w:trPr>
        <w:tc>
          <w:tcPr>
            <w:tcW w:w="5395" w:type="dxa"/>
          </w:tcPr>
          <w:p w14:paraId="603E5022" w14:textId="77777777" w:rsidR="00BF3499" w:rsidRDefault="00BF3499" w:rsidP="00EA1447">
            <w:pPr>
              <w:pStyle w:val="ProductList-OfferingBody"/>
              <w:jc w:val="center"/>
              <w:rPr>
                <w:color w:val="000000" w:themeColor="text1"/>
              </w:rPr>
            </w:pPr>
            <w:r>
              <w:t>&lt; 99,9 %</w:t>
            </w:r>
          </w:p>
        </w:tc>
        <w:tc>
          <w:tcPr>
            <w:tcW w:w="5400" w:type="dxa"/>
          </w:tcPr>
          <w:p w14:paraId="51950A0F" w14:textId="77777777" w:rsidR="00BF3499" w:rsidRDefault="00BF3499" w:rsidP="00EA1447">
            <w:pPr>
              <w:pStyle w:val="ProductList-OfferingBody"/>
              <w:jc w:val="center"/>
              <w:rPr>
                <w:color w:val="000000" w:themeColor="text1"/>
              </w:rPr>
            </w:pPr>
            <w:r>
              <w:t>10 %</w:t>
            </w:r>
          </w:p>
        </w:tc>
      </w:tr>
    </w:tbl>
    <w:bookmarkStart w:id="627" w:name="_Toc102075655"/>
    <w:p w14:paraId="4DB57E41" w14:textId="22F692BB"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41989FDF" w14:textId="21029F5C" w:rsidR="00F52BD7" w:rsidRPr="00EF7CF9" w:rsidRDefault="00F52BD7" w:rsidP="00403BA7">
      <w:pPr>
        <w:pStyle w:val="ProductList-Offering2Heading"/>
        <w:keepNext/>
        <w:tabs>
          <w:tab w:val="clear" w:pos="360"/>
          <w:tab w:val="clear" w:pos="720"/>
          <w:tab w:val="clear" w:pos="1080"/>
        </w:tabs>
        <w:outlineLvl w:val="2"/>
      </w:pPr>
      <w:bookmarkStart w:id="628" w:name="_Toc195543234"/>
      <w:bookmarkStart w:id="629" w:name="_Toc237449096"/>
      <w:r>
        <w:t>Microsoft Sustainability Manager</w:t>
      </w:r>
      <w:bookmarkEnd w:id="627"/>
      <w:bookmarkEnd w:id="628"/>
      <w:bookmarkEnd w:id="629"/>
    </w:p>
    <w:p w14:paraId="1739FE7D" w14:textId="77777777" w:rsidR="00F52BD7" w:rsidRPr="00B61165" w:rsidRDefault="00F52BD7" w:rsidP="00F52BD7">
      <w:pPr>
        <w:pStyle w:val="ProductList-Body"/>
        <w:rPr>
          <w:spacing w:val="-2"/>
          <w:szCs w:val="18"/>
        </w:rPr>
      </w:pPr>
      <w:r w:rsidRPr="00B61165">
        <w:rPr>
          <w:b/>
          <w:color w:val="00188F"/>
          <w:spacing w:val="-2"/>
        </w:rPr>
        <w:t>Ausfallzeit</w:t>
      </w:r>
      <w:r w:rsidRPr="00633DA0">
        <w:rPr>
          <w:b/>
          <w:bCs/>
          <w:color w:val="00188F"/>
        </w:rPr>
        <w:t>:</w:t>
      </w:r>
      <w:r w:rsidRPr="00B61165">
        <w:rPr>
          <w:b/>
          <w:color w:val="00188F"/>
          <w:spacing w:val="-2"/>
        </w:rPr>
        <w:t xml:space="preserve"> </w:t>
      </w:r>
      <w:r w:rsidRPr="00B61165">
        <w:rPr>
          <w:spacing w:val="-2"/>
          <w:szCs w:val="18"/>
        </w:rPr>
        <w:t>Jede Zeitspanne, in der sich Endnutzer in ihrer Umgebung nicht einloggen können.  Ausfallzeiten umfassen keine geplanten Ausfallzeiten, die Nichtverfügbarkeit von Add-On-Features des Diensts oder den fehlenden Zugriff auf den Dienst aufgrund Ihrer Änderungen des Diensts.</w:t>
      </w:r>
    </w:p>
    <w:p w14:paraId="319CDBE0" w14:textId="3035A621" w:rsidR="00F52BD7" w:rsidRPr="00044406" w:rsidRDefault="00AC48A7" w:rsidP="00F52BD7">
      <w:pPr>
        <w:pStyle w:val="ProductList-Body"/>
        <w:rPr>
          <w:szCs w:val="18"/>
        </w:rPr>
      </w:pPr>
      <w:r>
        <w:rPr>
          <w:b/>
          <w:color w:val="00188F"/>
        </w:rPr>
        <w:t>Betriebszeitprozentsatz</w:t>
      </w:r>
      <w:r w:rsidRPr="00633DA0">
        <w:rPr>
          <w:b/>
          <w:bCs/>
          <w:color w:val="00188F"/>
        </w:rPr>
        <w:t>:</w:t>
      </w:r>
      <w:r>
        <w:rPr>
          <w:szCs w:val="18"/>
        </w:rPr>
        <w:t xml:space="preserve"> </w:t>
      </w:r>
      <w:r>
        <w:rPr>
          <w:rFonts w:ascii="Calibri" w:eastAsia="Times New Roman" w:hAnsi="Calibri" w:cs="Calibri"/>
        </w:rPr>
        <w:t>Der Betriebszeitprozentsatz errechnet sich nach folgender Formel:</w:t>
      </w:r>
    </w:p>
    <w:p w14:paraId="04D06B7C" w14:textId="0BF1A341" w:rsidR="00F52BD7" w:rsidRPr="00EF7CF9" w:rsidRDefault="00000000" w:rsidP="00DD7BB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Nutzerminuten abzüglich Ausfallzeit</m:t>
              </m:r>
            </m:num>
            <m:den>
              <m:r>
                <m:rPr>
                  <m:nor/>
                </m:rPr>
                <w:rPr>
                  <w:rFonts w:ascii="Cambria Math" w:hAnsi="Cambria Math" w:cs="Calibri"/>
                  <w:i/>
                  <w:sz w:val="18"/>
                  <w:szCs w:val="18"/>
                </w:rPr>
                <m:t>Nutzerminuten</m:t>
              </m:r>
            </m:den>
          </m:f>
          <m:r>
            <w:rPr>
              <w:rFonts w:ascii="Cambria Math" w:hAnsi="Cambria Math" w:cs="Calibri"/>
              <w:sz w:val="18"/>
              <w:szCs w:val="18"/>
            </w:rPr>
            <m:t xml:space="preserve"> x 100</m:t>
          </m:r>
        </m:oMath>
      </m:oMathPara>
    </w:p>
    <w:p w14:paraId="4AB82D5E" w14:textId="643C0E25" w:rsidR="00F52BD7" w:rsidRDefault="00AC48A7" w:rsidP="00F52BD7">
      <w:pPr>
        <w:pStyle w:val="ProductList-Body"/>
        <w:rPr>
          <w:szCs w:val="18"/>
        </w:rPr>
      </w:pPr>
      <w:r>
        <w:rPr>
          <w:szCs w:val="18"/>
        </w:rP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0ACBB271" w14:textId="77777777" w:rsidR="0090752C" w:rsidRPr="00EF7CF9" w:rsidRDefault="0090752C" w:rsidP="00F52BD7">
      <w:pPr>
        <w:pStyle w:val="ProductList-Body"/>
      </w:pPr>
    </w:p>
    <w:p w14:paraId="2A07C68F" w14:textId="77777777" w:rsidR="00F52BD7" w:rsidRDefault="00F52BD7" w:rsidP="00F52BD7">
      <w:pPr>
        <w:pStyle w:val="ProductList-Body"/>
        <w:rPr>
          <w:b/>
          <w:bCs/>
          <w:color w:val="00188F"/>
        </w:rPr>
      </w:pPr>
      <w:r>
        <w:rPr>
          <w:b/>
          <w:color w:val="00188F"/>
        </w:rPr>
        <w:t>Servicegutschrift</w:t>
      </w:r>
      <w:r w:rsidRPr="00633DA0">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52BD7" w:rsidRPr="00B44CF9" w14:paraId="391B56C3" w14:textId="77777777" w:rsidTr="00277097">
        <w:trPr>
          <w:tblHeader/>
        </w:trPr>
        <w:tc>
          <w:tcPr>
            <w:tcW w:w="5400" w:type="dxa"/>
            <w:shd w:val="clear" w:color="auto" w:fill="0072C6"/>
          </w:tcPr>
          <w:p w14:paraId="07592109" w14:textId="6EF77C67" w:rsidR="00F52BD7" w:rsidRPr="00EF7CF9" w:rsidRDefault="00AC48A7" w:rsidP="000F31B4">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01551BE2" w14:textId="77777777" w:rsidR="00F52BD7" w:rsidRPr="00EF7CF9" w:rsidRDefault="00F52BD7" w:rsidP="000F31B4">
            <w:pPr>
              <w:pStyle w:val="ProductList-OfferingBody"/>
              <w:jc w:val="center"/>
              <w:rPr>
                <w:color w:val="FFFFFF" w:themeColor="background1"/>
              </w:rPr>
            </w:pPr>
            <w:r>
              <w:rPr>
                <w:color w:val="FFFFFF" w:themeColor="background1"/>
              </w:rPr>
              <w:t>Servicegutschrift</w:t>
            </w:r>
          </w:p>
        </w:tc>
      </w:tr>
      <w:tr w:rsidR="00F52BD7" w:rsidRPr="00B44CF9" w14:paraId="32D08025" w14:textId="77777777" w:rsidTr="00277097">
        <w:tc>
          <w:tcPr>
            <w:tcW w:w="5400" w:type="dxa"/>
          </w:tcPr>
          <w:p w14:paraId="68DC5061" w14:textId="77777777" w:rsidR="00F52BD7" w:rsidRPr="00EF7CF9" w:rsidRDefault="00F52BD7" w:rsidP="000F31B4">
            <w:pPr>
              <w:pStyle w:val="ProductList-OfferingBody"/>
              <w:jc w:val="center"/>
            </w:pPr>
            <w:r>
              <w:t>&lt; 99,5 %</w:t>
            </w:r>
          </w:p>
        </w:tc>
        <w:tc>
          <w:tcPr>
            <w:tcW w:w="5400" w:type="dxa"/>
          </w:tcPr>
          <w:p w14:paraId="670480DD" w14:textId="77777777" w:rsidR="00F52BD7" w:rsidRPr="00EF7CF9" w:rsidRDefault="00F52BD7" w:rsidP="000F31B4">
            <w:pPr>
              <w:pStyle w:val="ProductList-OfferingBody"/>
              <w:jc w:val="center"/>
            </w:pPr>
            <w:r>
              <w:t>25 %</w:t>
            </w:r>
          </w:p>
        </w:tc>
      </w:tr>
      <w:tr w:rsidR="00F52BD7" w:rsidRPr="00B44CF9" w14:paraId="155E19ED" w14:textId="77777777" w:rsidTr="00277097">
        <w:tc>
          <w:tcPr>
            <w:tcW w:w="5400" w:type="dxa"/>
          </w:tcPr>
          <w:p w14:paraId="03D0C777" w14:textId="77777777" w:rsidR="00F52BD7" w:rsidRPr="00EF7CF9" w:rsidRDefault="00F52BD7" w:rsidP="000F31B4">
            <w:pPr>
              <w:pStyle w:val="ProductList-OfferingBody"/>
              <w:jc w:val="center"/>
            </w:pPr>
            <w:r>
              <w:t>&lt; 99 %</w:t>
            </w:r>
          </w:p>
        </w:tc>
        <w:tc>
          <w:tcPr>
            <w:tcW w:w="5400" w:type="dxa"/>
          </w:tcPr>
          <w:p w14:paraId="7B80C04C" w14:textId="77777777" w:rsidR="00F52BD7" w:rsidRPr="00EF7CF9" w:rsidRDefault="00F52BD7" w:rsidP="000F31B4">
            <w:pPr>
              <w:pStyle w:val="ProductList-OfferingBody"/>
              <w:jc w:val="center"/>
            </w:pPr>
            <w:r>
              <w:t>50 %</w:t>
            </w:r>
          </w:p>
        </w:tc>
      </w:tr>
      <w:tr w:rsidR="00F52BD7" w:rsidRPr="00B44CF9" w14:paraId="4C5B7DCA" w14:textId="77777777" w:rsidTr="00277097">
        <w:tc>
          <w:tcPr>
            <w:tcW w:w="5400" w:type="dxa"/>
          </w:tcPr>
          <w:p w14:paraId="56154561" w14:textId="77777777" w:rsidR="00F52BD7" w:rsidRPr="00EF7CF9" w:rsidRDefault="00F52BD7" w:rsidP="000F31B4">
            <w:pPr>
              <w:pStyle w:val="ProductList-OfferingBody"/>
              <w:jc w:val="center"/>
            </w:pPr>
            <w:r>
              <w:t>&lt; 95 %</w:t>
            </w:r>
          </w:p>
        </w:tc>
        <w:tc>
          <w:tcPr>
            <w:tcW w:w="5400" w:type="dxa"/>
          </w:tcPr>
          <w:p w14:paraId="0913817E" w14:textId="77777777" w:rsidR="00F52BD7" w:rsidRPr="00EF7CF9" w:rsidRDefault="00F52BD7" w:rsidP="000F31B4">
            <w:pPr>
              <w:pStyle w:val="ProductList-OfferingBody"/>
              <w:keepNext/>
              <w:jc w:val="center"/>
            </w:pPr>
            <w:r>
              <w:t>100 %</w:t>
            </w:r>
          </w:p>
        </w:tc>
      </w:tr>
    </w:tbl>
    <w:p w14:paraId="7D3395D0" w14:textId="4E6FBEF7"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6AA67818" w14:textId="77777777" w:rsidR="00494CDE" w:rsidRPr="00EF7CF9" w:rsidRDefault="00494CDE" w:rsidP="00494402">
      <w:pPr>
        <w:pStyle w:val="ProductList-Offering2Heading"/>
        <w:keepNext/>
        <w:tabs>
          <w:tab w:val="clear" w:pos="360"/>
          <w:tab w:val="clear" w:pos="720"/>
          <w:tab w:val="clear" w:pos="1080"/>
        </w:tabs>
        <w:outlineLvl w:val="2"/>
      </w:pPr>
      <w:bookmarkStart w:id="630" w:name="_Toc195543235"/>
      <w:bookmarkStart w:id="631" w:name="_Toc237449097"/>
      <w:r>
        <w:t>Minecraft: Education Edition</w:t>
      </w:r>
      <w:bookmarkEnd w:id="630"/>
      <w:bookmarkEnd w:id="631"/>
    </w:p>
    <w:p w14:paraId="0F5A210A" w14:textId="425DF245" w:rsidR="00494CDE" w:rsidRPr="00EF7CF9" w:rsidRDefault="00494CDE" w:rsidP="002A586E">
      <w:pPr>
        <w:pStyle w:val="ProductList-Body"/>
        <w:rPr>
          <w:szCs w:val="18"/>
        </w:rPr>
      </w:pPr>
      <w:r>
        <w:rPr>
          <w:b/>
          <w:color w:val="00188F"/>
        </w:rPr>
        <w:t>Ausfallzeit</w:t>
      </w:r>
      <w:r w:rsidRPr="00633DA0">
        <w:rPr>
          <w:b/>
          <w:bCs/>
          <w:color w:val="00188F"/>
        </w:rPr>
        <w:t>:</w:t>
      </w:r>
      <w:r>
        <w:t xml:space="preserve"> </w:t>
      </w:r>
      <w:r>
        <w:rPr>
          <w:szCs w:val="18"/>
        </w:rPr>
        <w:t xml:space="preserve">Jeder Zeitraum, in dem die Benutzer auf Minecraft nicht zugreifen können: Education Edition. </w:t>
      </w:r>
    </w:p>
    <w:p w14:paraId="407A2539" w14:textId="0500B4D8" w:rsidR="00494CDE" w:rsidRPr="00EF7CF9" w:rsidRDefault="00AC48A7" w:rsidP="002A586E">
      <w:pPr>
        <w:pStyle w:val="ProductList-Body"/>
      </w:pPr>
      <w:r>
        <w:rPr>
          <w:b/>
          <w:color w:val="00188F"/>
        </w:rPr>
        <w:t>Betriebszeitprozentsatz</w:t>
      </w:r>
      <w:r w:rsidRPr="00633DA0">
        <w:rPr>
          <w:b/>
          <w:bCs/>
          <w:color w:val="00188F"/>
        </w:rPr>
        <w:t>:</w:t>
      </w:r>
      <w:r>
        <w:t xml:space="preserve"> Der Betriebszeitprozentsatz errechnet sich nach folgender Formel:</w:t>
      </w:r>
    </w:p>
    <w:p w14:paraId="07812754" w14:textId="44DA560C" w:rsidR="00494CDE" w:rsidRPr="00EF7CF9" w:rsidRDefault="00000000" w:rsidP="00403BA7">
      <w:pPr>
        <w:spacing w:before="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Gesamtanzahl der Minuten in einem Monat - Ausfallzeiten</m:t>
              </m:r>
            </m:num>
            <m:den>
              <m:r>
                <w:rPr>
                  <w:rFonts w:ascii="Cambria Math" w:hAnsi="Cambria Math" w:cs="Calibri"/>
                  <w:sz w:val="18"/>
                  <w:szCs w:val="18"/>
                </w:rPr>
                <m:t>Gesamtzahl der Minuten in einem Monat</m:t>
              </m:r>
            </m:den>
          </m:f>
          <m:r>
            <w:rPr>
              <w:rFonts w:ascii="Cambria Math" w:hAnsi="Cambria Math" w:cs="Calibri"/>
              <w:sz w:val="18"/>
              <w:szCs w:val="18"/>
            </w:rPr>
            <m:t xml:space="preserve"> x 100</m:t>
          </m:r>
        </m:oMath>
      </m:oMathPara>
    </w:p>
    <w:p w14:paraId="00CE6E8D" w14:textId="69ACF4E7" w:rsidR="00494CDE" w:rsidRDefault="00AC48A7" w:rsidP="002A586E">
      <w:pPr>
        <w:pStyle w:val="ProductList-Body"/>
        <w:rPr>
          <w:szCs w:val="18"/>
        </w:rPr>
      </w:pPr>
      <w:r>
        <w:rPr>
          <w:szCs w:val="18"/>
        </w:rP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0570939D" w14:textId="77777777" w:rsidR="007E2328" w:rsidRDefault="007E2328" w:rsidP="002A586E">
      <w:pPr>
        <w:pStyle w:val="ProductList-Body"/>
        <w:rPr>
          <w:szCs w:val="18"/>
        </w:rPr>
      </w:pPr>
    </w:p>
    <w:p w14:paraId="18285BB6" w14:textId="472020F1" w:rsidR="00494CDE" w:rsidRPr="00EF7CF9" w:rsidRDefault="00494CDE" w:rsidP="002A586E">
      <w:pPr>
        <w:pStyle w:val="ProductList-Body"/>
      </w:pPr>
      <w:r>
        <w:rPr>
          <w:b/>
          <w:color w:val="00188F"/>
        </w:rPr>
        <w:t>Servicegutschrift</w:t>
      </w:r>
      <w:r w:rsidRPr="00633DA0">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94CDE" w:rsidRPr="00B44CF9" w14:paraId="09EAD075" w14:textId="77777777" w:rsidTr="00085CEE">
        <w:trPr>
          <w:tblHeader/>
        </w:trPr>
        <w:tc>
          <w:tcPr>
            <w:tcW w:w="5400" w:type="dxa"/>
            <w:shd w:val="clear" w:color="auto" w:fill="0072C6"/>
          </w:tcPr>
          <w:p w14:paraId="5F530EA0" w14:textId="2B3C3276" w:rsidR="00494CDE" w:rsidRPr="00EF7CF9" w:rsidRDefault="00AC48A7" w:rsidP="002A586E">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1064E67C" w14:textId="77777777" w:rsidR="00494CDE" w:rsidRPr="00EF7CF9" w:rsidRDefault="00494CDE" w:rsidP="002A586E">
            <w:pPr>
              <w:pStyle w:val="ProductList-OfferingBody"/>
              <w:jc w:val="center"/>
              <w:rPr>
                <w:color w:val="FFFFFF" w:themeColor="background1"/>
              </w:rPr>
            </w:pPr>
            <w:r>
              <w:rPr>
                <w:color w:val="FFFFFF" w:themeColor="background1"/>
              </w:rPr>
              <w:t>Servicegutschrift</w:t>
            </w:r>
          </w:p>
        </w:tc>
      </w:tr>
      <w:tr w:rsidR="00494CDE" w:rsidRPr="00B44CF9" w14:paraId="0CA8BBCC" w14:textId="77777777" w:rsidTr="00085CEE">
        <w:tc>
          <w:tcPr>
            <w:tcW w:w="5400" w:type="dxa"/>
          </w:tcPr>
          <w:p w14:paraId="104BCED5" w14:textId="77777777" w:rsidR="00494CDE" w:rsidRPr="00EF7CF9" w:rsidRDefault="00494CDE" w:rsidP="002A586E">
            <w:pPr>
              <w:pStyle w:val="ProductList-OfferingBody"/>
              <w:jc w:val="center"/>
            </w:pPr>
            <w:r>
              <w:t>&lt; 99,9 %</w:t>
            </w:r>
          </w:p>
        </w:tc>
        <w:tc>
          <w:tcPr>
            <w:tcW w:w="5400" w:type="dxa"/>
          </w:tcPr>
          <w:p w14:paraId="474A68F1" w14:textId="77777777" w:rsidR="00494CDE" w:rsidRPr="00EF7CF9" w:rsidRDefault="00494CDE" w:rsidP="002A586E">
            <w:pPr>
              <w:pStyle w:val="ProductList-OfferingBody"/>
              <w:jc w:val="center"/>
            </w:pPr>
            <w:r>
              <w:t>25 %</w:t>
            </w:r>
          </w:p>
        </w:tc>
      </w:tr>
      <w:tr w:rsidR="00494CDE" w:rsidRPr="00B44CF9" w14:paraId="3C1C0ED2" w14:textId="77777777" w:rsidTr="00085CEE">
        <w:tc>
          <w:tcPr>
            <w:tcW w:w="5400" w:type="dxa"/>
          </w:tcPr>
          <w:p w14:paraId="40393735" w14:textId="77777777" w:rsidR="00494CDE" w:rsidRPr="00EF7CF9" w:rsidRDefault="00494CDE" w:rsidP="002A586E">
            <w:pPr>
              <w:pStyle w:val="ProductList-OfferingBody"/>
              <w:jc w:val="center"/>
            </w:pPr>
            <w:r>
              <w:t>&lt; 99 %</w:t>
            </w:r>
          </w:p>
        </w:tc>
        <w:tc>
          <w:tcPr>
            <w:tcW w:w="5400" w:type="dxa"/>
          </w:tcPr>
          <w:p w14:paraId="6E07CBA3" w14:textId="77777777" w:rsidR="00494CDE" w:rsidRPr="00EF7CF9" w:rsidRDefault="00494CDE" w:rsidP="002A586E">
            <w:pPr>
              <w:pStyle w:val="ProductList-OfferingBody"/>
              <w:jc w:val="center"/>
            </w:pPr>
            <w:r>
              <w:t>50 %</w:t>
            </w:r>
          </w:p>
        </w:tc>
      </w:tr>
      <w:tr w:rsidR="00494CDE" w:rsidRPr="00B44CF9" w14:paraId="0EDEF19A" w14:textId="77777777" w:rsidTr="00085CEE">
        <w:tc>
          <w:tcPr>
            <w:tcW w:w="5400" w:type="dxa"/>
          </w:tcPr>
          <w:p w14:paraId="1B7169A1" w14:textId="77777777" w:rsidR="00494CDE" w:rsidRPr="00EF7CF9" w:rsidRDefault="00494CDE" w:rsidP="00BA33EB">
            <w:pPr>
              <w:pStyle w:val="ProductList-OfferingBody"/>
              <w:jc w:val="center"/>
            </w:pPr>
            <w:r>
              <w:t>&lt; 95 %</w:t>
            </w:r>
          </w:p>
        </w:tc>
        <w:tc>
          <w:tcPr>
            <w:tcW w:w="5400" w:type="dxa"/>
          </w:tcPr>
          <w:p w14:paraId="68EE0912" w14:textId="77777777" w:rsidR="00494CDE" w:rsidRPr="00EF7CF9" w:rsidRDefault="00494CDE" w:rsidP="003C0B57">
            <w:pPr>
              <w:pStyle w:val="ProductList-OfferingBody"/>
              <w:keepNext/>
              <w:jc w:val="center"/>
            </w:pPr>
            <w:r>
              <w:t>100 %</w:t>
            </w:r>
          </w:p>
        </w:tc>
      </w:tr>
    </w:tbl>
    <w:bookmarkStart w:id="632" w:name="_Toc457821594"/>
    <w:p w14:paraId="10266C2E" w14:textId="45287BDD"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3383E8B2" w14:textId="20A2739D" w:rsidR="00D46BBE" w:rsidRPr="00EF7CF9" w:rsidRDefault="00D46BBE" w:rsidP="00EF42FD">
      <w:pPr>
        <w:pStyle w:val="ProductList-Offering2Heading"/>
        <w:tabs>
          <w:tab w:val="clear" w:pos="360"/>
          <w:tab w:val="clear" w:pos="720"/>
          <w:tab w:val="clear" w:pos="1080"/>
        </w:tabs>
        <w:outlineLvl w:val="2"/>
      </w:pPr>
      <w:bookmarkStart w:id="633" w:name="_Toc195543236"/>
      <w:bookmarkStart w:id="634" w:name="_Toc237449098"/>
      <w:r>
        <w:t>Power BI Embedded</w:t>
      </w:r>
      <w:bookmarkEnd w:id="632"/>
      <w:bookmarkEnd w:id="633"/>
      <w:bookmarkEnd w:id="634"/>
    </w:p>
    <w:p w14:paraId="6682B686" w14:textId="3F68ABF7" w:rsidR="00D46BBE" w:rsidRPr="00EF7CF9" w:rsidRDefault="00D46BBE" w:rsidP="00403BA7">
      <w:pPr>
        <w:shd w:val="clear" w:color="auto" w:fill="FFFFFF"/>
        <w:spacing w:after="0" w:line="240" w:lineRule="auto"/>
        <w:ind w:right="288"/>
        <w:rPr>
          <w:sz w:val="18"/>
          <w:szCs w:val="18"/>
        </w:rPr>
      </w:pPr>
      <w:r>
        <w:rPr>
          <w:b/>
          <w:color w:val="00188F"/>
          <w:sz w:val="18"/>
        </w:rPr>
        <w:t>Bereitstellungsminuten</w:t>
      </w:r>
      <w:r w:rsidRPr="00633DA0">
        <w:rPr>
          <w:b/>
          <w:bCs/>
          <w:color w:val="00188F"/>
          <w:sz w:val="18"/>
        </w:rPr>
        <w:t>:</w:t>
      </w:r>
      <w:r>
        <w:rPr>
          <w:sz w:val="18"/>
          <w:szCs w:val="18"/>
        </w:rPr>
        <w:t xml:space="preserve"> Gesamtzahl der Minuten, in denen eine bestimmte eingebettete Kapazität während eines Anwendbaren Zeitraums aktiv war.</w:t>
      </w:r>
    </w:p>
    <w:p w14:paraId="24389026" w14:textId="2D99E711" w:rsidR="00D46BBE" w:rsidRPr="00EF7CF9" w:rsidRDefault="0080752B" w:rsidP="00403BA7">
      <w:pPr>
        <w:pStyle w:val="ProductList-Body"/>
        <w:rPr>
          <w:szCs w:val="18"/>
        </w:rPr>
      </w:pPr>
      <w:r>
        <w:rPr>
          <w:b/>
          <w:color w:val="00188F"/>
        </w:rPr>
        <w:t>Maximal Verfügbare Minuten</w:t>
      </w:r>
      <w:r w:rsidRPr="00633DA0">
        <w:rPr>
          <w:b/>
          <w:bCs/>
          <w:color w:val="00188F"/>
        </w:rPr>
        <w:t>:</w:t>
      </w:r>
      <w:r>
        <w:t xml:space="preserve"> </w:t>
      </w:r>
      <w:r>
        <w:rPr>
          <w:szCs w:val="18"/>
        </w:rPr>
        <w:t>Summe aller Bereitstellungsminuten für eine bestimmte eingebettete Kapazität, die von einem Kunden in einem bestimmten Microsoft Azure-Abonnement während eines Anwendbaren Zeitraums bereitgestellt wurde.</w:t>
      </w:r>
    </w:p>
    <w:p w14:paraId="51C796EF" w14:textId="6D9F6BFB" w:rsidR="00D46BBE" w:rsidRPr="00364EEB" w:rsidRDefault="00D46BBE" w:rsidP="00403BA7">
      <w:pPr>
        <w:pStyle w:val="ProductList-Body"/>
      </w:pPr>
      <w:r>
        <w:rPr>
          <w:b/>
          <w:color w:val="00188F"/>
        </w:rPr>
        <w:t>Ausfallzeitminuten</w:t>
      </w:r>
      <w:r w:rsidRPr="00633DA0">
        <w:rPr>
          <w:b/>
          <w:bCs/>
          <w:color w:val="00188F"/>
        </w:rPr>
        <w:t>:</w:t>
      </w:r>
      <w:r>
        <w:t xml:space="preserve"> </w:t>
      </w:r>
      <w:r>
        <w:rPr>
          <w:szCs w:val="18"/>
        </w:rPr>
        <w:t>Kumulation der Bereitstellungsminuten, während deren eine eingebettete Kapazität in allen unten aufgeführten anwendbaren Power BI-Funktionen nicht genutzt werden kann:</w:t>
      </w:r>
    </w:p>
    <w:p w14:paraId="3A0DFCD2" w14:textId="77777777" w:rsidR="005F6A67" w:rsidRPr="00562EF3" w:rsidRDefault="005F6A67" w:rsidP="00403BA7">
      <w:pPr>
        <w:pStyle w:val="ProductList-Body"/>
        <w:ind w:left="187"/>
        <w:rPr>
          <w:szCs w:val="18"/>
        </w:rPr>
      </w:pPr>
      <w:r>
        <w:rPr>
          <w:b/>
          <w:color w:val="00188F"/>
          <w:szCs w:val="18"/>
        </w:rPr>
        <w:t>Ansicht:</w:t>
      </w:r>
      <w:r>
        <w:rPr>
          <w:szCs w:val="18"/>
        </w:rPr>
        <w:t xml:space="preserve"> Ansicht von Power BI-Dashboards, -Berichten und -Apps im Dienst.</w:t>
      </w:r>
    </w:p>
    <w:p w14:paraId="45A8D5E3" w14:textId="77777777" w:rsidR="005F6A67" w:rsidRPr="00562EF3" w:rsidRDefault="005F6A67" w:rsidP="00403BA7">
      <w:pPr>
        <w:pStyle w:val="ProductList-Body"/>
        <w:ind w:left="187"/>
        <w:rPr>
          <w:szCs w:val="18"/>
        </w:rPr>
      </w:pPr>
      <w:r>
        <w:rPr>
          <w:b/>
          <w:color w:val="00188F"/>
          <w:szCs w:val="18"/>
        </w:rPr>
        <w:t>Dataset-Aktualisierung:</w:t>
      </w:r>
      <w:r>
        <w:rPr>
          <w:szCs w:val="18"/>
        </w:rPr>
        <w:t xml:space="preserve"> Aktualisierungsvorgänge planen oder manuell auslösen und erwarten, dass diese Vorgänge innerhalb der voraussichtlichen Zeitrahmen abgeschlossen werden, unter Berücksichtigung aller Bedingungen, die sich auf die Aktualisierungsgeschwindigkeiten auswirken könnten (z. B. Größe des Datensatzes).</w:t>
      </w:r>
    </w:p>
    <w:p w14:paraId="792237E2" w14:textId="77777777" w:rsidR="005F6A67" w:rsidRPr="00F86AAF" w:rsidRDefault="005F6A67" w:rsidP="00403BA7">
      <w:pPr>
        <w:spacing w:after="0" w:line="240" w:lineRule="auto"/>
        <w:ind w:left="187"/>
        <w:rPr>
          <w:rFonts w:ascii="Times New Roman" w:hAnsi="Times New Roman" w:cs="Times New Roman"/>
          <w:sz w:val="18"/>
          <w:szCs w:val="18"/>
        </w:rPr>
      </w:pPr>
      <w:r>
        <w:rPr>
          <w:b/>
          <w:color w:val="00188F"/>
          <w:sz w:val="18"/>
          <w:szCs w:val="18"/>
        </w:rPr>
        <w:t>Auf Power BI Portal zugreifen:</w:t>
      </w:r>
      <w:r>
        <w:rPr>
          <w:sz w:val="18"/>
          <w:szCs w:val="18"/>
        </w:rPr>
        <w:t xml:space="preserve"> Auf Power BI Portal zugreifen und es nutzen innerhalb der voraussichtlichen Zeitrahmen unter Berücksichtigung der Netzwerkbedingungen und -einschränkungen in der Kundenumgebung oder außerhalb von Microsoft.</w:t>
      </w:r>
      <w:r>
        <w:rPr>
          <w:rFonts w:ascii="Times New Roman" w:hAnsi="Times New Roman" w:cs="Times New Roman"/>
          <w:sz w:val="18"/>
          <w:szCs w:val="18"/>
        </w:rPr>
        <w:t xml:space="preserve"> </w:t>
      </w:r>
    </w:p>
    <w:p w14:paraId="3176D16B" w14:textId="7D30EEE2" w:rsidR="00D46BBE" w:rsidRPr="00EF7CF9" w:rsidRDefault="00AC48A7" w:rsidP="002A586E">
      <w:pPr>
        <w:pStyle w:val="ProductList-Body"/>
      </w:pPr>
      <w:r>
        <w:rPr>
          <w:b/>
          <w:color w:val="00188F"/>
        </w:rPr>
        <w:t>Betriebszeitprozentsatz</w:t>
      </w:r>
      <w:r w:rsidRPr="00633DA0">
        <w:rPr>
          <w:b/>
          <w:bCs/>
          <w:color w:val="00188F"/>
        </w:rPr>
        <w:t>:</w:t>
      </w:r>
      <w:r>
        <w:t xml:space="preserve"> Der Betriebszeitprozentsatz errechnet sich nach folgender Formel:</w:t>
      </w:r>
    </w:p>
    <w:p w14:paraId="3A481C1F" w14:textId="6DA25882" w:rsidR="00D46BBE" w:rsidRPr="00EF7CF9" w:rsidRDefault="00000000" w:rsidP="00403BA7">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 verfügbare Minuten – Ausfallzeitminuten</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462B60FD" w14:textId="68B577F2" w:rsidR="00D46BBE" w:rsidRPr="00EF7CF9" w:rsidRDefault="00D46BBE" w:rsidP="002A586E">
      <w:pPr>
        <w:pStyle w:val="ProductList-Body"/>
      </w:pPr>
      <w:r>
        <w:rPr>
          <w:b/>
          <w:color w:val="00188F"/>
        </w:rPr>
        <w:t>Servicegutschrift</w:t>
      </w:r>
      <w:r w:rsidRPr="00633DA0">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46BBE" w:rsidRPr="00B44CF9" w14:paraId="3FBA7E0C" w14:textId="77777777" w:rsidTr="00BC681F">
        <w:trPr>
          <w:tblHeader/>
        </w:trPr>
        <w:tc>
          <w:tcPr>
            <w:tcW w:w="5400" w:type="dxa"/>
            <w:shd w:val="clear" w:color="auto" w:fill="0072C6"/>
          </w:tcPr>
          <w:p w14:paraId="0934A2C7" w14:textId="59495042" w:rsidR="00D46BBE" w:rsidRPr="00EF7CF9" w:rsidRDefault="00AC48A7" w:rsidP="002A586E">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4355701A" w14:textId="77777777" w:rsidR="00D46BBE" w:rsidRPr="00EF7CF9" w:rsidRDefault="00D46BBE" w:rsidP="002A586E">
            <w:pPr>
              <w:pStyle w:val="ProductList-OfferingBody"/>
              <w:jc w:val="center"/>
              <w:rPr>
                <w:color w:val="FFFFFF" w:themeColor="background1"/>
              </w:rPr>
            </w:pPr>
            <w:r>
              <w:rPr>
                <w:color w:val="FFFFFF" w:themeColor="background1"/>
              </w:rPr>
              <w:t>Servicegutschrift</w:t>
            </w:r>
          </w:p>
        </w:tc>
      </w:tr>
      <w:tr w:rsidR="00D46BBE" w:rsidRPr="00B44CF9" w14:paraId="6AA7281E" w14:textId="77777777" w:rsidTr="00BC681F">
        <w:tc>
          <w:tcPr>
            <w:tcW w:w="5400" w:type="dxa"/>
          </w:tcPr>
          <w:p w14:paraId="70825BB6" w14:textId="77777777" w:rsidR="00D46BBE" w:rsidRPr="00EF7CF9" w:rsidRDefault="00D46BBE" w:rsidP="002A586E">
            <w:pPr>
              <w:pStyle w:val="ProductList-OfferingBody"/>
              <w:jc w:val="center"/>
            </w:pPr>
            <w:r>
              <w:t>&lt; 99,9 %</w:t>
            </w:r>
          </w:p>
        </w:tc>
        <w:tc>
          <w:tcPr>
            <w:tcW w:w="5400" w:type="dxa"/>
          </w:tcPr>
          <w:p w14:paraId="54054EA6" w14:textId="77777777" w:rsidR="00D46BBE" w:rsidRPr="00EF7CF9" w:rsidRDefault="00D46BBE" w:rsidP="002A586E">
            <w:pPr>
              <w:pStyle w:val="ProductList-OfferingBody"/>
              <w:jc w:val="center"/>
            </w:pPr>
            <w:r>
              <w:t>10 %</w:t>
            </w:r>
          </w:p>
        </w:tc>
      </w:tr>
      <w:tr w:rsidR="00D46BBE" w:rsidRPr="00B44CF9" w14:paraId="19F0B536" w14:textId="77777777" w:rsidTr="00BC681F">
        <w:tc>
          <w:tcPr>
            <w:tcW w:w="5400" w:type="dxa"/>
          </w:tcPr>
          <w:p w14:paraId="29BB03BB" w14:textId="77777777" w:rsidR="00D46BBE" w:rsidRPr="00EF7CF9" w:rsidRDefault="00D46BBE" w:rsidP="002A586E">
            <w:pPr>
              <w:pStyle w:val="ProductList-OfferingBody"/>
              <w:jc w:val="center"/>
            </w:pPr>
            <w:r>
              <w:t>&lt; 99 %</w:t>
            </w:r>
          </w:p>
        </w:tc>
        <w:tc>
          <w:tcPr>
            <w:tcW w:w="5400" w:type="dxa"/>
          </w:tcPr>
          <w:p w14:paraId="068AE7F1" w14:textId="77777777" w:rsidR="00D46BBE" w:rsidRPr="00EF7CF9" w:rsidRDefault="00D46BBE" w:rsidP="002A586E">
            <w:pPr>
              <w:pStyle w:val="ProductList-OfferingBody"/>
              <w:jc w:val="center"/>
            </w:pPr>
            <w:r>
              <w:t>25 %</w:t>
            </w:r>
          </w:p>
        </w:tc>
      </w:tr>
    </w:tbl>
    <w:bookmarkStart w:id="635" w:name="_Toc457821595"/>
    <w:p w14:paraId="2BB6F353" w14:textId="38474BFF"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2D2D524F" w14:textId="70462449" w:rsidR="002D6A90" w:rsidRPr="00EF7CF9" w:rsidRDefault="002D6A90" w:rsidP="002A586E">
      <w:pPr>
        <w:pStyle w:val="ProductList-Offering2Heading"/>
        <w:tabs>
          <w:tab w:val="clear" w:pos="360"/>
          <w:tab w:val="clear" w:pos="720"/>
          <w:tab w:val="clear" w:pos="1080"/>
        </w:tabs>
        <w:outlineLvl w:val="2"/>
      </w:pPr>
      <w:bookmarkStart w:id="636" w:name="_Toc195543237"/>
      <w:bookmarkStart w:id="637" w:name="_Toc237449099"/>
      <w:r>
        <w:t>Power BI Premium</w:t>
      </w:r>
      <w:bookmarkEnd w:id="636"/>
      <w:bookmarkEnd w:id="637"/>
    </w:p>
    <w:p w14:paraId="4D4399A1" w14:textId="321DBA50" w:rsidR="002D6A90" w:rsidRPr="00EF7CF9" w:rsidRDefault="002D6A90" w:rsidP="002A586E">
      <w:pPr>
        <w:pStyle w:val="ProductList-Body"/>
      </w:pPr>
      <w:r>
        <w:rPr>
          <w:b/>
          <w:color w:val="00188F"/>
        </w:rPr>
        <w:t>Kapazität:</w:t>
      </w:r>
      <w:r>
        <w:t xml:space="preserve"> Bedeutet eine benannte Kapazität, die von einem Administrator über das Power BI Premium Capacity Admin Portal bereitgestellt wurde. Eine Kapazität ist eine Gruppe von einem oder mehreren Knoten.</w:t>
      </w:r>
    </w:p>
    <w:p w14:paraId="13BA1B34" w14:textId="6C98CD10" w:rsidR="002D6A90" w:rsidRPr="00EF7CF9" w:rsidRDefault="002D6A90" w:rsidP="002A586E">
      <w:pPr>
        <w:pStyle w:val="ProductList-Body"/>
      </w:pPr>
      <w:r>
        <w:rPr>
          <w:b/>
          <w:color w:val="00188F"/>
        </w:rPr>
        <w:t>Maximal verfügbare Minuten:</w:t>
      </w:r>
      <w:r>
        <w:t xml:space="preserve"> Summe aller Minuten, in denen eine bestimmte Kapazität während eines Anwendbaren Zeitraums für einen bestimmten Mandanten instanziiert wird.</w:t>
      </w:r>
    </w:p>
    <w:p w14:paraId="3EBB5A05" w14:textId="56F96C1B" w:rsidR="002D6A90" w:rsidRPr="00EF7CF9" w:rsidRDefault="002D6A90" w:rsidP="002A586E">
      <w:pPr>
        <w:pStyle w:val="ProductList-Body"/>
      </w:pPr>
      <w:r>
        <w:rPr>
          <w:b/>
          <w:color w:val="00188F"/>
        </w:rPr>
        <w:t>Ausfallzeitminuten</w:t>
      </w:r>
      <w:r w:rsidRPr="00633DA0">
        <w:rPr>
          <w:b/>
          <w:bCs/>
          <w:color w:val="00188F"/>
        </w:rPr>
        <w:t>:</w:t>
      </w:r>
      <w:r>
        <w:t xml:space="preserve"> D</w:t>
      </w:r>
      <w:r>
        <w:rPr>
          <w:szCs w:val="18"/>
        </w:rPr>
        <w:t>ie Gesamtzahl der Minuten in einem Anwendbaren Zeitraum für eine bestimmte Kapazität nach ihrer Erstellung oder vor</w:t>
      </w:r>
      <w:r w:rsidR="00857209">
        <w:rPr>
          <w:szCs w:val="18"/>
        </w:rPr>
        <w:t> </w:t>
      </w:r>
      <w:r>
        <w:rPr>
          <w:szCs w:val="18"/>
        </w:rPr>
        <w:t>ihrem Deprovisioning, wenn die Kapazität nicht in allen unten aufgeführten anwendbaren Power BI-Funktionen genutzt werden kann:</w:t>
      </w:r>
    </w:p>
    <w:p w14:paraId="3BFB5669" w14:textId="77777777" w:rsidR="00CA5CE3" w:rsidRDefault="00CA5CE3" w:rsidP="00CA5CE3">
      <w:pPr>
        <w:pStyle w:val="ProductList-Body"/>
        <w:ind w:left="187"/>
        <w:rPr>
          <w:szCs w:val="18"/>
        </w:rPr>
      </w:pPr>
      <w:r>
        <w:rPr>
          <w:b/>
          <w:color w:val="00188F"/>
        </w:rPr>
        <w:t>Ansicht:</w:t>
      </w:r>
      <w:r>
        <w:rPr>
          <w:szCs w:val="18"/>
        </w:rPr>
        <w:t xml:space="preserve"> Ansicht von Power BI-Dashboards, -Berichten und -Apps im Dienst.</w:t>
      </w:r>
    </w:p>
    <w:p w14:paraId="342ED7E2" w14:textId="77777777" w:rsidR="00CA5CE3" w:rsidRDefault="00CA5CE3" w:rsidP="00CA5CE3">
      <w:pPr>
        <w:pStyle w:val="ProductList-Body"/>
        <w:ind w:left="187"/>
        <w:rPr>
          <w:szCs w:val="18"/>
        </w:rPr>
      </w:pPr>
      <w:r>
        <w:rPr>
          <w:b/>
          <w:color w:val="00188F"/>
        </w:rPr>
        <w:t>Dataset-Aktualisierung:</w:t>
      </w:r>
      <w:r>
        <w:rPr>
          <w:szCs w:val="18"/>
        </w:rPr>
        <w:t xml:space="preserve"> Aktualisierungsvorgänge planen oder manuell auslösen und erwarten, dass diese Vorgänge innerhalb der voraussichtlichen Zeitrahmen abgeschlossen werden, unter Berücksichtigung aller Bedingungen, die sich auf die Aktualisierungsgeschwindigkeiten auswirken könnten (z. B. Größe des Datensatzes).</w:t>
      </w:r>
    </w:p>
    <w:p w14:paraId="5C6B8C0C" w14:textId="3AE349FE" w:rsidR="00CA5CE3" w:rsidRPr="00F86AAF" w:rsidRDefault="00CA5CE3" w:rsidP="00F86AAF">
      <w:pPr>
        <w:pStyle w:val="ProductList-Body"/>
        <w:ind w:left="180"/>
        <w:rPr>
          <w:szCs w:val="18"/>
        </w:rPr>
      </w:pPr>
      <w:r>
        <w:rPr>
          <w:b/>
          <w:color w:val="00188F"/>
        </w:rPr>
        <w:t>Auf Power BI Portal zugreifen:</w:t>
      </w:r>
      <w:r>
        <w:rPr>
          <w:szCs w:val="18"/>
        </w:rPr>
        <w:t xml:space="preserve"> Auf Power BI Portal zugreifen und es nutzen innerhalb der voraussichtlichen Zeitrahmen unter Berücksichtigung</w:t>
      </w:r>
      <w:r w:rsidR="00F67ECC">
        <w:rPr>
          <w:szCs w:val="18"/>
        </w:rPr>
        <w:t> </w:t>
      </w:r>
      <w:r>
        <w:rPr>
          <w:szCs w:val="18"/>
        </w:rPr>
        <w:t>der Netzwerkbedingungen und -einschränkungen in der Kundenumgebung oder außerhalb von Microsoft.</w:t>
      </w:r>
    </w:p>
    <w:p w14:paraId="2C1620AE" w14:textId="243C66A8" w:rsidR="002D6A90" w:rsidRDefault="00AC48A7" w:rsidP="005F74E2">
      <w:pPr>
        <w:pStyle w:val="ProductList-Body"/>
        <w:keepNext/>
        <w:keepLines/>
      </w:pPr>
      <w:r>
        <w:rPr>
          <w:b/>
          <w:color w:val="00188F"/>
        </w:rPr>
        <w:t>Betriebszeitprozentsatz</w:t>
      </w:r>
      <w:r w:rsidRPr="00633DA0">
        <w:rPr>
          <w:b/>
          <w:bCs/>
          <w:color w:val="00188F"/>
        </w:rPr>
        <w:t>:</w:t>
      </w:r>
      <w:r>
        <w:t xml:space="preserve"> Der Betriebszeitprozentsatz errechnet sich nach folgender Formel:</w:t>
      </w:r>
    </w:p>
    <w:p w14:paraId="67F0784B" w14:textId="7D829BE7" w:rsidR="002D6A90" w:rsidRPr="009E2B16" w:rsidRDefault="00000000" w:rsidP="00403BA7">
      <w:pPr>
        <w:keepNext/>
        <w:keepLines/>
        <w:spacing w:before="120" w:after="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 verfügbare Minuten – Ausfallzeitminuten</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18365CB1" w14:textId="77777777" w:rsidR="002D6A90" w:rsidRPr="00EF7CF9" w:rsidRDefault="002D6A90" w:rsidP="002A586E">
      <w:pPr>
        <w:pStyle w:val="ProductList-Body"/>
      </w:pPr>
      <w:r>
        <w:rPr>
          <w:b/>
          <w:color w:val="00188F"/>
        </w:rPr>
        <w:t>Servicegutschrift</w:t>
      </w:r>
      <w:r w:rsidRPr="00633DA0">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D6A90" w:rsidRPr="00B44CF9" w14:paraId="3B3873CE" w14:textId="77777777" w:rsidTr="00EE6CC5">
        <w:trPr>
          <w:tblHeader/>
        </w:trPr>
        <w:tc>
          <w:tcPr>
            <w:tcW w:w="5400" w:type="dxa"/>
            <w:shd w:val="clear" w:color="auto" w:fill="0072C6"/>
          </w:tcPr>
          <w:p w14:paraId="788EA819" w14:textId="3C3B03A3" w:rsidR="002D6A90" w:rsidRPr="00EF7CF9" w:rsidRDefault="00AC48A7" w:rsidP="002A586E">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13D3B0F5" w14:textId="77777777" w:rsidR="002D6A90" w:rsidRPr="00EF7CF9" w:rsidRDefault="002D6A90" w:rsidP="002A586E">
            <w:pPr>
              <w:pStyle w:val="ProductList-OfferingBody"/>
              <w:jc w:val="center"/>
              <w:rPr>
                <w:color w:val="FFFFFF" w:themeColor="background1"/>
              </w:rPr>
            </w:pPr>
            <w:r>
              <w:rPr>
                <w:color w:val="FFFFFF" w:themeColor="background1"/>
              </w:rPr>
              <w:t>Servicegutschrift</w:t>
            </w:r>
          </w:p>
        </w:tc>
      </w:tr>
      <w:tr w:rsidR="002D6A90" w:rsidRPr="00B44CF9" w14:paraId="3719FC9D" w14:textId="77777777" w:rsidTr="00EE6CC5">
        <w:tc>
          <w:tcPr>
            <w:tcW w:w="5400" w:type="dxa"/>
          </w:tcPr>
          <w:p w14:paraId="7FBF86A4" w14:textId="77777777" w:rsidR="002D6A90" w:rsidRPr="00EF7CF9" w:rsidRDefault="002D6A90" w:rsidP="002A586E">
            <w:pPr>
              <w:pStyle w:val="ProductList-OfferingBody"/>
              <w:jc w:val="center"/>
            </w:pPr>
            <w:r>
              <w:t>&lt; 99,9 %</w:t>
            </w:r>
          </w:p>
        </w:tc>
        <w:tc>
          <w:tcPr>
            <w:tcW w:w="5400" w:type="dxa"/>
          </w:tcPr>
          <w:p w14:paraId="719D357D" w14:textId="1400E17F" w:rsidR="002D6A90" w:rsidRPr="00EF7CF9" w:rsidRDefault="002D6A90" w:rsidP="002A586E">
            <w:pPr>
              <w:pStyle w:val="ProductList-OfferingBody"/>
              <w:jc w:val="center"/>
            </w:pPr>
            <w:r>
              <w:t>10 %</w:t>
            </w:r>
          </w:p>
        </w:tc>
      </w:tr>
      <w:tr w:rsidR="002D6A90" w:rsidRPr="00B44CF9" w14:paraId="36B73CB5" w14:textId="77777777" w:rsidTr="00EE6CC5">
        <w:tc>
          <w:tcPr>
            <w:tcW w:w="5400" w:type="dxa"/>
          </w:tcPr>
          <w:p w14:paraId="7AFCE4C7" w14:textId="77777777" w:rsidR="002D6A90" w:rsidRPr="00EF7CF9" w:rsidRDefault="002D6A90" w:rsidP="00DC0631">
            <w:pPr>
              <w:pStyle w:val="ProductList-OfferingBody"/>
              <w:jc w:val="center"/>
            </w:pPr>
            <w:r>
              <w:t>&lt; 99 %</w:t>
            </w:r>
          </w:p>
        </w:tc>
        <w:tc>
          <w:tcPr>
            <w:tcW w:w="5400" w:type="dxa"/>
          </w:tcPr>
          <w:p w14:paraId="52E1AD03" w14:textId="14F3C7FF" w:rsidR="002D6A90" w:rsidRPr="00EF7CF9" w:rsidRDefault="002D6A90" w:rsidP="002A586E">
            <w:pPr>
              <w:pStyle w:val="ProductList-OfferingBody"/>
              <w:jc w:val="center"/>
            </w:pPr>
            <w:r>
              <w:t>25 %</w:t>
            </w:r>
          </w:p>
        </w:tc>
      </w:tr>
    </w:tbl>
    <w:p w14:paraId="66262C48" w14:textId="2D830EB7"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7B30F133" w14:textId="0CC71F99" w:rsidR="00515EF4" w:rsidRPr="00EF7CF9" w:rsidRDefault="00515EF4" w:rsidP="0030005B">
      <w:pPr>
        <w:pStyle w:val="ProductList-Offering2Heading"/>
        <w:pageBreakBefore/>
        <w:tabs>
          <w:tab w:val="clear" w:pos="360"/>
          <w:tab w:val="clear" w:pos="720"/>
          <w:tab w:val="clear" w:pos="1080"/>
        </w:tabs>
        <w:outlineLvl w:val="2"/>
      </w:pPr>
      <w:bookmarkStart w:id="638" w:name="_Toc195543238"/>
      <w:bookmarkStart w:id="639" w:name="_Toc237449100"/>
      <w:r>
        <w:t>Power BI Pro</w:t>
      </w:r>
      <w:bookmarkEnd w:id="610"/>
      <w:bookmarkEnd w:id="635"/>
      <w:bookmarkEnd w:id="638"/>
      <w:bookmarkEnd w:id="639"/>
    </w:p>
    <w:p w14:paraId="2632FEBC" w14:textId="4613EEF9" w:rsidR="00595E65" w:rsidRDefault="00515EF4" w:rsidP="00595E65">
      <w:pPr>
        <w:pStyle w:val="ProductList-Body"/>
        <w:rPr>
          <w:szCs w:val="18"/>
        </w:rPr>
      </w:pPr>
      <w:r>
        <w:rPr>
          <w:b/>
          <w:color w:val="00188F"/>
        </w:rPr>
        <w:t>Ausfallzeitminuten</w:t>
      </w:r>
      <w:r w:rsidRPr="00633DA0">
        <w:rPr>
          <w:b/>
          <w:bCs/>
          <w:color w:val="00188F"/>
        </w:rPr>
        <w:t>:</w:t>
      </w:r>
      <w:r>
        <w:t xml:space="preserve"> </w:t>
      </w:r>
      <w:r>
        <w:rPr>
          <w:szCs w:val="18"/>
        </w:rPr>
        <w:t>Die Gesamtzahl der Minuten in einem Anwendbaren Zeitraum, in denen alle unten aufgeführten Power BI-Funktionen nicht verfügbar sind:</w:t>
      </w:r>
    </w:p>
    <w:p w14:paraId="0D632B65" w14:textId="77777777" w:rsidR="00595E65" w:rsidRDefault="00595E65" w:rsidP="00595E65">
      <w:pPr>
        <w:pStyle w:val="ProductList-Body"/>
        <w:ind w:left="187"/>
        <w:rPr>
          <w:szCs w:val="18"/>
        </w:rPr>
      </w:pPr>
      <w:r>
        <w:rPr>
          <w:b/>
          <w:color w:val="00188F"/>
        </w:rPr>
        <w:t>Ansicht</w:t>
      </w:r>
      <w:r w:rsidRPr="00633DA0">
        <w:rPr>
          <w:b/>
          <w:bCs/>
          <w:color w:val="00188F"/>
        </w:rPr>
        <w:t>:</w:t>
      </w:r>
      <w:r>
        <w:rPr>
          <w:szCs w:val="18"/>
        </w:rPr>
        <w:t xml:space="preserve"> Ansicht von Power BI-Dashboards, -Berichten und -Apps im Dienst.</w:t>
      </w:r>
    </w:p>
    <w:p w14:paraId="308484E7" w14:textId="77777777" w:rsidR="00595E65" w:rsidRDefault="00595E65" w:rsidP="00595E65">
      <w:pPr>
        <w:pStyle w:val="ProductList-Body"/>
        <w:ind w:left="187"/>
        <w:rPr>
          <w:szCs w:val="18"/>
        </w:rPr>
      </w:pPr>
      <w:r>
        <w:rPr>
          <w:b/>
          <w:color w:val="00188F"/>
        </w:rPr>
        <w:t>Dataset-Aktualisierung:</w:t>
      </w:r>
      <w:r>
        <w:rPr>
          <w:szCs w:val="18"/>
        </w:rPr>
        <w:t xml:space="preserve"> Aktualisierungsvorgänge planen oder manuell auslösen und erwarten, dass diese Vorgänge innerhalb der voraussichtlichen Zeitrahmen abgeschlossen werden, unter Berücksichtigung aller Bedingungen, die sich auf die Aktualisierungsgeschwindigkeiten auswirken könnten (z. B. Größe des Datensatzes).</w:t>
      </w:r>
    </w:p>
    <w:p w14:paraId="66EB6922" w14:textId="77777777" w:rsidR="00595E65" w:rsidRDefault="00595E65" w:rsidP="00595E65">
      <w:pPr>
        <w:pStyle w:val="ProductList-Body"/>
        <w:ind w:left="180"/>
        <w:rPr>
          <w:szCs w:val="18"/>
        </w:rPr>
      </w:pPr>
      <w:r>
        <w:rPr>
          <w:b/>
          <w:color w:val="00188F"/>
        </w:rPr>
        <w:t>Auf Power BI Portal zugreifen:</w:t>
      </w:r>
      <w:r>
        <w:rPr>
          <w:szCs w:val="18"/>
        </w:rPr>
        <w:t xml:space="preserve"> Auf Power BI Portal zugreifen und es nutzen innerhalb der voraussichtlichen Zeitrahmen unter Berücksichtigung der Netzwerkbedingungen und -einschränkungen in der Kundenumgebung oder außerhalb von Microsoft.</w:t>
      </w:r>
    </w:p>
    <w:p w14:paraId="49ECCD62" w14:textId="3CA45863" w:rsidR="00515EF4" w:rsidRDefault="00AC48A7" w:rsidP="002A586E">
      <w:pPr>
        <w:pStyle w:val="ProductList-Body"/>
      </w:pPr>
      <w:r>
        <w:rPr>
          <w:b/>
          <w:color w:val="00188F"/>
        </w:rPr>
        <w:t>Betriebszeitprozentsatz</w:t>
      </w:r>
      <w:r w:rsidRPr="00633DA0">
        <w:rPr>
          <w:b/>
          <w:bCs/>
          <w:color w:val="00188F"/>
        </w:rPr>
        <w:t>:</w:t>
      </w:r>
      <w:r>
        <w:t xml:space="preserve"> Der Betriebszeitprozentsatz errechnet sich nach folgender Formel:</w:t>
      </w:r>
    </w:p>
    <w:p w14:paraId="5A7E48F2" w14:textId="20B0539A" w:rsidR="00515EF4" w:rsidRPr="009E2B16" w:rsidRDefault="00000000" w:rsidP="00403BA7">
      <w:pPr>
        <w:spacing w:before="120" w:after="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Gesamtzahl der Minuten in einem Monat – Ausfallzeitminuten</m:t>
              </m:r>
            </m:num>
            <m:den>
              <m:r>
                <m:rPr>
                  <m:nor/>
                </m:rPr>
                <w:rPr>
                  <w:rFonts w:ascii="Cambria Math" w:hAnsi="Cambria Math" w:cs="Calibri"/>
                  <w:i/>
                  <w:sz w:val="18"/>
                  <w:szCs w:val="18"/>
                </w:rPr>
                <m:t>Gesamtzahl der Minuten in einem Monat</m:t>
              </m:r>
            </m:den>
          </m:f>
          <m:r>
            <w:rPr>
              <w:rFonts w:ascii="Cambria Math" w:hAnsi="Cambria Math" w:cs="Calibri"/>
              <w:sz w:val="18"/>
              <w:szCs w:val="18"/>
            </w:rPr>
            <m:t xml:space="preserve"> x 100</m:t>
          </m:r>
        </m:oMath>
      </m:oMathPara>
    </w:p>
    <w:p w14:paraId="2865395D" w14:textId="4A0086B0" w:rsidR="00515EF4" w:rsidRPr="00EF7CF9" w:rsidRDefault="00515EF4" w:rsidP="002A586E">
      <w:pPr>
        <w:pStyle w:val="ProductList-Body"/>
      </w:pPr>
      <w:r>
        <w:rPr>
          <w:b/>
          <w:color w:val="00188F"/>
        </w:rPr>
        <w:t>Servicegutschrift</w:t>
      </w:r>
      <w:r w:rsidRPr="00633DA0">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5EF4" w:rsidRPr="00B44CF9" w14:paraId="3344F223" w14:textId="77777777" w:rsidTr="00515EF4">
        <w:trPr>
          <w:tblHeader/>
        </w:trPr>
        <w:tc>
          <w:tcPr>
            <w:tcW w:w="5400" w:type="dxa"/>
            <w:shd w:val="clear" w:color="auto" w:fill="0072C6"/>
          </w:tcPr>
          <w:p w14:paraId="4E5673E9" w14:textId="07DF972C" w:rsidR="00515EF4" w:rsidRPr="00EF7CF9" w:rsidRDefault="00AC48A7" w:rsidP="002A586E">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65A9844A" w14:textId="77777777" w:rsidR="00515EF4" w:rsidRPr="00EF7CF9" w:rsidRDefault="00515EF4" w:rsidP="002A586E">
            <w:pPr>
              <w:pStyle w:val="ProductList-OfferingBody"/>
              <w:jc w:val="center"/>
              <w:rPr>
                <w:color w:val="FFFFFF" w:themeColor="background1"/>
              </w:rPr>
            </w:pPr>
            <w:r>
              <w:rPr>
                <w:color w:val="FFFFFF" w:themeColor="background1"/>
              </w:rPr>
              <w:t>Servicegutschrift</w:t>
            </w:r>
          </w:p>
        </w:tc>
      </w:tr>
      <w:tr w:rsidR="00515EF4" w:rsidRPr="00B44CF9" w14:paraId="280D4F83" w14:textId="77777777" w:rsidTr="00515EF4">
        <w:tc>
          <w:tcPr>
            <w:tcW w:w="5400" w:type="dxa"/>
          </w:tcPr>
          <w:p w14:paraId="7709E7BA" w14:textId="21217632" w:rsidR="00515EF4" w:rsidRPr="00EF7CF9" w:rsidRDefault="00515EF4" w:rsidP="002A586E">
            <w:pPr>
              <w:pStyle w:val="ProductList-OfferingBody"/>
              <w:jc w:val="center"/>
            </w:pPr>
            <w:r>
              <w:t>&lt; 99,9 %</w:t>
            </w:r>
          </w:p>
        </w:tc>
        <w:tc>
          <w:tcPr>
            <w:tcW w:w="5400" w:type="dxa"/>
          </w:tcPr>
          <w:p w14:paraId="520BC18E" w14:textId="77777777" w:rsidR="00515EF4" w:rsidRPr="00EF7CF9" w:rsidRDefault="00515EF4" w:rsidP="002A586E">
            <w:pPr>
              <w:pStyle w:val="ProductList-OfferingBody"/>
              <w:jc w:val="center"/>
            </w:pPr>
            <w:r>
              <w:t>25 %</w:t>
            </w:r>
          </w:p>
        </w:tc>
      </w:tr>
      <w:tr w:rsidR="00515EF4" w:rsidRPr="00B44CF9" w14:paraId="770309F5" w14:textId="77777777" w:rsidTr="00515EF4">
        <w:tc>
          <w:tcPr>
            <w:tcW w:w="5400" w:type="dxa"/>
          </w:tcPr>
          <w:p w14:paraId="21B00FC9" w14:textId="1BC0291E" w:rsidR="00515EF4" w:rsidRPr="00EF7CF9" w:rsidRDefault="00515EF4" w:rsidP="002A586E">
            <w:pPr>
              <w:pStyle w:val="ProductList-OfferingBody"/>
              <w:jc w:val="center"/>
            </w:pPr>
            <w:r>
              <w:t>&lt; 99 %</w:t>
            </w:r>
          </w:p>
        </w:tc>
        <w:tc>
          <w:tcPr>
            <w:tcW w:w="5400" w:type="dxa"/>
          </w:tcPr>
          <w:p w14:paraId="7A5A5886" w14:textId="77777777" w:rsidR="00515EF4" w:rsidRPr="00EF7CF9" w:rsidRDefault="00515EF4" w:rsidP="002A586E">
            <w:pPr>
              <w:pStyle w:val="ProductList-OfferingBody"/>
              <w:jc w:val="center"/>
            </w:pPr>
            <w:r>
              <w:t>50 %</w:t>
            </w:r>
          </w:p>
        </w:tc>
      </w:tr>
      <w:tr w:rsidR="00515EF4" w:rsidRPr="00B44CF9" w14:paraId="40F5B3FA" w14:textId="77777777" w:rsidTr="00515EF4">
        <w:tc>
          <w:tcPr>
            <w:tcW w:w="5400" w:type="dxa"/>
          </w:tcPr>
          <w:p w14:paraId="4AA1F0D1" w14:textId="35F62C48" w:rsidR="00515EF4" w:rsidRPr="00EF7CF9" w:rsidRDefault="00515EF4" w:rsidP="002A586E">
            <w:pPr>
              <w:pStyle w:val="ProductList-OfferingBody"/>
              <w:jc w:val="center"/>
            </w:pPr>
            <w:r>
              <w:t>&lt; 95 %</w:t>
            </w:r>
          </w:p>
        </w:tc>
        <w:tc>
          <w:tcPr>
            <w:tcW w:w="5400" w:type="dxa"/>
          </w:tcPr>
          <w:p w14:paraId="41A062A9" w14:textId="77777777" w:rsidR="00515EF4" w:rsidRPr="00EF7CF9" w:rsidRDefault="00515EF4" w:rsidP="002A586E">
            <w:pPr>
              <w:pStyle w:val="ProductList-OfferingBody"/>
              <w:jc w:val="center"/>
            </w:pPr>
            <w:r>
              <w:t>100 %</w:t>
            </w:r>
          </w:p>
        </w:tc>
      </w:tr>
    </w:tbl>
    <w:bookmarkStart w:id="640" w:name="_Toc457821596"/>
    <w:p w14:paraId="11CFE7EF" w14:textId="50227B07"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33137B2B" w14:textId="4B202522" w:rsidR="00515EF4" w:rsidRPr="00EF7CF9" w:rsidRDefault="00E93A9C" w:rsidP="00403BA7">
      <w:pPr>
        <w:pStyle w:val="ProductList-Offering2Heading"/>
        <w:keepNext/>
        <w:tabs>
          <w:tab w:val="clear" w:pos="360"/>
          <w:tab w:val="clear" w:pos="720"/>
          <w:tab w:val="clear" w:pos="1080"/>
        </w:tabs>
        <w:outlineLvl w:val="2"/>
      </w:pPr>
      <w:bookmarkStart w:id="641" w:name="_Toc195543239"/>
      <w:bookmarkStart w:id="642" w:name="_Toc237449101"/>
      <w:r>
        <w:t xml:space="preserve">Azure </w:t>
      </w:r>
      <w:r w:rsidR="00515EF4">
        <w:t>AI</w:t>
      </w:r>
      <w:bookmarkEnd w:id="640"/>
      <w:bookmarkEnd w:id="641"/>
      <w:r>
        <w:t xml:space="preserve"> Translator</w:t>
      </w:r>
      <w:bookmarkEnd w:id="642"/>
    </w:p>
    <w:p w14:paraId="0D68E64F" w14:textId="1CB465B2" w:rsidR="00515EF4" w:rsidRPr="00EF7CF9" w:rsidRDefault="00515EF4" w:rsidP="002A586E">
      <w:pPr>
        <w:pStyle w:val="ProductList-Body"/>
      </w:pPr>
      <w:r>
        <w:rPr>
          <w:b/>
          <w:color w:val="00188F"/>
        </w:rPr>
        <w:t>Ausfallzeit</w:t>
      </w:r>
      <w:r w:rsidRPr="00633DA0">
        <w:rPr>
          <w:b/>
          <w:bCs/>
          <w:color w:val="00188F"/>
        </w:rPr>
        <w:t>:</w:t>
      </w:r>
      <w:r>
        <w:t xml:space="preserve"> </w:t>
      </w:r>
      <w:r>
        <w:rPr>
          <w:szCs w:val="18"/>
        </w:rPr>
        <w:t>Jeder Zeitraum, in dem die Nutzer keine Übersetzungen vornehmen können.</w:t>
      </w:r>
    </w:p>
    <w:p w14:paraId="2A370CEF" w14:textId="5340E59C" w:rsidR="00515EF4" w:rsidRDefault="00AC48A7" w:rsidP="00657A3A">
      <w:pPr>
        <w:pStyle w:val="ProductList-Body"/>
        <w:keepNext/>
      </w:pPr>
      <w:r>
        <w:rPr>
          <w:b/>
          <w:color w:val="00188F"/>
        </w:rPr>
        <w:t>Betriebszeitprozentsatz</w:t>
      </w:r>
      <w:r w:rsidRPr="00633DA0">
        <w:rPr>
          <w:b/>
          <w:bCs/>
          <w:color w:val="00188F"/>
        </w:rPr>
        <w:t>:</w:t>
      </w:r>
      <w:r>
        <w:t xml:space="preserve"> Der Betriebszeitprozentsatz errechnet sich nach folgender Formel:</w:t>
      </w:r>
    </w:p>
    <w:p w14:paraId="728BF4C5" w14:textId="3D594F86" w:rsidR="00515EF4" w:rsidRPr="009E2B16" w:rsidRDefault="00000000" w:rsidP="00DD7BB6">
      <w:pPr>
        <w:spacing w:before="120" w:after="12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Gesamtzahl der Minuten in einem Anwendbaren Zeitraum abzüglich Ausfallzeit</m:t>
              </m:r>
            </m:num>
            <m:den>
              <m:r>
                <m:rPr>
                  <m:nor/>
                </m:rPr>
                <w:rPr>
                  <w:rFonts w:ascii="Cambria Math" w:hAnsi="Cambria Math" w:cs="Calibri"/>
                  <w:i/>
                  <w:sz w:val="18"/>
                  <w:szCs w:val="18"/>
                </w:rPr>
                <m:t>Gesamtzahl der Minuten in einem Anwendbaren Zeitraum</m:t>
              </m:r>
            </m:den>
          </m:f>
          <m:r>
            <w:rPr>
              <w:rFonts w:ascii="Cambria Math" w:hAnsi="Cambria Math" w:cs="Calibri"/>
              <w:sz w:val="18"/>
              <w:szCs w:val="18"/>
            </w:rPr>
            <m:t xml:space="preserve"> x 100</m:t>
          </m:r>
        </m:oMath>
      </m:oMathPara>
    </w:p>
    <w:p w14:paraId="7E3A2E69" w14:textId="65F88F81" w:rsidR="00515EF4" w:rsidRDefault="00D46DC5" w:rsidP="002A586E">
      <w:pPr>
        <w:pStyle w:val="ProductList-Body"/>
        <w:rPr>
          <w:szCs w:val="18"/>
        </w:rPr>
      </w:pPr>
      <w:r>
        <w:rPr>
          <w:szCs w:val="18"/>
        </w:rPr>
        <w:t>wobei die Ausfallzeit als die Gesamtzahl der Minuten während des Anwendbaren Zeitraums gemessen wird, in denen die oben genannten Aspekte des Dienstes nicht verfügbar sind.</w:t>
      </w:r>
    </w:p>
    <w:p w14:paraId="01E205A7" w14:textId="77777777" w:rsidR="0090752C" w:rsidRPr="00EF7CF9" w:rsidRDefault="0090752C" w:rsidP="002A586E">
      <w:pPr>
        <w:pStyle w:val="ProductList-Body"/>
      </w:pPr>
    </w:p>
    <w:p w14:paraId="1A614EB8" w14:textId="77777777" w:rsidR="00515EF4" w:rsidRPr="00EF7CF9" w:rsidRDefault="00515EF4" w:rsidP="002A586E">
      <w:pPr>
        <w:pStyle w:val="ProductList-Body"/>
      </w:pPr>
      <w:r>
        <w:rPr>
          <w:b/>
          <w:color w:val="00188F"/>
        </w:rPr>
        <w:t>Servicegutschrift</w:t>
      </w:r>
      <w:r w:rsidRPr="00633DA0">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5EF4" w:rsidRPr="00B44CF9" w14:paraId="6B78A827" w14:textId="77777777" w:rsidTr="00515EF4">
        <w:trPr>
          <w:tblHeader/>
        </w:trPr>
        <w:tc>
          <w:tcPr>
            <w:tcW w:w="5400" w:type="dxa"/>
            <w:shd w:val="clear" w:color="auto" w:fill="0072C6"/>
          </w:tcPr>
          <w:p w14:paraId="2215AAC8" w14:textId="0BA626A7" w:rsidR="00515EF4" w:rsidRPr="00EF7CF9" w:rsidRDefault="00AC48A7" w:rsidP="002A586E">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34458E81" w14:textId="77777777" w:rsidR="00515EF4" w:rsidRPr="00EF7CF9" w:rsidRDefault="00515EF4" w:rsidP="002A586E">
            <w:pPr>
              <w:pStyle w:val="ProductList-OfferingBody"/>
              <w:jc w:val="center"/>
              <w:rPr>
                <w:color w:val="FFFFFF" w:themeColor="background1"/>
              </w:rPr>
            </w:pPr>
            <w:r>
              <w:rPr>
                <w:color w:val="FFFFFF" w:themeColor="background1"/>
              </w:rPr>
              <w:t>Servicegutschrift</w:t>
            </w:r>
          </w:p>
        </w:tc>
      </w:tr>
      <w:tr w:rsidR="00515EF4" w:rsidRPr="00B44CF9" w14:paraId="710135BB" w14:textId="77777777" w:rsidTr="00515EF4">
        <w:tc>
          <w:tcPr>
            <w:tcW w:w="5400" w:type="dxa"/>
          </w:tcPr>
          <w:p w14:paraId="0ED7D057" w14:textId="400D8B77" w:rsidR="00515EF4" w:rsidRPr="00EF7CF9" w:rsidRDefault="00515EF4" w:rsidP="002A586E">
            <w:pPr>
              <w:pStyle w:val="ProductList-OfferingBody"/>
              <w:jc w:val="center"/>
            </w:pPr>
            <w:r>
              <w:t>&lt; 99,9 %</w:t>
            </w:r>
          </w:p>
        </w:tc>
        <w:tc>
          <w:tcPr>
            <w:tcW w:w="5400" w:type="dxa"/>
          </w:tcPr>
          <w:p w14:paraId="086049F0" w14:textId="77777777" w:rsidR="00515EF4" w:rsidRPr="00EF7CF9" w:rsidRDefault="00515EF4" w:rsidP="002A586E">
            <w:pPr>
              <w:pStyle w:val="ProductList-OfferingBody"/>
              <w:jc w:val="center"/>
            </w:pPr>
            <w:r>
              <w:t>25 %</w:t>
            </w:r>
          </w:p>
        </w:tc>
      </w:tr>
      <w:tr w:rsidR="00515EF4" w:rsidRPr="00B44CF9" w14:paraId="44B63A37" w14:textId="77777777" w:rsidTr="00515EF4">
        <w:tc>
          <w:tcPr>
            <w:tcW w:w="5400" w:type="dxa"/>
          </w:tcPr>
          <w:p w14:paraId="567733F4" w14:textId="62AC2EBE" w:rsidR="00515EF4" w:rsidRPr="00EF7CF9" w:rsidRDefault="00515EF4" w:rsidP="002A586E">
            <w:pPr>
              <w:pStyle w:val="ProductList-OfferingBody"/>
              <w:jc w:val="center"/>
            </w:pPr>
            <w:r>
              <w:t>&lt; 99 %</w:t>
            </w:r>
          </w:p>
        </w:tc>
        <w:tc>
          <w:tcPr>
            <w:tcW w:w="5400" w:type="dxa"/>
          </w:tcPr>
          <w:p w14:paraId="3610FC92" w14:textId="77777777" w:rsidR="00515EF4" w:rsidRPr="00EF7CF9" w:rsidRDefault="00515EF4" w:rsidP="002A586E">
            <w:pPr>
              <w:pStyle w:val="ProductList-OfferingBody"/>
              <w:jc w:val="center"/>
            </w:pPr>
            <w:r>
              <w:t>50 %</w:t>
            </w:r>
          </w:p>
        </w:tc>
      </w:tr>
      <w:tr w:rsidR="00515EF4" w:rsidRPr="00B44CF9" w14:paraId="5F2E73BA" w14:textId="77777777" w:rsidTr="00515EF4">
        <w:tc>
          <w:tcPr>
            <w:tcW w:w="5400" w:type="dxa"/>
          </w:tcPr>
          <w:p w14:paraId="1DE42D45" w14:textId="028A190D" w:rsidR="00515EF4" w:rsidRPr="00EF7CF9" w:rsidRDefault="00515EF4" w:rsidP="002A586E">
            <w:pPr>
              <w:pStyle w:val="ProductList-OfferingBody"/>
              <w:jc w:val="center"/>
            </w:pPr>
            <w:r>
              <w:t>&lt; 95 %</w:t>
            </w:r>
          </w:p>
        </w:tc>
        <w:tc>
          <w:tcPr>
            <w:tcW w:w="5400" w:type="dxa"/>
          </w:tcPr>
          <w:p w14:paraId="55A96903" w14:textId="77777777" w:rsidR="00515EF4" w:rsidRPr="00EF7CF9" w:rsidRDefault="00515EF4" w:rsidP="002A586E">
            <w:pPr>
              <w:pStyle w:val="ProductList-OfferingBody"/>
              <w:jc w:val="center"/>
            </w:pPr>
            <w:r>
              <w:t>100 %</w:t>
            </w:r>
          </w:p>
        </w:tc>
      </w:tr>
    </w:tbl>
    <w:bookmarkStart w:id="643" w:name="MDATP"/>
    <w:bookmarkStart w:id="644" w:name="_Toc13833097"/>
    <w:bookmarkStart w:id="645" w:name="_Toc55920329"/>
    <w:p w14:paraId="6D9CBE13" w14:textId="5F13DB35"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67F75">
        <w:rPr>
          <w:rStyle w:val="Hyperlink"/>
          <w:sz w:val="16"/>
          <w:szCs w:val="16"/>
        </w:rPr>
        <w:t>Inhalt</w:t>
      </w:r>
      <w:r>
        <w:rPr>
          <w:rStyle w:val="Hyperlink"/>
          <w:sz w:val="16"/>
          <w:szCs w:val="16"/>
        </w:rPr>
        <w:fldChar w:fldCharType="end"/>
      </w:r>
      <w:r w:rsidRPr="00D67F75">
        <w:rPr>
          <w:sz w:val="16"/>
          <w:szCs w:val="16"/>
        </w:rPr>
        <w:t xml:space="preserve"> / </w:t>
      </w:r>
      <w:hyperlink w:anchor="Definitions" w:history="1">
        <w:r w:rsidRPr="00D67F75">
          <w:rPr>
            <w:rStyle w:val="Hyperlink"/>
            <w:sz w:val="16"/>
            <w:szCs w:val="16"/>
          </w:rPr>
          <w:t>Begriffsbestimmungen</w:t>
        </w:r>
      </w:hyperlink>
    </w:p>
    <w:p w14:paraId="48BD66AE" w14:textId="77777777" w:rsidR="00657A3A" w:rsidRPr="00EF7CF9" w:rsidRDefault="00657A3A" w:rsidP="006D6BA8">
      <w:pPr>
        <w:pStyle w:val="ProductList-Offering2Heading"/>
        <w:keepNext/>
        <w:keepLines/>
        <w:tabs>
          <w:tab w:val="clear" w:pos="360"/>
          <w:tab w:val="clear" w:pos="720"/>
          <w:tab w:val="clear" w:pos="1080"/>
        </w:tabs>
        <w:outlineLvl w:val="2"/>
      </w:pPr>
      <w:bookmarkStart w:id="646" w:name="_Toc195543240"/>
      <w:bookmarkStart w:id="647" w:name="_Toc237449102"/>
      <w:r>
        <w:t xml:space="preserve">Microsoft Defender </w:t>
      </w:r>
      <w:bookmarkEnd w:id="643"/>
      <w:bookmarkEnd w:id="644"/>
      <w:r>
        <w:t>for Endpoint</w:t>
      </w:r>
      <w:bookmarkEnd w:id="645"/>
      <w:bookmarkEnd w:id="646"/>
      <w:bookmarkEnd w:id="647"/>
    </w:p>
    <w:p w14:paraId="25190B3D" w14:textId="77777777" w:rsidR="00657A3A" w:rsidRPr="00EF7CF9" w:rsidRDefault="00657A3A" w:rsidP="006D6BA8">
      <w:pPr>
        <w:pStyle w:val="ProductList-Body"/>
        <w:keepNext/>
        <w:keepLines/>
        <w:rPr>
          <w:b/>
          <w:color w:val="00188F"/>
        </w:rPr>
      </w:pPr>
      <w:r>
        <w:rPr>
          <w:b/>
          <w:color w:val="00188F"/>
        </w:rPr>
        <w:t>Zusätzliche Definitionen</w:t>
      </w:r>
      <w:r w:rsidRPr="00633DA0">
        <w:rPr>
          <w:b/>
          <w:bCs/>
          <w:color w:val="00188F"/>
        </w:rPr>
        <w:t>:</w:t>
      </w:r>
    </w:p>
    <w:p w14:paraId="4CD0D776" w14:textId="00258AFF" w:rsidR="00657A3A" w:rsidRPr="00EF7CF9" w:rsidRDefault="00657A3A" w:rsidP="00403BA7">
      <w:pPr>
        <w:pStyle w:val="ProductList-Body"/>
        <w:keepNext/>
        <w:keepLines/>
      </w:pPr>
      <w:r>
        <w:t>„</w:t>
      </w:r>
      <w:r>
        <w:rPr>
          <w:b/>
          <w:color w:val="00188F"/>
        </w:rPr>
        <w:t>Maximal Verfügbare Minuten</w:t>
      </w:r>
      <w:r>
        <w:t>“ ist die Gesamtzahl der Minuten während eines Anwendbaren Zeitraums für das Microsoft Defender for Endpoint-Portal. Maximal Verfügbare Minuten werden ab dem Zeitpunkt gemessen, an dem der Mandant als Ergebnis des erfolgreichen Onboarding-Prozesses erstellt wurde.</w:t>
      </w:r>
    </w:p>
    <w:p w14:paraId="02E69B78" w14:textId="5D19693C" w:rsidR="00657A3A" w:rsidRPr="00EF7CF9" w:rsidRDefault="00657A3A" w:rsidP="00403BA7">
      <w:pPr>
        <w:pStyle w:val="ProductList-Body"/>
      </w:pPr>
      <w:r>
        <w:t>„</w:t>
      </w:r>
      <w:r>
        <w:rPr>
          <w:b/>
          <w:color w:val="00188F"/>
        </w:rPr>
        <w:t>Mandant</w:t>
      </w:r>
      <w:r w:rsidR="00445B42">
        <w:t>“</w:t>
      </w:r>
      <w:r>
        <w:t xml:space="preserve"> steht für Microsoft Defender for Endpoint in kundenspezifischer Cloud-Umgebung.</w:t>
      </w:r>
    </w:p>
    <w:p w14:paraId="7AA0C3CA" w14:textId="00BE5EC9" w:rsidR="00021F08" w:rsidRPr="00EF7CF9" w:rsidRDefault="00657A3A" w:rsidP="00403BA7">
      <w:pPr>
        <w:pStyle w:val="ProductList-Body"/>
      </w:pPr>
      <w:r>
        <w:rPr>
          <w:b/>
          <w:color w:val="00188F"/>
        </w:rPr>
        <w:t>Ausfallzeit</w:t>
      </w:r>
      <w:r w:rsidRPr="00633DA0">
        <w:rPr>
          <w:b/>
          <w:bCs/>
          <w:color w:val="00188F"/>
        </w:rPr>
        <w:t>:</w:t>
      </w:r>
      <w:r>
        <w:t xml:space="preserve"> </w:t>
      </w:r>
      <w:r>
        <w:rPr>
          <w:szCs w:val="18"/>
        </w:rPr>
        <w:t>Die Gesamtzahl der Minuten, die Teil der Maximal Verfügbaren Minuten sind, in denen der Kunde nicht auf einen Teil einer Microsoft</w:t>
      </w:r>
      <w:r w:rsidR="007F5E74">
        <w:rPr>
          <w:szCs w:val="18"/>
        </w:rPr>
        <w:t> </w:t>
      </w:r>
      <w:r>
        <w:rPr>
          <w:szCs w:val="18"/>
        </w:rPr>
        <w:t>Defender for Endpoint-Portal-Websitesammlung zugreifen kann, für die entsprechende Berechtigungen bestehen und der Kunde eine</w:t>
      </w:r>
      <w:r w:rsidR="007F5E74">
        <w:rPr>
          <w:szCs w:val="18"/>
        </w:rPr>
        <w:t> </w:t>
      </w:r>
      <w:r>
        <w:rPr>
          <w:szCs w:val="18"/>
        </w:rPr>
        <w:t>gültige aktive Lizenz besitzt.</w:t>
      </w:r>
    </w:p>
    <w:p w14:paraId="4ABEE834" w14:textId="53DE7AC5" w:rsidR="00BC681F" w:rsidRPr="00EF7CF9" w:rsidRDefault="00AC48A7" w:rsidP="00DC0631">
      <w:pPr>
        <w:pStyle w:val="ProductList-Body"/>
      </w:pPr>
      <w:r>
        <w:rPr>
          <w:b/>
          <w:color w:val="00188F"/>
        </w:rPr>
        <w:t>Betriebszeitprozentsatz</w:t>
      </w:r>
      <w:r w:rsidRPr="00633DA0">
        <w:rPr>
          <w:b/>
          <w:bCs/>
          <w:color w:val="00188F"/>
        </w:rPr>
        <w:t>:</w:t>
      </w:r>
      <w:r>
        <w:t xml:space="preserve"> Der Betriebszeitprozentsatz errechnet sich nach folgender Formel:</w:t>
      </w:r>
    </w:p>
    <w:p w14:paraId="3B661105" w14:textId="3FD0E323" w:rsidR="00BC681F" w:rsidRPr="00EF7CF9" w:rsidRDefault="00000000" w:rsidP="00403BA7">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 Verfügbare Minuten abzüglich Ausfallzeit</m:t>
              </m:r>
            </m:num>
            <m:den>
              <m:r>
                <m:rPr>
                  <m:nor/>
                </m:rPr>
                <w:rPr>
                  <w:rFonts w:ascii="Cambria Math" w:hAnsi="Cambria Math" w:cs="Calibri"/>
                  <w:i/>
                  <w:sz w:val="18"/>
                  <w:szCs w:val="18"/>
                </w:rPr>
                <m:t>Maximal Verfügbare Minuten</m:t>
              </m:r>
            </m:den>
          </m:f>
          <m:r>
            <w:rPr>
              <w:rFonts w:ascii="Cambria Math" w:hAnsi="Cambria Math" w:cs="Calibri"/>
              <w:sz w:val="18"/>
              <w:szCs w:val="18"/>
            </w:rPr>
            <m:t xml:space="preserve"> x 100</m:t>
          </m:r>
        </m:oMath>
      </m:oMathPara>
    </w:p>
    <w:p w14:paraId="55A7C083" w14:textId="65E73718" w:rsidR="00BC681F" w:rsidRDefault="00AC48A7" w:rsidP="00BC681F">
      <w:pPr>
        <w:pStyle w:val="ProductList-Body"/>
        <w:rPr>
          <w:szCs w:val="18"/>
        </w:rPr>
      </w:pPr>
      <w:r>
        <w:rPr>
          <w:szCs w:val="18"/>
        </w:rP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221A182E" w14:textId="77777777" w:rsidR="0090752C" w:rsidRPr="00EF7CF9" w:rsidRDefault="0090752C" w:rsidP="00BC681F">
      <w:pPr>
        <w:pStyle w:val="ProductList-Body"/>
        <w:rPr>
          <w:szCs w:val="18"/>
        </w:rPr>
      </w:pPr>
    </w:p>
    <w:p w14:paraId="2103A3BF" w14:textId="06BC9684" w:rsidR="00BC681F" w:rsidRPr="00EF7CF9" w:rsidRDefault="00BC681F" w:rsidP="00BC681F">
      <w:pPr>
        <w:pStyle w:val="ProductList-Body"/>
      </w:pPr>
      <w:r>
        <w:rPr>
          <w:b/>
          <w:color w:val="00188F"/>
        </w:rPr>
        <w:t>Servicegutschrift</w:t>
      </w:r>
      <w:r w:rsidRPr="00633DA0">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681F" w:rsidRPr="00B44CF9" w14:paraId="5D00D035" w14:textId="77777777" w:rsidTr="00BC681F">
        <w:trPr>
          <w:tblHeader/>
        </w:trPr>
        <w:tc>
          <w:tcPr>
            <w:tcW w:w="5400" w:type="dxa"/>
            <w:shd w:val="clear" w:color="auto" w:fill="0072C6"/>
          </w:tcPr>
          <w:p w14:paraId="23ADAC42" w14:textId="723984B5" w:rsidR="00BC681F" w:rsidRPr="00EF7CF9" w:rsidRDefault="00AC48A7" w:rsidP="00BC681F">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58B61998" w14:textId="77777777" w:rsidR="00BC681F" w:rsidRPr="00EF7CF9" w:rsidRDefault="00BC681F" w:rsidP="00BC681F">
            <w:pPr>
              <w:pStyle w:val="ProductList-OfferingBody"/>
              <w:jc w:val="center"/>
              <w:rPr>
                <w:color w:val="FFFFFF" w:themeColor="background1"/>
              </w:rPr>
            </w:pPr>
            <w:r>
              <w:rPr>
                <w:color w:val="FFFFFF" w:themeColor="background1"/>
              </w:rPr>
              <w:t>Servicegutschrift</w:t>
            </w:r>
          </w:p>
        </w:tc>
      </w:tr>
      <w:tr w:rsidR="00BC681F" w:rsidRPr="00B44CF9" w14:paraId="76D2D8A8" w14:textId="77777777" w:rsidTr="00BC681F">
        <w:tc>
          <w:tcPr>
            <w:tcW w:w="5400" w:type="dxa"/>
          </w:tcPr>
          <w:p w14:paraId="034061FE" w14:textId="77777777" w:rsidR="00BC681F" w:rsidRPr="00EF7CF9" w:rsidRDefault="00BC681F" w:rsidP="00BC681F">
            <w:pPr>
              <w:pStyle w:val="ProductList-OfferingBody"/>
              <w:jc w:val="center"/>
            </w:pPr>
            <w:r>
              <w:t>&lt; 99,9 %</w:t>
            </w:r>
          </w:p>
        </w:tc>
        <w:tc>
          <w:tcPr>
            <w:tcW w:w="5400" w:type="dxa"/>
          </w:tcPr>
          <w:p w14:paraId="57FBED7E" w14:textId="77777777" w:rsidR="00BC681F" w:rsidRPr="00EF7CF9" w:rsidRDefault="00BC681F" w:rsidP="00BC681F">
            <w:pPr>
              <w:pStyle w:val="ProductList-OfferingBody"/>
              <w:jc w:val="center"/>
            </w:pPr>
            <w:r>
              <w:t>10 %</w:t>
            </w:r>
          </w:p>
        </w:tc>
      </w:tr>
      <w:tr w:rsidR="00BC681F" w:rsidRPr="00B44CF9" w14:paraId="6859D1EB" w14:textId="77777777" w:rsidTr="00BC681F">
        <w:tc>
          <w:tcPr>
            <w:tcW w:w="5400" w:type="dxa"/>
          </w:tcPr>
          <w:p w14:paraId="11CEACBB" w14:textId="77777777" w:rsidR="00BC681F" w:rsidRPr="00EF7CF9" w:rsidRDefault="00BC681F" w:rsidP="00BA33EB">
            <w:pPr>
              <w:pStyle w:val="ProductList-OfferingBody"/>
              <w:jc w:val="center"/>
            </w:pPr>
            <w:r>
              <w:t>&lt; 99 %</w:t>
            </w:r>
          </w:p>
        </w:tc>
        <w:tc>
          <w:tcPr>
            <w:tcW w:w="5400" w:type="dxa"/>
          </w:tcPr>
          <w:p w14:paraId="40C5339D" w14:textId="77777777" w:rsidR="00BC681F" w:rsidRPr="00EF7CF9" w:rsidRDefault="00BC681F" w:rsidP="003C0B57">
            <w:pPr>
              <w:pStyle w:val="ProductList-OfferingBody"/>
              <w:keepNext/>
              <w:jc w:val="center"/>
            </w:pPr>
            <w:r>
              <w:t>25 %</w:t>
            </w:r>
          </w:p>
        </w:tc>
      </w:tr>
    </w:tbl>
    <w:p w14:paraId="4E24C9C9" w14:textId="0B9F0537" w:rsidR="00BC681F" w:rsidRPr="00EF7CF9" w:rsidRDefault="00BC681F" w:rsidP="00403BA7">
      <w:pPr>
        <w:pStyle w:val="ProductList-Body"/>
        <w:spacing w:before="120"/>
      </w:pPr>
      <w:r>
        <w:rPr>
          <w:b/>
          <w:color w:val="00188F"/>
        </w:rPr>
        <w:t>Service-Level-Ausnahmen</w:t>
      </w:r>
      <w:r w:rsidRPr="00633DA0">
        <w:rPr>
          <w:b/>
          <w:bCs/>
          <w:color w:val="00188F"/>
        </w:rPr>
        <w:t>:</w:t>
      </w:r>
      <w:r>
        <w:t xml:space="preserve"> Diese SLA findet keine Anwendung auf Mandanten von Test-/Vorschauversionen.</w:t>
      </w:r>
    </w:p>
    <w:p w14:paraId="4FF003E5" w14:textId="52C97034"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38C55BF7" w14:textId="6247199C" w:rsidR="00696175" w:rsidRPr="00EF7CF9" w:rsidRDefault="00696175" w:rsidP="00696175">
      <w:pPr>
        <w:pStyle w:val="ProductList-Offering2Heading"/>
        <w:tabs>
          <w:tab w:val="clear" w:pos="360"/>
          <w:tab w:val="clear" w:pos="720"/>
          <w:tab w:val="clear" w:pos="1080"/>
        </w:tabs>
        <w:outlineLvl w:val="2"/>
      </w:pPr>
      <w:bookmarkStart w:id="648" w:name="_Toc195543241"/>
      <w:bookmarkStart w:id="649" w:name="_Toc237449103"/>
      <w:r>
        <w:t>Universelles Drucken</w:t>
      </w:r>
      <w:bookmarkEnd w:id="648"/>
      <w:bookmarkEnd w:id="649"/>
    </w:p>
    <w:p w14:paraId="34AD3F7C" w14:textId="704800AC" w:rsidR="00696175" w:rsidRPr="00EF7CF9" w:rsidRDefault="00696175" w:rsidP="00696175">
      <w:pPr>
        <w:pStyle w:val="ProductList-Body"/>
      </w:pPr>
      <w:r>
        <w:rPr>
          <w:b/>
          <w:color w:val="00188F"/>
        </w:rPr>
        <w:t>Ausfallzeit</w:t>
      </w:r>
      <w:r w:rsidRPr="00633DA0">
        <w:rPr>
          <w:b/>
          <w:bCs/>
          <w:color w:val="00188F"/>
        </w:rPr>
        <w:t>:</w:t>
      </w:r>
      <w:r>
        <w:t xml:space="preserve"> Jeder Zeitraum, in dem die Nichtverfügbarkeit des „Universelles Drucken“-Dienstes dazu führt, dass Nutzer keine Drucker finden oder</w:t>
      </w:r>
      <w:r w:rsidR="00B27A64">
        <w:t> </w:t>
      </w:r>
      <w:r>
        <w:t>keine Druckaufträge übermitteln können oder Administratoren keine Möglichkeit haben, Drucker zu registrieren oder zu konfigurieren, die</w:t>
      </w:r>
      <w:r w:rsidR="00B27A64">
        <w:t> </w:t>
      </w:r>
      <w:r>
        <w:t>Zugriffskontrolle zu steuern oder den Status und die Nutzung von „Universelles Drucken“ zu überwachen.</w:t>
      </w:r>
    </w:p>
    <w:p w14:paraId="6A0FEE09" w14:textId="6AE0C5EB" w:rsidR="00696175" w:rsidRPr="00EF7CF9" w:rsidRDefault="00AC48A7" w:rsidP="00696175">
      <w:pPr>
        <w:pStyle w:val="ProductList-Body"/>
      </w:pPr>
      <w:r>
        <w:rPr>
          <w:b/>
          <w:color w:val="00188F"/>
        </w:rPr>
        <w:t>Betriebszeitprozentsatz</w:t>
      </w:r>
      <w:r w:rsidRPr="00633DA0">
        <w:rPr>
          <w:b/>
          <w:bCs/>
          <w:color w:val="00188F"/>
        </w:rPr>
        <w:t>:</w:t>
      </w:r>
      <w:r>
        <w:t xml:space="preserve"> Der Betriebszeitprozentsatz errechnet sich nach folgender Formel:</w:t>
      </w:r>
    </w:p>
    <w:p w14:paraId="2684C307" w14:textId="4BA69B3E" w:rsidR="00696175" w:rsidRPr="00EF7CF9" w:rsidRDefault="00000000" w:rsidP="00403BA7">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Nutzerminuten abzüglich Ausfallzeit</m:t>
              </m:r>
            </m:num>
            <m:den>
              <m:r>
                <m:rPr>
                  <m:nor/>
                </m:rPr>
                <w:rPr>
                  <w:rFonts w:ascii="Cambria Math" w:hAnsi="Cambria Math" w:cs="Calibri"/>
                  <w:i/>
                  <w:sz w:val="18"/>
                  <w:szCs w:val="18"/>
                </w:rPr>
                <m:t>Nutzerminuten</m:t>
              </m:r>
            </m:den>
          </m:f>
          <m:r>
            <w:rPr>
              <w:rFonts w:ascii="Cambria Math" w:hAnsi="Cambria Math" w:cs="Calibri"/>
              <w:sz w:val="18"/>
              <w:szCs w:val="18"/>
            </w:rPr>
            <m:t xml:space="preserve"> x 100</m:t>
          </m:r>
        </m:oMath>
      </m:oMathPara>
    </w:p>
    <w:p w14:paraId="4E3A9CF0" w14:textId="75E878C2" w:rsidR="00696175" w:rsidRDefault="00AC48A7" w:rsidP="00696175">
      <w:pPr>
        <w:pStyle w:val="ProductList-Body"/>
        <w:rPr>
          <w:szCs w:val="18"/>
        </w:rPr>
      </w:pPr>
      <w:r>
        <w:rPr>
          <w:szCs w:val="18"/>
        </w:rPr>
        <w:t>wobei die Ausfallzeit in Nutzerminuten gemessen wird, d. h. für jeden Anwendbaren Zeitraum ist die Ausfallzeit die Summe der Dauer (in Minuten) jedes Vorfalls, der während dieses Anwendbaren Zeitraums auftritt, multipliziert mit der Anzahl der von diesem Vorfall betroffenen Nutzer.</w:t>
      </w:r>
    </w:p>
    <w:p w14:paraId="5121579E" w14:textId="77777777" w:rsidR="0090752C" w:rsidRPr="00EF7CF9" w:rsidRDefault="0090752C" w:rsidP="00696175">
      <w:pPr>
        <w:pStyle w:val="ProductList-Body"/>
        <w:rPr>
          <w:szCs w:val="18"/>
        </w:rPr>
      </w:pPr>
    </w:p>
    <w:p w14:paraId="52F16555" w14:textId="77777777" w:rsidR="00696175" w:rsidRPr="00EF7CF9" w:rsidRDefault="00696175" w:rsidP="00696175">
      <w:pPr>
        <w:pStyle w:val="ProductList-Body"/>
      </w:pPr>
      <w:r>
        <w:rPr>
          <w:b/>
          <w:color w:val="00188F"/>
        </w:rPr>
        <w:t>Servicegutschrift</w:t>
      </w:r>
      <w:r w:rsidRPr="00633DA0">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96175" w:rsidRPr="00B44CF9" w14:paraId="0B179D18" w14:textId="77777777" w:rsidTr="00696175">
        <w:trPr>
          <w:tblHeader/>
        </w:trPr>
        <w:tc>
          <w:tcPr>
            <w:tcW w:w="5400" w:type="dxa"/>
            <w:shd w:val="clear" w:color="auto" w:fill="0072C6"/>
          </w:tcPr>
          <w:p w14:paraId="11C941BA" w14:textId="726D922D" w:rsidR="00696175" w:rsidRPr="00EF7CF9" w:rsidRDefault="00AC48A7" w:rsidP="00696175">
            <w:pPr>
              <w:pStyle w:val="ProductList-OfferingBody"/>
              <w:jc w:val="center"/>
              <w:rPr>
                <w:color w:val="FFFFFF" w:themeColor="background1"/>
              </w:rPr>
            </w:pPr>
            <w:r>
              <w:rPr>
                <w:color w:val="FFFFFF" w:themeColor="background1"/>
              </w:rPr>
              <w:t>Betriebszeitprozentsatz</w:t>
            </w:r>
          </w:p>
        </w:tc>
        <w:tc>
          <w:tcPr>
            <w:tcW w:w="5400" w:type="dxa"/>
            <w:shd w:val="clear" w:color="auto" w:fill="0072C6"/>
          </w:tcPr>
          <w:p w14:paraId="70EB39DC" w14:textId="77777777" w:rsidR="00696175" w:rsidRPr="00EF7CF9" w:rsidRDefault="00696175" w:rsidP="00696175">
            <w:pPr>
              <w:pStyle w:val="ProductList-OfferingBody"/>
              <w:jc w:val="center"/>
              <w:rPr>
                <w:color w:val="FFFFFF" w:themeColor="background1"/>
              </w:rPr>
            </w:pPr>
            <w:r>
              <w:rPr>
                <w:color w:val="FFFFFF" w:themeColor="background1"/>
              </w:rPr>
              <w:t>Servicegutschrift</w:t>
            </w:r>
          </w:p>
        </w:tc>
      </w:tr>
      <w:tr w:rsidR="00696175" w:rsidRPr="00B44CF9" w14:paraId="6ABFFBB9" w14:textId="77777777" w:rsidTr="00696175">
        <w:tc>
          <w:tcPr>
            <w:tcW w:w="5400" w:type="dxa"/>
          </w:tcPr>
          <w:p w14:paraId="23F2520D" w14:textId="77777777" w:rsidR="00696175" w:rsidRPr="00EF7CF9" w:rsidRDefault="00696175" w:rsidP="00696175">
            <w:pPr>
              <w:pStyle w:val="ProductList-OfferingBody"/>
              <w:jc w:val="center"/>
            </w:pPr>
            <w:r>
              <w:t>&lt; 99,9 %</w:t>
            </w:r>
          </w:p>
        </w:tc>
        <w:tc>
          <w:tcPr>
            <w:tcW w:w="5400" w:type="dxa"/>
          </w:tcPr>
          <w:p w14:paraId="22427645" w14:textId="23BDD206" w:rsidR="00696175" w:rsidRPr="00EF7CF9" w:rsidRDefault="00696175" w:rsidP="00696175">
            <w:pPr>
              <w:pStyle w:val="ProductList-OfferingBody"/>
              <w:jc w:val="center"/>
            </w:pPr>
            <w:r>
              <w:t>25 %</w:t>
            </w:r>
          </w:p>
        </w:tc>
      </w:tr>
      <w:tr w:rsidR="00696175" w:rsidRPr="00B44CF9" w14:paraId="547A9239" w14:textId="77777777" w:rsidTr="00696175">
        <w:tc>
          <w:tcPr>
            <w:tcW w:w="5400" w:type="dxa"/>
          </w:tcPr>
          <w:p w14:paraId="6228CD0F" w14:textId="77777777" w:rsidR="00696175" w:rsidRPr="00EF7CF9" w:rsidRDefault="00696175" w:rsidP="00696175">
            <w:pPr>
              <w:pStyle w:val="ProductList-OfferingBody"/>
              <w:jc w:val="center"/>
            </w:pPr>
            <w:r>
              <w:t>&lt; 99 %</w:t>
            </w:r>
          </w:p>
        </w:tc>
        <w:tc>
          <w:tcPr>
            <w:tcW w:w="5400" w:type="dxa"/>
          </w:tcPr>
          <w:p w14:paraId="524FA505" w14:textId="32153C6C" w:rsidR="00696175" w:rsidRPr="00EF7CF9" w:rsidRDefault="00696175" w:rsidP="00696175">
            <w:pPr>
              <w:pStyle w:val="ProductList-OfferingBody"/>
              <w:keepNext/>
              <w:jc w:val="center"/>
            </w:pPr>
            <w:r>
              <w:t>50 %</w:t>
            </w:r>
          </w:p>
        </w:tc>
      </w:tr>
      <w:tr w:rsidR="00696175" w:rsidRPr="00B44CF9" w14:paraId="225B4866" w14:textId="77777777" w:rsidTr="00696175">
        <w:tc>
          <w:tcPr>
            <w:tcW w:w="5400" w:type="dxa"/>
          </w:tcPr>
          <w:p w14:paraId="1FF22DEF" w14:textId="4076704A" w:rsidR="00696175" w:rsidRPr="00EF7CF9" w:rsidRDefault="00696175" w:rsidP="00696175">
            <w:pPr>
              <w:pStyle w:val="ProductList-OfferingBody"/>
              <w:jc w:val="center"/>
            </w:pPr>
            <w:r>
              <w:t>&lt; 95 %</w:t>
            </w:r>
          </w:p>
        </w:tc>
        <w:tc>
          <w:tcPr>
            <w:tcW w:w="5400" w:type="dxa"/>
          </w:tcPr>
          <w:p w14:paraId="28D8DB21" w14:textId="6C113F7D" w:rsidR="00696175" w:rsidRDefault="00696175" w:rsidP="00696175">
            <w:pPr>
              <w:pStyle w:val="ProductList-OfferingBody"/>
              <w:keepNext/>
              <w:jc w:val="center"/>
            </w:pPr>
            <w:r>
              <w:t>100 %</w:t>
            </w:r>
          </w:p>
        </w:tc>
      </w:tr>
    </w:tbl>
    <w:p w14:paraId="5F8939BC" w14:textId="77777777" w:rsidR="00696175" w:rsidRPr="00EF7CF9" w:rsidRDefault="00696175" w:rsidP="00307209">
      <w:pPr>
        <w:pStyle w:val="ProductList-Body"/>
        <w:spacing w:before="120"/>
      </w:pPr>
      <w:r>
        <w:rPr>
          <w:b/>
          <w:color w:val="00188F"/>
        </w:rPr>
        <w:t>Ausnahmen für Servicelevel</w:t>
      </w:r>
      <w:r w:rsidRPr="00633DA0">
        <w:rPr>
          <w:b/>
          <w:bCs/>
          <w:color w:val="00188F"/>
        </w:rPr>
        <w:t>:</w:t>
      </w:r>
      <w:r>
        <w:t xml:space="preserve"> Diese SLA findet keine Anwendung auf Mandanten von Test-/Vorschauversionen.</w:t>
      </w:r>
    </w:p>
    <w:p w14:paraId="45D23644" w14:textId="53501020" w:rsidR="00E077E7" w:rsidRPr="00D67F75"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596CC1C1" w14:textId="072B3845" w:rsidR="00347E88" w:rsidRPr="00EF7CF9" w:rsidRDefault="00347E88" w:rsidP="00027ACB">
      <w:pPr>
        <w:pStyle w:val="ProductList-Offering2Heading"/>
        <w:tabs>
          <w:tab w:val="clear" w:pos="360"/>
          <w:tab w:val="clear" w:pos="720"/>
          <w:tab w:val="clear" w:pos="1080"/>
        </w:tabs>
        <w:outlineLvl w:val="2"/>
      </w:pPr>
      <w:bookmarkStart w:id="650" w:name="_Toc195543242"/>
      <w:bookmarkStart w:id="651" w:name="_Toc237449104"/>
      <w:r>
        <w:t>Windows 365</w:t>
      </w:r>
      <w:bookmarkEnd w:id="650"/>
      <w:bookmarkEnd w:id="651"/>
    </w:p>
    <w:p w14:paraId="37DB27AD" w14:textId="77911C6A" w:rsidR="00200E38" w:rsidRDefault="00200E38" w:rsidP="00200E38">
      <w:pPr>
        <w:pStyle w:val="ProductList-Body"/>
      </w:pPr>
      <w:r>
        <w:rPr>
          <w:b/>
          <w:color w:val="00188F"/>
        </w:rPr>
        <w:t>Cloud-PC</w:t>
      </w:r>
      <w:r w:rsidRPr="00633DA0">
        <w:rPr>
          <w:b/>
          <w:bCs/>
          <w:color w:val="00188F"/>
        </w:rPr>
        <w:t>:</w:t>
      </w:r>
      <w:r>
        <w:t xml:space="preserve"> die spezifische Instanz von Windows 365, die für einen Nutzer lizenziert ist.</w:t>
      </w:r>
    </w:p>
    <w:p w14:paraId="6D8DDD3B" w14:textId="77777777" w:rsidR="00200E38" w:rsidRDefault="00200E38" w:rsidP="006D6BA8">
      <w:pPr>
        <w:pStyle w:val="ProductList-Body"/>
        <w:keepNext/>
        <w:keepLines/>
      </w:pPr>
      <w:r>
        <w:rPr>
          <w:b/>
          <w:color w:val="00188F"/>
        </w:rPr>
        <w:t>Ausfallzeit:</w:t>
      </w:r>
      <w:r>
        <w:t xml:space="preserve"> Zeitraum, gemessen in Minuten, in dem alle Verbindungsversuche eines bestimmten Nutzers mit einem bestimmten Cloud-PC erfolglos waren, mit Ausnahme der folgenden Fehlerarten:</w:t>
      </w:r>
    </w:p>
    <w:p w14:paraId="766D01EA" w14:textId="509FF724" w:rsidR="00200E38" w:rsidRDefault="00200E38">
      <w:pPr>
        <w:pStyle w:val="ProductList-Body"/>
        <w:keepNext/>
        <w:keepLines/>
        <w:numPr>
          <w:ilvl w:val="0"/>
          <w:numId w:val="23"/>
        </w:numPr>
      </w:pPr>
      <w:r>
        <w:t>Fehler, die darauf zurückzuführen sind, dass sich der Cloud-PC in einem nicht funktionsfähigen Zustand befindet, der nichts mit der zugrunde liegenden Azure-Infrastruktur zu tun hat (z. B. Betriebssystem bzw. Betriebssystemkonfiguration beschädigt oder nicht lesbar, Fehlkonfiguration),</w:t>
      </w:r>
    </w:p>
    <w:p w14:paraId="4EEF53FC" w14:textId="23D90CA7" w:rsidR="00200E38" w:rsidRDefault="00200E38">
      <w:pPr>
        <w:pStyle w:val="ProductList-Body"/>
        <w:numPr>
          <w:ilvl w:val="0"/>
          <w:numId w:val="23"/>
        </w:numPr>
      </w:pPr>
      <w:r>
        <w:t>Fehler aufgrund einer Anwendung oder anderer Software, die auf dem Cloud-PC installiert ist.</w:t>
      </w:r>
    </w:p>
    <w:p w14:paraId="4E75CCA1" w14:textId="27FD3A01" w:rsidR="00200E38" w:rsidRDefault="00200E38" w:rsidP="00B537BF">
      <w:pPr>
        <w:pStyle w:val="ProductList-Body"/>
        <w:spacing w:before="120" w:after="120"/>
      </w:pPr>
      <w:r>
        <w:rPr>
          <w:b/>
          <w:color w:val="00188F"/>
        </w:rPr>
        <w:t>Individuelle Ausfallzeit</w:t>
      </w:r>
      <w:r w:rsidRPr="00633DA0">
        <w:rPr>
          <w:b/>
          <w:bCs/>
          <w:color w:val="00188F"/>
        </w:rPr>
        <w:t>:</w:t>
      </w:r>
      <w:r>
        <w:t xml:space="preserve"> bezeichnet die Ausfallzeit für einen bestimmten Nutzer für jeden Anwendbaren Zeitraum.</w:t>
      </w:r>
    </w:p>
    <w:p w14:paraId="18380D6A" w14:textId="06D2C353" w:rsidR="00200E38" w:rsidRDefault="00200E38" w:rsidP="00B537BF">
      <w:pPr>
        <w:pStyle w:val="ProductList-Body"/>
        <w:spacing w:before="120" w:after="120"/>
      </w:pPr>
      <w:r>
        <w:rPr>
          <w:b/>
          <w:color w:val="00188F"/>
        </w:rPr>
        <w:t>Individuelle Minuten</w:t>
      </w:r>
      <w:r w:rsidRPr="00633DA0">
        <w:rPr>
          <w:b/>
          <w:bCs/>
          <w:color w:val="00188F"/>
        </w:rPr>
        <w:t>:</w:t>
      </w:r>
      <w:r>
        <w:t xml:space="preserve"> bezeichnet die Nutzerminuten für einen bestimmten Nutzer für jeden Anwendbaren Zeitraum.</w:t>
      </w:r>
    </w:p>
    <w:p w14:paraId="4238E22F" w14:textId="786ABE29" w:rsidR="00EA5FB1" w:rsidRDefault="00200E38" w:rsidP="00B537BF">
      <w:pPr>
        <w:pStyle w:val="ProductList-Body"/>
        <w:tabs>
          <w:tab w:val="clear" w:pos="360"/>
          <w:tab w:val="clear" w:pos="720"/>
          <w:tab w:val="clear" w:pos="1080"/>
        </w:tabs>
        <w:spacing w:before="120" w:after="120"/>
      </w:pPr>
      <w:r>
        <w:rPr>
          <w:b/>
          <w:color w:val="00188F"/>
        </w:rPr>
        <w:t>Individueller Betriebszeitprozentsatz</w:t>
      </w:r>
      <w:r w:rsidRPr="00633DA0">
        <w:rPr>
          <w:b/>
          <w:bCs/>
          <w:color w:val="00188F"/>
        </w:rPr>
        <w:t>:</w:t>
      </w:r>
      <w:r>
        <w:t xml:space="preserve"> Der individuelle Betriebszeitprozentsatz wird berechnet als:</w:t>
      </w:r>
    </w:p>
    <w:p w14:paraId="69ABA1CA" w14:textId="1F5580AD" w:rsidR="00D77FA0" w:rsidRPr="00EF7CF9" w:rsidRDefault="00000000" w:rsidP="00DD7BB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Individuelle Minuten -Individuelle Ausfallzeit</m:t>
              </m:r>
            </m:num>
            <m:den>
              <m:r>
                <m:rPr>
                  <m:nor/>
                </m:rPr>
                <w:rPr>
                  <w:rFonts w:ascii="Cambria Math" w:hAnsi="Cambria Math" w:cs="Calibri"/>
                  <w:i/>
                  <w:sz w:val="18"/>
                  <w:szCs w:val="18"/>
                </w:rPr>
                <m:t>Individuelle Minuten</m:t>
              </m:r>
            </m:den>
          </m:f>
          <m:r>
            <w:rPr>
              <w:rFonts w:ascii="Cambria Math" w:hAnsi="Cambria Math" w:cs="Calibri"/>
              <w:sz w:val="18"/>
              <w:szCs w:val="18"/>
            </w:rPr>
            <m:t xml:space="preserve"> x 100</m:t>
          </m:r>
        </m:oMath>
      </m:oMathPara>
    </w:p>
    <w:p w14:paraId="4D9462D2" w14:textId="7E68AC71" w:rsidR="00D77FA0" w:rsidRDefault="0095373D" w:rsidP="00200E38">
      <w:pPr>
        <w:pStyle w:val="ProductList-Body"/>
        <w:tabs>
          <w:tab w:val="clear" w:pos="360"/>
          <w:tab w:val="clear" w:pos="720"/>
          <w:tab w:val="clear" w:pos="1080"/>
        </w:tabs>
        <w:rPr>
          <w:spacing w:val="-2"/>
        </w:rPr>
      </w:pPr>
      <w:r w:rsidRPr="006D6BA8">
        <w:rPr>
          <w:b/>
          <w:color w:val="00188F"/>
          <w:spacing w:val="-2"/>
        </w:rPr>
        <w:t>Pro-Nutzer-Guthaben</w:t>
      </w:r>
      <w:r w:rsidRPr="00633DA0">
        <w:rPr>
          <w:b/>
          <w:bCs/>
          <w:color w:val="00188F"/>
        </w:rPr>
        <w:t>:</w:t>
      </w:r>
      <w:r w:rsidRPr="006D6BA8">
        <w:rPr>
          <w:spacing w:val="-2"/>
        </w:rPr>
        <w:t xml:space="preserve"> Für einen Anwendbaren Zeitraum, in dem der Regionale Betriebszeitprozentsatz weniger als 99,9 % beträgt, wird ein Pro</w:t>
      </w:r>
      <w:r w:rsidR="006D6BA8">
        <w:rPr>
          <w:spacing w:val="-2"/>
        </w:rPr>
        <w:noBreakHyphen/>
      </w:r>
      <w:r w:rsidRPr="006D6BA8">
        <w:rPr>
          <w:spacing w:val="-2"/>
        </w:rPr>
        <w:t>Nutzer-Guthaben als Prozentsatz des Pro-Nutzer-Anteils der Anwendbaren Servicegebühren für jeden Nutzer, für den der Individuelle Betriebszeitprozentsatz weniger als 99,9 % betrug, nach der folgenden Tabelle berechnet (vorausgesetzt jedoch, dass ein Individueller Betriebszeitprozentsatz, der niedriger als der Regionale Betriebszeitprozentsatz ist, als gleich dem Regionalen Betriebszeitprozentsatz angesehen wird):</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E50E4" w:rsidRPr="00B44CF9" w14:paraId="3E2A11B8" w14:textId="77777777" w:rsidTr="00277097">
        <w:trPr>
          <w:tblHeader/>
        </w:trPr>
        <w:tc>
          <w:tcPr>
            <w:tcW w:w="5400" w:type="dxa"/>
            <w:shd w:val="clear" w:color="auto" w:fill="0072C6"/>
          </w:tcPr>
          <w:p w14:paraId="64194C3F" w14:textId="5578CB3D" w:rsidR="006E50E4" w:rsidRPr="00EF7CF9" w:rsidRDefault="006E50E4" w:rsidP="000F31B4">
            <w:pPr>
              <w:pStyle w:val="ProductList-OfferingBody"/>
              <w:jc w:val="center"/>
              <w:rPr>
                <w:color w:val="FFFFFF" w:themeColor="background1"/>
              </w:rPr>
            </w:pPr>
            <w:r>
              <w:rPr>
                <w:color w:val="FFFFFF" w:themeColor="background1"/>
              </w:rPr>
              <w:t>Individueller Betriebszeitprozentsatz:</w:t>
            </w:r>
          </w:p>
        </w:tc>
        <w:tc>
          <w:tcPr>
            <w:tcW w:w="5400" w:type="dxa"/>
            <w:shd w:val="clear" w:color="auto" w:fill="0072C6"/>
          </w:tcPr>
          <w:p w14:paraId="398F011A" w14:textId="1A824ABD" w:rsidR="006E50E4" w:rsidRPr="00EF7CF9" w:rsidRDefault="006E50E4" w:rsidP="000F31B4">
            <w:pPr>
              <w:pStyle w:val="ProductList-OfferingBody"/>
              <w:jc w:val="center"/>
              <w:rPr>
                <w:color w:val="FFFFFF" w:themeColor="background1"/>
              </w:rPr>
            </w:pPr>
            <w:r>
              <w:rPr>
                <w:color w:val="FFFFFF" w:themeColor="background1"/>
              </w:rPr>
              <w:t>Pro-Nutzer-Guthaben</w:t>
            </w:r>
          </w:p>
        </w:tc>
      </w:tr>
      <w:tr w:rsidR="006E50E4" w:rsidRPr="00B44CF9" w14:paraId="5E3BA46F" w14:textId="77777777" w:rsidTr="00277097">
        <w:tc>
          <w:tcPr>
            <w:tcW w:w="5400" w:type="dxa"/>
          </w:tcPr>
          <w:p w14:paraId="6EF6A06C" w14:textId="77777777" w:rsidR="006E50E4" w:rsidRPr="00EF7CF9" w:rsidRDefault="006E50E4" w:rsidP="000F31B4">
            <w:pPr>
              <w:pStyle w:val="ProductList-OfferingBody"/>
              <w:jc w:val="center"/>
            </w:pPr>
            <w:r>
              <w:t>&lt; 99,9 %</w:t>
            </w:r>
          </w:p>
        </w:tc>
        <w:tc>
          <w:tcPr>
            <w:tcW w:w="5400" w:type="dxa"/>
          </w:tcPr>
          <w:p w14:paraId="0675549C" w14:textId="61EAD653" w:rsidR="006E50E4" w:rsidRPr="00EF7CF9" w:rsidRDefault="006E50E4" w:rsidP="000F31B4">
            <w:pPr>
              <w:pStyle w:val="ProductList-OfferingBody"/>
              <w:jc w:val="center"/>
            </w:pPr>
            <w:r>
              <w:t>10 %</w:t>
            </w:r>
          </w:p>
        </w:tc>
      </w:tr>
      <w:tr w:rsidR="006E50E4" w:rsidRPr="00B44CF9" w14:paraId="086A459A" w14:textId="77777777" w:rsidTr="00277097">
        <w:tc>
          <w:tcPr>
            <w:tcW w:w="5400" w:type="dxa"/>
          </w:tcPr>
          <w:p w14:paraId="31202645" w14:textId="77777777" w:rsidR="006E50E4" w:rsidRPr="00EF7CF9" w:rsidRDefault="006E50E4" w:rsidP="000F31B4">
            <w:pPr>
              <w:pStyle w:val="ProductList-OfferingBody"/>
              <w:jc w:val="center"/>
            </w:pPr>
            <w:r>
              <w:t>&lt; 99 %</w:t>
            </w:r>
          </w:p>
        </w:tc>
        <w:tc>
          <w:tcPr>
            <w:tcW w:w="5400" w:type="dxa"/>
          </w:tcPr>
          <w:p w14:paraId="3968E6C7" w14:textId="7C215A6B" w:rsidR="006E50E4" w:rsidRPr="00EF7CF9" w:rsidRDefault="006E50E4" w:rsidP="000F31B4">
            <w:pPr>
              <w:pStyle w:val="ProductList-OfferingBody"/>
              <w:keepNext/>
              <w:jc w:val="center"/>
            </w:pPr>
            <w:r>
              <w:t>25 %</w:t>
            </w:r>
          </w:p>
        </w:tc>
      </w:tr>
      <w:tr w:rsidR="006E50E4" w:rsidRPr="00B44CF9" w14:paraId="784CDD6F" w14:textId="77777777" w:rsidTr="00277097">
        <w:tc>
          <w:tcPr>
            <w:tcW w:w="5400" w:type="dxa"/>
          </w:tcPr>
          <w:p w14:paraId="6FFCC83C" w14:textId="77777777" w:rsidR="006E50E4" w:rsidRPr="00EF7CF9" w:rsidRDefault="006E50E4" w:rsidP="000F31B4">
            <w:pPr>
              <w:pStyle w:val="ProductList-OfferingBody"/>
              <w:jc w:val="center"/>
            </w:pPr>
            <w:r>
              <w:t>&lt; 95 %</w:t>
            </w:r>
          </w:p>
        </w:tc>
        <w:tc>
          <w:tcPr>
            <w:tcW w:w="5400" w:type="dxa"/>
          </w:tcPr>
          <w:p w14:paraId="4F9A94D7" w14:textId="77777777" w:rsidR="006E50E4" w:rsidRDefault="006E50E4" w:rsidP="000F31B4">
            <w:pPr>
              <w:pStyle w:val="ProductList-OfferingBody"/>
              <w:keepNext/>
              <w:jc w:val="center"/>
            </w:pPr>
            <w:r>
              <w:t>100 %</w:t>
            </w:r>
          </w:p>
        </w:tc>
      </w:tr>
    </w:tbl>
    <w:p w14:paraId="49E5A2C2" w14:textId="253D4243" w:rsidR="00417DC1" w:rsidRDefault="00417DC1" w:rsidP="00EB33B1">
      <w:pPr>
        <w:pStyle w:val="ProductList-Body"/>
        <w:spacing w:before="120" w:after="120"/>
      </w:pPr>
      <w:r>
        <w:rPr>
          <w:b/>
          <w:color w:val="00188F"/>
        </w:rPr>
        <w:t>Region</w:t>
      </w:r>
      <w:r w:rsidRPr="00633DA0">
        <w:rPr>
          <w:b/>
          <w:bCs/>
          <w:color w:val="00188F"/>
        </w:rPr>
        <w:t>:</w:t>
      </w:r>
      <w:r>
        <w:t xml:space="preserve"> bedeutet die Regionen, einzeln aufgeführt unter: </w:t>
      </w:r>
      <w:hyperlink r:id="rId28" w:history="1">
        <w:r>
          <w:rPr>
            <w:rStyle w:val="Hyperlink"/>
          </w:rPr>
          <w:t>https://aka.ms/DSLARegionLink</w:t>
        </w:r>
      </w:hyperlink>
      <w:r>
        <w:t>.</w:t>
      </w:r>
    </w:p>
    <w:p w14:paraId="09A1D24F" w14:textId="7D7203C6" w:rsidR="00417DC1" w:rsidRDefault="00417DC1" w:rsidP="00EB33B1">
      <w:pPr>
        <w:pStyle w:val="ProductList-Body"/>
        <w:spacing w:before="120" w:after="120"/>
      </w:pPr>
      <w:r>
        <w:rPr>
          <w:b/>
          <w:color w:val="00188F"/>
        </w:rPr>
        <w:t>Regionale Ausfallzeit</w:t>
      </w:r>
      <w:r w:rsidRPr="00633DA0">
        <w:rPr>
          <w:b/>
          <w:bCs/>
          <w:color w:val="00188F"/>
        </w:rPr>
        <w:t>:</w:t>
      </w:r>
      <w:r>
        <w:t xml:space="preserve"> bezeichnet die Summe aller Ihrer Ausfallzeiten in einer Region für jeden Anwendbaren Zeitraum.</w:t>
      </w:r>
    </w:p>
    <w:p w14:paraId="200DCE68" w14:textId="1A07C84E" w:rsidR="00417DC1" w:rsidRDefault="00417DC1" w:rsidP="00EB33B1">
      <w:pPr>
        <w:pStyle w:val="ProductList-Body"/>
        <w:spacing w:before="120" w:after="120"/>
      </w:pPr>
      <w:r>
        <w:rPr>
          <w:b/>
          <w:color w:val="00188F"/>
        </w:rPr>
        <w:t>Regionale Minuten</w:t>
      </w:r>
      <w:r w:rsidRPr="00633DA0">
        <w:rPr>
          <w:b/>
          <w:bCs/>
          <w:color w:val="00188F"/>
        </w:rPr>
        <w:t>:</w:t>
      </w:r>
      <w:r>
        <w:t xml:space="preserve"> bezeichnet die Nutzerminuten in einer Region für jeden Anwendbaren Zeitraum.</w:t>
      </w:r>
    </w:p>
    <w:p w14:paraId="085EE300" w14:textId="0311D765" w:rsidR="00417DC1" w:rsidRDefault="00417DC1" w:rsidP="00EB33B1">
      <w:pPr>
        <w:pStyle w:val="ProductList-Body"/>
        <w:tabs>
          <w:tab w:val="clear" w:pos="360"/>
          <w:tab w:val="clear" w:pos="720"/>
          <w:tab w:val="clear" w:pos="1080"/>
        </w:tabs>
        <w:spacing w:before="120" w:after="120"/>
      </w:pPr>
      <w:r>
        <w:rPr>
          <w:b/>
          <w:color w:val="00188F"/>
        </w:rPr>
        <w:t>Regionaler Betriebszeitprozentsatz</w:t>
      </w:r>
      <w:r w:rsidRPr="00633DA0">
        <w:rPr>
          <w:b/>
          <w:bCs/>
          <w:color w:val="00188F"/>
        </w:rPr>
        <w:t>:</w:t>
      </w:r>
      <w:r>
        <w:t xml:space="preserve"> wird anhand der folgenden Formel berechnet:</w:t>
      </w:r>
    </w:p>
    <w:p w14:paraId="300B5237" w14:textId="5AA9A033" w:rsidR="00982191" w:rsidRPr="00EF7CF9" w:rsidRDefault="00000000" w:rsidP="00151323">
      <w:pPr>
        <w:spacing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Regionale Minuten -Regionale Ausfallzeit</m:t>
              </m:r>
            </m:num>
            <m:den>
              <m:r>
                <w:rPr>
                  <w:rFonts w:ascii="Cambria Math" w:hAnsi="Cambria Math" w:cs="Calibri"/>
                  <w:sz w:val="18"/>
                  <w:szCs w:val="18"/>
                </w:rPr>
                <m:t>Regionale Minuten</m:t>
              </m:r>
            </m:den>
          </m:f>
          <m:r>
            <w:rPr>
              <w:rFonts w:ascii="Cambria Math" w:hAnsi="Cambria Math" w:cs="Calibri"/>
              <w:sz w:val="18"/>
              <w:szCs w:val="18"/>
            </w:rPr>
            <m:t xml:space="preserve"> x 100</m:t>
          </m:r>
        </m:oMath>
      </m:oMathPara>
    </w:p>
    <w:p w14:paraId="2F4CCAC2" w14:textId="379C181A" w:rsidR="00982191" w:rsidRDefault="00593CC9" w:rsidP="00417DC1">
      <w:pPr>
        <w:pStyle w:val="ProductList-Body"/>
        <w:tabs>
          <w:tab w:val="clear" w:pos="360"/>
          <w:tab w:val="clear" w:pos="720"/>
          <w:tab w:val="clear" w:pos="1080"/>
        </w:tabs>
      </w:pPr>
      <w:r>
        <w:rPr>
          <w:b/>
          <w:color w:val="00188F"/>
        </w:rPr>
        <w:t>Dienstgutschrift</w:t>
      </w:r>
      <w:r w:rsidRPr="00633DA0">
        <w:rPr>
          <w:b/>
          <w:bCs/>
          <w:color w:val="00188F"/>
        </w:rPr>
        <w:t>:</w:t>
      </w:r>
      <w:r>
        <w:t xml:space="preserve"> für Windows 365 sind Servicegutschriften kein Prozentsatz der Anwendbaren Servicegebühr, sondern die Summe aller Pro-Nutzer-Gutschriften.</w:t>
      </w:r>
    </w:p>
    <w:p w14:paraId="09A28970" w14:textId="77777777" w:rsidR="00C92B32" w:rsidRPr="00D67F75" w:rsidRDefault="00C92B32" w:rsidP="00C92B3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p w14:paraId="20EFEAC1" w14:textId="67B4E26B" w:rsidR="00EC2549" w:rsidRPr="00EF7CF9" w:rsidRDefault="00EC2549" w:rsidP="00BC681F">
      <w:pPr>
        <w:pStyle w:val="ProductList-SectionHeading"/>
        <w:tabs>
          <w:tab w:val="clear" w:pos="360"/>
          <w:tab w:val="clear" w:pos="720"/>
          <w:tab w:val="clear" w:pos="1080"/>
        </w:tabs>
        <w:outlineLvl w:val="0"/>
      </w:pPr>
      <w:bookmarkStart w:id="652" w:name="AppendixA"/>
      <w:bookmarkStart w:id="653" w:name="_Toc457821598"/>
      <w:bookmarkStart w:id="654" w:name="_Toc195543243"/>
      <w:bookmarkStart w:id="655" w:name="_Toc237449105"/>
      <w:r>
        <w:t>Anhang A</w:t>
      </w:r>
      <w:bookmarkEnd w:id="652"/>
      <w:r>
        <w:t xml:space="preserve"> – Service-Level-Verpflichtung für Virenerkennung und -blockierung, Spam-Wirksamkeit oder Falschmeldungen</w:t>
      </w:r>
      <w:bookmarkEnd w:id="653"/>
      <w:bookmarkEnd w:id="654"/>
      <w:bookmarkEnd w:id="655"/>
    </w:p>
    <w:p w14:paraId="24580D76" w14:textId="11566184" w:rsidR="00D46DC5" w:rsidRPr="00EF7CF9" w:rsidRDefault="00D46DC5" w:rsidP="00D46DC5">
      <w:pPr>
        <w:pStyle w:val="ProductList-Body"/>
        <w:tabs>
          <w:tab w:val="clear" w:pos="360"/>
          <w:tab w:val="clear" w:pos="720"/>
          <w:tab w:val="clear" w:pos="1080"/>
        </w:tabs>
      </w:pPr>
      <w:r>
        <w:t>In Bezug auf Exchange Online und EOP, die als eigenständiger Service oder über die ECAL-Suite lizenziert sind, oder Exchange Enterprise CAL mit</w:t>
      </w:r>
      <w:r w:rsidR="00287BA0">
        <w:t> </w:t>
      </w:r>
      <w:r>
        <w:t>Services haben Sie möglicherweise Anspruch auf Servicegutschriften, wenn wir den unten beschriebenen Service-Level nicht erfüllen für: (1)</w:t>
      </w:r>
      <w:r w:rsidR="00287BA0">
        <w:t> </w:t>
      </w:r>
      <w:r>
        <w:t>Virenerkennung und -blockierung, (2) Wirksamkeit gegen Spams oder (3) Falsch positiv. Wenn eines dieser einzelnen Servicelevel nicht erfüllt</w:t>
      </w:r>
      <w:r w:rsidR="00287BA0">
        <w:t> </w:t>
      </w:r>
      <w:r>
        <w:t>wird, sind Sie berechtigt, einen Anspruch auf eine Dienstgutschrift einzureichen. Wenn wir durch einen Vorfall mehrere SLA-Kennzahlen für</w:t>
      </w:r>
      <w:r w:rsidR="00287BA0">
        <w:t> </w:t>
      </w:r>
      <w:r>
        <w:t>Exchange Online oder EOP nicht einhalten können, sind Sie berechtigt, für diesen Vorfall pro Dienst nur einen Anspruch auf eine Dienstgutschrift einzureichen.</w:t>
      </w:r>
    </w:p>
    <w:p w14:paraId="0B087758" w14:textId="77777777" w:rsidR="00D46DC5" w:rsidRPr="00EF7CF9" w:rsidRDefault="00D46DC5" w:rsidP="00D46DC5">
      <w:pPr>
        <w:pStyle w:val="ProductList-Body"/>
        <w:tabs>
          <w:tab w:val="clear" w:pos="360"/>
          <w:tab w:val="clear" w:pos="720"/>
          <w:tab w:val="clear" w:pos="1080"/>
        </w:tabs>
      </w:pPr>
    </w:p>
    <w:p w14:paraId="61092289" w14:textId="4FE5C0A7" w:rsidR="00D46DC5" w:rsidRPr="00EF7CF9" w:rsidRDefault="00D46DC5">
      <w:pPr>
        <w:pStyle w:val="ProductList-Body"/>
        <w:numPr>
          <w:ilvl w:val="0"/>
          <w:numId w:val="6"/>
        </w:numPr>
        <w:tabs>
          <w:tab w:val="clear" w:pos="360"/>
          <w:tab w:val="clear" w:pos="720"/>
          <w:tab w:val="clear" w:pos="1080"/>
        </w:tabs>
        <w:ind w:left="360" w:hanging="360"/>
        <w:rPr>
          <w:b/>
        </w:rPr>
      </w:pPr>
      <w:r>
        <w:rPr>
          <w:b/>
          <w:color w:val="00188F"/>
        </w:rPr>
        <w:t xml:space="preserve">Service-Level </w:t>
      </w:r>
      <w:r w:rsidRPr="00445B42">
        <w:t>„</w:t>
      </w:r>
      <w:r>
        <w:rPr>
          <w:b/>
          <w:color w:val="00188F"/>
        </w:rPr>
        <w:t>Virenerkennung und -blockierung</w:t>
      </w:r>
      <w:r w:rsidRPr="00445B42">
        <w:t>“</w:t>
      </w:r>
    </w:p>
    <w:p w14:paraId="367EC43A" w14:textId="010A6BAA" w:rsidR="00D46DC5" w:rsidRPr="00EF7CF9" w:rsidRDefault="00EF7CF9">
      <w:pPr>
        <w:pStyle w:val="ProductList-Body"/>
        <w:numPr>
          <w:ilvl w:val="1"/>
          <w:numId w:val="5"/>
        </w:numPr>
        <w:tabs>
          <w:tab w:val="clear" w:pos="360"/>
          <w:tab w:val="clear" w:pos="720"/>
          <w:tab w:val="clear" w:pos="1080"/>
        </w:tabs>
        <w:ind w:left="720"/>
      </w:pPr>
      <w:r>
        <w:t>„Virenerkennung und -blockierung“ ist definiert als die Erkennung und Blockierung von Viren mithilfe der Filter zur Vermeidung von Vireninfektionen. „Viren“ werden in der Regel definiert als bekannte Schadprogramme (Malware), wozu Viren, Würmer und Trojanische Pferde zählen.</w:t>
      </w:r>
    </w:p>
    <w:p w14:paraId="383AB279" w14:textId="7C5941E4" w:rsidR="00D46DC5" w:rsidRPr="00EF7CF9" w:rsidRDefault="00D46DC5">
      <w:pPr>
        <w:pStyle w:val="ProductList-Body"/>
        <w:numPr>
          <w:ilvl w:val="1"/>
          <w:numId w:val="5"/>
        </w:numPr>
        <w:tabs>
          <w:tab w:val="clear" w:pos="360"/>
          <w:tab w:val="clear" w:pos="720"/>
          <w:tab w:val="clear" w:pos="1080"/>
        </w:tabs>
        <w:ind w:left="720"/>
      </w:pPr>
      <w:r>
        <w:t>Ein Virus gilt als bekannt, wenn handelsübliche Virenscanner den Virus erkennen können und die Erkennungsfunktion im gesamten EOP-Netzwerk verfügbar ist.</w:t>
      </w:r>
    </w:p>
    <w:p w14:paraId="3EDD97C9" w14:textId="0741C4BD" w:rsidR="00D46DC5" w:rsidRPr="00EF7CF9" w:rsidRDefault="00D46DC5">
      <w:pPr>
        <w:pStyle w:val="ProductList-Body"/>
        <w:numPr>
          <w:ilvl w:val="1"/>
          <w:numId w:val="5"/>
        </w:numPr>
        <w:tabs>
          <w:tab w:val="clear" w:pos="360"/>
          <w:tab w:val="clear" w:pos="720"/>
          <w:tab w:val="clear" w:pos="1080"/>
        </w:tabs>
        <w:ind w:left="720"/>
      </w:pPr>
      <w:r>
        <w:t>Er muss sich aus einer nicht zielgerichteten Infektion ergeben.</w:t>
      </w:r>
    </w:p>
    <w:p w14:paraId="5614CCF7" w14:textId="01253259" w:rsidR="00D46DC5" w:rsidRPr="00EF7CF9" w:rsidRDefault="00D46DC5">
      <w:pPr>
        <w:pStyle w:val="ProductList-Body"/>
        <w:numPr>
          <w:ilvl w:val="1"/>
          <w:numId w:val="5"/>
        </w:numPr>
        <w:tabs>
          <w:tab w:val="clear" w:pos="360"/>
          <w:tab w:val="clear" w:pos="720"/>
          <w:tab w:val="clear" w:pos="1080"/>
        </w:tabs>
        <w:ind w:left="720"/>
      </w:pPr>
      <w:r>
        <w:t>Der Virus muss vom EOP-Virenfilter erkannt worden sein.</w:t>
      </w:r>
    </w:p>
    <w:p w14:paraId="7707FC7D" w14:textId="09543FC4" w:rsidR="00D46DC5" w:rsidRPr="00EF7CF9" w:rsidRDefault="00D46DC5">
      <w:pPr>
        <w:pStyle w:val="ProductList-Body"/>
        <w:numPr>
          <w:ilvl w:val="1"/>
          <w:numId w:val="5"/>
        </w:numPr>
        <w:tabs>
          <w:tab w:val="clear" w:pos="360"/>
          <w:tab w:val="clear" w:pos="720"/>
          <w:tab w:val="clear" w:pos="1080"/>
        </w:tabs>
        <w:ind w:left="720"/>
      </w:pPr>
      <w:r>
        <w:t>Wenn EOP eine mit einem bekannten Virus infizierte E-Mail an Sie zustellt, unterrichtet EOP Sie und arbeitet mit Ihnen zusammen, um</w:t>
      </w:r>
      <w:r w:rsidR="009A17EF">
        <w:t> </w:t>
      </w:r>
      <w:r>
        <w:t>den Virus zu identifizieren und zu entfernen. Wenn dadurch eine Infektion vermieden werden kann, sind Sie nicht zu einer Servicegutschrift unter dem Service-Level „Virenerkennung und -blockierung“ berechtigt.</w:t>
      </w:r>
    </w:p>
    <w:p w14:paraId="086E42AC" w14:textId="7A7D04B9" w:rsidR="00D46DC5" w:rsidRPr="00EF7CF9" w:rsidRDefault="00D46DC5">
      <w:pPr>
        <w:pStyle w:val="ProductList-Body"/>
        <w:numPr>
          <w:ilvl w:val="1"/>
          <w:numId w:val="5"/>
        </w:numPr>
        <w:tabs>
          <w:tab w:val="clear" w:pos="360"/>
          <w:tab w:val="clear" w:pos="720"/>
          <w:tab w:val="clear" w:pos="1080"/>
        </w:tabs>
        <w:ind w:left="720"/>
      </w:pPr>
      <w:r>
        <w:t>Der Service-Level „Virenerkennung und -blockierung“ gilt nicht für:</w:t>
      </w:r>
    </w:p>
    <w:p w14:paraId="09006C52" w14:textId="524237E8" w:rsidR="00D46DC5" w:rsidRPr="00EF7CF9" w:rsidRDefault="00D46DC5">
      <w:pPr>
        <w:pStyle w:val="ProductList-Body"/>
        <w:numPr>
          <w:ilvl w:val="2"/>
          <w:numId w:val="5"/>
        </w:numPr>
        <w:tabs>
          <w:tab w:val="clear" w:pos="360"/>
          <w:tab w:val="clear" w:pos="720"/>
          <w:tab w:val="clear" w:pos="1080"/>
        </w:tabs>
        <w:ind w:left="1080" w:hanging="360"/>
      </w:pPr>
      <w:r>
        <w:t>Formen des E-Mail-Missbrauchs, die nicht als Malware eingestuft werden, wie z. B. Spam, Phishing und andere Betrügereien, Adware und Formen von Spyware, die aufgrund ihrer gezielten Art oder begrenzten Verwendung der Antivirengemeinschaft nicht bekannt sind und daher von Antivirenprodukten nicht als Virus erkannt werden.</w:t>
      </w:r>
    </w:p>
    <w:p w14:paraId="7048433A" w14:textId="7661DAAF" w:rsidR="00D46DC5" w:rsidRPr="00EF7CF9" w:rsidRDefault="00D46DC5">
      <w:pPr>
        <w:pStyle w:val="ProductList-Body"/>
        <w:numPr>
          <w:ilvl w:val="2"/>
          <w:numId w:val="5"/>
        </w:numPr>
        <w:tabs>
          <w:tab w:val="clear" w:pos="360"/>
          <w:tab w:val="clear" w:pos="720"/>
          <w:tab w:val="clear" w:pos="1080"/>
        </w:tabs>
        <w:ind w:left="1080" w:hanging="360"/>
      </w:pPr>
      <w:r>
        <w:t>Fehlerhafte, defekte, trunkierte oder inaktive Viren in Unzustellbarkeitsberichten, Benachrichtigungen oder unzustellbaren E-Mails.</w:t>
      </w:r>
    </w:p>
    <w:p w14:paraId="1F48062D" w14:textId="6EC757FD" w:rsidR="00D46DC5" w:rsidRPr="00EF7CF9" w:rsidRDefault="00D46DC5">
      <w:pPr>
        <w:pStyle w:val="ProductList-Body"/>
        <w:numPr>
          <w:ilvl w:val="1"/>
          <w:numId w:val="5"/>
        </w:numPr>
        <w:tabs>
          <w:tab w:val="clear" w:pos="360"/>
          <w:tab w:val="clear" w:pos="720"/>
          <w:tab w:val="clear" w:pos="1080"/>
        </w:tabs>
        <w:ind w:left="720"/>
      </w:pPr>
      <w:r>
        <w:t>Die verfügbare Servicegutschrift für den Service „Virenerkennung und -blockierung“ beträgt: 25 % Servicegutschrift der Anwendbaren Servicegebühr, wenn eine Infektion in einem Anwendbaren Zeitraum auftritt, wobei maximal ein Anspruch pro Anwendbarem Zeitraum zulässig ist.</w:t>
      </w:r>
    </w:p>
    <w:p w14:paraId="2921BACD" w14:textId="22CBB5DA" w:rsidR="00D46DC5" w:rsidRPr="00EF7CF9" w:rsidRDefault="00D46DC5">
      <w:pPr>
        <w:pStyle w:val="ProductList-Body"/>
        <w:numPr>
          <w:ilvl w:val="0"/>
          <w:numId w:val="5"/>
        </w:numPr>
        <w:tabs>
          <w:tab w:val="clear" w:pos="360"/>
          <w:tab w:val="clear" w:pos="720"/>
          <w:tab w:val="clear" w:pos="1080"/>
        </w:tabs>
        <w:spacing w:before="120"/>
        <w:ind w:left="360" w:hanging="360"/>
        <w:rPr>
          <w:b/>
        </w:rPr>
      </w:pPr>
      <w:r>
        <w:rPr>
          <w:b/>
          <w:color w:val="00188F"/>
        </w:rPr>
        <w:t>Service-Level „Wirksamkeit gegen Spams“</w:t>
      </w:r>
    </w:p>
    <w:p w14:paraId="0E0804C5" w14:textId="04712794" w:rsidR="00D46DC5" w:rsidRPr="00EF7CF9" w:rsidRDefault="00EF7CF9">
      <w:pPr>
        <w:pStyle w:val="ProductList-Body"/>
        <w:numPr>
          <w:ilvl w:val="1"/>
          <w:numId w:val="5"/>
        </w:numPr>
        <w:tabs>
          <w:tab w:val="clear" w:pos="360"/>
          <w:tab w:val="clear" w:pos="720"/>
          <w:tab w:val="clear" w:pos="1080"/>
        </w:tabs>
        <w:ind w:left="720"/>
      </w:pPr>
      <w:r>
        <w:t>„Wirksamkeit gegen Spams“ ist definiert als der Prozentsatz eingehender Spams, die vom Filtersystem erkannt werden, wobei die Messung täglich erfolgt.</w:t>
      </w:r>
    </w:p>
    <w:p w14:paraId="64ABB92E" w14:textId="79612D0E" w:rsidR="00D46DC5" w:rsidRPr="00EF7CF9" w:rsidRDefault="00D46DC5">
      <w:pPr>
        <w:pStyle w:val="ProductList-Body"/>
        <w:numPr>
          <w:ilvl w:val="1"/>
          <w:numId w:val="5"/>
        </w:numPr>
        <w:tabs>
          <w:tab w:val="clear" w:pos="360"/>
          <w:tab w:val="clear" w:pos="720"/>
          <w:tab w:val="clear" w:pos="1080"/>
        </w:tabs>
        <w:ind w:left="720"/>
      </w:pPr>
      <w:r>
        <w:t>Bei den Schätzungen der Wirksamkeit gegen Spams sind falsch negative Meldungen an ungültige Postfächer nicht berücksichtigt.</w:t>
      </w:r>
    </w:p>
    <w:p w14:paraId="2AEBFBB8" w14:textId="200A7D15" w:rsidR="00D46DC5" w:rsidRPr="00EF7CF9" w:rsidRDefault="00D46DC5">
      <w:pPr>
        <w:pStyle w:val="ProductList-Body"/>
        <w:numPr>
          <w:ilvl w:val="1"/>
          <w:numId w:val="5"/>
        </w:numPr>
        <w:tabs>
          <w:tab w:val="clear" w:pos="360"/>
          <w:tab w:val="clear" w:pos="720"/>
          <w:tab w:val="clear" w:pos="1080"/>
        </w:tabs>
        <w:ind w:left="720"/>
      </w:pPr>
      <w:r>
        <w:t>Die Spam-Mail muss mit unserem Service verarbeitet werden und darf nicht fehlerhaft, beschädigt oder gekürzt sein.</w:t>
      </w:r>
    </w:p>
    <w:p w14:paraId="3A248BCC" w14:textId="4D6D4002" w:rsidR="00D46DC5" w:rsidRPr="00EF7CF9" w:rsidRDefault="00D46DC5">
      <w:pPr>
        <w:pStyle w:val="ProductList-Body"/>
        <w:numPr>
          <w:ilvl w:val="1"/>
          <w:numId w:val="5"/>
        </w:numPr>
        <w:tabs>
          <w:tab w:val="clear" w:pos="360"/>
          <w:tab w:val="clear" w:pos="720"/>
          <w:tab w:val="clear" w:pos="1080"/>
        </w:tabs>
        <w:ind w:left="720"/>
      </w:pPr>
      <w:r>
        <w:t xml:space="preserve">Der Service-Level „Wirksamkeit gegen Spams“ gilt nicht für E-Mails mit überwiegend nicht englischsprachigem Inhalt. </w:t>
      </w:r>
    </w:p>
    <w:p w14:paraId="2713F5AA" w14:textId="3135F86C" w:rsidR="00D46DC5" w:rsidRPr="00EF7CF9" w:rsidRDefault="00D46DC5">
      <w:pPr>
        <w:pStyle w:val="ProductList-Body"/>
        <w:numPr>
          <w:ilvl w:val="1"/>
          <w:numId w:val="5"/>
        </w:numPr>
        <w:tabs>
          <w:tab w:val="clear" w:pos="360"/>
          <w:tab w:val="clear" w:pos="720"/>
          <w:tab w:val="clear" w:pos="1080"/>
        </w:tabs>
        <w:ind w:left="720"/>
      </w:pPr>
      <w:r>
        <w:t>Sie erkennen an, dass die Klassifizierung von Spams subjektiv ist, und erklären sich damit einverstanden, dass wir auf der Grundlage der</w:t>
      </w:r>
      <w:r w:rsidR="00A57F21">
        <w:t> </w:t>
      </w:r>
      <w:r>
        <w:t>von Ihnen zeitnah zur Verfügung gestellten Belege nach bestem Wissen und Gewissen eine Einschätzung der Spam-Erkennungsrate vornehmen.</w:t>
      </w:r>
    </w:p>
    <w:p w14:paraId="3D467451" w14:textId="13DCCE23" w:rsidR="00B10E8D" w:rsidRPr="00EF7CF9" w:rsidRDefault="00D46DC5">
      <w:pPr>
        <w:pStyle w:val="ProductList-Body"/>
        <w:numPr>
          <w:ilvl w:val="1"/>
          <w:numId w:val="5"/>
        </w:numPr>
        <w:tabs>
          <w:tab w:val="clear" w:pos="360"/>
          <w:tab w:val="clear" w:pos="720"/>
          <w:tab w:val="clear" w:pos="1080"/>
        </w:tabs>
        <w:ind w:left="720"/>
      </w:pPr>
      <w:r>
        <w:t>Die verfügbare Dienstgutschrift für den Dienst „Wirksamkeit gegen Spams“ beträgt:</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040"/>
      </w:tblGrid>
      <w:tr w:rsidR="00D46DC5" w:rsidRPr="00B44CF9" w14:paraId="52676193" w14:textId="77777777" w:rsidTr="00D46DC5">
        <w:trPr>
          <w:tblHeader/>
        </w:trPr>
        <w:tc>
          <w:tcPr>
            <w:tcW w:w="5040" w:type="dxa"/>
            <w:shd w:val="clear" w:color="auto" w:fill="0072C6"/>
          </w:tcPr>
          <w:p w14:paraId="6236433A" w14:textId="70877BE5" w:rsidR="00D46DC5" w:rsidRPr="00EF7CF9" w:rsidRDefault="00D46DC5" w:rsidP="00002CD6">
            <w:pPr>
              <w:pStyle w:val="ProductList-OfferingBody"/>
              <w:jc w:val="center"/>
              <w:rPr>
                <w:color w:val="FFFFFF" w:themeColor="background1"/>
              </w:rPr>
            </w:pPr>
            <w:r>
              <w:rPr>
                <w:color w:val="FFFFFF" w:themeColor="background1"/>
              </w:rPr>
              <w:t>Prozentsatz des Anwendbaren Zeitraums, in dem die Wirksamkeitsrate gegen Spams unter 99 % liegt</w:t>
            </w:r>
          </w:p>
        </w:tc>
        <w:tc>
          <w:tcPr>
            <w:tcW w:w="5040" w:type="dxa"/>
            <w:shd w:val="clear" w:color="auto" w:fill="0072C6"/>
          </w:tcPr>
          <w:p w14:paraId="56BE0234" w14:textId="77777777" w:rsidR="00D46DC5" w:rsidRPr="00EF7CF9" w:rsidRDefault="00D46DC5" w:rsidP="00002CD6">
            <w:pPr>
              <w:pStyle w:val="ProductList-OfferingBody"/>
              <w:jc w:val="center"/>
              <w:rPr>
                <w:color w:val="FFFFFF" w:themeColor="background1"/>
              </w:rPr>
            </w:pPr>
            <w:r>
              <w:rPr>
                <w:color w:val="FFFFFF" w:themeColor="background1"/>
              </w:rPr>
              <w:t>Servicegutschrift</w:t>
            </w:r>
          </w:p>
        </w:tc>
      </w:tr>
      <w:tr w:rsidR="00D46DC5" w:rsidRPr="00B44CF9" w14:paraId="09A914F6" w14:textId="77777777" w:rsidTr="00D46DC5">
        <w:tc>
          <w:tcPr>
            <w:tcW w:w="5040" w:type="dxa"/>
          </w:tcPr>
          <w:p w14:paraId="631738B0" w14:textId="06EFBC07" w:rsidR="00D46DC5" w:rsidRPr="00EF7CF9" w:rsidRDefault="00D46DC5" w:rsidP="00002CD6">
            <w:pPr>
              <w:pStyle w:val="ProductList-OfferingBody"/>
              <w:jc w:val="center"/>
            </w:pPr>
            <w:r>
              <w:t>&gt; 25 %</w:t>
            </w:r>
          </w:p>
        </w:tc>
        <w:tc>
          <w:tcPr>
            <w:tcW w:w="5040" w:type="dxa"/>
          </w:tcPr>
          <w:p w14:paraId="0CE6B48C" w14:textId="77777777" w:rsidR="00D46DC5" w:rsidRPr="00EF7CF9" w:rsidRDefault="00D46DC5" w:rsidP="00002CD6">
            <w:pPr>
              <w:pStyle w:val="ProductList-OfferingBody"/>
              <w:jc w:val="center"/>
            </w:pPr>
            <w:r>
              <w:t>25 %</w:t>
            </w:r>
          </w:p>
        </w:tc>
      </w:tr>
      <w:tr w:rsidR="00D46DC5" w:rsidRPr="00B44CF9" w14:paraId="351EBE61" w14:textId="77777777" w:rsidTr="00D46DC5">
        <w:tc>
          <w:tcPr>
            <w:tcW w:w="5040" w:type="dxa"/>
          </w:tcPr>
          <w:p w14:paraId="3695DA63" w14:textId="360D03C8" w:rsidR="00D46DC5" w:rsidRPr="00EF7CF9" w:rsidRDefault="00D46DC5" w:rsidP="00002CD6">
            <w:pPr>
              <w:pStyle w:val="ProductList-OfferingBody"/>
              <w:jc w:val="center"/>
            </w:pPr>
            <w:r>
              <w:t>&gt; 50 %</w:t>
            </w:r>
          </w:p>
        </w:tc>
        <w:tc>
          <w:tcPr>
            <w:tcW w:w="5040" w:type="dxa"/>
          </w:tcPr>
          <w:p w14:paraId="2DE7EA92" w14:textId="77777777" w:rsidR="00D46DC5" w:rsidRPr="00EF7CF9" w:rsidRDefault="00D46DC5" w:rsidP="00002CD6">
            <w:pPr>
              <w:pStyle w:val="ProductList-OfferingBody"/>
              <w:jc w:val="center"/>
            </w:pPr>
            <w:r>
              <w:t>50 %</w:t>
            </w:r>
          </w:p>
        </w:tc>
      </w:tr>
      <w:tr w:rsidR="00D46DC5" w:rsidRPr="00B44CF9" w14:paraId="5EBFF820" w14:textId="77777777" w:rsidTr="00D46DC5">
        <w:tc>
          <w:tcPr>
            <w:tcW w:w="5040" w:type="dxa"/>
          </w:tcPr>
          <w:p w14:paraId="777A52D2" w14:textId="2C56D2B6" w:rsidR="00D46DC5" w:rsidRPr="00EF7CF9" w:rsidRDefault="00D46DC5" w:rsidP="00002CD6">
            <w:pPr>
              <w:pStyle w:val="ProductList-OfferingBody"/>
              <w:jc w:val="center"/>
            </w:pPr>
            <w:r>
              <w:t>100 %</w:t>
            </w:r>
          </w:p>
        </w:tc>
        <w:tc>
          <w:tcPr>
            <w:tcW w:w="5040" w:type="dxa"/>
          </w:tcPr>
          <w:p w14:paraId="2AC83C59" w14:textId="77777777" w:rsidR="00D46DC5" w:rsidRPr="00EF7CF9" w:rsidRDefault="00D46DC5" w:rsidP="00002CD6">
            <w:pPr>
              <w:pStyle w:val="ProductList-OfferingBody"/>
              <w:jc w:val="center"/>
            </w:pPr>
            <w:r>
              <w:t>100 %</w:t>
            </w:r>
          </w:p>
        </w:tc>
      </w:tr>
    </w:tbl>
    <w:p w14:paraId="790AF5B7" w14:textId="450B8A56" w:rsidR="00D46DC5" w:rsidRPr="00EF7CF9" w:rsidRDefault="00D46DC5">
      <w:pPr>
        <w:pStyle w:val="ProductList-Body"/>
        <w:numPr>
          <w:ilvl w:val="0"/>
          <w:numId w:val="5"/>
        </w:numPr>
        <w:tabs>
          <w:tab w:val="clear" w:pos="360"/>
          <w:tab w:val="clear" w:pos="720"/>
          <w:tab w:val="clear" w:pos="1080"/>
        </w:tabs>
        <w:spacing w:before="120"/>
        <w:ind w:left="360" w:hanging="360"/>
        <w:rPr>
          <w:b/>
        </w:rPr>
      </w:pPr>
      <w:r>
        <w:rPr>
          <w:b/>
          <w:color w:val="00188F"/>
        </w:rPr>
        <w:t>Service-Level „Falsch positiv“</w:t>
      </w:r>
    </w:p>
    <w:p w14:paraId="34815E06" w14:textId="18A8EB1E" w:rsidR="00D46DC5" w:rsidRPr="00EF7CF9" w:rsidRDefault="00EF7CF9">
      <w:pPr>
        <w:pStyle w:val="ProductList-Body"/>
        <w:numPr>
          <w:ilvl w:val="1"/>
          <w:numId w:val="5"/>
        </w:numPr>
        <w:tabs>
          <w:tab w:val="clear" w:pos="360"/>
          <w:tab w:val="clear" w:pos="720"/>
          <w:tab w:val="clear" w:pos="1080"/>
        </w:tabs>
        <w:ind w:left="720"/>
      </w:pPr>
      <w:r>
        <w:t>„Falsch positiv“ ist definiert als der Anteil seriöser geschäftlicher E-Mails, die fälschlicherweise vom Filtersystem als Spam eingestuft wurden, bezogen auf alle E-Mails, die der Service innerhalb eines Anwendbaren Zeitraums verarbeitet.</w:t>
      </w:r>
    </w:p>
    <w:p w14:paraId="6200DF6C" w14:textId="75E7A01E" w:rsidR="00D46DC5" w:rsidRPr="00EF7CF9" w:rsidRDefault="00D46DC5">
      <w:pPr>
        <w:pStyle w:val="ProductList-Body"/>
        <w:numPr>
          <w:ilvl w:val="1"/>
          <w:numId w:val="5"/>
        </w:numPr>
        <w:tabs>
          <w:tab w:val="clear" w:pos="360"/>
          <w:tab w:val="clear" w:pos="720"/>
          <w:tab w:val="clear" w:pos="1080"/>
        </w:tabs>
        <w:ind w:left="720"/>
      </w:pPr>
      <w:r>
        <w:t>Dem für E-Mail-Missbrauch zuständigen Team muss stets die vollständige Originalnachricht einschließlich Kopfzeile gemeldet werden.</w:t>
      </w:r>
    </w:p>
    <w:p w14:paraId="56882ADE" w14:textId="51F69848" w:rsidR="00D46DC5" w:rsidRPr="00EF7CF9" w:rsidRDefault="00D46DC5">
      <w:pPr>
        <w:pStyle w:val="ProductList-Body"/>
        <w:numPr>
          <w:ilvl w:val="1"/>
          <w:numId w:val="5"/>
        </w:numPr>
        <w:tabs>
          <w:tab w:val="clear" w:pos="360"/>
          <w:tab w:val="clear" w:pos="720"/>
          <w:tab w:val="clear" w:pos="1080"/>
        </w:tabs>
        <w:ind w:left="720"/>
      </w:pPr>
      <w:r>
        <w:t>Gilt nur für E-Mails, die an gültige Postfächer gesendet werden.</w:t>
      </w:r>
    </w:p>
    <w:p w14:paraId="40E1716C" w14:textId="1ED0A9D8" w:rsidR="00D46DC5" w:rsidRPr="00EF7CF9" w:rsidRDefault="00D46DC5">
      <w:pPr>
        <w:pStyle w:val="ProductList-Body"/>
        <w:numPr>
          <w:ilvl w:val="1"/>
          <w:numId w:val="5"/>
        </w:numPr>
        <w:tabs>
          <w:tab w:val="clear" w:pos="360"/>
          <w:tab w:val="clear" w:pos="720"/>
          <w:tab w:val="clear" w:pos="1080"/>
        </w:tabs>
        <w:ind w:left="720"/>
      </w:pPr>
      <w:r>
        <w:t>Sie erkennen an, dass die Klassifizierung „falsch positiv“ subjektiv ist, und sind sich darüber bewusst, dass wir auf der Grundlage der von</w:t>
      </w:r>
      <w:r w:rsidR="009135E3">
        <w:t> </w:t>
      </w:r>
      <w:r>
        <w:t>Ihnen rechtzeitig zur Verfügung gestellten Belege nach bestem Wissen und Gewissen eine Einschätzung der Rate falsch positiver Meldungen vornehmen.</w:t>
      </w:r>
    </w:p>
    <w:p w14:paraId="23C90FDB" w14:textId="474C063D" w:rsidR="00D46DC5" w:rsidRPr="00EF7CF9" w:rsidRDefault="00D46DC5">
      <w:pPr>
        <w:pStyle w:val="ProductList-Body"/>
        <w:keepNext/>
        <w:keepLines/>
        <w:numPr>
          <w:ilvl w:val="1"/>
          <w:numId w:val="5"/>
        </w:numPr>
        <w:tabs>
          <w:tab w:val="clear" w:pos="360"/>
          <w:tab w:val="clear" w:pos="720"/>
          <w:tab w:val="clear" w:pos="1080"/>
        </w:tabs>
        <w:ind w:left="720"/>
      </w:pPr>
      <w:r>
        <w:t>In folgenden Fällen gilt der Service-Level „Falsch positiv“ nicht:</w:t>
      </w:r>
    </w:p>
    <w:p w14:paraId="7372134E" w14:textId="4A9824CE" w:rsidR="00D46DC5" w:rsidRPr="00EF7CF9" w:rsidRDefault="00D46DC5">
      <w:pPr>
        <w:pStyle w:val="ProductList-Body"/>
        <w:keepNext/>
        <w:keepLines/>
        <w:numPr>
          <w:ilvl w:val="2"/>
          <w:numId w:val="5"/>
        </w:numPr>
        <w:tabs>
          <w:tab w:val="clear" w:pos="360"/>
          <w:tab w:val="clear" w:pos="720"/>
          <w:tab w:val="clear" w:pos="1080"/>
        </w:tabs>
        <w:ind w:left="1080" w:hanging="360"/>
      </w:pPr>
      <w:r>
        <w:t>Massen-E-Mails, persönliche E-Mails und E-Mails mit pornografischem Inhalt</w:t>
      </w:r>
    </w:p>
    <w:p w14:paraId="7A5B93DD" w14:textId="481EF0DD" w:rsidR="00D46DC5" w:rsidRPr="00EF7CF9" w:rsidRDefault="00D46DC5">
      <w:pPr>
        <w:pStyle w:val="ProductList-Body"/>
        <w:keepNext/>
        <w:keepLines/>
        <w:numPr>
          <w:ilvl w:val="2"/>
          <w:numId w:val="5"/>
        </w:numPr>
        <w:tabs>
          <w:tab w:val="clear" w:pos="360"/>
          <w:tab w:val="clear" w:pos="720"/>
          <w:tab w:val="clear" w:pos="1080"/>
        </w:tabs>
        <w:ind w:left="1080" w:hanging="360"/>
      </w:pPr>
      <w:r>
        <w:t>E-Mails mit überwiegend nicht englischsprachigem Inhalt</w:t>
      </w:r>
    </w:p>
    <w:p w14:paraId="2644814B" w14:textId="660B23B4" w:rsidR="00D46DC5" w:rsidRPr="00EF7CF9" w:rsidRDefault="00D46DC5">
      <w:pPr>
        <w:pStyle w:val="ProductList-Body"/>
        <w:numPr>
          <w:ilvl w:val="2"/>
          <w:numId w:val="5"/>
        </w:numPr>
        <w:tabs>
          <w:tab w:val="clear" w:pos="360"/>
          <w:tab w:val="clear" w:pos="720"/>
          <w:tab w:val="clear" w:pos="1080"/>
        </w:tabs>
        <w:ind w:left="1080" w:hanging="360"/>
      </w:pPr>
      <w:r>
        <w:t>E-Mails, die von einer Richtlinienregel, Reputationsfiltern oder einem Filter für SMTP-Verbindungen blockiert wurden</w:t>
      </w:r>
    </w:p>
    <w:p w14:paraId="2D20E567" w14:textId="54658CED" w:rsidR="00D46DC5" w:rsidRPr="00EF7CF9" w:rsidRDefault="00D46DC5">
      <w:pPr>
        <w:pStyle w:val="ProductList-Body"/>
        <w:numPr>
          <w:ilvl w:val="2"/>
          <w:numId w:val="5"/>
        </w:numPr>
        <w:tabs>
          <w:tab w:val="clear" w:pos="360"/>
          <w:tab w:val="clear" w:pos="720"/>
          <w:tab w:val="clear" w:pos="1080"/>
        </w:tabs>
        <w:ind w:left="1080" w:hanging="360"/>
      </w:pPr>
      <w:r>
        <w:t>E-Mails, die an den Spam-Ordner zugestellt wurden</w:t>
      </w:r>
    </w:p>
    <w:p w14:paraId="775DAECE" w14:textId="56DC4673" w:rsidR="00D46DC5" w:rsidRPr="00EF7CF9" w:rsidRDefault="00D46DC5">
      <w:pPr>
        <w:pStyle w:val="ProductList-Body"/>
        <w:numPr>
          <w:ilvl w:val="1"/>
          <w:numId w:val="5"/>
        </w:numPr>
        <w:tabs>
          <w:tab w:val="clear" w:pos="360"/>
          <w:tab w:val="clear" w:pos="720"/>
          <w:tab w:val="clear" w:pos="1080"/>
        </w:tabs>
        <w:ind w:left="720"/>
      </w:pPr>
      <w:r>
        <w:t>Die verfügbare Servicegutschrift für den Service „Falsch positiv“ beträgt:</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040"/>
      </w:tblGrid>
      <w:tr w:rsidR="00D46DC5" w:rsidRPr="00B44CF9" w14:paraId="55319DD5" w14:textId="77777777" w:rsidTr="00F575B8">
        <w:trPr>
          <w:tblHeader/>
        </w:trPr>
        <w:tc>
          <w:tcPr>
            <w:tcW w:w="5040" w:type="dxa"/>
            <w:shd w:val="clear" w:color="auto" w:fill="0072C6"/>
          </w:tcPr>
          <w:p w14:paraId="6B8ECFE6" w14:textId="2350992B" w:rsidR="00D46DC5" w:rsidRPr="00EF7CF9" w:rsidRDefault="00D46DC5" w:rsidP="00002CD6">
            <w:pPr>
              <w:pStyle w:val="ProductList-OfferingBody"/>
              <w:jc w:val="center"/>
              <w:rPr>
                <w:color w:val="FFFFFF" w:themeColor="background1"/>
              </w:rPr>
            </w:pPr>
            <w:r>
              <w:rPr>
                <w:color w:val="FFFFFF" w:themeColor="background1"/>
              </w:rPr>
              <w:t>Anteil falsch positiver Meldungen in einem Anwendbaren Zeitraum</w:t>
            </w:r>
          </w:p>
        </w:tc>
        <w:tc>
          <w:tcPr>
            <w:tcW w:w="5040" w:type="dxa"/>
            <w:shd w:val="clear" w:color="auto" w:fill="0072C6"/>
          </w:tcPr>
          <w:p w14:paraId="60CA8A89" w14:textId="77777777" w:rsidR="00D46DC5" w:rsidRPr="00EF7CF9" w:rsidRDefault="00D46DC5" w:rsidP="00002CD6">
            <w:pPr>
              <w:pStyle w:val="ProductList-OfferingBody"/>
              <w:jc w:val="center"/>
              <w:rPr>
                <w:color w:val="FFFFFF" w:themeColor="background1"/>
              </w:rPr>
            </w:pPr>
            <w:r>
              <w:rPr>
                <w:color w:val="FFFFFF" w:themeColor="background1"/>
              </w:rPr>
              <w:t>Servicegutschrift</w:t>
            </w:r>
          </w:p>
        </w:tc>
      </w:tr>
      <w:tr w:rsidR="00D46DC5" w:rsidRPr="00B44CF9" w14:paraId="7AE054B0" w14:textId="77777777" w:rsidTr="00F575B8">
        <w:tc>
          <w:tcPr>
            <w:tcW w:w="5040" w:type="dxa"/>
          </w:tcPr>
          <w:p w14:paraId="6B80DC14" w14:textId="145C484D" w:rsidR="00D46DC5" w:rsidRPr="00EF7CF9" w:rsidRDefault="00D46DC5" w:rsidP="00ED3399">
            <w:pPr>
              <w:pStyle w:val="ProductList-OfferingBody"/>
              <w:jc w:val="center"/>
            </w:pPr>
            <w:r>
              <w:t>&gt; 1:250.000</w:t>
            </w:r>
          </w:p>
        </w:tc>
        <w:tc>
          <w:tcPr>
            <w:tcW w:w="5040" w:type="dxa"/>
          </w:tcPr>
          <w:p w14:paraId="4987D417" w14:textId="77777777" w:rsidR="00D46DC5" w:rsidRPr="00EF7CF9" w:rsidRDefault="00D46DC5" w:rsidP="00002CD6">
            <w:pPr>
              <w:pStyle w:val="ProductList-OfferingBody"/>
              <w:jc w:val="center"/>
            </w:pPr>
            <w:r>
              <w:t>25 %</w:t>
            </w:r>
          </w:p>
        </w:tc>
      </w:tr>
      <w:tr w:rsidR="00D46DC5" w:rsidRPr="00B44CF9" w14:paraId="3254687C" w14:textId="77777777" w:rsidTr="00F575B8">
        <w:tc>
          <w:tcPr>
            <w:tcW w:w="5040" w:type="dxa"/>
          </w:tcPr>
          <w:p w14:paraId="0B1DD814" w14:textId="334E68D2" w:rsidR="00D46DC5" w:rsidRPr="00EF7CF9" w:rsidRDefault="00D46DC5" w:rsidP="00002CD6">
            <w:pPr>
              <w:pStyle w:val="ProductList-OfferingBody"/>
              <w:jc w:val="center"/>
            </w:pPr>
            <w:r>
              <w:t>&gt; 1:10.000</w:t>
            </w:r>
          </w:p>
        </w:tc>
        <w:tc>
          <w:tcPr>
            <w:tcW w:w="5040" w:type="dxa"/>
          </w:tcPr>
          <w:p w14:paraId="12F73FB9" w14:textId="77777777" w:rsidR="00D46DC5" w:rsidRPr="00EF7CF9" w:rsidRDefault="00D46DC5" w:rsidP="00002CD6">
            <w:pPr>
              <w:pStyle w:val="ProductList-OfferingBody"/>
              <w:jc w:val="center"/>
            </w:pPr>
            <w:r>
              <w:t>50 %</w:t>
            </w:r>
          </w:p>
        </w:tc>
      </w:tr>
      <w:tr w:rsidR="00D46DC5" w:rsidRPr="00B44CF9" w14:paraId="54FC3522" w14:textId="77777777" w:rsidTr="00F575B8">
        <w:tc>
          <w:tcPr>
            <w:tcW w:w="5040" w:type="dxa"/>
          </w:tcPr>
          <w:p w14:paraId="6B393370" w14:textId="621818A1" w:rsidR="00D46DC5" w:rsidRPr="00EF7CF9" w:rsidRDefault="00F575B8" w:rsidP="00002CD6">
            <w:pPr>
              <w:pStyle w:val="ProductList-OfferingBody"/>
              <w:jc w:val="center"/>
            </w:pPr>
            <w:r>
              <w:t>&gt; 1:100</w:t>
            </w:r>
          </w:p>
        </w:tc>
        <w:tc>
          <w:tcPr>
            <w:tcW w:w="5040" w:type="dxa"/>
          </w:tcPr>
          <w:p w14:paraId="0C773A17" w14:textId="77777777" w:rsidR="00D46DC5" w:rsidRPr="00EF7CF9" w:rsidRDefault="00D46DC5" w:rsidP="00002CD6">
            <w:pPr>
              <w:pStyle w:val="ProductList-OfferingBody"/>
              <w:jc w:val="center"/>
            </w:pPr>
            <w:r>
              <w:t>100 %</w:t>
            </w:r>
          </w:p>
        </w:tc>
      </w:tr>
    </w:tbl>
    <w:p w14:paraId="0FECF8DB" w14:textId="599BFD1F" w:rsidR="00EA5FB1" w:rsidRPr="00EF7CF9" w:rsidRDefault="005F7C2C" w:rsidP="00E077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67F75">
          <w:rPr>
            <w:rStyle w:val="Hyperlink"/>
            <w:sz w:val="16"/>
            <w:szCs w:val="16"/>
          </w:rPr>
          <w:t>Inhalt</w:t>
        </w:r>
      </w:hyperlink>
      <w:r w:rsidRPr="00D67F75">
        <w:rPr>
          <w:sz w:val="16"/>
          <w:szCs w:val="16"/>
        </w:rPr>
        <w:t xml:space="preserve"> / </w:t>
      </w:r>
      <w:hyperlink w:anchor="Definitions" w:history="1">
        <w:r w:rsidRPr="00D67F75">
          <w:rPr>
            <w:rStyle w:val="Hyperlink"/>
            <w:sz w:val="16"/>
            <w:szCs w:val="16"/>
          </w:rPr>
          <w:t>Begriffsbestimmungen</w:t>
        </w:r>
      </w:hyperlink>
    </w:p>
    <w:sectPr w:rsidR="00EA5FB1" w:rsidRPr="00EF7CF9" w:rsidSect="008817C8">
      <w:footerReference w:type="first" r:id="rId29"/>
      <w:pgSz w:w="12240" w:h="15840"/>
      <w:pgMar w:top="1440" w:right="72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A9108" w14:textId="77777777" w:rsidR="00B63FC9" w:rsidRDefault="00B63FC9" w:rsidP="009A573F">
      <w:pPr>
        <w:spacing w:after="0" w:line="240" w:lineRule="auto"/>
      </w:pPr>
      <w:r>
        <w:separator/>
      </w:r>
    </w:p>
    <w:p w14:paraId="4A2AD2D9" w14:textId="77777777" w:rsidR="00B63FC9" w:rsidRDefault="00B63FC9"/>
    <w:p w14:paraId="67E79ABB" w14:textId="77777777" w:rsidR="00B63FC9" w:rsidRDefault="00B63FC9"/>
    <w:p w14:paraId="3B27F836" w14:textId="77777777" w:rsidR="00B63FC9" w:rsidRDefault="00B63FC9"/>
    <w:p w14:paraId="076A0843" w14:textId="77777777" w:rsidR="00B63FC9" w:rsidRDefault="00B63FC9"/>
  </w:endnote>
  <w:endnote w:type="continuationSeparator" w:id="0">
    <w:p w14:paraId="63F5BC7C" w14:textId="77777777" w:rsidR="00B63FC9" w:rsidRDefault="00B63FC9" w:rsidP="009A573F">
      <w:pPr>
        <w:spacing w:after="0" w:line="240" w:lineRule="auto"/>
      </w:pPr>
      <w:r>
        <w:continuationSeparator/>
      </w:r>
    </w:p>
    <w:p w14:paraId="654CCFA4" w14:textId="77777777" w:rsidR="00B63FC9" w:rsidRDefault="00B63FC9"/>
    <w:p w14:paraId="4EC6A450" w14:textId="77777777" w:rsidR="00B63FC9" w:rsidRDefault="00B63FC9"/>
    <w:p w14:paraId="359A73D2" w14:textId="77777777" w:rsidR="00B63FC9" w:rsidRDefault="00B63FC9"/>
    <w:p w14:paraId="015A0234" w14:textId="77777777" w:rsidR="00B63FC9" w:rsidRDefault="00B63FC9"/>
  </w:endnote>
  <w:endnote w:type="continuationNotice" w:id="1">
    <w:p w14:paraId="7E94123D" w14:textId="77777777" w:rsidR="00B63FC9" w:rsidRDefault="00B63FC9">
      <w:pPr>
        <w:spacing w:after="0" w:line="240" w:lineRule="auto"/>
      </w:pPr>
    </w:p>
    <w:p w14:paraId="118CAED1" w14:textId="77777777" w:rsidR="00B63FC9" w:rsidRDefault="00B63FC9"/>
    <w:p w14:paraId="5D1B36C1" w14:textId="77777777" w:rsidR="00B63FC9" w:rsidRDefault="00B63FC9"/>
    <w:p w14:paraId="7810781B" w14:textId="77777777" w:rsidR="00B63FC9" w:rsidRDefault="00B63FC9"/>
    <w:p w14:paraId="2ADC9687" w14:textId="77777777" w:rsidR="00B63FC9" w:rsidRDefault="00B63F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9561C" w14:textId="24A13704" w:rsidR="00135354" w:rsidRDefault="00135354" w:rsidP="00914BDB">
    <w:pPr>
      <w:pStyle w:val="ProductList-Body"/>
    </w:pPr>
    <w:r>
      <w:rPr>
        <w:noProof/>
        <w:lang w:val="en-US" w:eastAsia="zh-CN" w:bidi="ar-SA"/>
      </w:rPr>
      <w:drawing>
        <wp:inline distT="0" distB="0" distL="0" distR="0" wp14:anchorId="57C84DC6" wp14:editId="3A5C7D0C">
          <wp:extent cx="1993692" cy="457200"/>
          <wp:effectExtent l="0" t="0" r="6985" b="0"/>
          <wp:docPr id="880940628" name="Picture 880940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icrosoft logo.png"/>
                  <pic:cNvPicPr/>
                </pic:nvPicPr>
                <pic:blipFill>
                  <a:blip r:embed="rId1">
                    <a:extLst>
                      <a:ext uri="{28A0092B-C50C-407E-A947-70E740481C1C}">
                        <a14:useLocalDpi xmlns:a14="http://schemas.microsoft.com/office/drawing/2010/main" val="0"/>
                      </a:ext>
                    </a:extLst>
                  </a:blip>
                  <a:stretch>
                    <a:fillRect/>
                  </a:stretch>
                </pic:blipFill>
                <pic:spPr>
                  <a:xfrm>
                    <a:off x="0" y="0"/>
                    <a:ext cx="2155375" cy="494278"/>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135354" w:rsidRPr="00C76DF3" w14:paraId="25A3A111" w14:textId="77777777" w:rsidTr="00A45E01">
      <w:tc>
        <w:tcPr>
          <w:tcW w:w="1975" w:type="dxa"/>
          <w:shd w:val="clear" w:color="auto" w:fill="BFBFBF" w:themeFill="background1" w:themeFillShade="BF"/>
          <w:vAlign w:val="center"/>
        </w:tcPr>
        <w:p w14:paraId="5F986FDD" w14:textId="665C474D" w:rsidR="00135354" w:rsidRPr="00D67F75" w:rsidRDefault="00135354" w:rsidP="00EF145E">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D67F75">
              <w:rPr>
                <w:rStyle w:val="Hyperlink"/>
                <w:sz w:val="14"/>
                <w:szCs w:val="14"/>
              </w:rPr>
              <w:t>Inhalt</w:t>
            </w:r>
          </w:hyperlink>
        </w:p>
      </w:tc>
      <w:tc>
        <w:tcPr>
          <w:tcW w:w="270" w:type="dxa"/>
          <w:tcBorders>
            <w:top w:val="nil"/>
            <w:bottom w:val="nil"/>
          </w:tcBorders>
          <w:vAlign w:val="center"/>
        </w:tcPr>
        <w:p w14:paraId="76085F21" w14:textId="77777777" w:rsidR="00135354" w:rsidRPr="00C76DF3" w:rsidRDefault="00135354" w:rsidP="00EF145E">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3A3659C4" w14:textId="0EB5F623" w:rsidR="00135354" w:rsidRPr="00C76DF3" w:rsidRDefault="00135354" w:rsidP="00EF145E">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EF145E">
              <w:rPr>
                <w:rStyle w:val="Hyperlink"/>
                <w:sz w:val="14"/>
                <w:szCs w:val="14"/>
              </w:rPr>
              <w:t>Einführung</w:t>
            </w:r>
          </w:hyperlink>
        </w:p>
      </w:tc>
      <w:tc>
        <w:tcPr>
          <w:tcW w:w="271" w:type="dxa"/>
          <w:tcBorders>
            <w:top w:val="nil"/>
            <w:bottom w:val="nil"/>
          </w:tcBorders>
          <w:vAlign w:val="center"/>
        </w:tcPr>
        <w:p w14:paraId="521E99E1" w14:textId="77777777" w:rsidR="00135354" w:rsidRPr="00C76DF3" w:rsidRDefault="00135354" w:rsidP="00EF145E">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7B02393B" w14:textId="08DCA08D" w:rsidR="00135354" w:rsidRPr="00C76DF3" w:rsidRDefault="00135354" w:rsidP="00EF145E">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EF145E">
              <w:rPr>
                <w:rStyle w:val="Hyperlink"/>
                <w:sz w:val="14"/>
                <w:szCs w:val="14"/>
              </w:rPr>
              <w:t>Allgemeine Bestimmungen</w:t>
            </w:r>
          </w:hyperlink>
        </w:p>
      </w:tc>
      <w:tc>
        <w:tcPr>
          <w:tcW w:w="272" w:type="dxa"/>
          <w:tcBorders>
            <w:top w:val="nil"/>
            <w:bottom w:val="nil"/>
          </w:tcBorders>
          <w:vAlign w:val="center"/>
        </w:tcPr>
        <w:p w14:paraId="1F5A8D3D" w14:textId="77777777" w:rsidR="00135354" w:rsidRPr="00C76DF3" w:rsidRDefault="00135354" w:rsidP="00EF145E">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6FE919ED" w14:textId="1637E421" w:rsidR="00135354" w:rsidRPr="00EA5BFD" w:rsidRDefault="00135354" w:rsidP="00EF145E">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EA5BFD">
              <w:rPr>
                <w:rStyle w:val="Hyperlink"/>
                <w:sz w:val="14"/>
                <w:szCs w:val="14"/>
              </w:rPr>
              <w:t>Servicespezifische Bedingungen</w:t>
            </w:r>
          </w:hyperlink>
        </w:p>
      </w:tc>
      <w:tc>
        <w:tcPr>
          <w:tcW w:w="273" w:type="dxa"/>
          <w:tcBorders>
            <w:top w:val="nil"/>
            <w:bottom w:val="nil"/>
          </w:tcBorders>
          <w:vAlign w:val="center"/>
        </w:tcPr>
        <w:p w14:paraId="6A4318B5" w14:textId="77777777" w:rsidR="00135354" w:rsidRPr="00C76DF3" w:rsidRDefault="00135354" w:rsidP="00EF145E">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2B17DA0E" w14:textId="68FDE299" w:rsidR="00135354" w:rsidRPr="00C76DF3" w:rsidRDefault="00135354" w:rsidP="00EF145E">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EF145E">
              <w:rPr>
                <w:rStyle w:val="Hyperlink"/>
                <w:sz w:val="14"/>
                <w:szCs w:val="14"/>
              </w:rPr>
              <w:t>Anhänge</w:t>
            </w:r>
          </w:hyperlink>
        </w:p>
      </w:tc>
    </w:tr>
  </w:tbl>
  <w:p w14:paraId="1166BF0D" w14:textId="77777777" w:rsidR="00135354" w:rsidRDefault="00135354" w:rsidP="00A45E01">
    <w:pPr>
      <w:pStyle w:val="ProductList-Body"/>
      <w:tabs>
        <w:tab w:val="clear" w:pos="360"/>
        <w:tab w:val="clear" w:pos="720"/>
        <w:tab w:val="clear" w:pos="108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135354" w:rsidRPr="00C76DF3" w14:paraId="32E85765" w14:textId="77777777" w:rsidTr="00B0776A">
      <w:tc>
        <w:tcPr>
          <w:tcW w:w="1975" w:type="dxa"/>
          <w:shd w:val="clear" w:color="auto" w:fill="BFBFBF" w:themeFill="background1" w:themeFillShade="BF"/>
          <w:vAlign w:val="center"/>
        </w:tcPr>
        <w:p w14:paraId="7081A355" w14:textId="225C5D11" w:rsidR="00135354" w:rsidRPr="00C76DF3" w:rsidRDefault="00135354" w:rsidP="00EF145E">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D67F75">
              <w:rPr>
                <w:rStyle w:val="Hyperlink"/>
                <w:sz w:val="14"/>
                <w:szCs w:val="14"/>
              </w:rPr>
              <w:t>Inhalt</w:t>
            </w:r>
          </w:hyperlink>
        </w:p>
      </w:tc>
      <w:tc>
        <w:tcPr>
          <w:tcW w:w="270" w:type="dxa"/>
          <w:tcBorders>
            <w:top w:val="nil"/>
            <w:bottom w:val="nil"/>
          </w:tcBorders>
          <w:vAlign w:val="center"/>
        </w:tcPr>
        <w:p w14:paraId="3863E4F2" w14:textId="1C18ED10" w:rsidR="00135354" w:rsidRPr="00C76DF3" w:rsidRDefault="00135354" w:rsidP="00EF145E">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6B52F57F" w14:textId="76BE1396" w:rsidR="00135354" w:rsidRPr="00C76DF3" w:rsidRDefault="00135354" w:rsidP="00EF145E">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EF145E">
              <w:rPr>
                <w:rStyle w:val="Hyperlink"/>
                <w:sz w:val="14"/>
                <w:szCs w:val="14"/>
              </w:rPr>
              <w:t>Einführung</w:t>
            </w:r>
          </w:hyperlink>
        </w:p>
      </w:tc>
      <w:tc>
        <w:tcPr>
          <w:tcW w:w="271" w:type="dxa"/>
          <w:tcBorders>
            <w:top w:val="nil"/>
            <w:bottom w:val="nil"/>
          </w:tcBorders>
          <w:vAlign w:val="center"/>
        </w:tcPr>
        <w:p w14:paraId="68A10451" w14:textId="768A9C6C" w:rsidR="00135354" w:rsidRPr="00C76DF3" w:rsidRDefault="00135354" w:rsidP="00EF145E">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042F88F2" w14:textId="1675A0A5" w:rsidR="00135354" w:rsidRPr="00C76DF3" w:rsidRDefault="00135354" w:rsidP="00EF145E">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EF145E">
              <w:rPr>
                <w:rStyle w:val="Hyperlink"/>
                <w:sz w:val="14"/>
                <w:szCs w:val="14"/>
              </w:rPr>
              <w:t>Allgemeine Bestimmungen</w:t>
            </w:r>
          </w:hyperlink>
        </w:p>
      </w:tc>
      <w:tc>
        <w:tcPr>
          <w:tcW w:w="272" w:type="dxa"/>
          <w:tcBorders>
            <w:top w:val="nil"/>
            <w:bottom w:val="nil"/>
          </w:tcBorders>
          <w:vAlign w:val="center"/>
        </w:tcPr>
        <w:p w14:paraId="2EA56682" w14:textId="5E97BC77" w:rsidR="00135354" w:rsidRPr="00C76DF3" w:rsidRDefault="00135354" w:rsidP="00EF145E">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1A5A64B7" w14:textId="09CD36A7" w:rsidR="00135354" w:rsidRPr="00C76DF3" w:rsidRDefault="00135354" w:rsidP="00EF145E">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EA5BFD">
              <w:rPr>
                <w:rStyle w:val="Hyperlink"/>
                <w:sz w:val="14"/>
                <w:szCs w:val="14"/>
              </w:rPr>
              <w:t>Servicespezifische Bedingungen</w:t>
            </w:r>
          </w:hyperlink>
        </w:p>
      </w:tc>
      <w:tc>
        <w:tcPr>
          <w:tcW w:w="273" w:type="dxa"/>
          <w:tcBorders>
            <w:top w:val="nil"/>
            <w:bottom w:val="nil"/>
          </w:tcBorders>
          <w:vAlign w:val="center"/>
        </w:tcPr>
        <w:p w14:paraId="18D69201" w14:textId="65064C63" w:rsidR="00135354" w:rsidRPr="00C76DF3" w:rsidRDefault="00135354" w:rsidP="00EF145E">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7AABFBD0" w14:textId="405280B1" w:rsidR="00135354" w:rsidRPr="00C76DF3" w:rsidRDefault="00135354" w:rsidP="00EF145E">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EF145E">
              <w:rPr>
                <w:rStyle w:val="Hyperlink"/>
                <w:sz w:val="14"/>
                <w:szCs w:val="14"/>
              </w:rPr>
              <w:t>Anhänge</w:t>
            </w:r>
          </w:hyperlink>
        </w:p>
      </w:tc>
    </w:tr>
  </w:tbl>
  <w:p w14:paraId="2F49D278" w14:textId="77777777" w:rsidR="00135354" w:rsidRDefault="00135354" w:rsidP="00370875">
    <w:pPr>
      <w:pStyle w:val="ProductList-Body"/>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255"/>
      <w:gridCol w:w="181"/>
      <w:gridCol w:w="1169"/>
      <w:gridCol w:w="182"/>
      <w:gridCol w:w="1168"/>
      <w:gridCol w:w="183"/>
      <w:gridCol w:w="1167"/>
      <w:gridCol w:w="185"/>
      <w:gridCol w:w="1165"/>
      <w:gridCol w:w="180"/>
      <w:gridCol w:w="1260"/>
      <w:gridCol w:w="270"/>
      <w:gridCol w:w="1170"/>
      <w:gridCol w:w="184"/>
      <w:gridCol w:w="1166"/>
    </w:tblGrid>
    <w:tr w:rsidR="00135354" w:rsidRPr="00C76DF3" w14:paraId="49EBE58A" w14:textId="77777777" w:rsidTr="00B5200C">
      <w:tc>
        <w:tcPr>
          <w:tcW w:w="1255" w:type="dxa"/>
          <w:shd w:val="clear" w:color="auto" w:fill="F2F2F2" w:themeFill="background1" w:themeFillShade="F2"/>
          <w:vAlign w:val="center"/>
        </w:tcPr>
        <w:p w14:paraId="102377D2" w14:textId="77777777" w:rsidR="00135354" w:rsidRPr="00C76DF3" w:rsidRDefault="00135354" w:rsidP="00370875">
          <w:pPr>
            <w:pStyle w:val="ProductList-OfferingBody"/>
            <w:ind w:left="-77" w:right="-73"/>
            <w:jc w:val="center"/>
            <w:rPr>
              <w:color w:val="808080" w:themeColor="background1" w:themeShade="80"/>
              <w:sz w:val="14"/>
              <w:szCs w:val="14"/>
            </w:rPr>
          </w:pPr>
          <w:hyperlink w:anchor="TableOfContents" w:history="1">
            <w:r>
              <w:rPr>
                <w:rStyle w:val="Hyperlink"/>
                <w:sz w:val="14"/>
                <w:szCs w:val="14"/>
              </w:rPr>
              <w:t>Inhalt</w:t>
            </w:r>
          </w:hyperlink>
        </w:p>
      </w:tc>
      <w:tc>
        <w:tcPr>
          <w:tcW w:w="181" w:type="dxa"/>
          <w:tcBorders>
            <w:top w:val="nil"/>
            <w:bottom w:val="nil"/>
          </w:tcBorders>
          <w:vAlign w:val="center"/>
        </w:tcPr>
        <w:p w14:paraId="3BB867E4" w14:textId="77777777" w:rsidR="00135354" w:rsidRPr="00C76DF3" w:rsidRDefault="00135354" w:rsidP="00370875">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169" w:type="dxa"/>
          <w:shd w:val="clear" w:color="auto" w:fill="BFBFBF" w:themeFill="background1" w:themeFillShade="BF"/>
          <w:vAlign w:val="center"/>
        </w:tcPr>
        <w:p w14:paraId="2C765CF0" w14:textId="77777777" w:rsidR="00135354" w:rsidRPr="00C76DF3" w:rsidRDefault="00135354" w:rsidP="00370875">
          <w:pPr>
            <w:pStyle w:val="ProductList-OfferingBody"/>
            <w:ind w:left="-72" w:right="-74"/>
            <w:jc w:val="center"/>
            <w:rPr>
              <w:color w:val="808080" w:themeColor="background1" w:themeShade="80"/>
              <w:sz w:val="14"/>
              <w:szCs w:val="14"/>
            </w:rPr>
          </w:pPr>
          <w:hyperlink w:anchor="Einführung" w:history="1">
            <w:r>
              <w:rPr>
                <w:rStyle w:val="Hyperlink"/>
                <w:sz w:val="14"/>
                <w:szCs w:val="14"/>
              </w:rPr>
              <w:t>Einführung</w:t>
            </w:r>
          </w:hyperlink>
        </w:p>
      </w:tc>
      <w:tc>
        <w:tcPr>
          <w:tcW w:w="182" w:type="dxa"/>
          <w:tcBorders>
            <w:top w:val="nil"/>
            <w:bottom w:val="nil"/>
          </w:tcBorders>
          <w:vAlign w:val="center"/>
        </w:tcPr>
        <w:p w14:paraId="53D82520" w14:textId="77777777" w:rsidR="00135354" w:rsidRPr="00C76DF3" w:rsidRDefault="00135354" w:rsidP="00370875">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168" w:type="dxa"/>
          <w:shd w:val="clear" w:color="auto" w:fill="F2F2F2" w:themeFill="background1" w:themeFillShade="F2"/>
          <w:vAlign w:val="center"/>
        </w:tcPr>
        <w:p w14:paraId="26151079" w14:textId="46CFAB93" w:rsidR="00135354" w:rsidRPr="00C76DF3" w:rsidRDefault="00135354" w:rsidP="00370875">
          <w:pPr>
            <w:pStyle w:val="ProductList-OfferingBody"/>
            <w:ind w:left="-72" w:right="-75"/>
            <w:jc w:val="center"/>
            <w:rPr>
              <w:color w:val="808080" w:themeColor="background1" w:themeShade="80"/>
              <w:sz w:val="14"/>
              <w:szCs w:val="14"/>
            </w:rPr>
          </w:pPr>
          <w:hyperlink w:anchor="LicenseTerms" w:history="1">
            <w:r>
              <w:rPr>
                <w:rStyle w:val="Hyperlink"/>
                <w:sz w:val="14"/>
                <w:szCs w:val="14"/>
              </w:rPr>
              <w:t>Lizenzbestimmungen</w:t>
            </w:r>
          </w:hyperlink>
        </w:p>
      </w:tc>
      <w:tc>
        <w:tcPr>
          <w:tcW w:w="183" w:type="dxa"/>
          <w:tcBorders>
            <w:top w:val="nil"/>
            <w:bottom w:val="nil"/>
          </w:tcBorders>
          <w:vAlign w:val="center"/>
        </w:tcPr>
        <w:p w14:paraId="1125AF40" w14:textId="77777777" w:rsidR="00135354" w:rsidRPr="00C76DF3" w:rsidRDefault="00135354" w:rsidP="00370875">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7" w:type="dxa"/>
          <w:shd w:val="clear" w:color="auto" w:fill="F2F2F2" w:themeFill="background1" w:themeFillShade="F2"/>
          <w:vAlign w:val="center"/>
        </w:tcPr>
        <w:p w14:paraId="6DC0F40D" w14:textId="00FC1624" w:rsidR="00135354" w:rsidRPr="00C76DF3" w:rsidRDefault="00135354" w:rsidP="00370875">
          <w:pPr>
            <w:pStyle w:val="ProductList-OfferingBody"/>
            <w:ind w:left="-72" w:right="-77"/>
            <w:jc w:val="center"/>
            <w:rPr>
              <w:color w:val="808080" w:themeColor="background1" w:themeShade="80"/>
              <w:sz w:val="14"/>
              <w:szCs w:val="14"/>
            </w:rPr>
          </w:pPr>
          <w:hyperlink w:anchor="Software" w:history="1">
            <w:r>
              <w:rPr>
                <w:rStyle w:val="Hyperlink"/>
                <w:sz w:val="14"/>
                <w:szCs w:val="14"/>
              </w:rPr>
              <w:t>Software</w:t>
            </w:r>
          </w:hyperlink>
        </w:p>
      </w:tc>
      <w:tc>
        <w:tcPr>
          <w:tcW w:w="185" w:type="dxa"/>
          <w:tcBorders>
            <w:top w:val="nil"/>
            <w:bottom w:val="nil"/>
          </w:tcBorders>
          <w:vAlign w:val="center"/>
        </w:tcPr>
        <w:p w14:paraId="1E5F93B5" w14:textId="77777777" w:rsidR="00135354" w:rsidRPr="00C76DF3" w:rsidRDefault="00135354" w:rsidP="00370875">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5" w:type="dxa"/>
          <w:shd w:val="clear" w:color="auto" w:fill="F2F2F2" w:themeFill="background1" w:themeFillShade="F2"/>
          <w:vAlign w:val="center"/>
        </w:tcPr>
        <w:p w14:paraId="53B23954" w14:textId="3B3F98B0" w:rsidR="00135354" w:rsidRPr="00C76DF3" w:rsidRDefault="00135354" w:rsidP="000506C5">
          <w:pPr>
            <w:pStyle w:val="ProductList-OfferingBody"/>
            <w:ind w:left="-72" w:right="-77"/>
            <w:jc w:val="center"/>
            <w:rPr>
              <w:color w:val="808080" w:themeColor="background1" w:themeShade="80"/>
              <w:sz w:val="14"/>
              <w:szCs w:val="14"/>
            </w:rPr>
          </w:pPr>
          <w:hyperlink w:anchor="Onlinedienste" w:history="1">
            <w:r>
              <w:rPr>
                <w:rStyle w:val="Hyperlink"/>
                <w:sz w:val="14"/>
                <w:szCs w:val="14"/>
              </w:rPr>
              <w:t>Onlinedienste</w:t>
            </w:r>
          </w:hyperlink>
        </w:p>
      </w:tc>
      <w:tc>
        <w:tcPr>
          <w:tcW w:w="180" w:type="dxa"/>
          <w:tcBorders>
            <w:top w:val="nil"/>
            <w:bottom w:val="nil"/>
          </w:tcBorders>
        </w:tcPr>
        <w:p w14:paraId="774E3CA7" w14:textId="77777777" w:rsidR="00135354" w:rsidRPr="00C76DF3" w:rsidRDefault="00135354" w:rsidP="00370875">
          <w:pPr>
            <w:pStyle w:val="ProductList-OfferingBody"/>
            <w:ind w:left="-67"/>
            <w:jc w:val="center"/>
            <w:rPr>
              <w:rFonts w:ascii="Wingdings" w:hAnsi="Wingdings" w:cs="Wingdings"/>
              <w:color w:val="808080" w:themeColor="background1" w:themeShade="80"/>
              <w:sz w:val="14"/>
              <w:szCs w:val="14"/>
            </w:rPr>
          </w:pPr>
          <w:r>
            <w:rPr>
              <w:rFonts w:ascii="Wingdings" w:hAnsi="Wingdings" w:cs="Wingdings"/>
              <w:color w:val="808080" w:themeColor="background1" w:themeShade="80"/>
              <w:sz w:val="14"/>
              <w:szCs w:val="14"/>
            </w:rPr>
            <w:t></w:t>
          </w:r>
        </w:p>
      </w:tc>
      <w:tc>
        <w:tcPr>
          <w:tcW w:w="1260" w:type="dxa"/>
          <w:shd w:val="clear" w:color="auto" w:fill="F2F2F2" w:themeFill="background1" w:themeFillShade="F2"/>
          <w:vAlign w:val="center"/>
        </w:tcPr>
        <w:p w14:paraId="0F79DD83" w14:textId="0C1297EF" w:rsidR="00135354" w:rsidRPr="00C76DF3" w:rsidRDefault="00135354" w:rsidP="000506C5">
          <w:pPr>
            <w:pStyle w:val="ProductList-OfferingBody"/>
            <w:ind w:left="-67" w:right="-72"/>
            <w:jc w:val="center"/>
            <w:rPr>
              <w:rFonts w:ascii="Wingdings" w:hAnsi="Wingdings" w:cs="Wingdings"/>
              <w:color w:val="808080" w:themeColor="background1" w:themeShade="80"/>
              <w:sz w:val="14"/>
              <w:szCs w:val="14"/>
            </w:rPr>
          </w:pPr>
          <w:hyperlink w:anchor="Onlinedienste" w:history="1">
            <w:hyperlink w:anchor="Glossar" w:history="1">
              <w:r>
                <w:rPr>
                  <w:rStyle w:val="Hyperlink"/>
                  <w:sz w:val="14"/>
                  <w:szCs w:val="14"/>
                </w:rPr>
                <w:t>Glossar</w:t>
              </w:r>
            </w:hyperlink>
          </w:hyperlink>
          <w:hyperlink w:anchor="Dienste" w:history="1">
            <w:r>
              <w:rPr>
                <w:rStyle w:val="Hyperlink"/>
                <w:sz w:val="22"/>
              </w:rPr>
              <w:t>dienste</w:t>
            </w:r>
          </w:hyperlink>
        </w:p>
      </w:tc>
      <w:tc>
        <w:tcPr>
          <w:tcW w:w="270" w:type="dxa"/>
          <w:tcBorders>
            <w:top w:val="nil"/>
            <w:bottom w:val="nil"/>
          </w:tcBorders>
          <w:vAlign w:val="center"/>
        </w:tcPr>
        <w:p w14:paraId="5133B465" w14:textId="77777777" w:rsidR="00135354" w:rsidRPr="00C76DF3" w:rsidRDefault="00135354" w:rsidP="00370875">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70" w:type="dxa"/>
          <w:shd w:val="clear" w:color="auto" w:fill="F2F2F2" w:themeFill="background1" w:themeFillShade="F2"/>
          <w:vAlign w:val="center"/>
        </w:tcPr>
        <w:p w14:paraId="479C5D4F" w14:textId="77777777" w:rsidR="00135354" w:rsidRPr="00C76DF3" w:rsidRDefault="00135354" w:rsidP="00370875">
          <w:pPr>
            <w:pStyle w:val="ProductList-OfferingBody"/>
            <w:ind w:left="-72" w:right="-76"/>
            <w:jc w:val="center"/>
            <w:rPr>
              <w:color w:val="808080" w:themeColor="background1" w:themeShade="80"/>
              <w:sz w:val="14"/>
              <w:szCs w:val="14"/>
            </w:rPr>
          </w:pPr>
          <w:hyperlink w:anchor="Anhang A" w:history="1">
            <w:r>
              <w:rPr>
                <w:rStyle w:val="Hyperlink"/>
                <w:sz w:val="14"/>
                <w:szCs w:val="14"/>
              </w:rPr>
              <w:t>Anhänge</w:t>
            </w:r>
          </w:hyperlink>
        </w:p>
      </w:tc>
      <w:tc>
        <w:tcPr>
          <w:tcW w:w="184" w:type="dxa"/>
          <w:tcBorders>
            <w:top w:val="nil"/>
            <w:bottom w:val="nil"/>
          </w:tcBorders>
          <w:vAlign w:val="center"/>
        </w:tcPr>
        <w:p w14:paraId="54B478A3" w14:textId="77777777" w:rsidR="00135354" w:rsidRPr="00C76DF3" w:rsidRDefault="00135354" w:rsidP="00370875">
          <w:pPr>
            <w:pStyle w:val="ProductList-OfferingBody"/>
            <w:ind w:left="-68"/>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6" w:type="dxa"/>
          <w:shd w:val="clear" w:color="auto" w:fill="F2F2F2" w:themeFill="background1" w:themeFillShade="F2"/>
          <w:vAlign w:val="center"/>
        </w:tcPr>
        <w:p w14:paraId="2A84F65C" w14:textId="77777777" w:rsidR="00135354" w:rsidRPr="00C76DF3" w:rsidRDefault="00135354" w:rsidP="00370875">
          <w:pPr>
            <w:pStyle w:val="ProductList-OfferingBody"/>
            <w:ind w:left="-72" w:right="-74"/>
            <w:jc w:val="center"/>
            <w:rPr>
              <w:color w:val="808080" w:themeColor="background1" w:themeShade="80"/>
              <w:sz w:val="14"/>
              <w:szCs w:val="14"/>
            </w:rPr>
          </w:pPr>
          <w:hyperlink w:anchor="Index" w:history="1">
            <w:r>
              <w:rPr>
                <w:rStyle w:val="Hyperlink"/>
                <w:sz w:val="14"/>
                <w:szCs w:val="14"/>
              </w:rPr>
              <w:t>Index</w:t>
            </w:r>
          </w:hyperlink>
        </w:p>
      </w:tc>
    </w:tr>
  </w:tbl>
  <w:p w14:paraId="79D1A8DC" w14:textId="77777777" w:rsidR="00135354" w:rsidRDefault="00135354" w:rsidP="00370875">
    <w:pPr>
      <w:pStyle w:val="ProductList-Body"/>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135354" w:rsidRPr="00C76DF3" w14:paraId="377D996F" w14:textId="77777777" w:rsidTr="00A45E01">
      <w:tc>
        <w:tcPr>
          <w:tcW w:w="1975" w:type="dxa"/>
          <w:shd w:val="clear" w:color="auto" w:fill="F2F2F2" w:themeFill="background1" w:themeFillShade="F2"/>
          <w:vAlign w:val="center"/>
        </w:tcPr>
        <w:p w14:paraId="2CAAE4F8" w14:textId="429390B1" w:rsidR="00135354" w:rsidRPr="00C76DF3" w:rsidRDefault="00135354" w:rsidP="00EF145E">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D67F75">
              <w:rPr>
                <w:rStyle w:val="Hyperlink"/>
                <w:sz w:val="14"/>
                <w:szCs w:val="14"/>
              </w:rPr>
              <w:t>Inhalt</w:t>
            </w:r>
          </w:hyperlink>
        </w:p>
      </w:tc>
      <w:tc>
        <w:tcPr>
          <w:tcW w:w="270" w:type="dxa"/>
          <w:tcBorders>
            <w:top w:val="nil"/>
            <w:bottom w:val="nil"/>
          </w:tcBorders>
          <w:vAlign w:val="center"/>
        </w:tcPr>
        <w:p w14:paraId="331EB8EA" w14:textId="121697F3" w:rsidR="00135354" w:rsidRPr="00C76DF3" w:rsidRDefault="00135354" w:rsidP="00EF145E">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BFBFBF" w:themeFill="background1" w:themeFillShade="BF"/>
          <w:vAlign w:val="center"/>
        </w:tcPr>
        <w:p w14:paraId="3CA8B30A" w14:textId="4EE60889" w:rsidR="00135354" w:rsidRPr="00C76DF3" w:rsidRDefault="00135354" w:rsidP="00EF145E">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EF145E">
              <w:rPr>
                <w:rStyle w:val="Hyperlink"/>
                <w:sz w:val="14"/>
                <w:szCs w:val="14"/>
              </w:rPr>
              <w:t>Einführung</w:t>
            </w:r>
          </w:hyperlink>
        </w:p>
      </w:tc>
      <w:tc>
        <w:tcPr>
          <w:tcW w:w="271" w:type="dxa"/>
          <w:tcBorders>
            <w:top w:val="nil"/>
            <w:bottom w:val="nil"/>
          </w:tcBorders>
          <w:vAlign w:val="center"/>
        </w:tcPr>
        <w:p w14:paraId="2EE94BCB" w14:textId="2C6D71F8" w:rsidR="00135354" w:rsidRPr="00C76DF3" w:rsidRDefault="00135354" w:rsidP="00EF145E">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470D7753" w14:textId="65D5163F" w:rsidR="00135354" w:rsidRPr="00C76DF3" w:rsidRDefault="00135354" w:rsidP="00EF145E">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EF145E">
              <w:rPr>
                <w:rStyle w:val="Hyperlink"/>
                <w:sz w:val="14"/>
                <w:szCs w:val="14"/>
              </w:rPr>
              <w:t>Allgemeine Bestimmungen</w:t>
            </w:r>
          </w:hyperlink>
        </w:p>
      </w:tc>
      <w:tc>
        <w:tcPr>
          <w:tcW w:w="272" w:type="dxa"/>
          <w:tcBorders>
            <w:top w:val="nil"/>
            <w:bottom w:val="nil"/>
          </w:tcBorders>
          <w:vAlign w:val="center"/>
        </w:tcPr>
        <w:p w14:paraId="6AA7770D" w14:textId="71651242" w:rsidR="00135354" w:rsidRPr="00C76DF3" w:rsidRDefault="00135354" w:rsidP="00EF145E">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358F2E00" w14:textId="0E3816ED" w:rsidR="00135354" w:rsidRPr="00C76DF3" w:rsidRDefault="00135354" w:rsidP="00EF145E">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EA5BFD">
              <w:rPr>
                <w:rStyle w:val="Hyperlink"/>
                <w:sz w:val="14"/>
                <w:szCs w:val="14"/>
              </w:rPr>
              <w:t>Servicespezifische Bedingungen</w:t>
            </w:r>
          </w:hyperlink>
        </w:p>
      </w:tc>
      <w:tc>
        <w:tcPr>
          <w:tcW w:w="273" w:type="dxa"/>
          <w:tcBorders>
            <w:top w:val="nil"/>
            <w:bottom w:val="nil"/>
          </w:tcBorders>
          <w:vAlign w:val="center"/>
        </w:tcPr>
        <w:p w14:paraId="50E48EA4" w14:textId="09D3680B" w:rsidR="00135354" w:rsidRPr="00C76DF3" w:rsidRDefault="00135354" w:rsidP="00EF145E">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6B40FED8" w14:textId="7258BBC0" w:rsidR="00135354" w:rsidRPr="00C76DF3" w:rsidRDefault="00135354" w:rsidP="00EF145E">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EF145E">
              <w:rPr>
                <w:rStyle w:val="Hyperlink"/>
                <w:sz w:val="14"/>
                <w:szCs w:val="14"/>
              </w:rPr>
              <w:t>Anhänge</w:t>
            </w:r>
          </w:hyperlink>
        </w:p>
      </w:tc>
    </w:tr>
  </w:tbl>
  <w:p w14:paraId="651096C7" w14:textId="77777777" w:rsidR="00135354" w:rsidRPr="006F1E97" w:rsidRDefault="00135354" w:rsidP="00A45E01">
    <w:pPr>
      <w:pStyle w:val="Footer"/>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135354" w:rsidRPr="00C76DF3" w14:paraId="42D8A5AC" w14:textId="77777777" w:rsidTr="0068789E">
      <w:tc>
        <w:tcPr>
          <w:tcW w:w="1975" w:type="dxa"/>
          <w:shd w:val="clear" w:color="auto" w:fill="F2F2F2" w:themeFill="background1" w:themeFillShade="F2"/>
          <w:vAlign w:val="center"/>
        </w:tcPr>
        <w:p w14:paraId="15FCC0A4" w14:textId="7A907459" w:rsidR="00135354" w:rsidRPr="00C76DF3" w:rsidRDefault="00135354" w:rsidP="00EF145E">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D67F75">
              <w:rPr>
                <w:rStyle w:val="Hyperlink"/>
                <w:sz w:val="14"/>
                <w:szCs w:val="14"/>
              </w:rPr>
              <w:t>Inhalt</w:t>
            </w:r>
          </w:hyperlink>
        </w:p>
      </w:tc>
      <w:tc>
        <w:tcPr>
          <w:tcW w:w="270" w:type="dxa"/>
          <w:tcBorders>
            <w:top w:val="nil"/>
            <w:bottom w:val="nil"/>
          </w:tcBorders>
          <w:vAlign w:val="center"/>
        </w:tcPr>
        <w:p w14:paraId="1C770C74" w14:textId="3CBFAF56" w:rsidR="00135354" w:rsidRPr="00C76DF3" w:rsidRDefault="00135354" w:rsidP="00EF145E">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1E256C73" w14:textId="0F2AB049" w:rsidR="00135354" w:rsidRPr="00C76DF3" w:rsidRDefault="00135354" w:rsidP="00EF145E">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EF145E">
              <w:rPr>
                <w:rStyle w:val="Hyperlink"/>
                <w:sz w:val="14"/>
                <w:szCs w:val="14"/>
              </w:rPr>
              <w:t>Einführung</w:t>
            </w:r>
          </w:hyperlink>
        </w:p>
      </w:tc>
      <w:tc>
        <w:tcPr>
          <w:tcW w:w="271" w:type="dxa"/>
          <w:tcBorders>
            <w:top w:val="nil"/>
            <w:bottom w:val="nil"/>
          </w:tcBorders>
          <w:vAlign w:val="center"/>
        </w:tcPr>
        <w:p w14:paraId="1CBE34FF" w14:textId="30ABF81B" w:rsidR="00135354" w:rsidRPr="00C76DF3" w:rsidRDefault="00135354" w:rsidP="00EF145E">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4803DD79" w14:textId="2359C989" w:rsidR="00135354" w:rsidRPr="00C76DF3" w:rsidRDefault="00135354" w:rsidP="00EF145E">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EF145E">
              <w:rPr>
                <w:rStyle w:val="Hyperlink"/>
                <w:sz w:val="14"/>
                <w:szCs w:val="14"/>
              </w:rPr>
              <w:t>Allgemeine Bestimmungen</w:t>
            </w:r>
          </w:hyperlink>
        </w:p>
      </w:tc>
      <w:tc>
        <w:tcPr>
          <w:tcW w:w="272" w:type="dxa"/>
          <w:tcBorders>
            <w:top w:val="nil"/>
            <w:bottom w:val="nil"/>
          </w:tcBorders>
          <w:vAlign w:val="center"/>
        </w:tcPr>
        <w:p w14:paraId="575445B2" w14:textId="6A9A16D8" w:rsidR="00135354" w:rsidRPr="00C76DF3" w:rsidRDefault="00135354" w:rsidP="00EF145E">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5702963A" w14:textId="21DA3DFA" w:rsidR="00135354" w:rsidRPr="00C76DF3" w:rsidRDefault="00135354" w:rsidP="00EF145E">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EA5BFD">
              <w:rPr>
                <w:rStyle w:val="Hyperlink"/>
                <w:sz w:val="14"/>
                <w:szCs w:val="14"/>
              </w:rPr>
              <w:t>Servicespezifische Bedingungen</w:t>
            </w:r>
          </w:hyperlink>
        </w:p>
      </w:tc>
      <w:tc>
        <w:tcPr>
          <w:tcW w:w="273" w:type="dxa"/>
          <w:tcBorders>
            <w:top w:val="nil"/>
            <w:bottom w:val="nil"/>
          </w:tcBorders>
          <w:vAlign w:val="center"/>
        </w:tcPr>
        <w:p w14:paraId="194A23BD" w14:textId="118D09B5" w:rsidR="00135354" w:rsidRPr="00C76DF3" w:rsidRDefault="00135354" w:rsidP="00EF145E">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BFBFBF" w:themeFill="background1" w:themeFillShade="BF"/>
          <w:vAlign w:val="center"/>
        </w:tcPr>
        <w:p w14:paraId="4C49B604" w14:textId="04343396" w:rsidR="00135354" w:rsidRPr="00C76DF3" w:rsidRDefault="00135354" w:rsidP="00EF145E">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EF145E">
              <w:rPr>
                <w:rStyle w:val="Hyperlink"/>
                <w:sz w:val="14"/>
                <w:szCs w:val="14"/>
              </w:rPr>
              <w:t>Anhänge</w:t>
            </w:r>
          </w:hyperlink>
        </w:p>
      </w:tc>
    </w:tr>
  </w:tbl>
  <w:p w14:paraId="3BD02F06" w14:textId="77777777" w:rsidR="00135354" w:rsidRPr="006F1E97" w:rsidRDefault="00135354" w:rsidP="0068789E">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25C4C" w14:textId="77777777" w:rsidR="00B63FC9" w:rsidRDefault="00B63FC9" w:rsidP="009A573F">
      <w:pPr>
        <w:spacing w:after="0" w:line="240" w:lineRule="auto"/>
      </w:pPr>
      <w:r>
        <w:separator/>
      </w:r>
    </w:p>
    <w:p w14:paraId="537B8FAC" w14:textId="77777777" w:rsidR="00B63FC9" w:rsidRDefault="00B63FC9"/>
    <w:p w14:paraId="46439EF0" w14:textId="77777777" w:rsidR="00B63FC9" w:rsidRDefault="00B63FC9"/>
    <w:p w14:paraId="2B3534C8" w14:textId="77777777" w:rsidR="00B63FC9" w:rsidRDefault="00B63FC9"/>
    <w:p w14:paraId="33369D18" w14:textId="77777777" w:rsidR="00B63FC9" w:rsidRDefault="00B63FC9"/>
  </w:footnote>
  <w:footnote w:type="continuationSeparator" w:id="0">
    <w:p w14:paraId="0D0860A8" w14:textId="77777777" w:rsidR="00B63FC9" w:rsidRDefault="00B63FC9" w:rsidP="009A573F">
      <w:pPr>
        <w:spacing w:after="0" w:line="240" w:lineRule="auto"/>
      </w:pPr>
      <w:r>
        <w:continuationSeparator/>
      </w:r>
    </w:p>
    <w:p w14:paraId="1570CF59" w14:textId="77777777" w:rsidR="00B63FC9" w:rsidRDefault="00B63FC9"/>
    <w:p w14:paraId="23CF334B" w14:textId="77777777" w:rsidR="00B63FC9" w:rsidRDefault="00B63FC9"/>
    <w:p w14:paraId="5EEF934B" w14:textId="77777777" w:rsidR="00B63FC9" w:rsidRDefault="00B63FC9"/>
    <w:p w14:paraId="27F2964A" w14:textId="77777777" w:rsidR="00B63FC9" w:rsidRDefault="00B63FC9"/>
  </w:footnote>
  <w:footnote w:type="continuationNotice" w:id="1">
    <w:p w14:paraId="5D9164D4" w14:textId="77777777" w:rsidR="00B63FC9" w:rsidRDefault="00B63FC9">
      <w:pPr>
        <w:spacing w:after="0" w:line="240" w:lineRule="auto"/>
      </w:pPr>
    </w:p>
    <w:p w14:paraId="2DD61386" w14:textId="77777777" w:rsidR="00B63FC9" w:rsidRDefault="00B63FC9"/>
    <w:p w14:paraId="08B7D4D9" w14:textId="77777777" w:rsidR="00B63FC9" w:rsidRDefault="00B63FC9"/>
    <w:p w14:paraId="0F6D4228" w14:textId="77777777" w:rsidR="00B63FC9" w:rsidRDefault="00B63FC9"/>
    <w:p w14:paraId="6D8FAA48" w14:textId="77777777" w:rsidR="00B63FC9" w:rsidRDefault="00B63F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C4863" w14:textId="2216C245" w:rsidR="00135354" w:rsidRPr="00790594" w:rsidRDefault="00000000" w:rsidP="00EA5FB1">
    <w:pPr>
      <w:pStyle w:val="ProductList-Body"/>
      <w:tabs>
        <w:tab w:val="clear" w:pos="360"/>
        <w:tab w:val="clear" w:pos="720"/>
        <w:tab w:val="clear" w:pos="1080"/>
        <w:tab w:val="center" w:pos="5040"/>
        <w:tab w:val="right" w:pos="10800"/>
      </w:tabs>
      <w:rPr>
        <w:sz w:val="22"/>
      </w:rPr>
    </w:pPr>
    <w:sdt>
      <w:sdtPr>
        <w:rPr>
          <w:sz w:val="16"/>
          <w:szCs w:val="16"/>
        </w:rPr>
        <w:id w:val="-829987046"/>
        <w:docPartObj>
          <w:docPartGallery w:val="Page Numbers (Top of Page)"/>
          <w:docPartUnique/>
        </w:docPartObj>
      </w:sdtPr>
      <w:sdtContent>
        <w:r w:rsidR="00135354">
          <w:rPr>
            <w:sz w:val="16"/>
            <w:szCs w:val="16"/>
          </w:rPr>
          <w:t xml:space="preserve">Microsoft Volumenlizenzierung – Vereinbarung zum Service-Level für Microsoft Onlinedienste (Deutsch, </w:t>
        </w:r>
        <w:r w:rsidR="00DB3799">
          <w:rPr>
            <w:rFonts w:ascii="Calibri" w:hAnsi="Calibri" w:cs="Calibri"/>
            <w:sz w:val="16"/>
            <w:szCs w:val="16"/>
          </w:rPr>
          <w:t xml:space="preserve">10. August </w:t>
        </w:r>
        <w:r w:rsidR="0021621C">
          <w:rPr>
            <w:rFonts w:ascii="Calibri" w:hAnsi="Calibri" w:cs="Calibri"/>
            <w:sz w:val="16"/>
            <w:szCs w:val="16"/>
          </w:rPr>
          <w:t>2026</w:t>
        </w:r>
        <w:r w:rsidR="00135354">
          <w:rPr>
            <w:sz w:val="16"/>
            <w:szCs w:val="16"/>
          </w:rPr>
          <w:t>)</w:t>
        </w:r>
        <w:r w:rsidR="00135354">
          <w:rPr>
            <w:sz w:val="16"/>
            <w:szCs w:val="16"/>
          </w:rPr>
          <w:tab/>
        </w:r>
        <w:r w:rsidR="00135354">
          <w:rPr>
            <w:sz w:val="16"/>
            <w:szCs w:val="16"/>
          </w:rPr>
          <w:fldChar w:fldCharType="begin"/>
        </w:r>
        <w:r w:rsidR="00135354" w:rsidRPr="00A247F3">
          <w:rPr>
            <w:sz w:val="16"/>
            <w:szCs w:val="16"/>
          </w:rPr>
          <w:instrText xml:space="preserve"> PAGE </w:instrText>
        </w:r>
        <w:r w:rsidR="00135354">
          <w:rPr>
            <w:sz w:val="16"/>
            <w:szCs w:val="16"/>
          </w:rPr>
          <w:fldChar w:fldCharType="separate"/>
        </w:r>
        <w:r w:rsidR="007039F2">
          <w:rPr>
            <w:noProof/>
            <w:sz w:val="16"/>
            <w:szCs w:val="16"/>
          </w:rPr>
          <w:t>106</w:t>
        </w:r>
        <w:r w:rsidR="00135354">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16892" w14:textId="4975E667" w:rsidR="00135354" w:rsidRPr="00790594" w:rsidRDefault="00000000" w:rsidP="00DC2685">
    <w:pPr>
      <w:pStyle w:val="ProductList-Body"/>
      <w:tabs>
        <w:tab w:val="clear" w:pos="360"/>
        <w:tab w:val="clear" w:pos="720"/>
        <w:tab w:val="clear" w:pos="1080"/>
        <w:tab w:val="center" w:pos="5040"/>
        <w:tab w:val="right" w:pos="10800"/>
      </w:tabs>
      <w:rPr>
        <w:sz w:val="22"/>
      </w:rPr>
    </w:pPr>
    <w:sdt>
      <w:sdtPr>
        <w:rPr>
          <w:sz w:val="16"/>
          <w:szCs w:val="16"/>
        </w:rPr>
        <w:id w:val="127364854"/>
        <w:docPartObj>
          <w:docPartGallery w:val="Page Numbers (Top of Page)"/>
          <w:docPartUnique/>
        </w:docPartObj>
      </w:sdtPr>
      <w:sdtContent>
        <w:r w:rsidR="00135354">
          <w:rPr>
            <w:sz w:val="16"/>
            <w:szCs w:val="16"/>
          </w:rPr>
          <w:t xml:space="preserve">Microsoft Volumenlizenzierung – Vereinbarung zum Service-Level für Microsoft Onlinedienste (Deutsch, </w:t>
        </w:r>
        <w:r w:rsidR="00DB3799">
          <w:rPr>
            <w:rFonts w:ascii="Calibri" w:hAnsi="Calibri" w:cs="Calibri"/>
            <w:sz w:val="16"/>
            <w:szCs w:val="16"/>
          </w:rPr>
          <w:t xml:space="preserve">10. August </w:t>
        </w:r>
        <w:r w:rsidR="0021621C">
          <w:rPr>
            <w:rFonts w:ascii="Calibri" w:hAnsi="Calibri" w:cs="Calibri"/>
            <w:sz w:val="16"/>
            <w:szCs w:val="16"/>
          </w:rPr>
          <w:t>2026</w:t>
        </w:r>
        <w:r w:rsidR="00135354">
          <w:rPr>
            <w:sz w:val="16"/>
            <w:szCs w:val="16"/>
          </w:rPr>
          <w:t>)</w:t>
        </w:r>
        <w:r w:rsidR="00135354">
          <w:rPr>
            <w:sz w:val="16"/>
            <w:szCs w:val="16"/>
          </w:rPr>
          <w:tab/>
        </w:r>
        <w:r w:rsidR="00135354">
          <w:rPr>
            <w:sz w:val="16"/>
            <w:szCs w:val="16"/>
          </w:rPr>
          <w:fldChar w:fldCharType="begin"/>
        </w:r>
        <w:r w:rsidR="00135354" w:rsidRPr="00A247F3">
          <w:rPr>
            <w:sz w:val="16"/>
            <w:szCs w:val="16"/>
          </w:rPr>
          <w:instrText xml:space="preserve"> PAGE </w:instrText>
        </w:r>
        <w:r w:rsidR="00135354">
          <w:rPr>
            <w:sz w:val="16"/>
            <w:szCs w:val="16"/>
          </w:rPr>
          <w:fldChar w:fldCharType="separate"/>
        </w:r>
        <w:r w:rsidR="007039F2">
          <w:rPr>
            <w:noProof/>
            <w:sz w:val="16"/>
            <w:szCs w:val="16"/>
          </w:rPr>
          <w:t>107</w:t>
        </w:r>
        <w:r w:rsidR="00135354">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4019"/>
    <w:multiLevelType w:val="hybridMultilevel"/>
    <w:tmpl w:val="6FA482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94BE3"/>
    <w:multiLevelType w:val="hybridMultilevel"/>
    <w:tmpl w:val="F8522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F4691"/>
    <w:multiLevelType w:val="hybridMultilevel"/>
    <w:tmpl w:val="C8003EB2"/>
    <w:lvl w:ilvl="0" w:tplc="16A2CA22">
      <w:start w:val="1"/>
      <w:numFmt w:val="decimal"/>
      <w:lvlText w:val="%1."/>
      <w:lvlJc w:val="left"/>
      <w:pPr>
        <w:ind w:left="720" w:hanging="360"/>
      </w:pPr>
      <w:rPr>
        <w:rFonts w:hint="default"/>
      </w:rPr>
    </w:lvl>
    <w:lvl w:ilvl="1" w:tplc="1F80E338" w:tentative="1">
      <w:start w:val="1"/>
      <w:numFmt w:val="lowerLetter"/>
      <w:lvlText w:val="%2."/>
      <w:lvlJc w:val="left"/>
      <w:pPr>
        <w:ind w:left="1440" w:hanging="360"/>
      </w:pPr>
    </w:lvl>
    <w:lvl w:ilvl="2" w:tplc="95B83236" w:tentative="1">
      <w:start w:val="1"/>
      <w:numFmt w:val="lowerRoman"/>
      <w:lvlText w:val="%3."/>
      <w:lvlJc w:val="right"/>
      <w:pPr>
        <w:ind w:left="2160" w:hanging="180"/>
      </w:pPr>
    </w:lvl>
    <w:lvl w:ilvl="3" w:tplc="AA68DBD0" w:tentative="1">
      <w:start w:val="1"/>
      <w:numFmt w:val="decimal"/>
      <w:lvlText w:val="%4."/>
      <w:lvlJc w:val="left"/>
      <w:pPr>
        <w:ind w:left="2880" w:hanging="360"/>
      </w:pPr>
    </w:lvl>
    <w:lvl w:ilvl="4" w:tplc="4ECE8CD4" w:tentative="1">
      <w:start w:val="1"/>
      <w:numFmt w:val="lowerLetter"/>
      <w:lvlText w:val="%5."/>
      <w:lvlJc w:val="left"/>
      <w:pPr>
        <w:ind w:left="3600" w:hanging="360"/>
      </w:pPr>
    </w:lvl>
    <w:lvl w:ilvl="5" w:tplc="2270A964" w:tentative="1">
      <w:start w:val="1"/>
      <w:numFmt w:val="lowerRoman"/>
      <w:lvlText w:val="%6."/>
      <w:lvlJc w:val="right"/>
      <w:pPr>
        <w:ind w:left="4320" w:hanging="180"/>
      </w:pPr>
    </w:lvl>
    <w:lvl w:ilvl="6" w:tplc="1276BBCC" w:tentative="1">
      <w:start w:val="1"/>
      <w:numFmt w:val="decimal"/>
      <w:lvlText w:val="%7."/>
      <w:lvlJc w:val="left"/>
      <w:pPr>
        <w:ind w:left="5040" w:hanging="360"/>
      </w:pPr>
    </w:lvl>
    <w:lvl w:ilvl="7" w:tplc="F3721E20" w:tentative="1">
      <w:start w:val="1"/>
      <w:numFmt w:val="lowerLetter"/>
      <w:lvlText w:val="%8."/>
      <w:lvlJc w:val="left"/>
      <w:pPr>
        <w:ind w:left="5760" w:hanging="360"/>
      </w:pPr>
    </w:lvl>
    <w:lvl w:ilvl="8" w:tplc="1B62E7B2" w:tentative="1">
      <w:start w:val="1"/>
      <w:numFmt w:val="lowerRoman"/>
      <w:lvlText w:val="%9."/>
      <w:lvlJc w:val="right"/>
      <w:pPr>
        <w:ind w:left="6480" w:hanging="180"/>
      </w:pPr>
    </w:lvl>
  </w:abstractNum>
  <w:abstractNum w:abstractNumId="3" w15:restartNumberingAfterBreak="0">
    <w:nsid w:val="0DB20F5A"/>
    <w:multiLevelType w:val="hybridMultilevel"/>
    <w:tmpl w:val="4FDAF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E77C94"/>
    <w:multiLevelType w:val="multilevel"/>
    <w:tmpl w:val="2D66F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AF3A26"/>
    <w:multiLevelType w:val="hybridMultilevel"/>
    <w:tmpl w:val="F25665EE"/>
    <w:lvl w:ilvl="0" w:tplc="8368C182">
      <w:start w:val="1"/>
      <w:numFmt w:val="bullet"/>
      <w:lvlText w:val=""/>
      <w:lvlJc w:val="left"/>
      <w:pPr>
        <w:ind w:left="720" w:hanging="360"/>
      </w:pPr>
      <w:rPr>
        <w:rFonts w:ascii="Symbol" w:hAnsi="Symbol" w:hint="default"/>
      </w:rPr>
    </w:lvl>
    <w:lvl w:ilvl="1" w:tplc="25AA522E" w:tentative="1">
      <w:start w:val="1"/>
      <w:numFmt w:val="bullet"/>
      <w:lvlText w:val="o"/>
      <w:lvlJc w:val="left"/>
      <w:pPr>
        <w:ind w:left="1440" w:hanging="360"/>
      </w:pPr>
      <w:rPr>
        <w:rFonts w:ascii="Courier New" w:hAnsi="Courier New" w:cs="Courier New" w:hint="default"/>
      </w:rPr>
    </w:lvl>
    <w:lvl w:ilvl="2" w:tplc="09625754" w:tentative="1">
      <w:start w:val="1"/>
      <w:numFmt w:val="bullet"/>
      <w:lvlText w:val=""/>
      <w:lvlJc w:val="left"/>
      <w:pPr>
        <w:ind w:left="2160" w:hanging="360"/>
      </w:pPr>
      <w:rPr>
        <w:rFonts w:ascii="Wingdings" w:hAnsi="Wingdings" w:hint="default"/>
      </w:rPr>
    </w:lvl>
    <w:lvl w:ilvl="3" w:tplc="A8D0B738" w:tentative="1">
      <w:start w:val="1"/>
      <w:numFmt w:val="bullet"/>
      <w:lvlText w:val=""/>
      <w:lvlJc w:val="left"/>
      <w:pPr>
        <w:ind w:left="2880" w:hanging="360"/>
      </w:pPr>
      <w:rPr>
        <w:rFonts w:ascii="Symbol" w:hAnsi="Symbol" w:hint="default"/>
      </w:rPr>
    </w:lvl>
    <w:lvl w:ilvl="4" w:tplc="53C2A98A" w:tentative="1">
      <w:start w:val="1"/>
      <w:numFmt w:val="bullet"/>
      <w:lvlText w:val="o"/>
      <w:lvlJc w:val="left"/>
      <w:pPr>
        <w:ind w:left="3600" w:hanging="360"/>
      </w:pPr>
      <w:rPr>
        <w:rFonts w:ascii="Courier New" w:hAnsi="Courier New" w:cs="Courier New" w:hint="default"/>
      </w:rPr>
    </w:lvl>
    <w:lvl w:ilvl="5" w:tplc="8DEAD8FC" w:tentative="1">
      <w:start w:val="1"/>
      <w:numFmt w:val="bullet"/>
      <w:lvlText w:val=""/>
      <w:lvlJc w:val="left"/>
      <w:pPr>
        <w:ind w:left="4320" w:hanging="360"/>
      </w:pPr>
      <w:rPr>
        <w:rFonts w:ascii="Wingdings" w:hAnsi="Wingdings" w:hint="default"/>
      </w:rPr>
    </w:lvl>
    <w:lvl w:ilvl="6" w:tplc="D2966E64" w:tentative="1">
      <w:start w:val="1"/>
      <w:numFmt w:val="bullet"/>
      <w:lvlText w:val=""/>
      <w:lvlJc w:val="left"/>
      <w:pPr>
        <w:ind w:left="5040" w:hanging="360"/>
      </w:pPr>
      <w:rPr>
        <w:rFonts w:ascii="Symbol" w:hAnsi="Symbol" w:hint="default"/>
      </w:rPr>
    </w:lvl>
    <w:lvl w:ilvl="7" w:tplc="4D88BCAA" w:tentative="1">
      <w:start w:val="1"/>
      <w:numFmt w:val="bullet"/>
      <w:lvlText w:val="o"/>
      <w:lvlJc w:val="left"/>
      <w:pPr>
        <w:ind w:left="5760" w:hanging="360"/>
      </w:pPr>
      <w:rPr>
        <w:rFonts w:ascii="Courier New" w:hAnsi="Courier New" w:cs="Courier New" w:hint="default"/>
      </w:rPr>
    </w:lvl>
    <w:lvl w:ilvl="8" w:tplc="480436C6" w:tentative="1">
      <w:start w:val="1"/>
      <w:numFmt w:val="bullet"/>
      <w:lvlText w:val=""/>
      <w:lvlJc w:val="left"/>
      <w:pPr>
        <w:ind w:left="6480" w:hanging="360"/>
      </w:pPr>
      <w:rPr>
        <w:rFonts w:ascii="Wingdings" w:hAnsi="Wingdings" w:hint="default"/>
      </w:rPr>
    </w:lvl>
  </w:abstractNum>
  <w:abstractNum w:abstractNumId="6" w15:restartNumberingAfterBreak="0">
    <w:nsid w:val="1BD32816"/>
    <w:multiLevelType w:val="hybridMultilevel"/>
    <w:tmpl w:val="3A24F1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1D4E6211"/>
    <w:multiLevelType w:val="hybridMultilevel"/>
    <w:tmpl w:val="07606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853458"/>
    <w:multiLevelType w:val="hybridMultilevel"/>
    <w:tmpl w:val="6630C0F6"/>
    <w:lvl w:ilvl="0" w:tplc="146E275E">
      <w:start w:val="1"/>
      <w:numFmt w:val="bullet"/>
      <w:lvlText w:val=""/>
      <w:lvlJc w:val="left"/>
      <w:pPr>
        <w:ind w:left="360" w:hanging="360"/>
      </w:pPr>
      <w:rPr>
        <w:rFonts w:ascii="Symbol" w:hAnsi="Symbol" w:hint="default"/>
        <w:sz w:val="18"/>
        <w:szCs w:val="18"/>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F9559B9"/>
    <w:multiLevelType w:val="hybridMultilevel"/>
    <w:tmpl w:val="8E0C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D73E75"/>
    <w:multiLevelType w:val="hybridMultilevel"/>
    <w:tmpl w:val="B9E2A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431E8C"/>
    <w:multiLevelType w:val="hybridMultilevel"/>
    <w:tmpl w:val="72C213EA"/>
    <w:lvl w:ilvl="0" w:tplc="553A16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6542EA"/>
    <w:multiLevelType w:val="multilevel"/>
    <w:tmpl w:val="AB0C5F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AA2EC9"/>
    <w:multiLevelType w:val="hybridMultilevel"/>
    <w:tmpl w:val="10E45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A85E78"/>
    <w:multiLevelType w:val="hybridMultilevel"/>
    <w:tmpl w:val="B9E6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006C0B"/>
    <w:multiLevelType w:val="multilevel"/>
    <w:tmpl w:val="804A16A0"/>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3C7920"/>
    <w:multiLevelType w:val="multilevel"/>
    <w:tmpl w:val="35B6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163E62"/>
    <w:multiLevelType w:val="hybridMultilevel"/>
    <w:tmpl w:val="D6C4C65A"/>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760166"/>
    <w:multiLevelType w:val="hybridMultilevel"/>
    <w:tmpl w:val="A2701910"/>
    <w:lvl w:ilvl="0" w:tplc="DA6621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1C3470"/>
    <w:multiLevelType w:val="hybridMultilevel"/>
    <w:tmpl w:val="73F4CD5A"/>
    <w:lvl w:ilvl="0" w:tplc="0D68C9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1A3F42"/>
    <w:multiLevelType w:val="hybridMultilevel"/>
    <w:tmpl w:val="31A61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3268EC"/>
    <w:multiLevelType w:val="hybridMultilevel"/>
    <w:tmpl w:val="0C045430"/>
    <w:lvl w:ilvl="0" w:tplc="8168D842">
      <w:start w:val="1"/>
      <w:numFmt w:val="decimal"/>
      <w:lvlText w:val="%1."/>
      <w:lvlJc w:val="left"/>
      <w:pPr>
        <w:ind w:left="765" w:hanging="405"/>
      </w:pPr>
      <w:rPr>
        <w:rFonts w:hint="default"/>
      </w:rPr>
    </w:lvl>
    <w:lvl w:ilvl="1" w:tplc="3028DCA4">
      <w:start w:val="1"/>
      <w:numFmt w:val="lowerLetter"/>
      <w:lvlText w:val="%2."/>
      <w:lvlJc w:val="left"/>
      <w:pPr>
        <w:ind w:left="1485" w:hanging="40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69202B"/>
    <w:multiLevelType w:val="multilevel"/>
    <w:tmpl w:val="B066BD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C7E3985"/>
    <w:multiLevelType w:val="hybridMultilevel"/>
    <w:tmpl w:val="F33A9C76"/>
    <w:lvl w:ilvl="0" w:tplc="E1CE4188">
      <w:start w:val="1"/>
      <w:numFmt w:val="decimal"/>
      <w:lvlText w:val="%1."/>
      <w:lvlJc w:val="left"/>
      <w:pPr>
        <w:ind w:left="720" w:hanging="360"/>
      </w:pPr>
      <w:rPr>
        <w:rFonts w:hint="default"/>
      </w:rPr>
    </w:lvl>
    <w:lvl w:ilvl="1" w:tplc="6292D46A" w:tentative="1">
      <w:start w:val="1"/>
      <w:numFmt w:val="lowerLetter"/>
      <w:lvlText w:val="%2."/>
      <w:lvlJc w:val="left"/>
      <w:pPr>
        <w:ind w:left="1440" w:hanging="360"/>
      </w:pPr>
    </w:lvl>
    <w:lvl w:ilvl="2" w:tplc="5DE448A6" w:tentative="1">
      <w:start w:val="1"/>
      <w:numFmt w:val="lowerRoman"/>
      <w:lvlText w:val="%3."/>
      <w:lvlJc w:val="right"/>
      <w:pPr>
        <w:ind w:left="2160" w:hanging="180"/>
      </w:pPr>
    </w:lvl>
    <w:lvl w:ilvl="3" w:tplc="785243BA" w:tentative="1">
      <w:start w:val="1"/>
      <w:numFmt w:val="decimal"/>
      <w:lvlText w:val="%4."/>
      <w:lvlJc w:val="left"/>
      <w:pPr>
        <w:ind w:left="2880" w:hanging="360"/>
      </w:pPr>
    </w:lvl>
    <w:lvl w:ilvl="4" w:tplc="ABD6C748" w:tentative="1">
      <w:start w:val="1"/>
      <w:numFmt w:val="lowerLetter"/>
      <w:lvlText w:val="%5."/>
      <w:lvlJc w:val="left"/>
      <w:pPr>
        <w:ind w:left="3600" w:hanging="360"/>
      </w:pPr>
    </w:lvl>
    <w:lvl w:ilvl="5" w:tplc="BFF4AA5A" w:tentative="1">
      <w:start w:val="1"/>
      <w:numFmt w:val="lowerRoman"/>
      <w:lvlText w:val="%6."/>
      <w:lvlJc w:val="right"/>
      <w:pPr>
        <w:ind w:left="4320" w:hanging="180"/>
      </w:pPr>
    </w:lvl>
    <w:lvl w:ilvl="6" w:tplc="C3A0843E" w:tentative="1">
      <w:start w:val="1"/>
      <w:numFmt w:val="decimal"/>
      <w:lvlText w:val="%7."/>
      <w:lvlJc w:val="left"/>
      <w:pPr>
        <w:ind w:left="5040" w:hanging="360"/>
      </w:pPr>
    </w:lvl>
    <w:lvl w:ilvl="7" w:tplc="AEC2BC2E" w:tentative="1">
      <w:start w:val="1"/>
      <w:numFmt w:val="lowerLetter"/>
      <w:lvlText w:val="%8."/>
      <w:lvlJc w:val="left"/>
      <w:pPr>
        <w:ind w:left="5760" w:hanging="360"/>
      </w:pPr>
    </w:lvl>
    <w:lvl w:ilvl="8" w:tplc="BAE2E936" w:tentative="1">
      <w:start w:val="1"/>
      <w:numFmt w:val="lowerRoman"/>
      <w:lvlText w:val="%9."/>
      <w:lvlJc w:val="right"/>
      <w:pPr>
        <w:ind w:left="6480" w:hanging="180"/>
      </w:pPr>
    </w:lvl>
  </w:abstractNum>
  <w:abstractNum w:abstractNumId="24" w15:restartNumberingAfterBreak="0">
    <w:nsid w:val="4D241F5C"/>
    <w:multiLevelType w:val="hybridMultilevel"/>
    <w:tmpl w:val="A166612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5" w15:restartNumberingAfterBreak="0">
    <w:nsid w:val="4FBB08C7"/>
    <w:multiLevelType w:val="multilevel"/>
    <w:tmpl w:val="E5B84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202699E"/>
    <w:multiLevelType w:val="multilevel"/>
    <w:tmpl w:val="422AC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82C661D"/>
    <w:multiLevelType w:val="hybridMultilevel"/>
    <w:tmpl w:val="7362E024"/>
    <w:lvl w:ilvl="0" w:tplc="8168D842">
      <w:start w:val="1"/>
      <w:numFmt w:val="decimal"/>
      <w:lvlText w:val="%1."/>
      <w:lvlJc w:val="left"/>
      <w:pPr>
        <w:ind w:left="765" w:hanging="405"/>
      </w:pPr>
      <w:rPr>
        <w:rFonts w:hint="default"/>
      </w:rPr>
    </w:lvl>
    <w:lvl w:ilvl="1" w:tplc="04090019">
      <w:start w:val="1"/>
      <w:numFmt w:val="lowerLetter"/>
      <w:lvlText w:val="%2."/>
      <w:lvlJc w:val="left"/>
      <w:pPr>
        <w:ind w:left="1440" w:hanging="360"/>
      </w:pPr>
    </w:lvl>
    <w:lvl w:ilvl="2" w:tplc="EA60E66C">
      <w:start w:val="1"/>
      <w:numFmt w:val="lowerRoman"/>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AB2D6B"/>
    <w:multiLevelType w:val="hybridMultilevel"/>
    <w:tmpl w:val="2E0CD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ED737C"/>
    <w:multiLevelType w:val="hybridMultilevel"/>
    <w:tmpl w:val="CBB6A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165BBB"/>
    <w:multiLevelType w:val="hybridMultilevel"/>
    <w:tmpl w:val="C50E3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BB7628"/>
    <w:multiLevelType w:val="hybridMultilevel"/>
    <w:tmpl w:val="48BCE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F1456B"/>
    <w:multiLevelType w:val="hybridMultilevel"/>
    <w:tmpl w:val="D21C2F0C"/>
    <w:lvl w:ilvl="0" w:tplc="0409000F">
      <w:start w:val="1"/>
      <w:numFmt w:val="decimal"/>
      <w:lvlText w:val="%1."/>
      <w:lvlJc w:val="left"/>
      <w:pPr>
        <w:ind w:left="720" w:hanging="360"/>
      </w:pPr>
    </w:lvl>
    <w:lvl w:ilvl="1" w:tplc="644AEB44">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85458F"/>
    <w:multiLevelType w:val="multilevel"/>
    <w:tmpl w:val="A85C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E55606"/>
    <w:multiLevelType w:val="hybridMultilevel"/>
    <w:tmpl w:val="F6C6C4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7A6725F"/>
    <w:multiLevelType w:val="hybridMultilevel"/>
    <w:tmpl w:val="6EE24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F49353"/>
    <w:multiLevelType w:val="hybridMultilevel"/>
    <w:tmpl w:val="31DC12AE"/>
    <w:lvl w:ilvl="0" w:tplc="F1FA856C">
      <w:start w:val="1"/>
      <w:numFmt w:val="bullet"/>
      <w:lvlText w:val="·"/>
      <w:lvlJc w:val="left"/>
      <w:pPr>
        <w:ind w:left="720" w:hanging="360"/>
      </w:pPr>
      <w:rPr>
        <w:rFonts w:ascii="Symbol" w:hAnsi="Symbol" w:hint="default"/>
      </w:rPr>
    </w:lvl>
    <w:lvl w:ilvl="1" w:tplc="FA0E7CF6">
      <w:start w:val="1"/>
      <w:numFmt w:val="bullet"/>
      <w:lvlText w:val="o"/>
      <w:lvlJc w:val="left"/>
      <w:pPr>
        <w:ind w:left="1440" w:hanging="360"/>
      </w:pPr>
      <w:rPr>
        <w:rFonts w:ascii="Courier New" w:hAnsi="Courier New" w:hint="default"/>
      </w:rPr>
    </w:lvl>
    <w:lvl w:ilvl="2" w:tplc="4F1A1396">
      <w:start w:val="1"/>
      <w:numFmt w:val="bullet"/>
      <w:lvlText w:val=""/>
      <w:lvlJc w:val="left"/>
      <w:pPr>
        <w:ind w:left="2160" w:hanging="360"/>
      </w:pPr>
      <w:rPr>
        <w:rFonts w:ascii="Wingdings" w:hAnsi="Wingdings" w:hint="default"/>
      </w:rPr>
    </w:lvl>
    <w:lvl w:ilvl="3" w:tplc="A45A867C">
      <w:start w:val="1"/>
      <w:numFmt w:val="bullet"/>
      <w:lvlText w:val=""/>
      <w:lvlJc w:val="left"/>
      <w:pPr>
        <w:ind w:left="2880" w:hanging="360"/>
      </w:pPr>
      <w:rPr>
        <w:rFonts w:ascii="Symbol" w:hAnsi="Symbol" w:hint="default"/>
      </w:rPr>
    </w:lvl>
    <w:lvl w:ilvl="4" w:tplc="BCA247FC">
      <w:start w:val="1"/>
      <w:numFmt w:val="bullet"/>
      <w:lvlText w:val="o"/>
      <w:lvlJc w:val="left"/>
      <w:pPr>
        <w:ind w:left="3600" w:hanging="360"/>
      </w:pPr>
      <w:rPr>
        <w:rFonts w:ascii="Courier New" w:hAnsi="Courier New" w:hint="default"/>
      </w:rPr>
    </w:lvl>
    <w:lvl w:ilvl="5" w:tplc="F342D490">
      <w:start w:val="1"/>
      <w:numFmt w:val="bullet"/>
      <w:lvlText w:val=""/>
      <w:lvlJc w:val="left"/>
      <w:pPr>
        <w:ind w:left="4320" w:hanging="360"/>
      </w:pPr>
      <w:rPr>
        <w:rFonts w:ascii="Wingdings" w:hAnsi="Wingdings" w:hint="default"/>
      </w:rPr>
    </w:lvl>
    <w:lvl w:ilvl="6" w:tplc="3FB69AC6">
      <w:start w:val="1"/>
      <w:numFmt w:val="bullet"/>
      <w:lvlText w:val=""/>
      <w:lvlJc w:val="left"/>
      <w:pPr>
        <w:ind w:left="5040" w:hanging="360"/>
      </w:pPr>
      <w:rPr>
        <w:rFonts w:ascii="Symbol" w:hAnsi="Symbol" w:hint="default"/>
      </w:rPr>
    </w:lvl>
    <w:lvl w:ilvl="7" w:tplc="3E968954">
      <w:start w:val="1"/>
      <w:numFmt w:val="bullet"/>
      <w:lvlText w:val="o"/>
      <w:lvlJc w:val="left"/>
      <w:pPr>
        <w:ind w:left="5760" w:hanging="360"/>
      </w:pPr>
      <w:rPr>
        <w:rFonts w:ascii="Courier New" w:hAnsi="Courier New" w:hint="default"/>
      </w:rPr>
    </w:lvl>
    <w:lvl w:ilvl="8" w:tplc="E9F4C894">
      <w:start w:val="1"/>
      <w:numFmt w:val="bullet"/>
      <w:lvlText w:val=""/>
      <w:lvlJc w:val="left"/>
      <w:pPr>
        <w:ind w:left="6480" w:hanging="360"/>
      </w:pPr>
      <w:rPr>
        <w:rFonts w:ascii="Wingdings" w:hAnsi="Wingdings" w:hint="default"/>
      </w:rPr>
    </w:lvl>
  </w:abstractNum>
  <w:abstractNum w:abstractNumId="37" w15:restartNumberingAfterBreak="0">
    <w:nsid w:val="7A696226"/>
    <w:multiLevelType w:val="hybridMultilevel"/>
    <w:tmpl w:val="4C665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451640">
    <w:abstractNumId w:val="35"/>
  </w:num>
  <w:num w:numId="2" w16cid:durableId="100228547">
    <w:abstractNumId w:val="21"/>
  </w:num>
  <w:num w:numId="3" w16cid:durableId="1288900755">
    <w:abstractNumId w:val="11"/>
  </w:num>
  <w:num w:numId="4" w16cid:durableId="1794473089">
    <w:abstractNumId w:val="29"/>
  </w:num>
  <w:num w:numId="5" w16cid:durableId="823080930">
    <w:abstractNumId w:val="27"/>
  </w:num>
  <w:num w:numId="6" w16cid:durableId="163282800">
    <w:abstractNumId w:val="19"/>
  </w:num>
  <w:num w:numId="7" w16cid:durableId="895435482">
    <w:abstractNumId w:val="31"/>
  </w:num>
  <w:num w:numId="8" w16cid:durableId="1725442863">
    <w:abstractNumId w:val="20"/>
  </w:num>
  <w:num w:numId="9" w16cid:durableId="83308343">
    <w:abstractNumId w:val="32"/>
  </w:num>
  <w:num w:numId="10" w16cid:durableId="656496550">
    <w:abstractNumId w:val="3"/>
  </w:num>
  <w:num w:numId="11" w16cid:durableId="1719544356">
    <w:abstractNumId w:val="7"/>
  </w:num>
  <w:num w:numId="12" w16cid:durableId="1811173374">
    <w:abstractNumId w:val="17"/>
  </w:num>
  <w:num w:numId="13" w16cid:durableId="1161504930">
    <w:abstractNumId w:val="30"/>
  </w:num>
  <w:num w:numId="14" w16cid:durableId="1545554473">
    <w:abstractNumId w:val="1"/>
  </w:num>
  <w:num w:numId="15" w16cid:durableId="2131899353">
    <w:abstractNumId w:val="14"/>
  </w:num>
  <w:num w:numId="16" w16cid:durableId="371616784">
    <w:abstractNumId w:val="37"/>
  </w:num>
  <w:num w:numId="17" w16cid:durableId="101152768">
    <w:abstractNumId w:val="9"/>
  </w:num>
  <w:num w:numId="18" w16cid:durableId="99958224">
    <w:abstractNumId w:val="12"/>
  </w:num>
  <w:num w:numId="19" w16cid:durableId="125315363">
    <w:abstractNumId w:val="8"/>
  </w:num>
  <w:num w:numId="20" w16cid:durableId="1215004263">
    <w:abstractNumId w:val="24"/>
  </w:num>
  <w:num w:numId="21" w16cid:durableId="1401054929">
    <w:abstractNumId w:val="6"/>
  </w:num>
  <w:num w:numId="22" w16cid:durableId="13841370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48017511">
    <w:abstractNumId w:val="18"/>
  </w:num>
  <w:num w:numId="24" w16cid:durableId="281883770">
    <w:abstractNumId w:val="28"/>
  </w:num>
  <w:num w:numId="25" w16cid:durableId="157842551">
    <w:abstractNumId w:val="25"/>
  </w:num>
  <w:num w:numId="26" w16cid:durableId="1704204850">
    <w:abstractNumId w:val="22"/>
  </w:num>
  <w:num w:numId="27" w16cid:durableId="1967008098">
    <w:abstractNumId w:val="15"/>
  </w:num>
  <w:num w:numId="28" w16cid:durableId="2050719396">
    <w:abstractNumId w:val="10"/>
  </w:num>
  <w:num w:numId="29" w16cid:durableId="2135130101">
    <w:abstractNumId w:val="5"/>
  </w:num>
  <w:num w:numId="30" w16cid:durableId="666129910">
    <w:abstractNumId w:val="0"/>
  </w:num>
  <w:num w:numId="31" w16cid:durableId="492338581">
    <w:abstractNumId w:val="2"/>
  </w:num>
  <w:num w:numId="32" w16cid:durableId="552622661">
    <w:abstractNumId w:val="33"/>
  </w:num>
  <w:num w:numId="33" w16cid:durableId="1468400097">
    <w:abstractNumId w:val="23"/>
  </w:num>
  <w:num w:numId="34" w16cid:durableId="574319472">
    <w:abstractNumId w:val="34"/>
  </w:num>
  <w:num w:numId="35" w16cid:durableId="1850171257">
    <w:abstractNumId w:val="36"/>
  </w:num>
  <w:num w:numId="36" w16cid:durableId="659576334">
    <w:abstractNumId w:val="16"/>
  </w:num>
  <w:num w:numId="37" w16cid:durableId="1403327781">
    <w:abstractNumId w:val="4"/>
  </w:num>
  <w:num w:numId="38" w16cid:durableId="1701471270">
    <w:abstractNumId w:val="2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ocumentProtection w:edit="readOnly" w:formatting="1" w:enforcement="1" w:cryptProviderType="rsaAES" w:cryptAlgorithmClass="hash" w:cryptAlgorithmType="typeAny" w:cryptAlgorithmSid="14" w:cryptSpinCount="100000" w:hash="yw9U/EPYO2r//So2wT5ACAWPC5/GUPKlMOpoCsM78OxZB0tYTqNKL3L5iQpQkK801btF1vglnHAzfd/YtCiMOA==" w:salt="yR/VQmQADIzY3nnFjKSUF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AFE"/>
    <w:rsid w:val="00000AE0"/>
    <w:rsid w:val="00001F23"/>
    <w:rsid w:val="00002663"/>
    <w:rsid w:val="0000282B"/>
    <w:rsid w:val="00002CD6"/>
    <w:rsid w:val="00003307"/>
    <w:rsid w:val="0000417A"/>
    <w:rsid w:val="00004697"/>
    <w:rsid w:val="00004BE2"/>
    <w:rsid w:val="000056F6"/>
    <w:rsid w:val="00006365"/>
    <w:rsid w:val="00006EDC"/>
    <w:rsid w:val="00007655"/>
    <w:rsid w:val="0000793E"/>
    <w:rsid w:val="00007E40"/>
    <w:rsid w:val="000106A8"/>
    <w:rsid w:val="00010930"/>
    <w:rsid w:val="00010E6D"/>
    <w:rsid w:val="00011215"/>
    <w:rsid w:val="00011885"/>
    <w:rsid w:val="000126EF"/>
    <w:rsid w:val="0001272B"/>
    <w:rsid w:val="00012831"/>
    <w:rsid w:val="00012F9F"/>
    <w:rsid w:val="00013786"/>
    <w:rsid w:val="000137E9"/>
    <w:rsid w:val="0001386A"/>
    <w:rsid w:val="00013D56"/>
    <w:rsid w:val="00013D9F"/>
    <w:rsid w:val="00013E67"/>
    <w:rsid w:val="00014493"/>
    <w:rsid w:val="000146AE"/>
    <w:rsid w:val="000146C1"/>
    <w:rsid w:val="00014752"/>
    <w:rsid w:val="00014BF6"/>
    <w:rsid w:val="00014EB8"/>
    <w:rsid w:val="0001638E"/>
    <w:rsid w:val="000165EF"/>
    <w:rsid w:val="0001673C"/>
    <w:rsid w:val="00017C88"/>
    <w:rsid w:val="000201CE"/>
    <w:rsid w:val="0002120A"/>
    <w:rsid w:val="0002129B"/>
    <w:rsid w:val="000215DD"/>
    <w:rsid w:val="0002175D"/>
    <w:rsid w:val="00021B59"/>
    <w:rsid w:val="00021D5F"/>
    <w:rsid w:val="00021E7A"/>
    <w:rsid w:val="00021F08"/>
    <w:rsid w:val="000228B0"/>
    <w:rsid w:val="000236D3"/>
    <w:rsid w:val="00024B72"/>
    <w:rsid w:val="00025477"/>
    <w:rsid w:val="0002569A"/>
    <w:rsid w:val="00025908"/>
    <w:rsid w:val="0002605D"/>
    <w:rsid w:val="00026139"/>
    <w:rsid w:val="000269C5"/>
    <w:rsid w:val="00026DDE"/>
    <w:rsid w:val="000270A4"/>
    <w:rsid w:val="0002719C"/>
    <w:rsid w:val="00027ACB"/>
    <w:rsid w:val="0003077D"/>
    <w:rsid w:val="00030BB8"/>
    <w:rsid w:val="00031223"/>
    <w:rsid w:val="00031662"/>
    <w:rsid w:val="0003269D"/>
    <w:rsid w:val="00032EA6"/>
    <w:rsid w:val="0003407F"/>
    <w:rsid w:val="000346AC"/>
    <w:rsid w:val="00034B00"/>
    <w:rsid w:val="00034D3B"/>
    <w:rsid w:val="000357C5"/>
    <w:rsid w:val="00035F22"/>
    <w:rsid w:val="00036242"/>
    <w:rsid w:val="0003651D"/>
    <w:rsid w:val="00037890"/>
    <w:rsid w:val="0004057A"/>
    <w:rsid w:val="00040759"/>
    <w:rsid w:val="0004094B"/>
    <w:rsid w:val="000411FE"/>
    <w:rsid w:val="00041620"/>
    <w:rsid w:val="00042148"/>
    <w:rsid w:val="00042CC1"/>
    <w:rsid w:val="00043712"/>
    <w:rsid w:val="000438F9"/>
    <w:rsid w:val="00043BAC"/>
    <w:rsid w:val="00045168"/>
    <w:rsid w:val="00045C64"/>
    <w:rsid w:val="0004685C"/>
    <w:rsid w:val="000469DE"/>
    <w:rsid w:val="00047018"/>
    <w:rsid w:val="000476AA"/>
    <w:rsid w:val="00047DC7"/>
    <w:rsid w:val="000506C5"/>
    <w:rsid w:val="000508A5"/>
    <w:rsid w:val="00050BC6"/>
    <w:rsid w:val="0005158E"/>
    <w:rsid w:val="000521B5"/>
    <w:rsid w:val="00052E1C"/>
    <w:rsid w:val="00053629"/>
    <w:rsid w:val="00053691"/>
    <w:rsid w:val="00053D78"/>
    <w:rsid w:val="00053FEF"/>
    <w:rsid w:val="000541DB"/>
    <w:rsid w:val="0005465C"/>
    <w:rsid w:val="00055772"/>
    <w:rsid w:val="0005608B"/>
    <w:rsid w:val="00056265"/>
    <w:rsid w:val="000562B9"/>
    <w:rsid w:val="00056522"/>
    <w:rsid w:val="00056A2B"/>
    <w:rsid w:val="00056D89"/>
    <w:rsid w:val="00056FAF"/>
    <w:rsid w:val="00057D82"/>
    <w:rsid w:val="00057FAC"/>
    <w:rsid w:val="00060772"/>
    <w:rsid w:val="00060BB6"/>
    <w:rsid w:val="00060F59"/>
    <w:rsid w:val="00061075"/>
    <w:rsid w:val="0006114A"/>
    <w:rsid w:val="0006179C"/>
    <w:rsid w:val="00061A8B"/>
    <w:rsid w:val="00061F6E"/>
    <w:rsid w:val="00062825"/>
    <w:rsid w:val="00062FC2"/>
    <w:rsid w:val="00063633"/>
    <w:rsid w:val="00063C22"/>
    <w:rsid w:val="00066ED5"/>
    <w:rsid w:val="00067286"/>
    <w:rsid w:val="000675A5"/>
    <w:rsid w:val="000676B3"/>
    <w:rsid w:val="00067B4B"/>
    <w:rsid w:val="0007053E"/>
    <w:rsid w:val="000710A6"/>
    <w:rsid w:val="00071A79"/>
    <w:rsid w:val="00071C2C"/>
    <w:rsid w:val="0007363B"/>
    <w:rsid w:val="00073F3C"/>
    <w:rsid w:val="0007491F"/>
    <w:rsid w:val="00075137"/>
    <w:rsid w:val="0007551D"/>
    <w:rsid w:val="00075561"/>
    <w:rsid w:val="000756A2"/>
    <w:rsid w:val="00075BBB"/>
    <w:rsid w:val="00076D26"/>
    <w:rsid w:val="00077286"/>
    <w:rsid w:val="000776AB"/>
    <w:rsid w:val="00077A6B"/>
    <w:rsid w:val="000805F3"/>
    <w:rsid w:val="00081149"/>
    <w:rsid w:val="00081380"/>
    <w:rsid w:val="00081B1C"/>
    <w:rsid w:val="00081CA7"/>
    <w:rsid w:val="0008262F"/>
    <w:rsid w:val="00082A1E"/>
    <w:rsid w:val="0008307A"/>
    <w:rsid w:val="000830C2"/>
    <w:rsid w:val="00083564"/>
    <w:rsid w:val="00083FE8"/>
    <w:rsid w:val="00084511"/>
    <w:rsid w:val="00084C5A"/>
    <w:rsid w:val="00085833"/>
    <w:rsid w:val="00085A0D"/>
    <w:rsid w:val="00085CEE"/>
    <w:rsid w:val="00085D21"/>
    <w:rsid w:val="000869FB"/>
    <w:rsid w:val="000872EB"/>
    <w:rsid w:val="000874D8"/>
    <w:rsid w:val="00087BC2"/>
    <w:rsid w:val="00087CE5"/>
    <w:rsid w:val="00087E64"/>
    <w:rsid w:val="000900F7"/>
    <w:rsid w:val="00090BF3"/>
    <w:rsid w:val="00090E7C"/>
    <w:rsid w:val="0009164C"/>
    <w:rsid w:val="000917D6"/>
    <w:rsid w:val="000918AB"/>
    <w:rsid w:val="00092062"/>
    <w:rsid w:val="00092257"/>
    <w:rsid w:val="000933AB"/>
    <w:rsid w:val="00093B7C"/>
    <w:rsid w:val="00094E0B"/>
    <w:rsid w:val="000953A4"/>
    <w:rsid w:val="00095673"/>
    <w:rsid w:val="0009588E"/>
    <w:rsid w:val="00095AE8"/>
    <w:rsid w:val="0009720F"/>
    <w:rsid w:val="000972B6"/>
    <w:rsid w:val="00097657"/>
    <w:rsid w:val="000A03D2"/>
    <w:rsid w:val="000A0587"/>
    <w:rsid w:val="000A05E2"/>
    <w:rsid w:val="000A0AC7"/>
    <w:rsid w:val="000A0C63"/>
    <w:rsid w:val="000A0CD9"/>
    <w:rsid w:val="000A1242"/>
    <w:rsid w:val="000A216A"/>
    <w:rsid w:val="000A2E8E"/>
    <w:rsid w:val="000A3E2F"/>
    <w:rsid w:val="000A4E6E"/>
    <w:rsid w:val="000A4E7D"/>
    <w:rsid w:val="000A57B7"/>
    <w:rsid w:val="000A5DC6"/>
    <w:rsid w:val="000A5FA1"/>
    <w:rsid w:val="000A68A8"/>
    <w:rsid w:val="000A6D82"/>
    <w:rsid w:val="000A7555"/>
    <w:rsid w:val="000A76CB"/>
    <w:rsid w:val="000A7C7F"/>
    <w:rsid w:val="000A7E3D"/>
    <w:rsid w:val="000A7E41"/>
    <w:rsid w:val="000B0114"/>
    <w:rsid w:val="000B02C9"/>
    <w:rsid w:val="000B09BD"/>
    <w:rsid w:val="000B0B9B"/>
    <w:rsid w:val="000B0EE9"/>
    <w:rsid w:val="000B143A"/>
    <w:rsid w:val="000B1561"/>
    <w:rsid w:val="000B2005"/>
    <w:rsid w:val="000B24EC"/>
    <w:rsid w:val="000B2864"/>
    <w:rsid w:val="000B2C97"/>
    <w:rsid w:val="000B2E2F"/>
    <w:rsid w:val="000B38CA"/>
    <w:rsid w:val="000B42D0"/>
    <w:rsid w:val="000B59B5"/>
    <w:rsid w:val="000B5EBF"/>
    <w:rsid w:val="000B79BC"/>
    <w:rsid w:val="000B7F4B"/>
    <w:rsid w:val="000C0156"/>
    <w:rsid w:val="000C0331"/>
    <w:rsid w:val="000C05C9"/>
    <w:rsid w:val="000C0ACA"/>
    <w:rsid w:val="000C13D4"/>
    <w:rsid w:val="000C1AEC"/>
    <w:rsid w:val="000C2CAE"/>
    <w:rsid w:val="000C3ADD"/>
    <w:rsid w:val="000C457F"/>
    <w:rsid w:val="000C4BD0"/>
    <w:rsid w:val="000C4F09"/>
    <w:rsid w:val="000C64DE"/>
    <w:rsid w:val="000C6732"/>
    <w:rsid w:val="000C67DE"/>
    <w:rsid w:val="000C688A"/>
    <w:rsid w:val="000C79C9"/>
    <w:rsid w:val="000C7D2A"/>
    <w:rsid w:val="000C7FC1"/>
    <w:rsid w:val="000D1147"/>
    <w:rsid w:val="000D1B93"/>
    <w:rsid w:val="000D262E"/>
    <w:rsid w:val="000D29F0"/>
    <w:rsid w:val="000D2BDB"/>
    <w:rsid w:val="000D41C7"/>
    <w:rsid w:val="000D4219"/>
    <w:rsid w:val="000D47D0"/>
    <w:rsid w:val="000D489E"/>
    <w:rsid w:val="000D51B2"/>
    <w:rsid w:val="000D5752"/>
    <w:rsid w:val="000D5D20"/>
    <w:rsid w:val="000D5E17"/>
    <w:rsid w:val="000D6060"/>
    <w:rsid w:val="000D635C"/>
    <w:rsid w:val="000D64BE"/>
    <w:rsid w:val="000D693B"/>
    <w:rsid w:val="000D6F03"/>
    <w:rsid w:val="000D7418"/>
    <w:rsid w:val="000D7CD0"/>
    <w:rsid w:val="000E0290"/>
    <w:rsid w:val="000E02D4"/>
    <w:rsid w:val="000E08C0"/>
    <w:rsid w:val="000E0CD6"/>
    <w:rsid w:val="000E1DEC"/>
    <w:rsid w:val="000E2920"/>
    <w:rsid w:val="000E2DFF"/>
    <w:rsid w:val="000E2E0F"/>
    <w:rsid w:val="000E3C0B"/>
    <w:rsid w:val="000E46B3"/>
    <w:rsid w:val="000E5E46"/>
    <w:rsid w:val="000E6583"/>
    <w:rsid w:val="000E65C7"/>
    <w:rsid w:val="000E76CD"/>
    <w:rsid w:val="000F0057"/>
    <w:rsid w:val="000F00E4"/>
    <w:rsid w:val="000F032B"/>
    <w:rsid w:val="000F047B"/>
    <w:rsid w:val="000F08B9"/>
    <w:rsid w:val="000F0AAC"/>
    <w:rsid w:val="000F0C5D"/>
    <w:rsid w:val="000F0F28"/>
    <w:rsid w:val="000F0FB8"/>
    <w:rsid w:val="000F1869"/>
    <w:rsid w:val="000F1CEA"/>
    <w:rsid w:val="000F2B16"/>
    <w:rsid w:val="000F31B4"/>
    <w:rsid w:val="000F39DA"/>
    <w:rsid w:val="000F3D98"/>
    <w:rsid w:val="000F41E8"/>
    <w:rsid w:val="000F56C8"/>
    <w:rsid w:val="000F5BFE"/>
    <w:rsid w:val="000F696D"/>
    <w:rsid w:val="000F70DC"/>
    <w:rsid w:val="001000C6"/>
    <w:rsid w:val="001012EB"/>
    <w:rsid w:val="00101342"/>
    <w:rsid w:val="001040A6"/>
    <w:rsid w:val="00104DBC"/>
    <w:rsid w:val="0010585C"/>
    <w:rsid w:val="0010587C"/>
    <w:rsid w:val="00105B4C"/>
    <w:rsid w:val="00105D51"/>
    <w:rsid w:val="00106C29"/>
    <w:rsid w:val="00107416"/>
    <w:rsid w:val="00107441"/>
    <w:rsid w:val="00107920"/>
    <w:rsid w:val="00107EFC"/>
    <w:rsid w:val="00107F31"/>
    <w:rsid w:val="00110A05"/>
    <w:rsid w:val="00110BAD"/>
    <w:rsid w:val="00111A7A"/>
    <w:rsid w:val="00111C8E"/>
    <w:rsid w:val="00111ED1"/>
    <w:rsid w:val="00111EE9"/>
    <w:rsid w:val="0011309F"/>
    <w:rsid w:val="00113A89"/>
    <w:rsid w:val="00113B71"/>
    <w:rsid w:val="001151EF"/>
    <w:rsid w:val="001205C6"/>
    <w:rsid w:val="00120827"/>
    <w:rsid w:val="001212A1"/>
    <w:rsid w:val="0012188F"/>
    <w:rsid w:val="00122CF3"/>
    <w:rsid w:val="00122D3E"/>
    <w:rsid w:val="00122F40"/>
    <w:rsid w:val="001235AF"/>
    <w:rsid w:val="00123CD3"/>
    <w:rsid w:val="0012403F"/>
    <w:rsid w:val="001242BA"/>
    <w:rsid w:val="00124F73"/>
    <w:rsid w:val="001250CC"/>
    <w:rsid w:val="00125581"/>
    <w:rsid w:val="00125CBE"/>
    <w:rsid w:val="00125F0C"/>
    <w:rsid w:val="00126263"/>
    <w:rsid w:val="001269CA"/>
    <w:rsid w:val="00126DC2"/>
    <w:rsid w:val="00127510"/>
    <w:rsid w:val="00127C5F"/>
    <w:rsid w:val="001304C9"/>
    <w:rsid w:val="0013092F"/>
    <w:rsid w:val="0013144B"/>
    <w:rsid w:val="001320C2"/>
    <w:rsid w:val="00132A6F"/>
    <w:rsid w:val="00132A99"/>
    <w:rsid w:val="00133A8D"/>
    <w:rsid w:val="001344BF"/>
    <w:rsid w:val="0013451E"/>
    <w:rsid w:val="0013474F"/>
    <w:rsid w:val="00134DA1"/>
    <w:rsid w:val="00134EF8"/>
    <w:rsid w:val="00135354"/>
    <w:rsid w:val="00135786"/>
    <w:rsid w:val="00136452"/>
    <w:rsid w:val="001364FA"/>
    <w:rsid w:val="00136599"/>
    <w:rsid w:val="00136A62"/>
    <w:rsid w:val="00136F70"/>
    <w:rsid w:val="001372AB"/>
    <w:rsid w:val="00137448"/>
    <w:rsid w:val="00137741"/>
    <w:rsid w:val="001377C7"/>
    <w:rsid w:val="00137E59"/>
    <w:rsid w:val="00140900"/>
    <w:rsid w:val="00140A95"/>
    <w:rsid w:val="00141362"/>
    <w:rsid w:val="0014192B"/>
    <w:rsid w:val="00141936"/>
    <w:rsid w:val="00141CAD"/>
    <w:rsid w:val="00141F07"/>
    <w:rsid w:val="00142BC8"/>
    <w:rsid w:val="00142FD4"/>
    <w:rsid w:val="001439A9"/>
    <w:rsid w:val="00143CD4"/>
    <w:rsid w:val="001472FC"/>
    <w:rsid w:val="0014773E"/>
    <w:rsid w:val="001479F3"/>
    <w:rsid w:val="001479F5"/>
    <w:rsid w:val="00150A66"/>
    <w:rsid w:val="00150F54"/>
    <w:rsid w:val="00151002"/>
    <w:rsid w:val="00151323"/>
    <w:rsid w:val="001517E0"/>
    <w:rsid w:val="00151F9A"/>
    <w:rsid w:val="00153021"/>
    <w:rsid w:val="0015336A"/>
    <w:rsid w:val="00153A22"/>
    <w:rsid w:val="0015445A"/>
    <w:rsid w:val="001552E4"/>
    <w:rsid w:val="00155F96"/>
    <w:rsid w:val="00156C1C"/>
    <w:rsid w:val="00156F55"/>
    <w:rsid w:val="0015746B"/>
    <w:rsid w:val="001602AC"/>
    <w:rsid w:val="001602F8"/>
    <w:rsid w:val="001606C9"/>
    <w:rsid w:val="00160F75"/>
    <w:rsid w:val="001613A3"/>
    <w:rsid w:val="0016181D"/>
    <w:rsid w:val="00161B8B"/>
    <w:rsid w:val="00161EBB"/>
    <w:rsid w:val="00161F35"/>
    <w:rsid w:val="00163053"/>
    <w:rsid w:val="00163C9E"/>
    <w:rsid w:val="00164026"/>
    <w:rsid w:val="00165962"/>
    <w:rsid w:val="00165F81"/>
    <w:rsid w:val="00166039"/>
    <w:rsid w:val="0016660D"/>
    <w:rsid w:val="001667A8"/>
    <w:rsid w:val="00166E69"/>
    <w:rsid w:val="00166EBD"/>
    <w:rsid w:val="00167128"/>
    <w:rsid w:val="00167443"/>
    <w:rsid w:val="001675DF"/>
    <w:rsid w:val="00167E37"/>
    <w:rsid w:val="00170401"/>
    <w:rsid w:val="0017060C"/>
    <w:rsid w:val="00170FD9"/>
    <w:rsid w:val="001712B4"/>
    <w:rsid w:val="00172102"/>
    <w:rsid w:val="00172BF0"/>
    <w:rsid w:val="00174C82"/>
    <w:rsid w:val="00174EEE"/>
    <w:rsid w:val="001757DD"/>
    <w:rsid w:val="00175814"/>
    <w:rsid w:val="00175E04"/>
    <w:rsid w:val="00176AAE"/>
    <w:rsid w:val="0017786C"/>
    <w:rsid w:val="00177934"/>
    <w:rsid w:val="00180618"/>
    <w:rsid w:val="00181697"/>
    <w:rsid w:val="001817B0"/>
    <w:rsid w:val="0018185B"/>
    <w:rsid w:val="00181F4B"/>
    <w:rsid w:val="0018209D"/>
    <w:rsid w:val="001821F6"/>
    <w:rsid w:val="0018257C"/>
    <w:rsid w:val="00182F0A"/>
    <w:rsid w:val="00183408"/>
    <w:rsid w:val="00183579"/>
    <w:rsid w:val="001837C8"/>
    <w:rsid w:val="001838D6"/>
    <w:rsid w:val="001846CE"/>
    <w:rsid w:val="0018615A"/>
    <w:rsid w:val="001864DD"/>
    <w:rsid w:val="00187D50"/>
    <w:rsid w:val="00187E87"/>
    <w:rsid w:val="00187FDE"/>
    <w:rsid w:val="001906AA"/>
    <w:rsid w:val="001909EC"/>
    <w:rsid w:val="00190B90"/>
    <w:rsid w:val="001921AD"/>
    <w:rsid w:val="0019277D"/>
    <w:rsid w:val="00193003"/>
    <w:rsid w:val="00193F9D"/>
    <w:rsid w:val="0019411C"/>
    <w:rsid w:val="00194B97"/>
    <w:rsid w:val="00197620"/>
    <w:rsid w:val="00197FAD"/>
    <w:rsid w:val="001A0074"/>
    <w:rsid w:val="001A0977"/>
    <w:rsid w:val="001A0CB4"/>
    <w:rsid w:val="001A1704"/>
    <w:rsid w:val="001A278B"/>
    <w:rsid w:val="001A3566"/>
    <w:rsid w:val="001A43DC"/>
    <w:rsid w:val="001A48B5"/>
    <w:rsid w:val="001A5E18"/>
    <w:rsid w:val="001A6663"/>
    <w:rsid w:val="001A6D72"/>
    <w:rsid w:val="001A75A3"/>
    <w:rsid w:val="001A7BFE"/>
    <w:rsid w:val="001A7E21"/>
    <w:rsid w:val="001B02CF"/>
    <w:rsid w:val="001B07B6"/>
    <w:rsid w:val="001B0807"/>
    <w:rsid w:val="001B16F3"/>
    <w:rsid w:val="001B25E0"/>
    <w:rsid w:val="001B2CF6"/>
    <w:rsid w:val="001B351E"/>
    <w:rsid w:val="001B36EE"/>
    <w:rsid w:val="001B3FEB"/>
    <w:rsid w:val="001B44F9"/>
    <w:rsid w:val="001B4F20"/>
    <w:rsid w:val="001B7180"/>
    <w:rsid w:val="001B72D8"/>
    <w:rsid w:val="001B796B"/>
    <w:rsid w:val="001C09BD"/>
    <w:rsid w:val="001C20E7"/>
    <w:rsid w:val="001C39D0"/>
    <w:rsid w:val="001C3EDC"/>
    <w:rsid w:val="001C3F2C"/>
    <w:rsid w:val="001C41EA"/>
    <w:rsid w:val="001C44C4"/>
    <w:rsid w:val="001C53FA"/>
    <w:rsid w:val="001C576E"/>
    <w:rsid w:val="001C61DE"/>
    <w:rsid w:val="001C6AAD"/>
    <w:rsid w:val="001C6F6A"/>
    <w:rsid w:val="001C72B8"/>
    <w:rsid w:val="001C73B5"/>
    <w:rsid w:val="001D0765"/>
    <w:rsid w:val="001D092B"/>
    <w:rsid w:val="001D0B44"/>
    <w:rsid w:val="001D1AA6"/>
    <w:rsid w:val="001D1C2C"/>
    <w:rsid w:val="001D286D"/>
    <w:rsid w:val="001D2A76"/>
    <w:rsid w:val="001D2D1E"/>
    <w:rsid w:val="001D3166"/>
    <w:rsid w:val="001D3675"/>
    <w:rsid w:val="001D494D"/>
    <w:rsid w:val="001D60FE"/>
    <w:rsid w:val="001D62E3"/>
    <w:rsid w:val="001D6684"/>
    <w:rsid w:val="001D70B9"/>
    <w:rsid w:val="001D7C37"/>
    <w:rsid w:val="001E02A1"/>
    <w:rsid w:val="001E03D8"/>
    <w:rsid w:val="001E0407"/>
    <w:rsid w:val="001E05AD"/>
    <w:rsid w:val="001E08BA"/>
    <w:rsid w:val="001E297D"/>
    <w:rsid w:val="001E2B5C"/>
    <w:rsid w:val="001E2FD8"/>
    <w:rsid w:val="001E32A0"/>
    <w:rsid w:val="001E3678"/>
    <w:rsid w:val="001E3855"/>
    <w:rsid w:val="001E3D26"/>
    <w:rsid w:val="001E471E"/>
    <w:rsid w:val="001E5012"/>
    <w:rsid w:val="001E507D"/>
    <w:rsid w:val="001E5C50"/>
    <w:rsid w:val="001E5E37"/>
    <w:rsid w:val="001E755B"/>
    <w:rsid w:val="001F0148"/>
    <w:rsid w:val="001F028E"/>
    <w:rsid w:val="001F0AF4"/>
    <w:rsid w:val="001F243D"/>
    <w:rsid w:val="001F2DDF"/>
    <w:rsid w:val="001F3215"/>
    <w:rsid w:val="001F3AC1"/>
    <w:rsid w:val="001F3C7F"/>
    <w:rsid w:val="001F3E51"/>
    <w:rsid w:val="001F3F1F"/>
    <w:rsid w:val="001F4069"/>
    <w:rsid w:val="001F474F"/>
    <w:rsid w:val="001F47DC"/>
    <w:rsid w:val="001F4A2A"/>
    <w:rsid w:val="001F4EFA"/>
    <w:rsid w:val="001F6675"/>
    <w:rsid w:val="001F738A"/>
    <w:rsid w:val="001F78A1"/>
    <w:rsid w:val="00200ABA"/>
    <w:rsid w:val="00200E38"/>
    <w:rsid w:val="002013EB"/>
    <w:rsid w:val="002016C5"/>
    <w:rsid w:val="00202349"/>
    <w:rsid w:val="002024BF"/>
    <w:rsid w:val="00202A15"/>
    <w:rsid w:val="0020319C"/>
    <w:rsid w:val="002031FA"/>
    <w:rsid w:val="002032CA"/>
    <w:rsid w:val="00203D8F"/>
    <w:rsid w:val="00203F6F"/>
    <w:rsid w:val="00204453"/>
    <w:rsid w:val="0020497F"/>
    <w:rsid w:val="002049B2"/>
    <w:rsid w:val="002056B1"/>
    <w:rsid w:val="00205A59"/>
    <w:rsid w:val="00205BD0"/>
    <w:rsid w:val="00206C82"/>
    <w:rsid w:val="00207026"/>
    <w:rsid w:val="002075F6"/>
    <w:rsid w:val="00207CF5"/>
    <w:rsid w:val="00210530"/>
    <w:rsid w:val="0021097F"/>
    <w:rsid w:val="00212A48"/>
    <w:rsid w:val="002130B3"/>
    <w:rsid w:val="00213275"/>
    <w:rsid w:val="002146DC"/>
    <w:rsid w:val="00214882"/>
    <w:rsid w:val="002152A2"/>
    <w:rsid w:val="00215536"/>
    <w:rsid w:val="00215E3B"/>
    <w:rsid w:val="00215F64"/>
    <w:rsid w:val="002160E0"/>
    <w:rsid w:val="0021621C"/>
    <w:rsid w:val="00216482"/>
    <w:rsid w:val="00216851"/>
    <w:rsid w:val="00216B4F"/>
    <w:rsid w:val="00216BE3"/>
    <w:rsid w:val="00217724"/>
    <w:rsid w:val="002178B3"/>
    <w:rsid w:val="002203AF"/>
    <w:rsid w:val="00220B38"/>
    <w:rsid w:val="00220CBA"/>
    <w:rsid w:val="0022184B"/>
    <w:rsid w:val="002218A9"/>
    <w:rsid w:val="00221BE9"/>
    <w:rsid w:val="00221CBE"/>
    <w:rsid w:val="002234AC"/>
    <w:rsid w:val="002239BA"/>
    <w:rsid w:val="002257C7"/>
    <w:rsid w:val="002258ED"/>
    <w:rsid w:val="00225972"/>
    <w:rsid w:val="00225FF9"/>
    <w:rsid w:val="00226143"/>
    <w:rsid w:val="002263B6"/>
    <w:rsid w:val="002267F9"/>
    <w:rsid w:val="00226D9E"/>
    <w:rsid w:val="002270F9"/>
    <w:rsid w:val="00227978"/>
    <w:rsid w:val="00227E01"/>
    <w:rsid w:val="00230831"/>
    <w:rsid w:val="0023157A"/>
    <w:rsid w:val="002322BE"/>
    <w:rsid w:val="00232528"/>
    <w:rsid w:val="00233069"/>
    <w:rsid w:val="00233A7E"/>
    <w:rsid w:val="00233FBB"/>
    <w:rsid w:val="0023408A"/>
    <w:rsid w:val="002346B6"/>
    <w:rsid w:val="0023539C"/>
    <w:rsid w:val="00235556"/>
    <w:rsid w:val="002355EB"/>
    <w:rsid w:val="0023562B"/>
    <w:rsid w:val="00235B48"/>
    <w:rsid w:val="00236AEC"/>
    <w:rsid w:val="00237299"/>
    <w:rsid w:val="00237725"/>
    <w:rsid w:val="00237F2E"/>
    <w:rsid w:val="0024052C"/>
    <w:rsid w:val="00241D62"/>
    <w:rsid w:val="00241DE3"/>
    <w:rsid w:val="00241F8F"/>
    <w:rsid w:val="00241FA0"/>
    <w:rsid w:val="00242A7E"/>
    <w:rsid w:val="002435BF"/>
    <w:rsid w:val="002449E9"/>
    <w:rsid w:val="00244E5E"/>
    <w:rsid w:val="002454D6"/>
    <w:rsid w:val="00245C71"/>
    <w:rsid w:val="0024659B"/>
    <w:rsid w:val="00246929"/>
    <w:rsid w:val="00246AD4"/>
    <w:rsid w:val="0025012C"/>
    <w:rsid w:val="00250244"/>
    <w:rsid w:val="002502BF"/>
    <w:rsid w:val="002502CE"/>
    <w:rsid w:val="00250620"/>
    <w:rsid w:val="00250C9F"/>
    <w:rsid w:val="00252579"/>
    <w:rsid w:val="0025267B"/>
    <w:rsid w:val="00252BD0"/>
    <w:rsid w:val="00252FD7"/>
    <w:rsid w:val="002544D2"/>
    <w:rsid w:val="00254A27"/>
    <w:rsid w:val="00254C71"/>
    <w:rsid w:val="00254CA5"/>
    <w:rsid w:val="00254F58"/>
    <w:rsid w:val="00255553"/>
    <w:rsid w:val="00255BFC"/>
    <w:rsid w:val="00256320"/>
    <w:rsid w:val="00256F64"/>
    <w:rsid w:val="002575AB"/>
    <w:rsid w:val="0025774E"/>
    <w:rsid w:val="002579E3"/>
    <w:rsid w:val="00257E7E"/>
    <w:rsid w:val="00260768"/>
    <w:rsid w:val="002609A0"/>
    <w:rsid w:val="00260C1D"/>
    <w:rsid w:val="00260D4B"/>
    <w:rsid w:val="00261E0D"/>
    <w:rsid w:val="00261F60"/>
    <w:rsid w:val="002634DC"/>
    <w:rsid w:val="00263E7A"/>
    <w:rsid w:val="00264230"/>
    <w:rsid w:val="00264620"/>
    <w:rsid w:val="002647B9"/>
    <w:rsid w:val="00264F54"/>
    <w:rsid w:val="00265200"/>
    <w:rsid w:val="00265292"/>
    <w:rsid w:val="00266EE8"/>
    <w:rsid w:val="002677A3"/>
    <w:rsid w:val="00270341"/>
    <w:rsid w:val="00270CD4"/>
    <w:rsid w:val="00271353"/>
    <w:rsid w:val="00271A25"/>
    <w:rsid w:val="00272A94"/>
    <w:rsid w:val="00272E37"/>
    <w:rsid w:val="00272E53"/>
    <w:rsid w:val="0027316E"/>
    <w:rsid w:val="002731FA"/>
    <w:rsid w:val="00273364"/>
    <w:rsid w:val="00274045"/>
    <w:rsid w:val="00274201"/>
    <w:rsid w:val="002743C4"/>
    <w:rsid w:val="00274A9F"/>
    <w:rsid w:val="00275131"/>
    <w:rsid w:val="0027525A"/>
    <w:rsid w:val="00275499"/>
    <w:rsid w:val="00275618"/>
    <w:rsid w:val="00276826"/>
    <w:rsid w:val="00276F19"/>
    <w:rsid w:val="00277097"/>
    <w:rsid w:val="002774BF"/>
    <w:rsid w:val="00281DF8"/>
    <w:rsid w:val="00282408"/>
    <w:rsid w:val="0028263A"/>
    <w:rsid w:val="00282901"/>
    <w:rsid w:val="00282A2C"/>
    <w:rsid w:val="00282E16"/>
    <w:rsid w:val="002831FC"/>
    <w:rsid w:val="002835E5"/>
    <w:rsid w:val="0028391E"/>
    <w:rsid w:val="00284533"/>
    <w:rsid w:val="002845AC"/>
    <w:rsid w:val="00284741"/>
    <w:rsid w:val="00285240"/>
    <w:rsid w:val="00286D81"/>
    <w:rsid w:val="00286F48"/>
    <w:rsid w:val="00286F51"/>
    <w:rsid w:val="00287117"/>
    <w:rsid w:val="002879FE"/>
    <w:rsid w:val="00287BA0"/>
    <w:rsid w:val="00287CDE"/>
    <w:rsid w:val="00287E09"/>
    <w:rsid w:val="002904AF"/>
    <w:rsid w:val="00290FB8"/>
    <w:rsid w:val="00291105"/>
    <w:rsid w:val="00291660"/>
    <w:rsid w:val="002917FB"/>
    <w:rsid w:val="00292B27"/>
    <w:rsid w:val="002949FD"/>
    <w:rsid w:val="0029586E"/>
    <w:rsid w:val="00295872"/>
    <w:rsid w:val="002967A3"/>
    <w:rsid w:val="002967C1"/>
    <w:rsid w:val="00296E76"/>
    <w:rsid w:val="00297098"/>
    <w:rsid w:val="0029712D"/>
    <w:rsid w:val="002A016E"/>
    <w:rsid w:val="002A0D54"/>
    <w:rsid w:val="002A1186"/>
    <w:rsid w:val="002A1447"/>
    <w:rsid w:val="002A1B9F"/>
    <w:rsid w:val="002A22DE"/>
    <w:rsid w:val="002A22EF"/>
    <w:rsid w:val="002A23FB"/>
    <w:rsid w:val="002A35C6"/>
    <w:rsid w:val="002A395F"/>
    <w:rsid w:val="002A4C21"/>
    <w:rsid w:val="002A54B4"/>
    <w:rsid w:val="002A5772"/>
    <w:rsid w:val="002A586E"/>
    <w:rsid w:val="002A5B13"/>
    <w:rsid w:val="002A5D61"/>
    <w:rsid w:val="002A642D"/>
    <w:rsid w:val="002A67A9"/>
    <w:rsid w:val="002A6AAB"/>
    <w:rsid w:val="002A70D4"/>
    <w:rsid w:val="002A7476"/>
    <w:rsid w:val="002A7AEF"/>
    <w:rsid w:val="002A7B3C"/>
    <w:rsid w:val="002B0330"/>
    <w:rsid w:val="002B123C"/>
    <w:rsid w:val="002B1962"/>
    <w:rsid w:val="002B1EC4"/>
    <w:rsid w:val="002B207D"/>
    <w:rsid w:val="002B258A"/>
    <w:rsid w:val="002B345F"/>
    <w:rsid w:val="002B3472"/>
    <w:rsid w:val="002B3B0F"/>
    <w:rsid w:val="002B4B19"/>
    <w:rsid w:val="002B5F89"/>
    <w:rsid w:val="002B6211"/>
    <w:rsid w:val="002B686B"/>
    <w:rsid w:val="002B686C"/>
    <w:rsid w:val="002B7512"/>
    <w:rsid w:val="002B789A"/>
    <w:rsid w:val="002B7C0F"/>
    <w:rsid w:val="002B7CB7"/>
    <w:rsid w:val="002C0221"/>
    <w:rsid w:val="002C05D0"/>
    <w:rsid w:val="002C0961"/>
    <w:rsid w:val="002C1320"/>
    <w:rsid w:val="002C1CA9"/>
    <w:rsid w:val="002C1DBC"/>
    <w:rsid w:val="002C2D16"/>
    <w:rsid w:val="002C3399"/>
    <w:rsid w:val="002C5FE9"/>
    <w:rsid w:val="002C7589"/>
    <w:rsid w:val="002C75B0"/>
    <w:rsid w:val="002D0BF6"/>
    <w:rsid w:val="002D1163"/>
    <w:rsid w:val="002D1518"/>
    <w:rsid w:val="002D32FC"/>
    <w:rsid w:val="002D3658"/>
    <w:rsid w:val="002D40CD"/>
    <w:rsid w:val="002D45FE"/>
    <w:rsid w:val="002D4C08"/>
    <w:rsid w:val="002D53AE"/>
    <w:rsid w:val="002D54E7"/>
    <w:rsid w:val="002D55B0"/>
    <w:rsid w:val="002D5AD5"/>
    <w:rsid w:val="002D5DCC"/>
    <w:rsid w:val="002D5FB0"/>
    <w:rsid w:val="002D6760"/>
    <w:rsid w:val="002D6913"/>
    <w:rsid w:val="002D6A90"/>
    <w:rsid w:val="002D6B50"/>
    <w:rsid w:val="002D6C33"/>
    <w:rsid w:val="002D706F"/>
    <w:rsid w:val="002D77A2"/>
    <w:rsid w:val="002D7FDC"/>
    <w:rsid w:val="002E028F"/>
    <w:rsid w:val="002E1CFE"/>
    <w:rsid w:val="002E1F83"/>
    <w:rsid w:val="002E1F99"/>
    <w:rsid w:val="002E202B"/>
    <w:rsid w:val="002E3B8E"/>
    <w:rsid w:val="002E3F99"/>
    <w:rsid w:val="002E402E"/>
    <w:rsid w:val="002E4490"/>
    <w:rsid w:val="002E4A1D"/>
    <w:rsid w:val="002E5454"/>
    <w:rsid w:val="002E6E58"/>
    <w:rsid w:val="002E6E74"/>
    <w:rsid w:val="002E7154"/>
    <w:rsid w:val="002F06B0"/>
    <w:rsid w:val="002F0E74"/>
    <w:rsid w:val="002F142A"/>
    <w:rsid w:val="002F1743"/>
    <w:rsid w:val="002F1CDB"/>
    <w:rsid w:val="002F275E"/>
    <w:rsid w:val="002F2CA4"/>
    <w:rsid w:val="002F3019"/>
    <w:rsid w:val="002F3A7B"/>
    <w:rsid w:val="002F3FF6"/>
    <w:rsid w:val="002F44F7"/>
    <w:rsid w:val="002F450A"/>
    <w:rsid w:val="002F4A70"/>
    <w:rsid w:val="002F4FA0"/>
    <w:rsid w:val="002F6407"/>
    <w:rsid w:val="002F669D"/>
    <w:rsid w:val="002F7D1C"/>
    <w:rsid w:val="002F7FEB"/>
    <w:rsid w:val="0030005B"/>
    <w:rsid w:val="003000B6"/>
    <w:rsid w:val="00300424"/>
    <w:rsid w:val="003006F9"/>
    <w:rsid w:val="003008BD"/>
    <w:rsid w:val="00300AFC"/>
    <w:rsid w:val="00300C7F"/>
    <w:rsid w:val="00301068"/>
    <w:rsid w:val="00302126"/>
    <w:rsid w:val="0030297C"/>
    <w:rsid w:val="00302DE5"/>
    <w:rsid w:val="00302EF1"/>
    <w:rsid w:val="00302F4C"/>
    <w:rsid w:val="003034CF"/>
    <w:rsid w:val="003035AD"/>
    <w:rsid w:val="00303B3C"/>
    <w:rsid w:val="00305488"/>
    <w:rsid w:val="003061DB"/>
    <w:rsid w:val="00306B0E"/>
    <w:rsid w:val="00307209"/>
    <w:rsid w:val="00307930"/>
    <w:rsid w:val="00307ADA"/>
    <w:rsid w:val="00307E17"/>
    <w:rsid w:val="0031003D"/>
    <w:rsid w:val="0031099E"/>
    <w:rsid w:val="003118A7"/>
    <w:rsid w:val="00311CCA"/>
    <w:rsid w:val="0031258A"/>
    <w:rsid w:val="00312DB2"/>
    <w:rsid w:val="00312DC1"/>
    <w:rsid w:val="003134A1"/>
    <w:rsid w:val="00313A7C"/>
    <w:rsid w:val="00314DF5"/>
    <w:rsid w:val="0031516B"/>
    <w:rsid w:val="00315885"/>
    <w:rsid w:val="00316B95"/>
    <w:rsid w:val="00316C68"/>
    <w:rsid w:val="00317042"/>
    <w:rsid w:val="003172E9"/>
    <w:rsid w:val="00317C01"/>
    <w:rsid w:val="00317FC7"/>
    <w:rsid w:val="00320484"/>
    <w:rsid w:val="0032109E"/>
    <w:rsid w:val="00321349"/>
    <w:rsid w:val="00321493"/>
    <w:rsid w:val="00321577"/>
    <w:rsid w:val="00321AF0"/>
    <w:rsid w:val="00321B89"/>
    <w:rsid w:val="00321BC9"/>
    <w:rsid w:val="00321BDB"/>
    <w:rsid w:val="00322067"/>
    <w:rsid w:val="00322CF1"/>
    <w:rsid w:val="00322E1B"/>
    <w:rsid w:val="00322E76"/>
    <w:rsid w:val="00325D68"/>
    <w:rsid w:val="00325DEE"/>
    <w:rsid w:val="00326191"/>
    <w:rsid w:val="0032621C"/>
    <w:rsid w:val="003264A7"/>
    <w:rsid w:val="00330321"/>
    <w:rsid w:val="003308C7"/>
    <w:rsid w:val="00330FC1"/>
    <w:rsid w:val="00331A48"/>
    <w:rsid w:val="00331F3B"/>
    <w:rsid w:val="00332075"/>
    <w:rsid w:val="00332DA2"/>
    <w:rsid w:val="00333185"/>
    <w:rsid w:val="003334A3"/>
    <w:rsid w:val="00333FE2"/>
    <w:rsid w:val="0033448B"/>
    <w:rsid w:val="00334C66"/>
    <w:rsid w:val="003356CE"/>
    <w:rsid w:val="003356F4"/>
    <w:rsid w:val="00335B97"/>
    <w:rsid w:val="003362D5"/>
    <w:rsid w:val="003365BF"/>
    <w:rsid w:val="00336EA6"/>
    <w:rsid w:val="00337177"/>
    <w:rsid w:val="00340F25"/>
    <w:rsid w:val="00340F28"/>
    <w:rsid w:val="00341267"/>
    <w:rsid w:val="00341301"/>
    <w:rsid w:val="003413A5"/>
    <w:rsid w:val="00341CD7"/>
    <w:rsid w:val="0034201B"/>
    <w:rsid w:val="00342960"/>
    <w:rsid w:val="00342EBA"/>
    <w:rsid w:val="00343417"/>
    <w:rsid w:val="00343AE2"/>
    <w:rsid w:val="00343B6C"/>
    <w:rsid w:val="00343FD1"/>
    <w:rsid w:val="00344AEB"/>
    <w:rsid w:val="00344F32"/>
    <w:rsid w:val="00346130"/>
    <w:rsid w:val="003464A3"/>
    <w:rsid w:val="0034691B"/>
    <w:rsid w:val="00347016"/>
    <w:rsid w:val="003474F0"/>
    <w:rsid w:val="00347DDD"/>
    <w:rsid w:val="00347E88"/>
    <w:rsid w:val="003508DC"/>
    <w:rsid w:val="0035123C"/>
    <w:rsid w:val="00353E4C"/>
    <w:rsid w:val="00354D09"/>
    <w:rsid w:val="00356011"/>
    <w:rsid w:val="003564EF"/>
    <w:rsid w:val="00356938"/>
    <w:rsid w:val="00360594"/>
    <w:rsid w:val="00362758"/>
    <w:rsid w:val="003631EE"/>
    <w:rsid w:val="003632D9"/>
    <w:rsid w:val="00363902"/>
    <w:rsid w:val="00363BB3"/>
    <w:rsid w:val="00363C45"/>
    <w:rsid w:val="003646C3"/>
    <w:rsid w:val="00364EEB"/>
    <w:rsid w:val="003651A6"/>
    <w:rsid w:val="003653F7"/>
    <w:rsid w:val="00366E31"/>
    <w:rsid w:val="003670BB"/>
    <w:rsid w:val="0036780D"/>
    <w:rsid w:val="00367A65"/>
    <w:rsid w:val="003702A6"/>
    <w:rsid w:val="00370619"/>
    <w:rsid w:val="00370875"/>
    <w:rsid w:val="0037143B"/>
    <w:rsid w:val="00371792"/>
    <w:rsid w:val="00371CE9"/>
    <w:rsid w:val="00372597"/>
    <w:rsid w:val="00373B36"/>
    <w:rsid w:val="003740AC"/>
    <w:rsid w:val="0037484F"/>
    <w:rsid w:val="00374D89"/>
    <w:rsid w:val="003757E5"/>
    <w:rsid w:val="00376CFE"/>
    <w:rsid w:val="00376D5D"/>
    <w:rsid w:val="00377A85"/>
    <w:rsid w:val="00380D4D"/>
    <w:rsid w:val="00380F55"/>
    <w:rsid w:val="00381207"/>
    <w:rsid w:val="003813F5"/>
    <w:rsid w:val="003817FE"/>
    <w:rsid w:val="00381981"/>
    <w:rsid w:val="00381F63"/>
    <w:rsid w:val="00381FC9"/>
    <w:rsid w:val="003821A8"/>
    <w:rsid w:val="00383434"/>
    <w:rsid w:val="00383E03"/>
    <w:rsid w:val="00384405"/>
    <w:rsid w:val="003848B5"/>
    <w:rsid w:val="003848D3"/>
    <w:rsid w:val="00385208"/>
    <w:rsid w:val="003855C0"/>
    <w:rsid w:val="0038643D"/>
    <w:rsid w:val="0038794D"/>
    <w:rsid w:val="003904F0"/>
    <w:rsid w:val="00390FF4"/>
    <w:rsid w:val="0039120A"/>
    <w:rsid w:val="00392282"/>
    <w:rsid w:val="00392D4F"/>
    <w:rsid w:val="003940E8"/>
    <w:rsid w:val="00394253"/>
    <w:rsid w:val="003946B6"/>
    <w:rsid w:val="00394E85"/>
    <w:rsid w:val="00395026"/>
    <w:rsid w:val="00395267"/>
    <w:rsid w:val="003952C4"/>
    <w:rsid w:val="00395CB2"/>
    <w:rsid w:val="00395D5F"/>
    <w:rsid w:val="0039784E"/>
    <w:rsid w:val="00397EB0"/>
    <w:rsid w:val="003A0DB6"/>
    <w:rsid w:val="003A16EB"/>
    <w:rsid w:val="003A2454"/>
    <w:rsid w:val="003A3499"/>
    <w:rsid w:val="003A35A1"/>
    <w:rsid w:val="003A43D0"/>
    <w:rsid w:val="003A4DAD"/>
    <w:rsid w:val="003A4FDF"/>
    <w:rsid w:val="003A53F8"/>
    <w:rsid w:val="003A560B"/>
    <w:rsid w:val="003A5EB3"/>
    <w:rsid w:val="003A6669"/>
    <w:rsid w:val="003A6A04"/>
    <w:rsid w:val="003A6B5C"/>
    <w:rsid w:val="003B0439"/>
    <w:rsid w:val="003B0869"/>
    <w:rsid w:val="003B0DFF"/>
    <w:rsid w:val="003B0EBA"/>
    <w:rsid w:val="003B14BC"/>
    <w:rsid w:val="003B1725"/>
    <w:rsid w:val="003B1C04"/>
    <w:rsid w:val="003B2041"/>
    <w:rsid w:val="003B269A"/>
    <w:rsid w:val="003B28A7"/>
    <w:rsid w:val="003B335C"/>
    <w:rsid w:val="003B3EBC"/>
    <w:rsid w:val="003B4047"/>
    <w:rsid w:val="003B4EA0"/>
    <w:rsid w:val="003B6E41"/>
    <w:rsid w:val="003B79DF"/>
    <w:rsid w:val="003B7A21"/>
    <w:rsid w:val="003C07AC"/>
    <w:rsid w:val="003C0B57"/>
    <w:rsid w:val="003C0FE6"/>
    <w:rsid w:val="003C19B1"/>
    <w:rsid w:val="003C3496"/>
    <w:rsid w:val="003C399B"/>
    <w:rsid w:val="003C3B94"/>
    <w:rsid w:val="003C4306"/>
    <w:rsid w:val="003C5306"/>
    <w:rsid w:val="003C5CD5"/>
    <w:rsid w:val="003C62FE"/>
    <w:rsid w:val="003C65F4"/>
    <w:rsid w:val="003C6B8F"/>
    <w:rsid w:val="003C74BC"/>
    <w:rsid w:val="003C75FF"/>
    <w:rsid w:val="003D0497"/>
    <w:rsid w:val="003D0BC6"/>
    <w:rsid w:val="003D1789"/>
    <w:rsid w:val="003D208E"/>
    <w:rsid w:val="003D2807"/>
    <w:rsid w:val="003D3305"/>
    <w:rsid w:val="003D351C"/>
    <w:rsid w:val="003D36C4"/>
    <w:rsid w:val="003D396A"/>
    <w:rsid w:val="003D3DDB"/>
    <w:rsid w:val="003D3DF4"/>
    <w:rsid w:val="003D4C2B"/>
    <w:rsid w:val="003D66C9"/>
    <w:rsid w:val="003D733D"/>
    <w:rsid w:val="003D7A21"/>
    <w:rsid w:val="003D7C6B"/>
    <w:rsid w:val="003D7D56"/>
    <w:rsid w:val="003D7EF0"/>
    <w:rsid w:val="003E0987"/>
    <w:rsid w:val="003E1568"/>
    <w:rsid w:val="003E23F4"/>
    <w:rsid w:val="003E27C9"/>
    <w:rsid w:val="003E32A3"/>
    <w:rsid w:val="003E3526"/>
    <w:rsid w:val="003E3709"/>
    <w:rsid w:val="003E3DC3"/>
    <w:rsid w:val="003E5C2B"/>
    <w:rsid w:val="003E74A6"/>
    <w:rsid w:val="003F047F"/>
    <w:rsid w:val="003F0F16"/>
    <w:rsid w:val="003F12E2"/>
    <w:rsid w:val="003F212A"/>
    <w:rsid w:val="003F2E53"/>
    <w:rsid w:val="003F2F03"/>
    <w:rsid w:val="003F2F0F"/>
    <w:rsid w:val="003F3219"/>
    <w:rsid w:val="003F32F3"/>
    <w:rsid w:val="003F366B"/>
    <w:rsid w:val="003F4594"/>
    <w:rsid w:val="003F46A0"/>
    <w:rsid w:val="003F492B"/>
    <w:rsid w:val="003F4EE4"/>
    <w:rsid w:val="003F56B8"/>
    <w:rsid w:val="003F5C70"/>
    <w:rsid w:val="003F6A8B"/>
    <w:rsid w:val="003F6B42"/>
    <w:rsid w:val="003F6BD4"/>
    <w:rsid w:val="003F72D2"/>
    <w:rsid w:val="003F76B9"/>
    <w:rsid w:val="003F7BD1"/>
    <w:rsid w:val="004005AF"/>
    <w:rsid w:val="004018BA"/>
    <w:rsid w:val="00401D31"/>
    <w:rsid w:val="00401ECD"/>
    <w:rsid w:val="0040275F"/>
    <w:rsid w:val="004029C9"/>
    <w:rsid w:val="0040391F"/>
    <w:rsid w:val="00403B07"/>
    <w:rsid w:val="00403BA7"/>
    <w:rsid w:val="00403CA8"/>
    <w:rsid w:val="00404045"/>
    <w:rsid w:val="004045D3"/>
    <w:rsid w:val="00404E20"/>
    <w:rsid w:val="00404EAA"/>
    <w:rsid w:val="00405189"/>
    <w:rsid w:val="0040527E"/>
    <w:rsid w:val="0040530F"/>
    <w:rsid w:val="004053A6"/>
    <w:rsid w:val="004059E0"/>
    <w:rsid w:val="00405BA5"/>
    <w:rsid w:val="00406FB4"/>
    <w:rsid w:val="00407104"/>
    <w:rsid w:val="0040715C"/>
    <w:rsid w:val="00407554"/>
    <w:rsid w:val="00407597"/>
    <w:rsid w:val="00407E60"/>
    <w:rsid w:val="00407F10"/>
    <w:rsid w:val="00410492"/>
    <w:rsid w:val="004122AB"/>
    <w:rsid w:val="004126E0"/>
    <w:rsid w:val="00412E14"/>
    <w:rsid w:val="004134D9"/>
    <w:rsid w:val="004134E4"/>
    <w:rsid w:val="004135AA"/>
    <w:rsid w:val="004136CB"/>
    <w:rsid w:val="0041388D"/>
    <w:rsid w:val="00413DD7"/>
    <w:rsid w:val="00414402"/>
    <w:rsid w:val="00415009"/>
    <w:rsid w:val="004152BB"/>
    <w:rsid w:val="004159A1"/>
    <w:rsid w:val="004168EA"/>
    <w:rsid w:val="00416D6B"/>
    <w:rsid w:val="00417DC1"/>
    <w:rsid w:val="00420813"/>
    <w:rsid w:val="00420E5F"/>
    <w:rsid w:val="00422575"/>
    <w:rsid w:val="00422587"/>
    <w:rsid w:val="00423F9A"/>
    <w:rsid w:val="00424098"/>
    <w:rsid w:val="00424B51"/>
    <w:rsid w:val="00424EF7"/>
    <w:rsid w:val="00425912"/>
    <w:rsid w:val="004259E7"/>
    <w:rsid w:val="00426581"/>
    <w:rsid w:val="00426727"/>
    <w:rsid w:val="00426AC0"/>
    <w:rsid w:val="00427694"/>
    <w:rsid w:val="004306F0"/>
    <w:rsid w:val="00430979"/>
    <w:rsid w:val="00430C94"/>
    <w:rsid w:val="00431BC8"/>
    <w:rsid w:val="00431EB4"/>
    <w:rsid w:val="00432379"/>
    <w:rsid w:val="00433B3B"/>
    <w:rsid w:val="00433B97"/>
    <w:rsid w:val="0043417B"/>
    <w:rsid w:val="00434589"/>
    <w:rsid w:val="00434703"/>
    <w:rsid w:val="00434B26"/>
    <w:rsid w:val="0043598B"/>
    <w:rsid w:val="00436059"/>
    <w:rsid w:val="00436121"/>
    <w:rsid w:val="00436263"/>
    <w:rsid w:val="004364AB"/>
    <w:rsid w:val="0043674F"/>
    <w:rsid w:val="00437184"/>
    <w:rsid w:val="00437A36"/>
    <w:rsid w:val="00440A6E"/>
    <w:rsid w:val="00440E18"/>
    <w:rsid w:val="00440E7E"/>
    <w:rsid w:val="004411F5"/>
    <w:rsid w:val="00441A2F"/>
    <w:rsid w:val="00441BD4"/>
    <w:rsid w:val="004428A9"/>
    <w:rsid w:val="00442B9A"/>
    <w:rsid w:val="00443BC2"/>
    <w:rsid w:val="00443EC1"/>
    <w:rsid w:val="004444A0"/>
    <w:rsid w:val="00445168"/>
    <w:rsid w:val="004456F3"/>
    <w:rsid w:val="00445A90"/>
    <w:rsid w:val="00445B42"/>
    <w:rsid w:val="00445F70"/>
    <w:rsid w:val="004461C6"/>
    <w:rsid w:val="0044657D"/>
    <w:rsid w:val="00446598"/>
    <w:rsid w:val="00447366"/>
    <w:rsid w:val="0044754B"/>
    <w:rsid w:val="0044777B"/>
    <w:rsid w:val="004477F1"/>
    <w:rsid w:val="00447F7F"/>
    <w:rsid w:val="0045030D"/>
    <w:rsid w:val="0045078D"/>
    <w:rsid w:val="00450BEA"/>
    <w:rsid w:val="00450EF0"/>
    <w:rsid w:val="004510A0"/>
    <w:rsid w:val="004512A9"/>
    <w:rsid w:val="0045158F"/>
    <w:rsid w:val="00451E14"/>
    <w:rsid w:val="00452717"/>
    <w:rsid w:val="00452FB3"/>
    <w:rsid w:val="00453E24"/>
    <w:rsid w:val="004550EB"/>
    <w:rsid w:val="00455D83"/>
    <w:rsid w:val="00455FE1"/>
    <w:rsid w:val="004566DB"/>
    <w:rsid w:val="00456898"/>
    <w:rsid w:val="004569A5"/>
    <w:rsid w:val="004569FA"/>
    <w:rsid w:val="00456BFF"/>
    <w:rsid w:val="00456DAB"/>
    <w:rsid w:val="00457230"/>
    <w:rsid w:val="00457D2C"/>
    <w:rsid w:val="00457DBD"/>
    <w:rsid w:val="00457EA6"/>
    <w:rsid w:val="00460105"/>
    <w:rsid w:val="004605BC"/>
    <w:rsid w:val="00460BEB"/>
    <w:rsid w:val="0046182D"/>
    <w:rsid w:val="00461BB5"/>
    <w:rsid w:val="00461D4F"/>
    <w:rsid w:val="00461F02"/>
    <w:rsid w:val="00462987"/>
    <w:rsid w:val="00462C59"/>
    <w:rsid w:val="00464230"/>
    <w:rsid w:val="00464F36"/>
    <w:rsid w:val="00465FC4"/>
    <w:rsid w:val="00466857"/>
    <w:rsid w:val="0046700B"/>
    <w:rsid w:val="004676C1"/>
    <w:rsid w:val="00467BD3"/>
    <w:rsid w:val="00467C95"/>
    <w:rsid w:val="00467ED4"/>
    <w:rsid w:val="004704B0"/>
    <w:rsid w:val="0047224F"/>
    <w:rsid w:val="00472DC2"/>
    <w:rsid w:val="00472E37"/>
    <w:rsid w:val="00472FC6"/>
    <w:rsid w:val="004731F2"/>
    <w:rsid w:val="004739B6"/>
    <w:rsid w:val="00474601"/>
    <w:rsid w:val="00474C4E"/>
    <w:rsid w:val="00475661"/>
    <w:rsid w:val="004761CA"/>
    <w:rsid w:val="00476641"/>
    <w:rsid w:val="00476830"/>
    <w:rsid w:val="00476E3B"/>
    <w:rsid w:val="00476F7C"/>
    <w:rsid w:val="00477621"/>
    <w:rsid w:val="00480502"/>
    <w:rsid w:val="004809A6"/>
    <w:rsid w:val="00480C98"/>
    <w:rsid w:val="00481542"/>
    <w:rsid w:val="004816AE"/>
    <w:rsid w:val="00482531"/>
    <w:rsid w:val="00482BC7"/>
    <w:rsid w:val="00482FCB"/>
    <w:rsid w:val="00483231"/>
    <w:rsid w:val="00483690"/>
    <w:rsid w:val="0048402F"/>
    <w:rsid w:val="004842FF"/>
    <w:rsid w:val="00484821"/>
    <w:rsid w:val="00485116"/>
    <w:rsid w:val="00485818"/>
    <w:rsid w:val="0048663F"/>
    <w:rsid w:val="00486DA0"/>
    <w:rsid w:val="00487199"/>
    <w:rsid w:val="004872CF"/>
    <w:rsid w:val="00487335"/>
    <w:rsid w:val="00487497"/>
    <w:rsid w:val="00490C75"/>
    <w:rsid w:val="00491D0A"/>
    <w:rsid w:val="00491F63"/>
    <w:rsid w:val="004925A1"/>
    <w:rsid w:val="0049360D"/>
    <w:rsid w:val="0049363D"/>
    <w:rsid w:val="00494402"/>
    <w:rsid w:val="004947AF"/>
    <w:rsid w:val="004947FD"/>
    <w:rsid w:val="004949B3"/>
    <w:rsid w:val="00494CDE"/>
    <w:rsid w:val="00495DD9"/>
    <w:rsid w:val="00495E4F"/>
    <w:rsid w:val="004973ED"/>
    <w:rsid w:val="00497B7B"/>
    <w:rsid w:val="00497F36"/>
    <w:rsid w:val="004A09AA"/>
    <w:rsid w:val="004A2629"/>
    <w:rsid w:val="004A30FA"/>
    <w:rsid w:val="004A3FA6"/>
    <w:rsid w:val="004A4169"/>
    <w:rsid w:val="004A4B98"/>
    <w:rsid w:val="004A4F32"/>
    <w:rsid w:val="004A5441"/>
    <w:rsid w:val="004A6CAA"/>
    <w:rsid w:val="004A6CF5"/>
    <w:rsid w:val="004A6F71"/>
    <w:rsid w:val="004A7952"/>
    <w:rsid w:val="004A79F8"/>
    <w:rsid w:val="004B0E85"/>
    <w:rsid w:val="004B1425"/>
    <w:rsid w:val="004B169F"/>
    <w:rsid w:val="004B1F8C"/>
    <w:rsid w:val="004B20AC"/>
    <w:rsid w:val="004B2294"/>
    <w:rsid w:val="004B372F"/>
    <w:rsid w:val="004B45A6"/>
    <w:rsid w:val="004B4BEE"/>
    <w:rsid w:val="004B4E57"/>
    <w:rsid w:val="004B5089"/>
    <w:rsid w:val="004B53BA"/>
    <w:rsid w:val="004B57DB"/>
    <w:rsid w:val="004B61B8"/>
    <w:rsid w:val="004B61F1"/>
    <w:rsid w:val="004B6DAB"/>
    <w:rsid w:val="004B7539"/>
    <w:rsid w:val="004B7EDC"/>
    <w:rsid w:val="004C0A9E"/>
    <w:rsid w:val="004C13CC"/>
    <w:rsid w:val="004C1D2D"/>
    <w:rsid w:val="004C1D7D"/>
    <w:rsid w:val="004C26E5"/>
    <w:rsid w:val="004C3350"/>
    <w:rsid w:val="004C3AB8"/>
    <w:rsid w:val="004C49FB"/>
    <w:rsid w:val="004C523B"/>
    <w:rsid w:val="004C5BAD"/>
    <w:rsid w:val="004C6163"/>
    <w:rsid w:val="004C68E3"/>
    <w:rsid w:val="004C7334"/>
    <w:rsid w:val="004C7377"/>
    <w:rsid w:val="004C75EC"/>
    <w:rsid w:val="004C7651"/>
    <w:rsid w:val="004C79A0"/>
    <w:rsid w:val="004D0ACF"/>
    <w:rsid w:val="004D0DFC"/>
    <w:rsid w:val="004D0EF2"/>
    <w:rsid w:val="004D140E"/>
    <w:rsid w:val="004D238A"/>
    <w:rsid w:val="004D24E3"/>
    <w:rsid w:val="004D301D"/>
    <w:rsid w:val="004D3AD0"/>
    <w:rsid w:val="004D3CEB"/>
    <w:rsid w:val="004D4312"/>
    <w:rsid w:val="004D46FD"/>
    <w:rsid w:val="004D4DBB"/>
    <w:rsid w:val="004D50F2"/>
    <w:rsid w:val="004D51F0"/>
    <w:rsid w:val="004D59DE"/>
    <w:rsid w:val="004D5FAD"/>
    <w:rsid w:val="004D6553"/>
    <w:rsid w:val="004D6E40"/>
    <w:rsid w:val="004D6E8F"/>
    <w:rsid w:val="004D72C1"/>
    <w:rsid w:val="004D7FD5"/>
    <w:rsid w:val="004E17CD"/>
    <w:rsid w:val="004E24CE"/>
    <w:rsid w:val="004E2B93"/>
    <w:rsid w:val="004E3E63"/>
    <w:rsid w:val="004E40B5"/>
    <w:rsid w:val="004E4800"/>
    <w:rsid w:val="004E53FA"/>
    <w:rsid w:val="004E58E9"/>
    <w:rsid w:val="004E6F4C"/>
    <w:rsid w:val="004E708C"/>
    <w:rsid w:val="004E725A"/>
    <w:rsid w:val="004F034D"/>
    <w:rsid w:val="004F0457"/>
    <w:rsid w:val="004F086B"/>
    <w:rsid w:val="004F0CEC"/>
    <w:rsid w:val="004F0E58"/>
    <w:rsid w:val="004F0F4C"/>
    <w:rsid w:val="004F1A5C"/>
    <w:rsid w:val="004F1EB4"/>
    <w:rsid w:val="004F2172"/>
    <w:rsid w:val="004F217B"/>
    <w:rsid w:val="004F2381"/>
    <w:rsid w:val="004F25AA"/>
    <w:rsid w:val="004F302D"/>
    <w:rsid w:val="004F36CE"/>
    <w:rsid w:val="004F3C6D"/>
    <w:rsid w:val="004F4126"/>
    <w:rsid w:val="004F5952"/>
    <w:rsid w:val="004F681E"/>
    <w:rsid w:val="004F7448"/>
    <w:rsid w:val="004F74CF"/>
    <w:rsid w:val="004F774C"/>
    <w:rsid w:val="004F790E"/>
    <w:rsid w:val="00500791"/>
    <w:rsid w:val="005011A6"/>
    <w:rsid w:val="0050152D"/>
    <w:rsid w:val="00501AF0"/>
    <w:rsid w:val="00501CBA"/>
    <w:rsid w:val="00501EF2"/>
    <w:rsid w:val="00502BC6"/>
    <w:rsid w:val="00502E27"/>
    <w:rsid w:val="00503FB5"/>
    <w:rsid w:val="0050453C"/>
    <w:rsid w:val="00504547"/>
    <w:rsid w:val="005056A8"/>
    <w:rsid w:val="005060CB"/>
    <w:rsid w:val="0050657D"/>
    <w:rsid w:val="0050749B"/>
    <w:rsid w:val="00507D7B"/>
    <w:rsid w:val="00510119"/>
    <w:rsid w:val="005101AE"/>
    <w:rsid w:val="005102A4"/>
    <w:rsid w:val="0051055C"/>
    <w:rsid w:val="00510B8C"/>
    <w:rsid w:val="00510E75"/>
    <w:rsid w:val="0051122B"/>
    <w:rsid w:val="00511A9C"/>
    <w:rsid w:val="00512D78"/>
    <w:rsid w:val="00512DE3"/>
    <w:rsid w:val="00512E95"/>
    <w:rsid w:val="005133C6"/>
    <w:rsid w:val="005137FD"/>
    <w:rsid w:val="00514288"/>
    <w:rsid w:val="005149F7"/>
    <w:rsid w:val="00514A8B"/>
    <w:rsid w:val="00514ECF"/>
    <w:rsid w:val="00515EF4"/>
    <w:rsid w:val="00516278"/>
    <w:rsid w:val="0051790F"/>
    <w:rsid w:val="0052042C"/>
    <w:rsid w:val="00521B46"/>
    <w:rsid w:val="00521EDA"/>
    <w:rsid w:val="00521F6D"/>
    <w:rsid w:val="005222DD"/>
    <w:rsid w:val="005223E9"/>
    <w:rsid w:val="0052340D"/>
    <w:rsid w:val="00524303"/>
    <w:rsid w:val="005247C1"/>
    <w:rsid w:val="00524C9D"/>
    <w:rsid w:val="00525936"/>
    <w:rsid w:val="00525976"/>
    <w:rsid w:val="00525BC3"/>
    <w:rsid w:val="00526667"/>
    <w:rsid w:val="0052716F"/>
    <w:rsid w:val="005273EB"/>
    <w:rsid w:val="00527DC0"/>
    <w:rsid w:val="00530493"/>
    <w:rsid w:val="0053069E"/>
    <w:rsid w:val="0053098D"/>
    <w:rsid w:val="00530D1A"/>
    <w:rsid w:val="005310A7"/>
    <w:rsid w:val="00531B3A"/>
    <w:rsid w:val="00532226"/>
    <w:rsid w:val="00532586"/>
    <w:rsid w:val="005326DD"/>
    <w:rsid w:val="005328B4"/>
    <w:rsid w:val="00532997"/>
    <w:rsid w:val="00532FF2"/>
    <w:rsid w:val="00533233"/>
    <w:rsid w:val="005335B1"/>
    <w:rsid w:val="00533DD5"/>
    <w:rsid w:val="0053420D"/>
    <w:rsid w:val="00535078"/>
    <w:rsid w:val="00535236"/>
    <w:rsid w:val="005354F4"/>
    <w:rsid w:val="00535A01"/>
    <w:rsid w:val="00535D57"/>
    <w:rsid w:val="0053721F"/>
    <w:rsid w:val="0053726B"/>
    <w:rsid w:val="00540043"/>
    <w:rsid w:val="005403A3"/>
    <w:rsid w:val="00540635"/>
    <w:rsid w:val="00540725"/>
    <w:rsid w:val="0054095E"/>
    <w:rsid w:val="00541075"/>
    <w:rsid w:val="005414D7"/>
    <w:rsid w:val="00541963"/>
    <w:rsid w:val="00541A9D"/>
    <w:rsid w:val="00541C3A"/>
    <w:rsid w:val="005422AA"/>
    <w:rsid w:val="0054282A"/>
    <w:rsid w:val="0054317D"/>
    <w:rsid w:val="0054334B"/>
    <w:rsid w:val="00543682"/>
    <w:rsid w:val="00543ACC"/>
    <w:rsid w:val="00544156"/>
    <w:rsid w:val="005442A2"/>
    <w:rsid w:val="00544654"/>
    <w:rsid w:val="00544A38"/>
    <w:rsid w:val="00544D9F"/>
    <w:rsid w:val="0054505A"/>
    <w:rsid w:val="00545073"/>
    <w:rsid w:val="00545638"/>
    <w:rsid w:val="00545D0C"/>
    <w:rsid w:val="00546672"/>
    <w:rsid w:val="005469CB"/>
    <w:rsid w:val="00546D35"/>
    <w:rsid w:val="005470A9"/>
    <w:rsid w:val="0054734D"/>
    <w:rsid w:val="00547437"/>
    <w:rsid w:val="00547B5F"/>
    <w:rsid w:val="00550011"/>
    <w:rsid w:val="005509B2"/>
    <w:rsid w:val="00550B50"/>
    <w:rsid w:val="00551AC5"/>
    <w:rsid w:val="00551AEB"/>
    <w:rsid w:val="00551F10"/>
    <w:rsid w:val="00552F1B"/>
    <w:rsid w:val="00552F9A"/>
    <w:rsid w:val="005533FF"/>
    <w:rsid w:val="00553404"/>
    <w:rsid w:val="005535A4"/>
    <w:rsid w:val="00553757"/>
    <w:rsid w:val="00553BA1"/>
    <w:rsid w:val="00554F41"/>
    <w:rsid w:val="00554F9B"/>
    <w:rsid w:val="0055550A"/>
    <w:rsid w:val="00555965"/>
    <w:rsid w:val="00555EB8"/>
    <w:rsid w:val="00555F8A"/>
    <w:rsid w:val="00557978"/>
    <w:rsid w:val="005611BD"/>
    <w:rsid w:val="0056125C"/>
    <w:rsid w:val="00561361"/>
    <w:rsid w:val="00561759"/>
    <w:rsid w:val="005618C8"/>
    <w:rsid w:val="005619BB"/>
    <w:rsid w:val="00561F63"/>
    <w:rsid w:val="005628C2"/>
    <w:rsid w:val="00562EF3"/>
    <w:rsid w:val="00563C5A"/>
    <w:rsid w:val="005642C9"/>
    <w:rsid w:val="00564419"/>
    <w:rsid w:val="00564502"/>
    <w:rsid w:val="00564697"/>
    <w:rsid w:val="005647D5"/>
    <w:rsid w:val="00564A6A"/>
    <w:rsid w:val="00564C66"/>
    <w:rsid w:val="00567AA6"/>
    <w:rsid w:val="00567AAC"/>
    <w:rsid w:val="00567D13"/>
    <w:rsid w:val="00571855"/>
    <w:rsid w:val="00571E1D"/>
    <w:rsid w:val="0057200E"/>
    <w:rsid w:val="00573E54"/>
    <w:rsid w:val="005741AA"/>
    <w:rsid w:val="00574A83"/>
    <w:rsid w:val="00575105"/>
    <w:rsid w:val="0057545C"/>
    <w:rsid w:val="00575833"/>
    <w:rsid w:val="00576357"/>
    <w:rsid w:val="00576763"/>
    <w:rsid w:val="00577174"/>
    <w:rsid w:val="00577A42"/>
    <w:rsid w:val="00577E49"/>
    <w:rsid w:val="005801B7"/>
    <w:rsid w:val="00581323"/>
    <w:rsid w:val="00581A06"/>
    <w:rsid w:val="005832C5"/>
    <w:rsid w:val="00583F72"/>
    <w:rsid w:val="00584073"/>
    <w:rsid w:val="00584113"/>
    <w:rsid w:val="0058430D"/>
    <w:rsid w:val="00584AA2"/>
    <w:rsid w:val="005851AA"/>
    <w:rsid w:val="0058568A"/>
    <w:rsid w:val="0058574B"/>
    <w:rsid w:val="005857A9"/>
    <w:rsid w:val="00585A48"/>
    <w:rsid w:val="005867EC"/>
    <w:rsid w:val="005868CF"/>
    <w:rsid w:val="00586E9A"/>
    <w:rsid w:val="00591147"/>
    <w:rsid w:val="005923D3"/>
    <w:rsid w:val="00592582"/>
    <w:rsid w:val="00592971"/>
    <w:rsid w:val="00592E6E"/>
    <w:rsid w:val="00593CC9"/>
    <w:rsid w:val="00594255"/>
    <w:rsid w:val="00594501"/>
    <w:rsid w:val="00595AF5"/>
    <w:rsid w:val="00595E65"/>
    <w:rsid w:val="00596230"/>
    <w:rsid w:val="00596759"/>
    <w:rsid w:val="005968D8"/>
    <w:rsid w:val="005968EB"/>
    <w:rsid w:val="0059704A"/>
    <w:rsid w:val="00597218"/>
    <w:rsid w:val="005975D4"/>
    <w:rsid w:val="00597E8D"/>
    <w:rsid w:val="00597F42"/>
    <w:rsid w:val="005A0966"/>
    <w:rsid w:val="005A0DDC"/>
    <w:rsid w:val="005A1265"/>
    <w:rsid w:val="005A2044"/>
    <w:rsid w:val="005A2188"/>
    <w:rsid w:val="005A2599"/>
    <w:rsid w:val="005A3847"/>
    <w:rsid w:val="005A483A"/>
    <w:rsid w:val="005A5401"/>
    <w:rsid w:val="005A554E"/>
    <w:rsid w:val="005A6CD3"/>
    <w:rsid w:val="005A6F8B"/>
    <w:rsid w:val="005A6FFF"/>
    <w:rsid w:val="005B0F61"/>
    <w:rsid w:val="005B103D"/>
    <w:rsid w:val="005B1CA1"/>
    <w:rsid w:val="005B1CA5"/>
    <w:rsid w:val="005B1F4D"/>
    <w:rsid w:val="005B272A"/>
    <w:rsid w:val="005B2831"/>
    <w:rsid w:val="005B28FA"/>
    <w:rsid w:val="005B41C8"/>
    <w:rsid w:val="005B501D"/>
    <w:rsid w:val="005B559A"/>
    <w:rsid w:val="005B5A76"/>
    <w:rsid w:val="005B6F66"/>
    <w:rsid w:val="005B7359"/>
    <w:rsid w:val="005C0605"/>
    <w:rsid w:val="005C061C"/>
    <w:rsid w:val="005C0FEC"/>
    <w:rsid w:val="005C12F7"/>
    <w:rsid w:val="005C1C74"/>
    <w:rsid w:val="005C2155"/>
    <w:rsid w:val="005C299D"/>
    <w:rsid w:val="005C2B44"/>
    <w:rsid w:val="005C2F5C"/>
    <w:rsid w:val="005C378B"/>
    <w:rsid w:val="005C3AEA"/>
    <w:rsid w:val="005C40C4"/>
    <w:rsid w:val="005C433D"/>
    <w:rsid w:val="005C59AF"/>
    <w:rsid w:val="005C5A28"/>
    <w:rsid w:val="005C601C"/>
    <w:rsid w:val="005C638F"/>
    <w:rsid w:val="005C6909"/>
    <w:rsid w:val="005C6953"/>
    <w:rsid w:val="005C6DC8"/>
    <w:rsid w:val="005C6E20"/>
    <w:rsid w:val="005C7157"/>
    <w:rsid w:val="005C7972"/>
    <w:rsid w:val="005C7D5F"/>
    <w:rsid w:val="005D03C4"/>
    <w:rsid w:val="005D065A"/>
    <w:rsid w:val="005D099F"/>
    <w:rsid w:val="005D0AC4"/>
    <w:rsid w:val="005D0C08"/>
    <w:rsid w:val="005D0C2F"/>
    <w:rsid w:val="005D0E79"/>
    <w:rsid w:val="005D1B4C"/>
    <w:rsid w:val="005D1FD1"/>
    <w:rsid w:val="005D2062"/>
    <w:rsid w:val="005D22F8"/>
    <w:rsid w:val="005D4367"/>
    <w:rsid w:val="005D4A94"/>
    <w:rsid w:val="005D4FFC"/>
    <w:rsid w:val="005D544A"/>
    <w:rsid w:val="005D5CB5"/>
    <w:rsid w:val="005D5E14"/>
    <w:rsid w:val="005D6244"/>
    <w:rsid w:val="005D64BB"/>
    <w:rsid w:val="005D74CC"/>
    <w:rsid w:val="005E0BE6"/>
    <w:rsid w:val="005E13BB"/>
    <w:rsid w:val="005E208E"/>
    <w:rsid w:val="005E2606"/>
    <w:rsid w:val="005E2D85"/>
    <w:rsid w:val="005E2EF6"/>
    <w:rsid w:val="005E313A"/>
    <w:rsid w:val="005E3B8C"/>
    <w:rsid w:val="005E3CA9"/>
    <w:rsid w:val="005E4900"/>
    <w:rsid w:val="005E5A82"/>
    <w:rsid w:val="005E69C9"/>
    <w:rsid w:val="005E7956"/>
    <w:rsid w:val="005E7AC5"/>
    <w:rsid w:val="005E7CF1"/>
    <w:rsid w:val="005E7F3E"/>
    <w:rsid w:val="005F068D"/>
    <w:rsid w:val="005F0BFB"/>
    <w:rsid w:val="005F0F96"/>
    <w:rsid w:val="005F10A4"/>
    <w:rsid w:val="005F1183"/>
    <w:rsid w:val="005F12BC"/>
    <w:rsid w:val="005F156B"/>
    <w:rsid w:val="005F17AF"/>
    <w:rsid w:val="005F2BBA"/>
    <w:rsid w:val="005F354A"/>
    <w:rsid w:val="005F375E"/>
    <w:rsid w:val="005F3D49"/>
    <w:rsid w:val="005F3DF4"/>
    <w:rsid w:val="005F3E63"/>
    <w:rsid w:val="005F3E99"/>
    <w:rsid w:val="005F62E5"/>
    <w:rsid w:val="005F6A67"/>
    <w:rsid w:val="005F74E2"/>
    <w:rsid w:val="005F7C2C"/>
    <w:rsid w:val="005F7C66"/>
    <w:rsid w:val="005F7CBA"/>
    <w:rsid w:val="00600926"/>
    <w:rsid w:val="00600D9A"/>
    <w:rsid w:val="00601776"/>
    <w:rsid w:val="00601FFC"/>
    <w:rsid w:val="006045E8"/>
    <w:rsid w:val="00604DCB"/>
    <w:rsid w:val="0060563F"/>
    <w:rsid w:val="0060587D"/>
    <w:rsid w:val="00605D7F"/>
    <w:rsid w:val="00605E40"/>
    <w:rsid w:val="00606577"/>
    <w:rsid w:val="006065E6"/>
    <w:rsid w:val="00606601"/>
    <w:rsid w:val="00606C14"/>
    <w:rsid w:val="0060744A"/>
    <w:rsid w:val="00607C0F"/>
    <w:rsid w:val="00607F71"/>
    <w:rsid w:val="00610C3F"/>
    <w:rsid w:val="006113F1"/>
    <w:rsid w:val="00611682"/>
    <w:rsid w:val="006119F9"/>
    <w:rsid w:val="00611C99"/>
    <w:rsid w:val="00611E56"/>
    <w:rsid w:val="0061319D"/>
    <w:rsid w:val="00613888"/>
    <w:rsid w:val="00613B33"/>
    <w:rsid w:val="006141DC"/>
    <w:rsid w:val="00614354"/>
    <w:rsid w:val="006146A3"/>
    <w:rsid w:val="0061507D"/>
    <w:rsid w:val="006155BD"/>
    <w:rsid w:val="006159AE"/>
    <w:rsid w:val="006161E0"/>
    <w:rsid w:val="006162B8"/>
    <w:rsid w:val="00616E28"/>
    <w:rsid w:val="00617627"/>
    <w:rsid w:val="00617ADC"/>
    <w:rsid w:val="00620991"/>
    <w:rsid w:val="00620CAD"/>
    <w:rsid w:val="00621767"/>
    <w:rsid w:val="0062188D"/>
    <w:rsid w:val="00622080"/>
    <w:rsid w:val="006230B9"/>
    <w:rsid w:val="00623273"/>
    <w:rsid w:val="0062346A"/>
    <w:rsid w:val="00623706"/>
    <w:rsid w:val="00623C8A"/>
    <w:rsid w:val="00623F46"/>
    <w:rsid w:val="00624C98"/>
    <w:rsid w:val="00624D19"/>
    <w:rsid w:val="0062669E"/>
    <w:rsid w:val="00626814"/>
    <w:rsid w:val="00626F5A"/>
    <w:rsid w:val="00627168"/>
    <w:rsid w:val="00627E91"/>
    <w:rsid w:val="00627F3F"/>
    <w:rsid w:val="00630E28"/>
    <w:rsid w:val="006319E9"/>
    <w:rsid w:val="00632F74"/>
    <w:rsid w:val="0063324C"/>
    <w:rsid w:val="00633463"/>
    <w:rsid w:val="0063398B"/>
    <w:rsid w:val="00633B50"/>
    <w:rsid w:val="00633CC2"/>
    <w:rsid w:val="00633DA0"/>
    <w:rsid w:val="006341AD"/>
    <w:rsid w:val="00634A1C"/>
    <w:rsid w:val="00635199"/>
    <w:rsid w:val="006357D4"/>
    <w:rsid w:val="00635E46"/>
    <w:rsid w:val="00635EBE"/>
    <w:rsid w:val="00636C5B"/>
    <w:rsid w:val="00637350"/>
    <w:rsid w:val="006379B5"/>
    <w:rsid w:val="00637D9A"/>
    <w:rsid w:val="0064110C"/>
    <w:rsid w:val="0064152F"/>
    <w:rsid w:val="0064209D"/>
    <w:rsid w:val="00642513"/>
    <w:rsid w:val="006434A0"/>
    <w:rsid w:val="00643935"/>
    <w:rsid w:val="00643B37"/>
    <w:rsid w:val="00643E10"/>
    <w:rsid w:val="00644D75"/>
    <w:rsid w:val="00645B8F"/>
    <w:rsid w:val="00647998"/>
    <w:rsid w:val="006503A1"/>
    <w:rsid w:val="006519CB"/>
    <w:rsid w:val="006519F7"/>
    <w:rsid w:val="00651A42"/>
    <w:rsid w:val="006524A3"/>
    <w:rsid w:val="00652E45"/>
    <w:rsid w:val="006532C1"/>
    <w:rsid w:val="00653423"/>
    <w:rsid w:val="006536B2"/>
    <w:rsid w:val="00653A2F"/>
    <w:rsid w:val="00653E71"/>
    <w:rsid w:val="00654656"/>
    <w:rsid w:val="00655A3E"/>
    <w:rsid w:val="006560CF"/>
    <w:rsid w:val="00656510"/>
    <w:rsid w:val="00656DCA"/>
    <w:rsid w:val="00657A3A"/>
    <w:rsid w:val="00657FD0"/>
    <w:rsid w:val="00660296"/>
    <w:rsid w:val="00660E55"/>
    <w:rsid w:val="00661180"/>
    <w:rsid w:val="0066172E"/>
    <w:rsid w:val="00661CA5"/>
    <w:rsid w:val="00662221"/>
    <w:rsid w:val="006627F9"/>
    <w:rsid w:val="00662D1B"/>
    <w:rsid w:val="00663899"/>
    <w:rsid w:val="00664357"/>
    <w:rsid w:val="00664689"/>
    <w:rsid w:val="00665883"/>
    <w:rsid w:val="00665EEE"/>
    <w:rsid w:val="006665FD"/>
    <w:rsid w:val="0066696B"/>
    <w:rsid w:val="00666EC9"/>
    <w:rsid w:val="006703F2"/>
    <w:rsid w:val="006708E9"/>
    <w:rsid w:val="00670B21"/>
    <w:rsid w:val="00671221"/>
    <w:rsid w:val="006715C9"/>
    <w:rsid w:val="006716C7"/>
    <w:rsid w:val="00671B8F"/>
    <w:rsid w:val="00672DAB"/>
    <w:rsid w:val="00672EEE"/>
    <w:rsid w:val="0067305F"/>
    <w:rsid w:val="00673475"/>
    <w:rsid w:val="006734AD"/>
    <w:rsid w:val="00673511"/>
    <w:rsid w:val="00673829"/>
    <w:rsid w:val="00673D3F"/>
    <w:rsid w:val="00673D8E"/>
    <w:rsid w:val="00673FC5"/>
    <w:rsid w:val="00674DFC"/>
    <w:rsid w:val="006756A7"/>
    <w:rsid w:val="00675BCC"/>
    <w:rsid w:val="006771A2"/>
    <w:rsid w:val="00677274"/>
    <w:rsid w:val="0067783E"/>
    <w:rsid w:val="00677C94"/>
    <w:rsid w:val="00680926"/>
    <w:rsid w:val="00680B23"/>
    <w:rsid w:val="00680B4D"/>
    <w:rsid w:val="00680E06"/>
    <w:rsid w:val="0068167B"/>
    <w:rsid w:val="0068278C"/>
    <w:rsid w:val="00682BDE"/>
    <w:rsid w:val="00682D1C"/>
    <w:rsid w:val="00682D46"/>
    <w:rsid w:val="0068311D"/>
    <w:rsid w:val="00683463"/>
    <w:rsid w:val="00683684"/>
    <w:rsid w:val="006840E2"/>
    <w:rsid w:val="006842A7"/>
    <w:rsid w:val="00684714"/>
    <w:rsid w:val="00684A60"/>
    <w:rsid w:val="00685083"/>
    <w:rsid w:val="006858D2"/>
    <w:rsid w:val="00685ABF"/>
    <w:rsid w:val="00685B0E"/>
    <w:rsid w:val="00686027"/>
    <w:rsid w:val="00686EF8"/>
    <w:rsid w:val="0068789E"/>
    <w:rsid w:val="00687E46"/>
    <w:rsid w:val="00690D0C"/>
    <w:rsid w:val="006917EB"/>
    <w:rsid w:val="00691854"/>
    <w:rsid w:val="00691D16"/>
    <w:rsid w:val="00692548"/>
    <w:rsid w:val="006925AE"/>
    <w:rsid w:val="00692F0C"/>
    <w:rsid w:val="006932CD"/>
    <w:rsid w:val="00693493"/>
    <w:rsid w:val="00693C11"/>
    <w:rsid w:val="00694578"/>
    <w:rsid w:val="00694D60"/>
    <w:rsid w:val="00695EE9"/>
    <w:rsid w:val="00696175"/>
    <w:rsid w:val="006969DF"/>
    <w:rsid w:val="0069716A"/>
    <w:rsid w:val="00697EB6"/>
    <w:rsid w:val="006A07C3"/>
    <w:rsid w:val="006A135B"/>
    <w:rsid w:val="006A16BA"/>
    <w:rsid w:val="006A1FA3"/>
    <w:rsid w:val="006A2150"/>
    <w:rsid w:val="006A2AA6"/>
    <w:rsid w:val="006A3CC0"/>
    <w:rsid w:val="006A485A"/>
    <w:rsid w:val="006A4959"/>
    <w:rsid w:val="006A4E49"/>
    <w:rsid w:val="006A4EAE"/>
    <w:rsid w:val="006A5BBD"/>
    <w:rsid w:val="006A698E"/>
    <w:rsid w:val="006A6B42"/>
    <w:rsid w:val="006A6E45"/>
    <w:rsid w:val="006A7DE7"/>
    <w:rsid w:val="006B151D"/>
    <w:rsid w:val="006B2591"/>
    <w:rsid w:val="006B3D00"/>
    <w:rsid w:val="006B5182"/>
    <w:rsid w:val="006B527D"/>
    <w:rsid w:val="006B5525"/>
    <w:rsid w:val="006B5626"/>
    <w:rsid w:val="006B5A74"/>
    <w:rsid w:val="006B5B83"/>
    <w:rsid w:val="006B5D87"/>
    <w:rsid w:val="006B62A7"/>
    <w:rsid w:val="006B662A"/>
    <w:rsid w:val="006C0116"/>
    <w:rsid w:val="006C054D"/>
    <w:rsid w:val="006C0911"/>
    <w:rsid w:val="006C0B5E"/>
    <w:rsid w:val="006C1576"/>
    <w:rsid w:val="006C1D39"/>
    <w:rsid w:val="006C1F3C"/>
    <w:rsid w:val="006C2112"/>
    <w:rsid w:val="006C2505"/>
    <w:rsid w:val="006C3083"/>
    <w:rsid w:val="006C460E"/>
    <w:rsid w:val="006C4B16"/>
    <w:rsid w:val="006C5517"/>
    <w:rsid w:val="006C61C4"/>
    <w:rsid w:val="006C620E"/>
    <w:rsid w:val="006C6900"/>
    <w:rsid w:val="006C6E4A"/>
    <w:rsid w:val="006C77E2"/>
    <w:rsid w:val="006C7A20"/>
    <w:rsid w:val="006D010B"/>
    <w:rsid w:val="006D076B"/>
    <w:rsid w:val="006D0A95"/>
    <w:rsid w:val="006D1141"/>
    <w:rsid w:val="006D1478"/>
    <w:rsid w:val="006D16C0"/>
    <w:rsid w:val="006D1B82"/>
    <w:rsid w:val="006D24F3"/>
    <w:rsid w:val="006D2693"/>
    <w:rsid w:val="006D2F02"/>
    <w:rsid w:val="006D2F54"/>
    <w:rsid w:val="006D4179"/>
    <w:rsid w:val="006D4483"/>
    <w:rsid w:val="006D4A41"/>
    <w:rsid w:val="006D569D"/>
    <w:rsid w:val="006D59E1"/>
    <w:rsid w:val="006D5EA8"/>
    <w:rsid w:val="006D6BA8"/>
    <w:rsid w:val="006D75F2"/>
    <w:rsid w:val="006E043B"/>
    <w:rsid w:val="006E0474"/>
    <w:rsid w:val="006E0977"/>
    <w:rsid w:val="006E0B7E"/>
    <w:rsid w:val="006E1280"/>
    <w:rsid w:val="006E223C"/>
    <w:rsid w:val="006E291E"/>
    <w:rsid w:val="006E2FEC"/>
    <w:rsid w:val="006E3B3F"/>
    <w:rsid w:val="006E3BAD"/>
    <w:rsid w:val="006E454E"/>
    <w:rsid w:val="006E46D0"/>
    <w:rsid w:val="006E4B32"/>
    <w:rsid w:val="006E50E4"/>
    <w:rsid w:val="006E52E3"/>
    <w:rsid w:val="006E5DF5"/>
    <w:rsid w:val="006E6064"/>
    <w:rsid w:val="006E61F6"/>
    <w:rsid w:val="006E6A2F"/>
    <w:rsid w:val="006E73AE"/>
    <w:rsid w:val="006F0662"/>
    <w:rsid w:val="006F06D9"/>
    <w:rsid w:val="006F1126"/>
    <w:rsid w:val="006F15E0"/>
    <w:rsid w:val="006F1C87"/>
    <w:rsid w:val="006F1E85"/>
    <w:rsid w:val="006F1E97"/>
    <w:rsid w:val="006F2563"/>
    <w:rsid w:val="006F341C"/>
    <w:rsid w:val="006F34E1"/>
    <w:rsid w:val="006F4716"/>
    <w:rsid w:val="006F5FE6"/>
    <w:rsid w:val="006F666A"/>
    <w:rsid w:val="006F6997"/>
    <w:rsid w:val="006F7980"/>
    <w:rsid w:val="006F7EF3"/>
    <w:rsid w:val="007005AE"/>
    <w:rsid w:val="00701000"/>
    <w:rsid w:val="007011AA"/>
    <w:rsid w:val="007014F0"/>
    <w:rsid w:val="0070170D"/>
    <w:rsid w:val="007019FA"/>
    <w:rsid w:val="0070291A"/>
    <w:rsid w:val="007029D7"/>
    <w:rsid w:val="00702DC0"/>
    <w:rsid w:val="00703344"/>
    <w:rsid w:val="007039F2"/>
    <w:rsid w:val="00704223"/>
    <w:rsid w:val="00704313"/>
    <w:rsid w:val="00704D9C"/>
    <w:rsid w:val="00704E5D"/>
    <w:rsid w:val="00705779"/>
    <w:rsid w:val="00705D8A"/>
    <w:rsid w:val="00707269"/>
    <w:rsid w:val="00707860"/>
    <w:rsid w:val="007109F7"/>
    <w:rsid w:val="00710B26"/>
    <w:rsid w:val="00710D9F"/>
    <w:rsid w:val="007110DC"/>
    <w:rsid w:val="00711815"/>
    <w:rsid w:val="00711A42"/>
    <w:rsid w:val="00711D32"/>
    <w:rsid w:val="00712C62"/>
    <w:rsid w:val="007136C0"/>
    <w:rsid w:val="00713CA8"/>
    <w:rsid w:val="007150E4"/>
    <w:rsid w:val="00715436"/>
    <w:rsid w:val="007155B2"/>
    <w:rsid w:val="007156C9"/>
    <w:rsid w:val="00715C65"/>
    <w:rsid w:val="00716276"/>
    <w:rsid w:val="0071644D"/>
    <w:rsid w:val="00716808"/>
    <w:rsid w:val="00716932"/>
    <w:rsid w:val="00716A93"/>
    <w:rsid w:val="007216AA"/>
    <w:rsid w:val="0072192B"/>
    <w:rsid w:val="00721CA3"/>
    <w:rsid w:val="007223E3"/>
    <w:rsid w:val="0072259C"/>
    <w:rsid w:val="00722EB1"/>
    <w:rsid w:val="00723C49"/>
    <w:rsid w:val="007246D4"/>
    <w:rsid w:val="00724E33"/>
    <w:rsid w:val="007257F9"/>
    <w:rsid w:val="007259BF"/>
    <w:rsid w:val="00725FDB"/>
    <w:rsid w:val="007265EF"/>
    <w:rsid w:val="00726639"/>
    <w:rsid w:val="007304A1"/>
    <w:rsid w:val="0073097F"/>
    <w:rsid w:val="00730E25"/>
    <w:rsid w:val="00731046"/>
    <w:rsid w:val="00731669"/>
    <w:rsid w:val="007316EF"/>
    <w:rsid w:val="007318F1"/>
    <w:rsid w:val="00732517"/>
    <w:rsid w:val="00733000"/>
    <w:rsid w:val="00733083"/>
    <w:rsid w:val="0073317D"/>
    <w:rsid w:val="007337E7"/>
    <w:rsid w:val="00733B71"/>
    <w:rsid w:val="007347E5"/>
    <w:rsid w:val="00734DB5"/>
    <w:rsid w:val="00734FE9"/>
    <w:rsid w:val="0073620A"/>
    <w:rsid w:val="0073680F"/>
    <w:rsid w:val="00737D73"/>
    <w:rsid w:val="00740120"/>
    <w:rsid w:val="00741BBF"/>
    <w:rsid w:val="00742030"/>
    <w:rsid w:val="00742096"/>
    <w:rsid w:val="00742AE4"/>
    <w:rsid w:val="00743DF2"/>
    <w:rsid w:val="00744A72"/>
    <w:rsid w:val="00744E62"/>
    <w:rsid w:val="00745853"/>
    <w:rsid w:val="007462BF"/>
    <w:rsid w:val="00746DAE"/>
    <w:rsid w:val="00747218"/>
    <w:rsid w:val="007475A7"/>
    <w:rsid w:val="007476EE"/>
    <w:rsid w:val="00747A8E"/>
    <w:rsid w:val="00747B6E"/>
    <w:rsid w:val="0075006B"/>
    <w:rsid w:val="0075118F"/>
    <w:rsid w:val="007514BB"/>
    <w:rsid w:val="00752382"/>
    <w:rsid w:val="00752424"/>
    <w:rsid w:val="00752730"/>
    <w:rsid w:val="00752976"/>
    <w:rsid w:val="00752FA2"/>
    <w:rsid w:val="00753527"/>
    <w:rsid w:val="00753A76"/>
    <w:rsid w:val="0075478E"/>
    <w:rsid w:val="00754795"/>
    <w:rsid w:val="00754BC8"/>
    <w:rsid w:val="007554BE"/>
    <w:rsid w:val="00755B76"/>
    <w:rsid w:val="00755BFD"/>
    <w:rsid w:val="00756E6E"/>
    <w:rsid w:val="00761047"/>
    <w:rsid w:val="00761200"/>
    <w:rsid w:val="007619B6"/>
    <w:rsid w:val="0076238C"/>
    <w:rsid w:val="007625AC"/>
    <w:rsid w:val="00762FDE"/>
    <w:rsid w:val="0076350B"/>
    <w:rsid w:val="007642DF"/>
    <w:rsid w:val="00764C0C"/>
    <w:rsid w:val="00765C85"/>
    <w:rsid w:val="00765DA8"/>
    <w:rsid w:val="00765EA8"/>
    <w:rsid w:val="00766122"/>
    <w:rsid w:val="00766665"/>
    <w:rsid w:val="0076670C"/>
    <w:rsid w:val="00766E25"/>
    <w:rsid w:val="007676FA"/>
    <w:rsid w:val="00767740"/>
    <w:rsid w:val="00767845"/>
    <w:rsid w:val="0076788A"/>
    <w:rsid w:val="00767BAB"/>
    <w:rsid w:val="007702C8"/>
    <w:rsid w:val="00770417"/>
    <w:rsid w:val="00770556"/>
    <w:rsid w:val="00770D37"/>
    <w:rsid w:val="007716B1"/>
    <w:rsid w:val="00771CE5"/>
    <w:rsid w:val="00771E0B"/>
    <w:rsid w:val="00772715"/>
    <w:rsid w:val="0077344D"/>
    <w:rsid w:val="00773C2A"/>
    <w:rsid w:val="00773EC7"/>
    <w:rsid w:val="007742D6"/>
    <w:rsid w:val="00774348"/>
    <w:rsid w:val="00774368"/>
    <w:rsid w:val="0077451D"/>
    <w:rsid w:val="007749A8"/>
    <w:rsid w:val="00774A47"/>
    <w:rsid w:val="00774C01"/>
    <w:rsid w:val="00774CA1"/>
    <w:rsid w:val="00776435"/>
    <w:rsid w:val="0077694A"/>
    <w:rsid w:val="00776F98"/>
    <w:rsid w:val="00777363"/>
    <w:rsid w:val="007775B3"/>
    <w:rsid w:val="00777FB4"/>
    <w:rsid w:val="007804B9"/>
    <w:rsid w:val="007804C9"/>
    <w:rsid w:val="00780502"/>
    <w:rsid w:val="00780D45"/>
    <w:rsid w:val="00780F4C"/>
    <w:rsid w:val="00781010"/>
    <w:rsid w:val="00781084"/>
    <w:rsid w:val="007812B4"/>
    <w:rsid w:val="00781B55"/>
    <w:rsid w:val="00782926"/>
    <w:rsid w:val="00782945"/>
    <w:rsid w:val="00782C7B"/>
    <w:rsid w:val="00783294"/>
    <w:rsid w:val="007835FC"/>
    <w:rsid w:val="00784263"/>
    <w:rsid w:val="0078558E"/>
    <w:rsid w:val="00785E3E"/>
    <w:rsid w:val="007860F3"/>
    <w:rsid w:val="007871BE"/>
    <w:rsid w:val="0078757B"/>
    <w:rsid w:val="00787996"/>
    <w:rsid w:val="00787B04"/>
    <w:rsid w:val="00787B9B"/>
    <w:rsid w:val="00787D50"/>
    <w:rsid w:val="00790594"/>
    <w:rsid w:val="00790ABA"/>
    <w:rsid w:val="007910ED"/>
    <w:rsid w:val="00793EE3"/>
    <w:rsid w:val="007944FB"/>
    <w:rsid w:val="00795604"/>
    <w:rsid w:val="0079672C"/>
    <w:rsid w:val="00796834"/>
    <w:rsid w:val="007A08BF"/>
    <w:rsid w:val="007A12FF"/>
    <w:rsid w:val="007A1B71"/>
    <w:rsid w:val="007A1DB7"/>
    <w:rsid w:val="007A1DD7"/>
    <w:rsid w:val="007A24E0"/>
    <w:rsid w:val="007A2E0B"/>
    <w:rsid w:val="007A343A"/>
    <w:rsid w:val="007A3E03"/>
    <w:rsid w:val="007A494A"/>
    <w:rsid w:val="007A5622"/>
    <w:rsid w:val="007A5B4A"/>
    <w:rsid w:val="007A5CCA"/>
    <w:rsid w:val="007A5D4D"/>
    <w:rsid w:val="007A5EE1"/>
    <w:rsid w:val="007A6D31"/>
    <w:rsid w:val="007A6D78"/>
    <w:rsid w:val="007B00EA"/>
    <w:rsid w:val="007B07AE"/>
    <w:rsid w:val="007B0ED4"/>
    <w:rsid w:val="007B2C9B"/>
    <w:rsid w:val="007B34ED"/>
    <w:rsid w:val="007B385E"/>
    <w:rsid w:val="007B4B78"/>
    <w:rsid w:val="007B4B87"/>
    <w:rsid w:val="007B5CDE"/>
    <w:rsid w:val="007B5EFE"/>
    <w:rsid w:val="007B5F4A"/>
    <w:rsid w:val="007B68D7"/>
    <w:rsid w:val="007B77A7"/>
    <w:rsid w:val="007B7A97"/>
    <w:rsid w:val="007C048D"/>
    <w:rsid w:val="007C05A9"/>
    <w:rsid w:val="007C0613"/>
    <w:rsid w:val="007C0ADA"/>
    <w:rsid w:val="007C132B"/>
    <w:rsid w:val="007C1844"/>
    <w:rsid w:val="007C1983"/>
    <w:rsid w:val="007C1AC4"/>
    <w:rsid w:val="007C21BD"/>
    <w:rsid w:val="007C2B3E"/>
    <w:rsid w:val="007C2EA7"/>
    <w:rsid w:val="007C4342"/>
    <w:rsid w:val="007C459A"/>
    <w:rsid w:val="007C549B"/>
    <w:rsid w:val="007C61F5"/>
    <w:rsid w:val="007C68D6"/>
    <w:rsid w:val="007C7313"/>
    <w:rsid w:val="007C790C"/>
    <w:rsid w:val="007D05D4"/>
    <w:rsid w:val="007D132E"/>
    <w:rsid w:val="007D156A"/>
    <w:rsid w:val="007D1ADA"/>
    <w:rsid w:val="007D22FF"/>
    <w:rsid w:val="007D2372"/>
    <w:rsid w:val="007D29D8"/>
    <w:rsid w:val="007D3E78"/>
    <w:rsid w:val="007D3E93"/>
    <w:rsid w:val="007D4221"/>
    <w:rsid w:val="007D4249"/>
    <w:rsid w:val="007D43C9"/>
    <w:rsid w:val="007D5626"/>
    <w:rsid w:val="007D56EB"/>
    <w:rsid w:val="007D57B2"/>
    <w:rsid w:val="007D5872"/>
    <w:rsid w:val="007D5D75"/>
    <w:rsid w:val="007D6F20"/>
    <w:rsid w:val="007D72BF"/>
    <w:rsid w:val="007E0105"/>
    <w:rsid w:val="007E0266"/>
    <w:rsid w:val="007E1269"/>
    <w:rsid w:val="007E2328"/>
    <w:rsid w:val="007E282A"/>
    <w:rsid w:val="007E3F14"/>
    <w:rsid w:val="007E418A"/>
    <w:rsid w:val="007E5922"/>
    <w:rsid w:val="007E7727"/>
    <w:rsid w:val="007E787D"/>
    <w:rsid w:val="007E7B7A"/>
    <w:rsid w:val="007E7DB0"/>
    <w:rsid w:val="007F0276"/>
    <w:rsid w:val="007F0C3D"/>
    <w:rsid w:val="007F1D01"/>
    <w:rsid w:val="007F27BB"/>
    <w:rsid w:val="007F2F44"/>
    <w:rsid w:val="007F3047"/>
    <w:rsid w:val="007F3377"/>
    <w:rsid w:val="007F34A9"/>
    <w:rsid w:val="007F389B"/>
    <w:rsid w:val="007F3B5E"/>
    <w:rsid w:val="007F3D92"/>
    <w:rsid w:val="007F3E3D"/>
    <w:rsid w:val="007F3FE6"/>
    <w:rsid w:val="007F41A2"/>
    <w:rsid w:val="007F49B0"/>
    <w:rsid w:val="007F4EE2"/>
    <w:rsid w:val="007F5E74"/>
    <w:rsid w:val="007F6436"/>
    <w:rsid w:val="007F6BD5"/>
    <w:rsid w:val="007F79FE"/>
    <w:rsid w:val="00800724"/>
    <w:rsid w:val="00800928"/>
    <w:rsid w:val="008041CD"/>
    <w:rsid w:val="008041F1"/>
    <w:rsid w:val="00804913"/>
    <w:rsid w:val="00804FA3"/>
    <w:rsid w:val="0080528B"/>
    <w:rsid w:val="008053A3"/>
    <w:rsid w:val="00805C71"/>
    <w:rsid w:val="008062DB"/>
    <w:rsid w:val="00806AF7"/>
    <w:rsid w:val="0080724A"/>
    <w:rsid w:val="00807286"/>
    <w:rsid w:val="0080752B"/>
    <w:rsid w:val="0080795D"/>
    <w:rsid w:val="00807C36"/>
    <w:rsid w:val="0081003D"/>
    <w:rsid w:val="00810380"/>
    <w:rsid w:val="00810623"/>
    <w:rsid w:val="00810B9E"/>
    <w:rsid w:val="0081161D"/>
    <w:rsid w:val="00812549"/>
    <w:rsid w:val="00812643"/>
    <w:rsid w:val="00812E0D"/>
    <w:rsid w:val="00813656"/>
    <w:rsid w:val="00813FC9"/>
    <w:rsid w:val="008145BA"/>
    <w:rsid w:val="00815753"/>
    <w:rsid w:val="008164DE"/>
    <w:rsid w:val="00816637"/>
    <w:rsid w:val="00817042"/>
    <w:rsid w:val="008174A4"/>
    <w:rsid w:val="00820882"/>
    <w:rsid w:val="00821824"/>
    <w:rsid w:val="00821A2D"/>
    <w:rsid w:val="008221EF"/>
    <w:rsid w:val="00822663"/>
    <w:rsid w:val="00822F15"/>
    <w:rsid w:val="00823A9F"/>
    <w:rsid w:val="00823D73"/>
    <w:rsid w:val="008263AF"/>
    <w:rsid w:val="008271B8"/>
    <w:rsid w:val="008279F8"/>
    <w:rsid w:val="00827B1F"/>
    <w:rsid w:val="00830432"/>
    <w:rsid w:val="00830472"/>
    <w:rsid w:val="00830B67"/>
    <w:rsid w:val="00830CA5"/>
    <w:rsid w:val="00831096"/>
    <w:rsid w:val="00831165"/>
    <w:rsid w:val="0083121A"/>
    <w:rsid w:val="008312C0"/>
    <w:rsid w:val="0083154C"/>
    <w:rsid w:val="00832F23"/>
    <w:rsid w:val="008331BD"/>
    <w:rsid w:val="00833215"/>
    <w:rsid w:val="00834BF3"/>
    <w:rsid w:val="00834CFA"/>
    <w:rsid w:val="0083500E"/>
    <w:rsid w:val="0083545F"/>
    <w:rsid w:val="0083582D"/>
    <w:rsid w:val="00835DCD"/>
    <w:rsid w:val="00835E30"/>
    <w:rsid w:val="00835F13"/>
    <w:rsid w:val="00836117"/>
    <w:rsid w:val="00836411"/>
    <w:rsid w:val="00836AA8"/>
    <w:rsid w:val="0083774D"/>
    <w:rsid w:val="00837B5F"/>
    <w:rsid w:val="00837E14"/>
    <w:rsid w:val="00840727"/>
    <w:rsid w:val="00840AE1"/>
    <w:rsid w:val="00840F96"/>
    <w:rsid w:val="008413A0"/>
    <w:rsid w:val="008414C4"/>
    <w:rsid w:val="00842E4B"/>
    <w:rsid w:val="00843015"/>
    <w:rsid w:val="00843406"/>
    <w:rsid w:val="008440F7"/>
    <w:rsid w:val="00844C19"/>
    <w:rsid w:val="00846057"/>
    <w:rsid w:val="00846426"/>
    <w:rsid w:val="00846616"/>
    <w:rsid w:val="00846CB9"/>
    <w:rsid w:val="0084752D"/>
    <w:rsid w:val="0085000D"/>
    <w:rsid w:val="00850395"/>
    <w:rsid w:val="008507CF"/>
    <w:rsid w:val="00850E85"/>
    <w:rsid w:val="00851FE0"/>
    <w:rsid w:val="008524D6"/>
    <w:rsid w:val="00852623"/>
    <w:rsid w:val="008526EC"/>
    <w:rsid w:val="00852CBF"/>
    <w:rsid w:val="0085308E"/>
    <w:rsid w:val="00853A0E"/>
    <w:rsid w:val="00855AC4"/>
    <w:rsid w:val="00855D7A"/>
    <w:rsid w:val="008561D3"/>
    <w:rsid w:val="00856895"/>
    <w:rsid w:val="008568A4"/>
    <w:rsid w:val="00857059"/>
    <w:rsid w:val="00857209"/>
    <w:rsid w:val="0085720F"/>
    <w:rsid w:val="008573BE"/>
    <w:rsid w:val="00860090"/>
    <w:rsid w:val="008615DC"/>
    <w:rsid w:val="00861FEC"/>
    <w:rsid w:val="0086376D"/>
    <w:rsid w:val="00863C51"/>
    <w:rsid w:val="0086405D"/>
    <w:rsid w:val="00864C0F"/>
    <w:rsid w:val="00864CF5"/>
    <w:rsid w:val="008675F4"/>
    <w:rsid w:val="00867AAE"/>
    <w:rsid w:val="00867B7D"/>
    <w:rsid w:val="00867D3C"/>
    <w:rsid w:val="0087035B"/>
    <w:rsid w:val="008713B2"/>
    <w:rsid w:val="008716CE"/>
    <w:rsid w:val="00871922"/>
    <w:rsid w:val="00871B8A"/>
    <w:rsid w:val="008728A4"/>
    <w:rsid w:val="008729B5"/>
    <w:rsid w:val="00873545"/>
    <w:rsid w:val="0087399A"/>
    <w:rsid w:val="00874868"/>
    <w:rsid w:val="0087490E"/>
    <w:rsid w:val="008749F6"/>
    <w:rsid w:val="00874A71"/>
    <w:rsid w:val="00874E71"/>
    <w:rsid w:val="00875740"/>
    <w:rsid w:val="008761C7"/>
    <w:rsid w:val="008771C5"/>
    <w:rsid w:val="008774E5"/>
    <w:rsid w:val="00877891"/>
    <w:rsid w:val="008804E2"/>
    <w:rsid w:val="00880CA2"/>
    <w:rsid w:val="008810D5"/>
    <w:rsid w:val="008817C8"/>
    <w:rsid w:val="00881D39"/>
    <w:rsid w:val="008822D7"/>
    <w:rsid w:val="00882C43"/>
    <w:rsid w:val="00882CC6"/>
    <w:rsid w:val="008834E4"/>
    <w:rsid w:val="008835A9"/>
    <w:rsid w:val="008836F2"/>
    <w:rsid w:val="0088389E"/>
    <w:rsid w:val="00884019"/>
    <w:rsid w:val="00884ACF"/>
    <w:rsid w:val="008863BA"/>
    <w:rsid w:val="008865DD"/>
    <w:rsid w:val="00887377"/>
    <w:rsid w:val="00887502"/>
    <w:rsid w:val="00887E02"/>
    <w:rsid w:val="00891785"/>
    <w:rsid w:val="008937E8"/>
    <w:rsid w:val="008939FD"/>
    <w:rsid w:val="008940CA"/>
    <w:rsid w:val="00894136"/>
    <w:rsid w:val="0089477A"/>
    <w:rsid w:val="008949DC"/>
    <w:rsid w:val="00895658"/>
    <w:rsid w:val="00895748"/>
    <w:rsid w:val="008968F4"/>
    <w:rsid w:val="00897417"/>
    <w:rsid w:val="00897D19"/>
    <w:rsid w:val="00897E26"/>
    <w:rsid w:val="008A0064"/>
    <w:rsid w:val="008A01B3"/>
    <w:rsid w:val="008A058B"/>
    <w:rsid w:val="008A0D88"/>
    <w:rsid w:val="008A0DA3"/>
    <w:rsid w:val="008A157C"/>
    <w:rsid w:val="008A2AEE"/>
    <w:rsid w:val="008A2E96"/>
    <w:rsid w:val="008A3914"/>
    <w:rsid w:val="008A4014"/>
    <w:rsid w:val="008A4B6E"/>
    <w:rsid w:val="008A5530"/>
    <w:rsid w:val="008A599B"/>
    <w:rsid w:val="008A652F"/>
    <w:rsid w:val="008A66BD"/>
    <w:rsid w:val="008A6AA4"/>
    <w:rsid w:val="008B0005"/>
    <w:rsid w:val="008B02EF"/>
    <w:rsid w:val="008B048A"/>
    <w:rsid w:val="008B0858"/>
    <w:rsid w:val="008B08EC"/>
    <w:rsid w:val="008B0913"/>
    <w:rsid w:val="008B0AAE"/>
    <w:rsid w:val="008B0ED6"/>
    <w:rsid w:val="008B0F9D"/>
    <w:rsid w:val="008B23AE"/>
    <w:rsid w:val="008B2E04"/>
    <w:rsid w:val="008B4306"/>
    <w:rsid w:val="008B5EA6"/>
    <w:rsid w:val="008B61D5"/>
    <w:rsid w:val="008B6473"/>
    <w:rsid w:val="008B66EE"/>
    <w:rsid w:val="008B6ABD"/>
    <w:rsid w:val="008B7A36"/>
    <w:rsid w:val="008B7B8D"/>
    <w:rsid w:val="008B7BF0"/>
    <w:rsid w:val="008C0120"/>
    <w:rsid w:val="008C0FB9"/>
    <w:rsid w:val="008C1042"/>
    <w:rsid w:val="008C162B"/>
    <w:rsid w:val="008C1714"/>
    <w:rsid w:val="008C1B76"/>
    <w:rsid w:val="008C2391"/>
    <w:rsid w:val="008C27EC"/>
    <w:rsid w:val="008C2A67"/>
    <w:rsid w:val="008C2ED5"/>
    <w:rsid w:val="008C3135"/>
    <w:rsid w:val="008C3E2C"/>
    <w:rsid w:val="008C5AC7"/>
    <w:rsid w:val="008C5EDB"/>
    <w:rsid w:val="008C615C"/>
    <w:rsid w:val="008C6215"/>
    <w:rsid w:val="008C65F0"/>
    <w:rsid w:val="008C733D"/>
    <w:rsid w:val="008C7439"/>
    <w:rsid w:val="008D0DB4"/>
    <w:rsid w:val="008D1A52"/>
    <w:rsid w:val="008D243A"/>
    <w:rsid w:val="008D2E91"/>
    <w:rsid w:val="008D38E9"/>
    <w:rsid w:val="008D41B8"/>
    <w:rsid w:val="008D4434"/>
    <w:rsid w:val="008D48C6"/>
    <w:rsid w:val="008D51E4"/>
    <w:rsid w:val="008D557B"/>
    <w:rsid w:val="008D6F21"/>
    <w:rsid w:val="008D71AC"/>
    <w:rsid w:val="008D7448"/>
    <w:rsid w:val="008D74AC"/>
    <w:rsid w:val="008D766A"/>
    <w:rsid w:val="008D7AE7"/>
    <w:rsid w:val="008E0326"/>
    <w:rsid w:val="008E036E"/>
    <w:rsid w:val="008E0593"/>
    <w:rsid w:val="008E0EB3"/>
    <w:rsid w:val="008E118E"/>
    <w:rsid w:val="008E15EC"/>
    <w:rsid w:val="008E1B94"/>
    <w:rsid w:val="008E29D4"/>
    <w:rsid w:val="008E2E9E"/>
    <w:rsid w:val="008E31A8"/>
    <w:rsid w:val="008E31EF"/>
    <w:rsid w:val="008E36C0"/>
    <w:rsid w:val="008E36F2"/>
    <w:rsid w:val="008E39A7"/>
    <w:rsid w:val="008E450B"/>
    <w:rsid w:val="008E4C23"/>
    <w:rsid w:val="008E5959"/>
    <w:rsid w:val="008E6021"/>
    <w:rsid w:val="008E63D8"/>
    <w:rsid w:val="008E667F"/>
    <w:rsid w:val="008E676F"/>
    <w:rsid w:val="008E6785"/>
    <w:rsid w:val="008E68F7"/>
    <w:rsid w:val="008E7251"/>
    <w:rsid w:val="008E76EF"/>
    <w:rsid w:val="008E7D7C"/>
    <w:rsid w:val="008F0097"/>
    <w:rsid w:val="008F1594"/>
    <w:rsid w:val="008F2449"/>
    <w:rsid w:val="008F2EC0"/>
    <w:rsid w:val="008F44DB"/>
    <w:rsid w:val="008F4615"/>
    <w:rsid w:val="008F4ABC"/>
    <w:rsid w:val="008F591D"/>
    <w:rsid w:val="008F60F8"/>
    <w:rsid w:val="008F7199"/>
    <w:rsid w:val="008F74BB"/>
    <w:rsid w:val="008F7728"/>
    <w:rsid w:val="008F7CB6"/>
    <w:rsid w:val="008F7DA4"/>
    <w:rsid w:val="00900066"/>
    <w:rsid w:val="009007FB"/>
    <w:rsid w:val="00900807"/>
    <w:rsid w:val="009008A9"/>
    <w:rsid w:val="00901452"/>
    <w:rsid w:val="0090156E"/>
    <w:rsid w:val="00901D78"/>
    <w:rsid w:val="00902DF5"/>
    <w:rsid w:val="00903003"/>
    <w:rsid w:val="009041B8"/>
    <w:rsid w:val="009048D8"/>
    <w:rsid w:val="00904AE5"/>
    <w:rsid w:val="00905040"/>
    <w:rsid w:val="00905A05"/>
    <w:rsid w:val="009062DF"/>
    <w:rsid w:val="00906A75"/>
    <w:rsid w:val="00907267"/>
    <w:rsid w:val="0090752C"/>
    <w:rsid w:val="009106BC"/>
    <w:rsid w:val="0091177E"/>
    <w:rsid w:val="0091193A"/>
    <w:rsid w:val="009123E5"/>
    <w:rsid w:val="00912C01"/>
    <w:rsid w:val="0091308A"/>
    <w:rsid w:val="009130AF"/>
    <w:rsid w:val="00913546"/>
    <w:rsid w:val="009135E3"/>
    <w:rsid w:val="00913815"/>
    <w:rsid w:val="009141A9"/>
    <w:rsid w:val="00914BDB"/>
    <w:rsid w:val="00915479"/>
    <w:rsid w:val="00915D56"/>
    <w:rsid w:val="0091673E"/>
    <w:rsid w:val="00916FAA"/>
    <w:rsid w:val="009177DF"/>
    <w:rsid w:val="0091792A"/>
    <w:rsid w:val="00917C22"/>
    <w:rsid w:val="009203E8"/>
    <w:rsid w:val="00920617"/>
    <w:rsid w:val="00921423"/>
    <w:rsid w:val="009216DB"/>
    <w:rsid w:val="00922FB8"/>
    <w:rsid w:val="009230BE"/>
    <w:rsid w:val="009238C0"/>
    <w:rsid w:val="009242EA"/>
    <w:rsid w:val="00925750"/>
    <w:rsid w:val="00925AA5"/>
    <w:rsid w:val="00925DB8"/>
    <w:rsid w:val="009260E8"/>
    <w:rsid w:val="009266AF"/>
    <w:rsid w:val="009267F8"/>
    <w:rsid w:val="00927552"/>
    <w:rsid w:val="009279DF"/>
    <w:rsid w:val="009308E9"/>
    <w:rsid w:val="00930A79"/>
    <w:rsid w:val="00930B49"/>
    <w:rsid w:val="00930D5E"/>
    <w:rsid w:val="009313B7"/>
    <w:rsid w:val="00931F98"/>
    <w:rsid w:val="0093270E"/>
    <w:rsid w:val="00933342"/>
    <w:rsid w:val="00933446"/>
    <w:rsid w:val="009341F9"/>
    <w:rsid w:val="00934B9C"/>
    <w:rsid w:val="0093687F"/>
    <w:rsid w:val="009377C8"/>
    <w:rsid w:val="009406FC"/>
    <w:rsid w:val="00940C21"/>
    <w:rsid w:val="00941ACB"/>
    <w:rsid w:val="0094248A"/>
    <w:rsid w:val="00942638"/>
    <w:rsid w:val="00942C5A"/>
    <w:rsid w:val="00943212"/>
    <w:rsid w:val="00943761"/>
    <w:rsid w:val="00943F45"/>
    <w:rsid w:val="009446CB"/>
    <w:rsid w:val="00944F89"/>
    <w:rsid w:val="00946A93"/>
    <w:rsid w:val="00946ED5"/>
    <w:rsid w:val="009470DA"/>
    <w:rsid w:val="009472AC"/>
    <w:rsid w:val="0094786F"/>
    <w:rsid w:val="009517E6"/>
    <w:rsid w:val="0095190C"/>
    <w:rsid w:val="00951EE6"/>
    <w:rsid w:val="009524EC"/>
    <w:rsid w:val="00952919"/>
    <w:rsid w:val="00953739"/>
    <w:rsid w:val="0095373D"/>
    <w:rsid w:val="00953775"/>
    <w:rsid w:val="009539B7"/>
    <w:rsid w:val="00954142"/>
    <w:rsid w:val="00954232"/>
    <w:rsid w:val="00954942"/>
    <w:rsid w:val="00955A9E"/>
    <w:rsid w:val="00956918"/>
    <w:rsid w:val="00956957"/>
    <w:rsid w:val="00956AFC"/>
    <w:rsid w:val="00957631"/>
    <w:rsid w:val="00957BAF"/>
    <w:rsid w:val="00957C2A"/>
    <w:rsid w:val="00957E4A"/>
    <w:rsid w:val="00957FF7"/>
    <w:rsid w:val="009612D6"/>
    <w:rsid w:val="009639EB"/>
    <w:rsid w:val="00963E11"/>
    <w:rsid w:val="00963E43"/>
    <w:rsid w:val="009656FC"/>
    <w:rsid w:val="00965718"/>
    <w:rsid w:val="00965777"/>
    <w:rsid w:val="00966EB1"/>
    <w:rsid w:val="00966F48"/>
    <w:rsid w:val="009677CB"/>
    <w:rsid w:val="009679BF"/>
    <w:rsid w:val="009703A9"/>
    <w:rsid w:val="009708AE"/>
    <w:rsid w:val="00971220"/>
    <w:rsid w:val="00971345"/>
    <w:rsid w:val="00971A74"/>
    <w:rsid w:val="00971DC1"/>
    <w:rsid w:val="009728B3"/>
    <w:rsid w:val="00972D21"/>
    <w:rsid w:val="0097499A"/>
    <w:rsid w:val="00974D6F"/>
    <w:rsid w:val="009757C2"/>
    <w:rsid w:val="00975EFC"/>
    <w:rsid w:val="009760E9"/>
    <w:rsid w:val="00976456"/>
    <w:rsid w:val="00976475"/>
    <w:rsid w:val="00976B26"/>
    <w:rsid w:val="0097708B"/>
    <w:rsid w:val="0097769C"/>
    <w:rsid w:val="00977A83"/>
    <w:rsid w:val="00980207"/>
    <w:rsid w:val="00980525"/>
    <w:rsid w:val="009811FF"/>
    <w:rsid w:val="00981B7C"/>
    <w:rsid w:val="00982191"/>
    <w:rsid w:val="0098222D"/>
    <w:rsid w:val="009825E8"/>
    <w:rsid w:val="00983488"/>
    <w:rsid w:val="009848F2"/>
    <w:rsid w:val="00984B31"/>
    <w:rsid w:val="009857C8"/>
    <w:rsid w:val="00985F6A"/>
    <w:rsid w:val="00986C65"/>
    <w:rsid w:val="009872B9"/>
    <w:rsid w:val="009908F0"/>
    <w:rsid w:val="00990E4D"/>
    <w:rsid w:val="0099101D"/>
    <w:rsid w:val="009919D2"/>
    <w:rsid w:val="00991E89"/>
    <w:rsid w:val="00992355"/>
    <w:rsid w:val="009925E4"/>
    <w:rsid w:val="00992AAB"/>
    <w:rsid w:val="00992B90"/>
    <w:rsid w:val="00993957"/>
    <w:rsid w:val="00993A1E"/>
    <w:rsid w:val="009946E6"/>
    <w:rsid w:val="0099471C"/>
    <w:rsid w:val="00994842"/>
    <w:rsid w:val="00995A2A"/>
    <w:rsid w:val="00996786"/>
    <w:rsid w:val="0099687F"/>
    <w:rsid w:val="00996D22"/>
    <w:rsid w:val="00996DF3"/>
    <w:rsid w:val="009A0C93"/>
    <w:rsid w:val="009A1515"/>
    <w:rsid w:val="009A167F"/>
    <w:rsid w:val="009A17EF"/>
    <w:rsid w:val="009A1BC0"/>
    <w:rsid w:val="009A1CED"/>
    <w:rsid w:val="009A22F9"/>
    <w:rsid w:val="009A25DF"/>
    <w:rsid w:val="009A27A1"/>
    <w:rsid w:val="009A28C6"/>
    <w:rsid w:val="009A2E82"/>
    <w:rsid w:val="009A32C6"/>
    <w:rsid w:val="009A38BC"/>
    <w:rsid w:val="009A48E0"/>
    <w:rsid w:val="009A4B03"/>
    <w:rsid w:val="009A573F"/>
    <w:rsid w:val="009A66D0"/>
    <w:rsid w:val="009A72F9"/>
    <w:rsid w:val="009A7F90"/>
    <w:rsid w:val="009B050B"/>
    <w:rsid w:val="009B0F82"/>
    <w:rsid w:val="009B1360"/>
    <w:rsid w:val="009B1F13"/>
    <w:rsid w:val="009B3712"/>
    <w:rsid w:val="009B373A"/>
    <w:rsid w:val="009B3CE4"/>
    <w:rsid w:val="009B3D91"/>
    <w:rsid w:val="009B3FD1"/>
    <w:rsid w:val="009B4528"/>
    <w:rsid w:val="009B462A"/>
    <w:rsid w:val="009B56B6"/>
    <w:rsid w:val="009B59F7"/>
    <w:rsid w:val="009B6EAB"/>
    <w:rsid w:val="009B7110"/>
    <w:rsid w:val="009B719A"/>
    <w:rsid w:val="009C0242"/>
    <w:rsid w:val="009C07AD"/>
    <w:rsid w:val="009C0DD4"/>
    <w:rsid w:val="009C0E0B"/>
    <w:rsid w:val="009C1263"/>
    <w:rsid w:val="009C1D1F"/>
    <w:rsid w:val="009C1F0E"/>
    <w:rsid w:val="009C2439"/>
    <w:rsid w:val="009C2E11"/>
    <w:rsid w:val="009C332D"/>
    <w:rsid w:val="009C3946"/>
    <w:rsid w:val="009C3BA8"/>
    <w:rsid w:val="009C3E3F"/>
    <w:rsid w:val="009C45A3"/>
    <w:rsid w:val="009C4DC6"/>
    <w:rsid w:val="009C4E33"/>
    <w:rsid w:val="009C4F47"/>
    <w:rsid w:val="009C5748"/>
    <w:rsid w:val="009C6082"/>
    <w:rsid w:val="009C64EA"/>
    <w:rsid w:val="009C691E"/>
    <w:rsid w:val="009C6E3D"/>
    <w:rsid w:val="009C7344"/>
    <w:rsid w:val="009C7CF0"/>
    <w:rsid w:val="009D036D"/>
    <w:rsid w:val="009D06D9"/>
    <w:rsid w:val="009D06EB"/>
    <w:rsid w:val="009D1928"/>
    <w:rsid w:val="009D209B"/>
    <w:rsid w:val="009D20FB"/>
    <w:rsid w:val="009D2EB8"/>
    <w:rsid w:val="009D333F"/>
    <w:rsid w:val="009D3DF1"/>
    <w:rsid w:val="009D47A1"/>
    <w:rsid w:val="009D47AA"/>
    <w:rsid w:val="009D48DC"/>
    <w:rsid w:val="009D4EA1"/>
    <w:rsid w:val="009D50D3"/>
    <w:rsid w:val="009D55C7"/>
    <w:rsid w:val="009D5749"/>
    <w:rsid w:val="009D594D"/>
    <w:rsid w:val="009D5C8A"/>
    <w:rsid w:val="009D6F05"/>
    <w:rsid w:val="009D6FC5"/>
    <w:rsid w:val="009D7029"/>
    <w:rsid w:val="009D75E4"/>
    <w:rsid w:val="009D7B57"/>
    <w:rsid w:val="009D7DA3"/>
    <w:rsid w:val="009E03FE"/>
    <w:rsid w:val="009E09AA"/>
    <w:rsid w:val="009E0C69"/>
    <w:rsid w:val="009E149B"/>
    <w:rsid w:val="009E1894"/>
    <w:rsid w:val="009E2B16"/>
    <w:rsid w:val="009E2BF8"/>
    <w:rsid w:val="009E2D49"/>
    <w:rsid w:val="009E3A7B"/>
    <w:rsid w:val="009E47B3"/>
    <w:rsid w:val="009E54BC"/>
    <w:rsid w:val="009E564D"/>
    <w:rsid w:val="009E6613"/>
    <w:rsid w:val="009E76E5"/>
    <w:rsid w:val="009E770E"/>
    <w:rsid w:val="009E7F8C"/>
    <w:rsid w:val="009F2065"/>
    <w:rsid w:val="009F25A7"/>
    <w:rsid w:val="009F25AF"/>
    <w:rsid w:val="009F282C"/>
    <w:rsid w:val="009F2876"/>
    <w:rsid w:val="009F3915"/>
    <w:rsid w:val="009F3C10"/>
    <w:rsid w:val="009F405E"/>
    <w:rsid w:val="009F4B15"/>
    <w:rsid w:val="009F4F1B"/>
    <w:rsid w:val="009F559A"/>
    <w:rsid w:val="009F7D89"/>
    <w:rsid w:val="00A0071A"/>
    <w:rsid w:val="00A00BBD"/>
    <w:rsid w:val="00A00E54"/>
    <w:rsid w:val="00A01875"/>
    <w:rsid w:val="00A01B88"/>
    <w:rsid w:val="00A024F6"/>
    <w:rsid w:val="00A028CF"/>
    <w:rsid w:val="00A0350E"/>
    <w:rsid w:val="00A0377F"/>
    <w:rsid w:val="00A0485E"/>
    <w:rsid w:val="00A05175"/>
    <w:rsid w:val="00A061BA"/>
    <w:rsid w:val="00A061F0"/>
    <w:rsid w:val="00A06FAD"/>
    <w:rsid w:val="00A0702A"/>
    <w:rsid w:val="00A071CE"/>
    <w:rsid w:val="00A07E6B"/>
    <w:rsid w:val="00A1028F"/>
    <w:rsid w:val="00A10875"/>
    <w:rsid w:val="00A10F56"/>
    <w:rsid w:val="00A11413"/>
    <w:rsid w:val="00A125C8"/>
    <w:rsid w:val="00A12784"/>
    <w:rsid w:val="00A12C31"/>
    <w:rsid w:val="00A1353F"/>
    <w:rsid w:val="00A13C12"/>
    <w:rsid w:val="00A1418D"/>
    <w:rsid w:val="00A157E7"/>
    <w:rsid w:val="00A15DA7"/>
    <w:rsid w:val="00A16375"/>
    <w:rsid w:val="00A16EE7"/>
    <w:rsid w:val="00A172BE"/>
    <w:rsid w:val="00A17BD0"/>
    <w:rsid w:val="00A2017D"/>
    <w:rsid w:val="00A203AB"/>
    <w:rsid w:val="00A20D2E"/>
    <w:rsid w:val="00A212C2"/>
    <w:rsid w:val="00A21B39"/>
    <w:rsid w:val="00A21F1C"/>
    <w:rsid w:val="00A22AFB"/>
    <w:rsid w:val="00A22E76"/>
    <w:rsid w:val="00A2385C"/>
    <w:rsid w:val="00A23FD9"/>
    <w:rsid w:val="00A247F3"/>
    <w:rsid w:val="00A2507B"/>
    <w:rsid w:val="00A26C6B"/>
    <w:rsid w:val="00A27638"/>
    <w:rsid w:val="00A27D0C"/>
    <w:rsid w:val="00A27E72"/>
    <w:rsid w:val="00A30B11"/>
    <w:rsid w:val="00A3160A"/>
    <w:rsid w:val="00A319AE"/>
    <w:rsid w:val="00A33031"/>
    <w:rsid w:val="00A330E5"/>
    <w:rsid w:val="00A3321F"/>
    <w:rsid w:val="00A333C6"/>
    <w:rsid w:val="00A33B95"/>
    <w:rsid w:val="00A33D05"/>
    <w:rsid w:val="00A33F5F"/>
    <w:rsid w:val="00A33FAC"/>
    <w:rsid w:val="00A34521"/>
    <w:rsid w:val="00A350D6"/>
    <w:rsid w:val="00A35270"/>
    <w:rsid w:val="00A35873"/>
    <w:rsid w:val="00A3638C"/>
    <w:rsid w:val="00A37796"/>
    <w:rsid w:val="00A40274"/>
    <w:rsid w:val="00A40375"/>
    <w:rsid w:val="00A405CB"/>
    <w:rsid w:val="00A40D35"/>
    <w:rsid w:val="00A40FB6"/>
    <w:rsid w:val="00A4118B"/>
    <w:rsid w:val="00A41237"/>
    <w:rsid w:val="00A41808"/>
    <w:rsid w:val="00A429E6"/>
    <w:rsid w:val="00A438F0"/>
    <w:rsid w:val="00A43EDA"/>
    <w:rsid w:val="00A44009"/>
    <w:rsid w:val="00A44569"/>
    <w:rsid w:val="00A448CD"/>
    <w:rsid w:val="00A44E5B"/>
    <w:rsid w:val="00A45012"/>
    <w:rsid w:val="00A4552A"/>
    <w:rsid w:val="00A4591C"/>
    <w:rsid w:val="00A45E01"/>
    <w:rsid w:val="00A463A1"/>
    <w:rsid w:val="00A4746D"/>
    <w:rsid w:val="00A47BC2"/>
    <w:rsid w:val="00A50201"/>
    <w:rsid w:val="00A50B0B"/>
    <w:rsid w:val="00A51183"/>
    <w:rsid w:val="00A5134A"/>
    <w:rsid w:val="00A52B86"/>
    <w:rsid w:val="00A53446"/>
    <w:rsid w:val="00A53D0D"/>
    <w:rsid w:val="00A54875"/>
    <w:rsid w:val="00A549D6"/>
    <w:rsid w:val="00A568DD"/>
    <w:rsid w:val="00A56CF3"/>
    <w:rsid w:val="00A57F21"/>
    <w:rsid w:val="00A601A1"/>
    <w:rsid w:val="00A60401"/>
    <w:rsid w:val="00A60B7C"/>
    <w:rsid w:val="00A60DE6"/>
    <w:rsid w:val="00A61912"/>
    <w:rsid w:val="00A62009"/>
    <w:rsid w:val="00A62B16"/>
    <w:rsid w:val="00A62D6C"/>
    <w:rsid w:val="00A62DEC"/>
    <w:rsid w:val="00A62F92"/>
    <w:rsid w:val="00A63636"/>
    <w:rsid w:val="00A646CD"/>
    <w:rsid w:val="00A64DF1"/>
    <w:rsid w:val="00A64F2E"/>
    <w:rsid w:val="00A64FC1"/>
    <w:rsid w:val="00A65101"/>
    <w:rsid w:val="00A65992"/>
    <w:rsid w:val="00A65FD9"/>
    <w:rsid w:val="00A707E6"/>
    <w:rsid w:val="00A70D12"/>
    <w:rsid w:val="00A71A27"/>
    <w:rsid w:val="00A723F7"/>
    <w:rsid w:val="00A72A3A"/>
    <w:rsid w:val="00A72B12"/>
    <w:rsid w:val="00A72E2D"/>
    <w:rsid w:val="00A7340B"/>
    <w:rsid w:val="00A73FE3"/>
    <w:rsid w:val="00A74935"/>
    <w:rsid w:val="00A75A51"/>
    <w:rsid w:val="00A765FA"/>
    <w:rsid w:val="00A77C9D"/>
    <w:rsid w:val="00A80AAC"/>
    <w:rsid w:val="00A81AF6"/>
    <w:rsid w:val="00A81D37"/>
    <w:rsid w:val="00A82591"/>
    <w:rsid w:val="00A82CB1"/>
    <w:rsid w:val="00A82EA2"/>
    <w:rsid w:val="00A83621"/>
    <w:rsid w:val="00A854E8"/>
    <w:rsid w:val="00A85773"/>
    <w:rsid w:val="00A860B2"/>
    <w:rsid w:val="00A866B3"/>
    <w:rsid w:val="00A86780"/>
    <w:rsid w:val="00A86D7A"/>
    <w:rsid w:val="00A86DB3"/>
    <w:rsid w:val="00A87B05"/>
    <w:rsid w:val="00A905BA"/>
    <w:rsid w:val="00A91EF0"/>
    <w:rsid w:val="00A938E0"/>
    <w:rsid w:val="00A93B06"/>
    <w:rsid w:val="00A93DF2"/>
    <w:rsid w:val="00A9432E"/>
    <w:rsid w:val="00A9457E"/>
    <w:rsid w:val="00A94738"/>
    <w:rsid w:val="00A947E2"/>
    <w:rsid w:val="00A94C02"/>
    <w:rsid w:val="00A94D3D"/>
    <w:rsid w:val="00A94FDF"/>
    <w:rsid w:val="00A9510C"/>
    <w:rsid w:val="00A9719D"/>
    <w:rsid w:val="00A97EC7"/>
    <w:rsid w:val="00AA02E4"/>
    <w:rsid w:val="00AA0B21"/>
    <w:rsid w:val="00AA0F4D"/>
    <w:rsid w:val="00AA21A4"/>
    <w:rsid w:val="00AA2CC4"/>
    <w:rsid w:val="00AA3975"/>
    <w:rsid w:val="00AA483D"/>
    <w:rsid w:val="00AA56FC"/>
    <w:rsid w:val="00AA5AD3"/>
    <w:rsid w:val="00AA5EC0"/>
    <w:rsid w:val="00AA6837"/>
    <w:rsid w:val="00AA69BE"/>
    <w:rsid w:val="00AA6B16"/>
    <w:rsid w:val="00AB0098"/>
    <w:rsid w:val="00AB0C57"/>
    <w:rsid w:val="00AB1667"/>
    <w:rsid w:val="00AB1CBB"/>
    <w:rsid w:val="00AB21F9"/>
    <w:rsid w:val="00AB223B"/>
    <w:rsid w:val="00AB48DD"/>
    <w:rsid w:val="00AB49C4"/>
    <w:rsid w:val="00AB60A6"/>
    <w:rsid w:val="00AB64F8"/>
    <w:rsid w:val="00AB6630"/>
    <w:rsid w:val="00AB66E8"/>
    <w:rsid w:val="00AB71EC"/>
    <w:rsid w:val="00AB75AB"/>
    <w:rsid w:val="00AB7C61"/>
    <w:rsid w:val="00AC085E"/>
    <w:rsid w:val="00AC1338"/>
    <w:rsid w:val="00AC1596"/>
    <w:rsid w:val="00AC1A23"/>
    <w:rsid w:val="00AC1CE1"/>
    <w:rsid w:val="00AC1EF4"/>
    <w:rsid w:val="00AC28B1"/>
    <w:rsid w:val="00AC2980"/>
    <w:rsid w:val="00AC35B1"/>
    <w:rsid w:val="00AC3BA6"/>
    <w:rsid w:val="00AC404D"/>
    <w:rsid w:val="00AC447C"/>
    <w:rsid w:val="00AC48A7"/>
    <w:rsid w:val="00AC4F3A"/>
    <w:rsid w:val="00AC4F3F"/>
    <w:rsid w:val="00AC5165"/>
    <w:rsid w:val="00AC61DE"/>
    <w:rsid w:val="00AC6AEB"/>
    <w:rsid w:val="00AC6C7B"/>
    <w:rsid w:val="00AC7E59"/>
    <w:rsid w:val="00AD0967"/>
    <w:rsid w:val="00AD09F0"/>
    <w:rsid w:val="00AD0F99"/>
    <w:rsid w:val="00AD1A32"/>
    <w:rsid w:val="00AD1FEE"/>
    <w:rsid w:val="00AD224C"/>
    <w:rsid w:val="00AD36CE"/>
    <w:rsid w:val="00AD47E7"/>
    <w:rsid w:val="00AD53EA"/>
    <w:rsid w:val="00AD5567"/>
    <w:rsid w:val="00AD5C31"/>
    <w:rsid w:val="00AD6216"/>
    <w:rsid w:val="00AD6527"/>
    <w:rsid w:val="00AD6536"/>
    <w:rsid w:val="00AD6DB4"/>
    <w:rsid w:val="00AD76D6"/>
    <w:rsid w:val="00AD7853"/>
    <w:rsid w:val="00AD7B8F"/>
    <w:rsid w:val="00AD7BC9"/>
    <w:rsid w:val="00AD7E9D"/>
    <w:rsid w:val="00AE08F5"/>
    <w:rsid w:val="00AE0C1F"/>
    <w:rsid w:val="00AE12F3"/>
    <w:rsid w:val="00AE1389"/>
    <w:rsid w:val="00AE1870"/>
    <w:rsid w:val="00AE1CE5"/>
    <w:rsid w:val="00AE1E55"/>
    <w:rsid w:val="00AE24BE"/>
    <w:rsid w:val="00AE3436"/>
    <w:rsid w:val="00AE37C5"/>
    <w:rsid w:val="00AE3D1A"/>
    <w:rsid w:val="00AE433F"/>
    <w:rsid w:val="00AE4E8D"/>
    <w:rsid w:val="00AE50C5"/>
    <w:rsid w:val="00AE55C3"/>
    <w:rsid w:val="00AE56D1"/>
    <w:rsid w:val="00AE5935"/>
    <w:rsid w:val="00AE64A9"/>
    <w:rsid w:val="00AE6D38"/>
    <w:rsid w:val="00AE6F98"/>
    <w:rsid w:val="00AE709D"/>
    <w:rsid w:val="00AE7165"/>
    <w:rsid w:val="00AE7ACC"/>
    <w:rsid w:val="00AE7D8E"/>
    <w:rsid w:val="00AF0B1D"/>
    <w:rsid w:val="00AF2F21"/>
    <w:rsid w:val="00AF4D19"/>
    <w:rsid w:val="00AF65FF"/>
    <w:rsid w:val="00AF6659"/>
    <w:rsid w:val="00AF67A7"/>
    <w:rsid w:val="00AF793E"/>
    <w:rsid w:val="00AF7BC2"/>
    <w:rsid w:val="00B00A28"/>
    <w:rsid w:val="00B00BE0"/>
    <w:rsid w:val="00B01933"/>
    <w:rsid w:val="00B01F34"/>
    <w:rsid w:val="00B02C8B"/>
    <w:rsid w:val="00B02FB2"/>
    <w:rsid w:val="00B03C1D"/>
    <w:rsid w:val="00B03FD2"/>
    <w:rsid w:val="00B04C7C"/>
    <w:rsid w:val="00B05042"/>
    <w:rsid w:val="00B051E0"/>
    <w:rsid w:val="00B06842"/>
    <w:rsid w:val="00B07043"/>
    <w:rsid w:val="00B070CB"/>
    <w:rsid w:val="00B0776A"/>
    <w:rsid w:val="00B0782A"/>
    <w:rsid w:val="00B10588"/>
    <w:rsid w:val="00B10E8D"/>
    <w:rsid w:val="00B124DF"/>
    <w:rsid w:val="00B12C95"/>
    <w:rsid w:val="00B1333B"/>
    <w:rsid w:val="00B1426B"/>
    <w:rsid w:val="00B17611"/>
    <w:rsid w:val="00B17BDD"/>
    <w:rsid w:val="00B17EE6"/>
    <w:rsid w:val="00B2013C"/>
    <w:rsid w:val="00B20876"/>
    <w:rsid w:val="00B20F28"/>
    <w:rsid w:val="00B213A8"/>
    <w:rsid w:val="00B21869"/>
    <w:rsid w:val="00B21DA3"/>
    <w:rsid w:val="00B21E4F"/>
    <w:rsid w:val="00B22605"/>
    <w:rsid w:val="00B238F8"/>
    <w:rsid w:val="00B23DB8"/>
    <w:rsid w:val="00B253DC"/>
    <w:rsid w:val="00B258FC"/>
    <w:rsid w:val="00B2608F"/>
    <w:rsid w:val="00B265F2"/>
    <w:rsid w:val="00B26BEF"/>
    <w:rsid w:val="00B27A64"/>
    <w:rsid w:val="00B31131"/>
    <w:rsid w:val="00B3115D"/>
    <w:rsid w:val="00B311A3"/>
    <w:rsid w:val="00B31F12"/>
    <w:rsid w:val="00B32E8E"/>
    <w:rsid w:val="00B32EFE"/>
    <w:rsid w:val="00B35314"/>
    <w:rsid w:val="00B35B8B"/>
    <w:rsid w:val="00B35DE7"/>
    <w:rsid w:val="00B3709F"/>
    <w:rsid w:val="00B3772C"/>
    <w:rsid w:val="00B37A98"/>
    <w:rsid w:val="00B4159F"/>
    <w:rsid w:val="00B41ECC"/>
    <w:rsid w:val="00B427E6"/>
    <w:rsid w:val="00B4343E"/>
    <w:rsid w:val="00B43790"/>
    <w:rsid w:val="00B438B1"/>
    <w:rsid w:val="00B44C15"/>
    <w:rsid w:val="00B44CF9"/>
    <w:rsid w:val="00B45BE8"/>
    <w:rsid w:val="00B46527"/>
    <w:rsid w:val="00B46AF4"/>
    <w:rsid w:val="00B4717C"/>
    <w:rsid w:val="00B4740C"/>
    <w:rsid w:val="00B47BC3"/>
    <w:rsid w:val="00B50134"/>
    <w:rsid w:val="00B504F8"/>
    <w:rsid w:val="00B5095A"/>
    <w:rsid w:val="00B5200C"/>
    <w:rsid w:val="00B536CD"/>
    <w:rsid w:val="00B537BF"/>
    <w:rsid w:val="00B5449A"/>
    <w:rsid w:val="00B54901"/>
    <w:rsid w:val="00B55E83"/>
    <w:rsid w:val="00B56D9C"/>
    <w:rsid w:val="00B572E6"/>
    <w:rsid w:val="00B575A7"/>
    <w:rsid w:val="00B57723"/>
    <w:rsid w:val="00B6049A"/>
    <w:rsid w:val="00B60733"/>
    <w:rsid w:val="00B60825"/>
    <w:rsid w:val="00B608EC"/>
    <w:rsid w:val="00B60CD2"/>
    <w:rsid w:val="00B60ECF"/>
    <w:rsid w:val="00B60F1C"/>
    <w:rsid w:val="00B61029"/>
    <w:rsid w:val="00B61165"/>
    <w:rsid w:val="00B6118C"/>
    <w:rsid w:val="00B62735"/>
    <w:rsid w:val="00B627EE"/>
    <w:rsid w:val="00B62813"/>
    <w:rsid w:val="00B635EF"/>
    <w:rsid w:val="00B63A5E"/>
    <w:rsid w:val="00B63FC9"/>
    <w:rsid w:val="00B64912"/>
    <w:rsid w:val="00B64EAD"/>
    <w:rsid w:val="00B6507E"/>
    <w:rsid w:val="00B6541B"/>
    <w:rsid w:val="00B65D42"/>
    <w:rsid w:val="00B66D05"/>
    <w:rsid w:val="00B66D72"/>
    <w:rsid w:val="00B66EAE"/>
    <w:rsid w:val="00B674C3"/>
    <w:rsid w:val="00B67865"/>
    <w:rsid w:val="00B67D4D"/>
    <w:rsid w:val="00B702AF"/>
    <w:rsid w:val="00B70417"/>
    <w:rsid w:val="00B7044F"/>
    <w:rsid w:val="00B7047B"/>
    <w:rsid w:val="00B70A16"/>
    <w:rsid w:val="00B70B42"/>
    <w:rsid w:val="00B70E21"/>
    <w:rsid w:val="00B710C4"/>
    <w:rsid w:val="00B71CC4"/>
    <w:rsid w:val="00B72DC8"/>
    <w:rsid w:val="00B73958"/>
    <w:rsid w:val="00B739D8"/>
    <w:rsid w:val="00B73AC6"/>
    <w:rsid w:val="00B74376"/>
    <w:rsid w:val="00B75220"/>
    <w:rsid w:val="00B75340"/>
    <w:rsid w:val="00B758F4"/>
    <w:rsid w:val="00B75CB7"/>
    <w:rsid w:val="00B75CF6"/>
    <w:rsid w:val="00B7645F"/>
    <w:rsid w:val="00B768EE"/>
    <w:rsid w:val="00B769C4"/>
    <w:rsid w:val="00B76C76"/>
    <w:rsid w:val="00B76CFF"/>
    <w:rsid w:val="00B76D83"/>
    <w:rsid w:val="00B76E16"/>
    <w:rsid w:val="00B76E27"/>
    <w:rsid w:val="00B779E3"/>
    <w:rsid w:val="00B803E2"/>
    <w:rsid w:val="00B80DB3"/>
    <w:rsid w:val="00B8101E"/>
    <w:rsid w:val="00B8103D"/>
    <w:rsid w:val="00B820B8"/>
    <w:rsid w:val="00B8271A"/>
    <w:rsid w:val="00B82CAC"/>
    <w:rsid w:val="00B82F9D"/>
    <w:rsid w:val="00B83124"/>
    <w:rsid w:val="00B8325B"/>
    <w:rsid w:val="00B8358C"/>
    <w:rsid w:val="00B83D52"/>
    <w:rsid w:val="00B84D9B"/>
    <w:rsid w:val="00B85B37"/>
    <w:rsid w:val="00B85CA9"/>
    <w:rsid w:val="00B863CD"/>
    <w:rsid w:val="00B86C15"/>
    <w:rsid w:val="00B8701B"/>
    <w:rsid w:val="00B876EB"/>
    <w:rsid w:val="00B87BE4"/>
    <w:rsid w:val="00B87CC0"/>
    <w:rsid w:val="00B90206"/>
    <w:rsid w:val="00B90AAF"/>
    <w:rsid w:val="00B90D6C"/>
    <w:rsid w:val="00B922BB"/>
    <w:rsid w:val="00B92890"/>
    <w:rsid w:val="00B92B25"/>
    <w:rsid w:val="00B92CF4"/>
    <w:rsid w:val="00B9361B"/>
    <w:rsid w:val="00B942D8"/>
    <w:rsid w:val="00B94358"/>
    <w:rsid w:val="00B94B01"/>
    <w:rsid w:val="00B94F88"/>
    <w:rsid w:val="00B959E3"/>
    <w:rsid w:val="00B96E35"/>
    <w:rsid w:val="00B96E63"/>
    <w:rsid w:val="00B97415"/>
    <w:rsid w:val="00B97C36"/>
    <w:rsid w:val="00BA09A6"/>
    <w:rsid w:val="00BA129F"/>
    <w:rsid w:val="00BA12C4"/>
    <w:rsid w:val="00BA1B6A"/>
    <w:rsid w:val="00BA24B3"/>
    <w:rsid w:val="00BA2ACE"/>
    <w:rsid w:val="00BA3034"/>
    <w:rsid w:val="00BA33EB"/>
    <w:rsid w:val="00BA3910"/>
    <w:rsid w:val="00BA49EA"/>
    <w:rsid w:val="00BA49F6"/>
    <w:rsid w:val="00BA580E"/>
    <w:rsid w:val="00BA65F5"/>
    <w:rsid w:val="00BA6B4A"/>
    <w:rsid w:val="00BA7269"/>
    <w:rsid w:val="00BA7277"/>
    <w:rsid w:val="00BA763C"/>
    <w:rsid w:val="00BA79A8"/>
    <w:rsid w:val="00BA7CE6"/>
    <w:rsid w:val="00BA7EBB"/>
    <w:rsid w:val="00BB0595"/>
    <w:rsid w:val="00BB1F35"/>
    <w:rsid w:val="00BB244B"/>
    <w:rsid w:val="00BB2576"/>
    <w:rsid w:val="00BB2A1A"/>
    <w:rsid w:val="00BB3BDA"/>
    <w:rsid w:val="00BB4351"/>
    <w:rsid w:val="00BB45F5"/>
    <w:rsid w:val="00BB5EF5"/>
    <w:rsid w:val="00BB676E"/>
    <w:rsid w:val="00BB69CB"/>
    <w:rsid w:val="00BB6E17"/>
    <w:rsid w:val="00BB72EA"/>
    <w:rsid w:val="00BB7354"/>
    <w:rsid w:val="00BC01B9"/>
    <w:rsid w:val="00BC068E"/>
    <w:rsid w:val="00BC0BD3"/>
    <w:rsid w:val="00BC0BEF"/>
    <w:rsid w:val="00BC0C31"/>
    <w:rsid w:val="00BC139A"/>
    <w:rsid w:val="00BC24B5"/>
    <w:rsid w:val="00BC29C1"/>
    <w:rsid w:val="00BC2A9C"/>
    <w:rsid w:val="00BC33D0"/>
    <w:rsid w:val="00BC35B6"/>
    <w:rsid w:val="00BC37C3"/>
    <w:rsid w:val="00BC3EE8"/>
    <w:rsid w:val="00BC45D7"/>
    <w:rsid w:val="00BC5096"/>
    <w:rsid w:val="00BC5957"/>
    <w:rsid w:val="00BC5FA8"/>
    <w:rsid w:val="00BC626C"/>
    <w:rsid w:val="00BC6487"/>
    <w:rsid w:val="00BC681F"/>
    <w:rsid w:val="00BC7AF7"/>
    <w:rsid w:val="00BC7EA5"/>
    <w:rsid w:val="00BD03EC"/>
    <w:rsid w:val="00BD1863"/>
    <w:rsid w:val="00BD186A"/>
    <w:rsid w:val="00BD2AE1"/>
    <w:rsid w:val="00BD3C4D"/>
    <w:rsid w:val="00BD3F33"/>
    <w:rsid w:val="00BD41A0"/>
    <w:rsid w:val="00BD47DE"/>
    <w:rsid w:val="00BD4EF0"/>
    <w:rsid w:val="00BD502E"/>
    <w:rsid w:val="00BD50E5"/>
    <w:rsid w:val="00BD730C"/>
    <w:rsid w:val="00BD73C0"/>
    <w:rsid w:val="00BD7835"/>
    <w:rsid w:val="00BD79C3"/>
    <w:rsid w:val="00BD7D7A"/>
    <w:rsid w:val="00BE03FD"/>
    <w:rsid w:val="00BE1793"/>
    <w:rsid w:val="00BE1DA8"/>
    <w:rsid w:val="00BE20CD"/>
    <w:rsid w:val="00BE213D"/>
    <w:rsid w:val="00BE21E9"/>
    <w:rsid w:val="00BE27AD"/>
    <w:rsid w:val="00BE289C"/>
    <w:rsid w:val="00BE2987"/>
    <w:rsid w:val="00BE318B"/>
    <w:rsid w:val="00BE34E2"/>
    <w:rsid w:val="00BE396A"/>
    <w:rsid w:val="00BE4681"/>
    <w:rsid w:val="00BE4EB5"/>
    <w:rsid w:val="00BE5E98"/>
    <w:rsid w:val="00BE646A"/>
    <w:rsid w:val="00BE646B"/>
    <w:rsid w:val="00BE6786"/>
    <w:rsid w:val="00BE67D5"/>
    <w:rsid w:val="00BE6B7A"/>
    <w:rsid w:val="00BE6F82"/>
    <w:rsid w:val="00BE719D"/>
    <w:rsid w:val="00BE7B7B"/>
    <w:rsid w:val="00BF0492"/>
    <w:rsid w:val="00BF0B77"/>
    <w:rsid w:val="00BF15F8"/>
    <w:rsid w:val="00BF3499"/>
    <w:rsid w:val="00BF38EF"/>
    <w:rsid w:val="00BF3FC5"/>
    <w:rsid w:val="00BF408D"/>
    <w:rsid w:val="00BF5B01"/>
    <w:rsid w:val="00BF69BC"/>
    <w:rsid w:val="00BF6A60"/>
    <w:rsid w:val="00BF6EA8"/>
    <w:rsid w:val="00BF741A"/>
    <w:rsid w:val="00BF7633"/>
    <w:rsid w:val="00BF7B9E"/>
    <w:rsid w:val="00BF7BCA"/>
    <w:rsid w:val="00C00EF6"/>
    <w:rsid w:val="00C01526"/>
    <w:rsid w:val="00C01E6E"/>
    <w:rsid w:val="00C020EB"/>
    <w:rsid w:val="00C02802"/>
    <w:rsid w:val="00C0319E"/>
    <w:rsid w:val="00C04641"/>
    <w:rsid w:val="00C046EB"/>
    <w:rsid w:val="00C04B1E"/>
    <w:rsid w:val="00C05647"/>
    <w:rsid w:val="00C05A53"/>
    <w:rsid w:val="00C066D8"/>
    <w:rsid w:val="00C0717F"/>
    <w:rsid w:val="00C074BC"/>
    <w:rsid w:val="00C076CA"/>
    <w:rsid w:val="00C10580"/>
    <w:rsid w:val="00C107FD"/>
    <w:rsid w:val="00C10F04"/>
    <w:rsid w:val="00C11AC4"/>
    <w:rsid w:val="00C11DBC"/>
    <w:rsid w:val="00C12445"/>
    <w:rsid w:val="00C12532"/>
    <w:rsid w:val="00C13DF8"/>
    <w:rsid w:val="00C13F44"/>
    <w:rsid w:val="00C15776"/>
    <w:rsid w:val="00C15BAF"/>
    <w:rsid w:val="00C15E68"/>
    <w:rsid w:val="00C15EBB"/>
    <w:rsid w:val="00C1682B"/>
    <w:rsid w:val="00C16CDA"/>
    <w:rsid w:val="00C17C66"/>
    <w:rsid w:val="00C17E6D"/>
    <w:rsid w:val="00C202AE"/>
    <w:rsid w:val="00C20F60"/>
    <w:rsid w:val="00C215C5"/>
    <w:rsid w:val="00C21E41"/>
    <w:rsid w:val="00C225E9"/>
    <w:rsid w:val="00C22F1E"/>
    <w:rsid w:val="00C235C2"/>
    <w:rsid w:val="00C2361A"/>
    <w:rsid w:val="00C23A75"/>
    <w:rsid w:val="00C24477"/>
    <w:rsid w:val="00C2472D"/>
    <w:rsid w:val="00C2483D"/>
    <w:rsid w:val="00C24853"/>
    <w:rsid w:val="00C25295"/>
    <w:rsid w:val="00C25405"/>
    <w:rsid w:val="00C25AAC"/>
    <w:rsid w:val="00C26DC2"/>
    <w:rsid w:val="00C27779"/>
    <w:rsid w:val="00C2792B"/>
    <w:rsid w:val="00C27BE4"/>
    <w:rsid w:val="00C27FE6"/>
    <w:rsid w:val="00C30890"/>
    <w:rsid w:val="00C314A0"/>
    <w:rsid w:val="00C33A1E"/>
    <w:rsid w:val="00C347FF"/>
    <w:rsid w:val="00C34B87"/>
    <w:rsid w:val="00C35013"/>
    <w:rsid w:val="00C351CD"/>
    <w:rsid w:val="00C3550E"/>
    <w:rsid w:val="00C35601"/>
    <w:rsid w:val="00C3569B"/>
    <w:rsid w:val="00C357BE"/>
    <w:rsid w:val="00C35889"/>
    <w:rsid w:val="00C35C62"/>
    <w:rsid w:val="00C36031"/>
    <w:rsid w:val="00C36553"/>
    <w:rsid w:val="00C36DBB"/>
    <w:rsid w:val="00C37C7A"/>
    <w:rsid w:val="00C40D7E"/>
    <w:rsid w:val="00C419B4"/>
    <w:rsid w:val="00C41D30"/>
    <w:rsid w:val="00C422FE"/>
    <w:rsid w:val="00C42DFA"/>
    <w:rsid w:val="00C432A4"/>
    <w:rsid w:val="00C438E8"/>
    <w:rsid w:val="00C446FE"/>
    <w:rsid w:val="00C44909"/>
    <w:rsid w:val="00C44B40"/>
    <w:rsid w:val="00C44B5C"/>
    <w:rsid w:val="00C457FA"/>
    <w:rsid w:val="00C4587C"/>
    <w:rsid w:val="00C4629F"/>
    <w:rsid w:val="00C4636F"/>
    <w:rsid w:val="00C46F26"/>
    <w:rsid w:val="00C47037"/>
    <w:rsid w:val="00C47698"/>
    <w:rsid w:val="00C47D85"/>
    <w:rsid w:val="00C513D8"/>
    <w:rsid w:val="00C51B38"/>
    <w:rsid w:val="00C524DB"/>
    <w:rsid w:val="00C527F3"/>
    <w:rsid w:val="00C5280A"/>
    <w:rsid w:val="00C52D7C"/>
    <w:rsid w:val="00C5457E"/>
    <w:rsid w:val="00C54E9C"/>
    <w:rsid w:val="00C55E46"/>
    <w:rsid w:val="00C560EB"/>
    <w:rsid w:val="00C5689E"/>
    <w:rsid w:val="00C56D72"/>
    <w:rsid w:val="00C56DBE"/>
    <w:rsid w:val="00C5766D"/>
    <w:rsid w:val="00C57CA9"/>
    <w:rsid w:val="00C614E7"/>
    <w:rsid w:val="00C615B1"/>
    <w:rsid w:val="00C61ADF"/>
    <w:rsid w:val="00C61F50"/>
    <w:rsid w:val="00C626F4"/>
    <w:rsid w:val="00C6271A"/>
    <w:rsid w:val="00C62D07"/>
    <w:rsid w:val="00C64C21"/>
    <w:rsid w:val="00C659CB"/>
    <w:rsid w:val="00C6646C"/>
    <w:rsid w:val="00C6691B"/>
    <w:rsid w:val="00C66B25"/>
    <w:rsid w:val="00C66C0B"/>
    <w:rsid w:val="00C672FB"/>
    <w:rsid w:val="00C67E13"/>
    <w:rsid w:val="00C701A0"/>
    <w:rsid w:val="00C70991"/>
    <w:rsid w:val="00C70D10"/>
    <w:rsid w:val="00C71243"/>
    <w:rsid w:val="00C7155F"/>
    <w:rsid w:val="00C71783"/>
    <w:rsid w:val="00C718F1"/>
    <w:rsid w:val="00C735FD"/>
    <w:rsid w:val="00C73E9D"/>
    <w:rsid w:val="00C7400B"/>
    <w:rsid w:val="00C743E7"/>
    <w:rsid w:val="00C744BD"/>
    <w:rsid w:val="00C74AA0"/>
    <w:rsid w:val="00C74FF1"/>
    <w:rsid w:val="00C757DB"/>
    <w:rsid w:val="00C75BE1"/>
    <w:rsid w:val="00C76752"/>
    <w:rsid w:val="00C76827"/>
    <w:rsid w:val="00C76DF3"/>
    <w:rsid w:val="00C77120"/>
    <w:rsid w:val="00C77E23"/>
    <w:rsid w:val="00C80614"/>
    <w:rsid w:val="00C8114B"/>
    <w:rsid w:val="00C81494"/>
    <w:rsid w:val="00C81E30"/>
    <w:rsid w:val="00C831CE"/>
    <w:rsid w:val="00C833A5"/>
    <w:rsid w:val="00C83DC9"/>
    <w:rsid w:val="00C85D75"/>
    <w:rsid w:val="00C86427"/>
    <w:rsid w:val="00C8675E"/>
    <w:rsid w:val="00C86919"/>
    <w:rsid w:val="00C86BDF"/>
    <w:rsid w:val="00C900FA"/>
    <w:rsid w:val="00C91080"/>
    <w:rsid w:val="00C913B8"/>
    <w:rsid w:val="00C91F92"/>
    <w:rsid w:val="00C92B32"/>
    <w:rsid w:val="00C92DC7"/>
    <w:rsid w:val="00C9307D"/>
    <w:rsid w:val="00C93284"/>
    <w:rsid w:val="00C93EA7"/>
    <w:rsid w:val="00C9410A"/>
    <w:rsid w:val="00C9437B"/>
    <w:rsid w:val="00C9518F"/>
    <w:rsid w:val="00C952C9"/>
    <w:rsid w:val="00C961F0"/>
    <w:rsid w:val="00C966D4"/>
    <w:rsid w:val="00C96A29"/>
    <w:rsid w:val="00C9711E"/>
    <w:rsid w:val="00CA023B"/>
    <w:rsid w:val="00CA2047"/>
    <w:rsid w:val="00CA305C"/>
    <w:rsid w:val="00CA332F"/>
    <w:rsid w:val="00CA461C"/>
    <w:rsid w:val="00CA46EC"/>
    <w:rsid w:val="00CA4A89"/>
    <w:rsid w:val="00CA509E"/>
    <w:rsid w:val="00CA5260"/>
    <w:rsid w:val="00CA55D9"/>
    <w:rsid w:val="00CA5B94"/>
    <w:rsid w:val="00CA5CE3"/>
    <w:rsid w:val="00CA62C7"/>
    <w:rsid w:val="00CA6574"/>
    <w:rsid w:val="00CA66E5"/>
    <w:rsid w:val="00CA6B41"/>
    <w:rsid w:val="00CA71D7"/>
    <w:rsid w:val="00CA7BE1"/>
    <w:rsid w:val="00CB138C"/>
    <w:rsid w:val="00CB1C65"/>
    <w:rsid w:val="00CB2553"/>
    <w:rsid w:val="00CB2737"/>
    <w:rsid w:val="00CB2A13"/>
    <w:rsid w:val="00CB303E"/>
    <w:rsid w:val="00CB33DA"/>
    <w:rsid w:val="00CB3D69"/>
    <w:rsid w:val="00CB3E9A"/>
    <w:rsid w:val="00CB3F7C"/>
    <w:rsid w:val="00CB4168"/>
    <w:rsid w:val="00CB4443"/>
    <w:rsid w:val="00CB4A17"/>
    <w:rsid w:val="00CB563D"/>
    <w:rsid w:val="00CB5974"/>
    <w:rsid w:val="00CB66D7"/>
    <w:rsid w:val="00CB70E3"/>
    <w:rsid w:val="00CC0487"/>
    <w:rsid w:val="00CC23DC"/>
    <w:rsid w:val="00CC258E"/>
    <w:rsid w:val="00CC2904"/>
    <w:rsid w:val="00CC2C63"/>
    <w:rsid w:val="00CC2D6F"/>
    <w:rsid w:val="00CC3273"/>
    <w:rsid w:val="00CC338A"/>
    <w:rsid w:val="00CC3609"/>
    <w:rsid w:val="00CC5137"/>
    <w:rsid w:val="00CC54F7"/>
    <w:rsid w:val="00CC5640"/>
    <w:rsid w:val="00CC5FD6"/>
    <w:rsid w:val="00CC615D"/>
    <w:rsid w:val="00CC62F9"/>
    <w:rsid w:val="00CC6BFE"/>
    <w:rsid w:val="00CC7292"/>
    <w:rsid w:val="00CC758E"/>
    <w:rsid w:val="00CD00BE"/>
    <w:rsid w:val="00CD10C2"/>
    <w:rsid w:val="00CD12B3"/>
    <w:rsid w:val="00CD23BA"/>
    <w:rsid w:val="00CD240F"/>
    <w:rsid w:val="00CD2B65"/>
    <w:rsid w:val="00CD2F67"/>
    <w:rsid w:val="00CD3CDB"/>
    <w:rsid w:val="00CD3F90"/>
    <w:rsid w:val="00CD5187"/>
    <w:rsid w:val="00CD538A"/>
    <w:rsid w:val="00CD555E"/>
    <w:rsid w:val="00CD5BC3"/>
    <w:rsid w:val="00CD601A"/>
    <w:rsid w:val="00CD6151"/>
    <w:rsid w:val="00CD6EAB"/>
    <w:rsid w:val="00CD72A6"/>
    <w:rsid w:val="00CD740E"/>
    <w:rsid w:val="00CE0C80"/>
    <w:rsid w:val="00CE1320"/>
    <w:rsid w:val="00CE136B"/>
    <w:rsid w:val="00CE1387"/>
    <w:rsid w:val="00CE19BB"/>
    <w:rsid w:val="00CE1FBF"/>
    <w:rsid w:val="00CE21F6"/>
    <w:rsid w:val="00CE29C1"/>
    <w:rsid w:val="00CE2A50"/>
    <w:rsid w:val="00CE2C91"/>
    <w:rsid w:val="00CE3214"/>
    <w:rsid w:val="00CE324F"/>
    <w:rsid w:val="00CE4450"/>
    <w:rsid w:val="00CE45F9"/>
    <w:rsid w:val="00CE4E7D"/>
    <w:rsid w:val="00CE4F5E"/>
    <w:rsid w:val="00CE54EA"/>
    <w:rsid w:val="00CE5C9E"/>
    <w:rsid w:val="00CE5EEC"/>
    <w:rsid w:val="00CE62C3"/>
    <w:rsid w:val="00CE68FD"/>
    <w:rsid w:val="00CE6C3C"/>
    <w:rsid w:val="00CE6EBB"/>
    <w:rsid w:val="00CE7091"/>
    <w:rsid w:val="00CE7247"/>
    <w:rsid w:val="00CE764A"/>
    <w:rsid w:val="00CE78D3"/>
    <w:rsid w:val="00CF012D"/>
    <w:rsid w:val="00CF0D2C"/>
    <w:rsid w:val="00CF18DD"/>
    <w:rsid w:val="00CF19C2"/>
    <w:rsid w:val="00CF3581"/>
    <w:rsid w:val="00CF40A1"/>
    <w:rsid w:val="00CF4D41"/>
    <w:rsid w:val="00CF5B8C"/>
    <w:rsid w:val="00CF6160"/>
    <w:rsid w:val="00CF7038"/>
    <w:rsid w:val="00CF7488"/>
    <w:rsid w:val="00CF7A47"/>
    <w:rsid w:val="00CF7B6D"/>
    <w:rsid w:val="00CF7C6F"/>
    <w:rsid w:val="00CF7DD7"/>
    <w:rsid w:val="00D004A3"/>
    <w:rsid w:val="00D00A7E"/>
    <w:rsid w:val="00D00B67"/>
    <w:rsid w:val="00D00B94"/>
    <w:rsid w:val="00D01531"/>
    <w:rsid w:val="00D015D2"/>
    <w:rsid w:val="00D01938"/>
    <w:rsid w:val="00D03856"/>
    <w:rsid w:val="00D03CDC"/>
    <w:rsid w:val="00D03DA5"/>
    <w:rsid w:val="00D04844"/>
    <w:rsid w:val="00D05387"/>
    <w:rsid w:val="00D05F6D"/>
    <w:rsid w:val="00D066A8"/>
    <w:rsid w:val="00D06830"/>
    <w:rsid w:val="00D06EA5"/>
    <w:rsid w:val="00D07284"/>
    <w:rsid w:val="00D074CF"/>
    <w:rsid w:val="00D07977"/>
    <w:rsid w:val="00D07EF0"/>
    <w:rsid w:val="00D1008D"/>
    <w:rsid w:val="00D1024F"/>
    <w:rsid w:val="00D103AF"/>
    <w:rsid w:val="00D1097B"/>
    <w:rsid w:val="00D11F4A"/>
    <w:rsid w:val="00D12B19"/>
    <w:rsid w:val="00D14649"/>
    <w:rsid w:val="00D14E32"/>
    <w:rsid w:val="00D14E6F"/>
    <w:rsid w:val="00D1557B"/>
    <w:rsid w:val="00D15B9F"/>
    <w:rsid w:val="00D1684A"/>
    <w:rsid w:val="00D1708D"/>
    <w:rsid w:val="00D1755F"/>
    <w:rsid w:val="00D17D13"/>
    <w:rsid w:val="00D17E7A"/>
    <w:rsid w:val="00D206A8"/>
    <w:rsid w:val="00D20FC9"/>
    <w:rsid w:val="00D21422"/>
    <w:rsid w:val="00D21C78"/>
    <w:rsid w:val="00D21E5E"/>
    <w:rsid w:val="00D230CD"/>
    <w:rsid w:val="00D2390B"/>
    <w:rsid w:val="00D244FB"/>
    <w:rsid w:val="00D253AA"/>
    <w:rsid w:val="00D25E0F"/>
    <w:rsid w:val="00D26825"/>
    <w:rsid w:val="00D26892"/>
    <w:rsid w:val="00D2725C"/>
    <w:rsid w:val="00D27ABE"/>
    <w:rsid w:val="00D3001A"/>
    <w:rsid w:val="00D30681"/>
    <w:rsid w:val="00D306FE"/>
    <w:rsid w:val="00D30B89"/>
    <w:rsid w:val="00D30CA5"/>
    <w:rsid w:val="00D315FF"/>
    <w:rsid w:val="00D317E9"/>
    <w:rsid w:val="00D318B0"/>
    <w:rsid w:val="00D31A83"/>
    <w:rsid w:val="00D31A98"/>
    <w:rsid w:val="00D31CF9"/>
    <w:rsid w:val="00D329D0"/>
    <w:rsid w:val="00D32C97"/>
    <w:rsid w:val="00D32F9E"/>
    <w:rsid w:val="00D338A5"/>
    <w:rsid w:val="00D33C4C"/>
    <w:rsid w:val="00D3417F"/>
    <w:rsid w:val="00D341DE"/>
    <w:rsid w:val="00D3434F"/>
    <w:rsid w:val="00D35241"/>
    <w:rsid w:val="00D359B6"/>
    <w:rsid w:val="00D35BEC"/>
    <w:rsid w:val="00D35C7F"/>
    <w:rsid w:val="00D37367"/>
    <w:rsid w:val="00D37586"/>
    <w:rsid w:val="00D3758A"/>
    <w:rsid w:val="00D3788A"/>
    <w:rsid w:val="00D37A8E"/>
    <w:rsid w:val="00D37B13"/>
    <w:rsid w:val="00D37F31"/>
    <w:rsid w:val="00D4057E"/>
    <w:rsid w:val="00D40866"/>
    <w:rsid w:val="00D41199"/>
    <w:rsid w:val="00D41408"/>
    <w:rsid w:val="00D416FF"/>
    <w:rsid w:val="00D41AF5"/>
    <w:rsid w:val="00D41B21"/>
    <w:rsid w:val="00D421F3"/>
    <w:rsid w:val="00D4228D"/>
    <w:rsid w:val="00D42562"/>
    <w:rsid w:val="00D4310C"/>
    <w:rsid w:val="00D43447"/>
    <w:rsid w:val="00D437A5"/>
    <w:rsid w:val="00D443C7"/>
    <w:rsid w:val="00D44BB8"/>
    <w:rsid w:val="00D450D0"/>
    <w:rsid w:val="00D457C9"/>
    <w:rsid w:val="00D45E29"/>
    <w:rsid w:val="00D46BBE"/>
    <w:rsid w:val="00D46DC5"/>
    <w:rsid w:val="00D46E2F"/>
    <w:rsid w:val="00D47664"/>
    <w:rsid w:val="00D47E80"/>
    <w:rsid w:val="00D47F97"/>
    <w:rsid w:val="00D50129"/>
    <w:rsid w:val="00D50DE8"/>
    <w:rsid w:val="00D50DF9"/>
    <w:rsid w:val="00D510DA"/>
    <w:rsid w:val="00D51790"/>
    <w:rsid w:val="00D51A52"/>
    <w:rsid w:val="00D51F02"/>
    <w:rsid w:val="00D51F23"/>
    <w:rsid w:val="00D5202B"/>
    <w:rsid w:val="00D522CD"/>
    <w:rsid w:val="00D526B4"/>
    <w:rsid w:val="00D53585"/>
    <w:rsid w:val="00D5365D"/>
    <w:rsid w:val="00D5434B"/>
    <w:rsid w:val="00D5489D"/>
    <w:rsid w:val="00D5519A"/>
    <w:rsid w:val="00D55B61"/>
    <w:rsid w:val="00D56CFD"/>
    <w:rsid w:val="00D57A75"/>
    <w:rsid w:val="00D57FC2"/>
    <w:rsid w:val="00D604AE"/>
    <w:rsid w:val="00D608A0"/>
    <w:rsid w:val="00D6097D"/>
    <w:rsid w:val="00D609CB"/>
    <w:rsid w:val="00D616A9"/>
    <w:rsid w:val="00D618BB"/>
    <w:rsid w:val="00D61D13"/>
    <w:rsid w:val="00D62A3F"/>
    <w:rsid w:val="00D62D1B"/>
    <w:rsid w:val="00D6337A"/>
    <w:rsid w:val="00D63B7D"/>
    <w:rsid w:val="00D64410"/>
    <w:rsid w:val="00D64CD1"/>
    <w:rsid w:val="00D64F5B"/>
    <w:rsid w:val="00D655C1"/>
    <w:rsid w:val="00D65BE7"/>
    <w:rsid w:val="00D65DA3"/>
    <w:rsid w:val="00D67331"/>
    <w:rsid w:val="00D67425"/>
    <w:rsid w:val="00D67524"/>
    <w:rsid w:val="00D67764"/>
    <w:rsid w:val="00D67904"/>
    <w:rsid w:val="00D67CD9"/>
    <w:rsid w:val="00D67D14"/>
    <w:rsid w:val="00D67F75"/>
    <w:rsid w:val="00D70182"/>
    <w:rsid w:val="00D70B5E"/>
    <w:rsid w:val="00D7142E"/>
    <w:rsid w:val="00D71FF7"/>
    <w:rsid w:val="00D72477"/>
    <w:rsid w:val="00D73C40"/>
    <w:rsid w:val="00D740B4"/>
    <w:rsid w:val="00D74656"/>
    <w:rsid w:val="00D74F50"/>
    <w:rsid w:val="00D757A4"/>
    <w:rsid w:val="00D75B54"/>
    <w:rsid w:val="00D76773"/>
    <w:rsid w:val="00D76F8C"/>
    <w:rsid w:val="00D77036"/>
    <w:rsid w:val="00D7706E"/>
    <w:rsid w:val="00D77857"/>
    <w:rsid w:val="00D77FA0"/>
    <w:rsid w:val="00D809C4"/>
    <w:rsid w:val="00D80A12"/>
    <w:rsid w:val="00D8160E"/>
    <w:rsid w:val="00D8182E"/>
    <w:rsid w:val="00D823D1"/>
    <w:rsid w:val="00D8251F"/>
    <w:rsid w:val="00D83191"/>
    <w:rsid w:val="00D83881"/>
    <w:rsid w:val="00D838B9"/>
    <w:rsid w:val="00D83D15"/>
    <w:rsid w:val="00D843BA"/>
    <w:rsid w:val="00D8533F"/>
    <w:rsid w:val="00D85A97"/>
    <w:rsid w:val="00D86163"/>
    <w:rsid w:val="00D866F6"/>
    <w:rsid w:val="00D868E2"/>
    <w:rsid w:val="00D870BC"/>
    <w:rsid w:val="00D8788C"/>
    <w:rsid w:val="00D87D89"/>
    <w:rsid w:val="00D909A5"/>
    <w:rsid w:val="00D91814"/>
    <w:rsid w:val="00D91B17"/>
    <w:rsid w:val="00D93E58"/>
    <w:rsid w:val="00D93F83"/>
    <w:rsid w:val="00D950D8"/>
    <w:rsid w:val="00D9543D"/>
    <w:rsid w:val="00D96C8E"/>
    <w:rsid w:val="00D979D3"/>
    <w:rsid w:val="00DA018C"/>
    <w:rsid w:val="00DA1467"/>
    <w:rsid w:val="00DA2143"/>
    <w:rsid w:val="00DA2429"/>
    <w:rsid w:val="00DA242A"/>
    <w:rsid w:val="00DA2953"/>
    <w:rsid w:val="00DA3679"/>
    <w:rsid w:val="00DA3FEB"/>
    <w:rsid w:val="00DA42EE"/>
    <w:rsid w:val="00DA4C8F"/>
    <w:rsid w:val="00DA52F9"/>
    <w:rsid w:val="00DA5C94"/>
    <w:rsid w:val="00DA5EB4"/>
    <w:rsid w:val="00DA6241"/>
    <w:rsid w:val="00DB0AD4"/>
    <w:rsid w:val="00DB0BA2"/>
    <w:rsid w:val="00DB0CA7"/>
    <w:rsid w:val="00DB0FA5"/>
    <w:rsid w:val="00DB119B"/>
    <w:rsid w:val="00DB161C"/>
    <w:rsid w:val="00DB1A23"/>
    <w:rsid w:val="00DB1B7E"/>
    <w:rsid w:val="00DB2657"/>
    <w:rsid w:val="00DB2A2C"/>
    <w:rsid w:val="00DB3799"/>
    <w:rsid w:val="00DB3C8D"/>
    <w:rsid w:val="00DB3D61"/>
    <w:rsid w:val="00DB3DBF"/>
    <w:rsid w:val="00DB48A4"/>
    <w:rsid w:val="00DB4A2A"/>
    <w:rsid w:val="00DB4B0C"/>
    <w:rsid w:val="00DB5001"/>
    <w:rsid w:val="00DB5F71"/>
    <w:rsid w:val="00DB5F9F"/>
    <w:rsid w:val="00DB6414"/>
    <w:rsid w:val="00DB694B"/>
    <w:rsid w:val="00DB6F36"/>
    <w:rsid w:val="00DB7A1F"/>
    <w:rsid w:val="00DC0385"/>
    <w:rsid w:val="00DC0631"/>
    <w:rsid w:val="00DC0879"/>
    <w:rsid w:val="00DC097C"/>
    <w:rsid w:val="00DC1115"/>
    <w:rsid w:val="00DC19A2"/>
    <w:rsid w:val="00DC1D56"/>
    <w:rsid w:val="00DC2188"/>
    <w:rsid w:val="00DC2685"/>
    <w:rsid w:val="00DC2CCC"/>
    <w:rsid w:val="00DC38ED"/>
    <w:rsid w:val="00DC40C2"/>
    <w:rsid w:val="00DC47E5"/>
    <w:rsid w:val="00DC6244"/>
    <w:rsid w:val="00DC66F8"/>
    <w:rsid w:val="00DC6F8F"/>
    <w:rsid w:val="00DC7ACC"/>
    <w:rsid w:val="00DC7CDF"/>
    <w:rsid w:val="00DC7D20"/>
    <w:rsid w:val="00DD02FA"/>
    <w:rsid w:val="00DD1A45"/>
    <w:rsid w:val="00DD1F37"/>
    <w:rsid w:val="00DD22FB"/>
    <w:rsid w:val="00DD29AD"/>
    <w:rsid w:val="00DD2D58"/>
    <w:rsid w:val="00DD3EFA"/>
    <w:rsid w:val="00DD4100"/>
    <w:rsid w:val="00DD4A55"/>
    <w:rsid w:val="00DD7BB6"/>
    <w:rsid w:val="00DE064E"/>
    <w:rsid w:val="00DE06BF"/>
    <w:rsid w:val="00DE1412"/>
    <w:rsid w:val="00DE1FEF"/>
    <w:rsid w:val="00DE237E"/>
    <w:rsid w:val="00DE24F0"/>
    <w:rsid w:val="00DE2833"/>
    <w:rsid w:val="00DE2ADD"/>
    <w:rsid w:val="00DE2D0B"/>
    <w:rsid w:val="00DE36E2"/>
    <w:rsid w:val="00DE44BF"/>
    <w:rsid w:val="00DE5634"/>
    <w:rsid w:val="00DE5BF4"/>
    <w:rsid w:val="00DE5D23"/>
    <w:rsid w:val="00DE5D84"/>
    <w:rsid w:val="00DE5F5E"/>
    <w:rsid w:val="00DE7535"/>
    <w:rsid w:val="00DE7660"/>
    <w:rsid w:val="00DF0F86"/>
    <w:rsid w:val="00DF1449"/>
    <w:rsid w:val="00DF1DBC"/>
    <w:rsid w:val="00DF229E"/>
    <w:rsid w:val="00DF2A90"/>
    <w:rsid w:val="00DF329A"/>
    <w:rsid w:val="00DF331D"/>
    <w:rsid w:val="00DF38A7"/>
    <w:rsid w:val="00DF3BB8"/>
    <w:rsid w:val="00DF3DB9"/>
    <w:rsid w:val="00DF3E55"/>
    <w:rsid w:val="00DF4230"/>
    <w:rsid w:val="00DF42DA"/>
    <w:rsid w:val="00DF45EB"/>
    <w:rsid w:val="00DF470E"/>
    <w:rsid w:val="00DF52E3"/>
    <w:rsid w:val="00E0116C"/>
    <w:rsid w:val="00E02125"/>
    <w:rsid w:val="00E0289B"/>
    <w:rsid w:val="00E028E7"/>
    <w:rsid w:val="00E02A7B"/>
    <w:rsid w:val="00E03E25"/>
    <w:rsid w:val="00E04037"/>
    <w:rsid w:val="00E044E6"/>
    <w:rsid w:val="00E05DAC"/>
    <w:rsid w:val="00E05F95"/>
    <w:rsid w:val="00E0647C"/>
    <w:rsid w:val="00E077E7"/>
    <w:rsid w:val="00E11454"/>
    <w:rsid w:val="00E11614"/>
    <w:rsid w:val="00E11DA2"/>
    <w:rsid w:val="00E1260A"/>
    <w:rsid w:val="00E12A9E"/>
    <w:rsid w:val="00E13FFE"/>
    <w:rsid w:val="00E15343"/>
    <w:rsid w:val="00E155B1"/>
    <w:rsid w:val="00E15C18"/>
    <w:rsid w:val="00E15D39"/>
    <w:rsid w:val="00E15FC0"/>
    <w:rsid w:val="00E1741C"/>
    <w:rsid w:val="00E1785C"/>
    <w:rsid w:val="00E17FEE"/>
    <w:rsid w:val="00E21E81"/>
    <w:rsid w:val="00E227DB"/>
    <w:rsid w:val="00E22ED9"/>
    <w:rsid w:val="00E230CA"/>
    <w:rsid w:val="00E236D4"/>
    <w:rsid w:val="00E236EE"/>
    <w:rsid w:val="00E24565"/>
    <w:rsid w:val="00E258CD"/>
    <w:rsid w:val="00E25A96"/>
    <w:rsid w:val="00E25E0F"/>
    <w:rsid w:val="00E27B52"/>
    <w:rsid w:val="00E3049A"/>
    <w:rsid w:val="00E310A0"/>
    <w:rsid w:val="00E3138C"/>
    <w:rsid w:val="00E31CE3"/>
    <w:rsid w:val="00E3485F"/>
    <w:rsid w:val="00E35A05"/>
    <w:rsid w:val="00E36443"/>
    <w:rsid w:val="00E366FD"/>
    <w:rsid w:val="00E374FB"/>
    <w:rsid w:val="00E3770D"/>
    <w:rsid w:val="00E3795E"/>
    <w:rsid w:val="00E40100"/>
    <w:rsid w:val="00E4075B"/>
    <w:rsid w:val="00E40A34"/>
    <w:rsid w:val="00E41311"/>
    <w:rsid w:val="00E418E6"/>
    <w:rsid w:val="00E4293A"/>
    <w:rsid w:val="00E437A7"/>
    <w:rsid w:val="00E43F8B"/>
    <w:rsid w:val="00E44416"/>
    <w:rsid w:val="00E44A07"/>
    <w:rsid w:val="00E44D93"/>
    <w:rsid w:val="00E4511B"/>
    <w:rsid w:val="00E45A5A"/>
    <w:rsid w:val="00E45CE9"/>
    <w:rsid w:val="00E46232"/>
    <w:rsid w:val="00E4692A"/>
    <w:rsid w:val="00E46975"/>
    <w:rsid w:val="00E46C71"/>
    <w:rsid w:val="00E474EB"/>
    <w:rsid w:val="00E47557"/>
    <w:rsid w:val="00E478B3"/>
    <w:rsid w:val="00E47D53"/>
    <w:rsid w:val="00E503D6"/>
    <w:rsid w:val="00E50D6A"/>
    <w:rsid w:val="00E50DA2"/>
    <w:rsid w:val="00E5189B"/>
    <w:rsid w:val="00E51CB1"/>
    <w:rsid w:val="00E526D8"/>
    <w:rsid w:val="00E53F8E"/>
    <w:rsid w:val="00E54243"/>
    <w:rsid w:val="00E5457E"/>
    <w:rsid w:val="00E549F2"/>
    <w:rsid w:val="00E54AF6"/>
    <w:rsid w:val="00E54CC0"/>
    <w:rsid w:val="00E550A4"/>
    <w:rsid w:val="00E553C4"/>
    <w:rsid w:val="00E5548C"/>
    <w:rsid w:val="00E56122"/>
    <w:rsid w:val="00E56418"/>
    <w:rsid w:val="00E564B7"/>
    <w:rsid w:val="00E609B0"/>
    <w:rsid w:val="00E6194F"/>
    <w:rsid w:val="00E61BF8"/>
    <w:rsid w:val="00E61DFC"/>
    <w:rsid w:val="00E62D9C"/>
    <w:rsid w:val="00E630AE"/>
    <w:rsid w:val="00E63106"/>
    <w:rsid w:val="00E649E3"/>
    <w:rsid w:val="00E64F8C"/>
    <w:rsid w:val="00E652A8"/>
    <w:rsid w:val="00E656AB"/>
    <w:rsid w:val="00E65F35"/>
    <w:rsid w:val="00E66354"/>
    <w:rsid w:val="00E67156"/>
    <w:rsid w:val="00E6782C"/>
    <w:rsid w:val="00E67F37"/>
    <w:rsid w:val="00E70643"/>
    <w:rsid w:val="00E71098"/>
    <w:rsid w:val="00E71A2E"/>
    <w:rsid w:val="00E72179"/>
    <w:rsid w:val="00E728C5"/>
    <w:rsid w:val="00E72F8A"/>
    <w:rsid w:val="00E73EB0"/>
    <w:rsid w:val="00E74183"/>
    <w:rsid w:val="00E74A85"/>
    <w:rsid w:val="00E74CED"/>
    <w:rsid w:val="00E75532"/>
    <w:rsid w:val="00E75D3A"/>
    <w:rsid w:val="00E76C11"/>
    <w:rsid w:val="00E76FE2"/>
    <w:rsid w:val="00E8031A"/>
    <w:rsid w:val="00E816C4"/>
    <w:rsid w:val="00E81D86"/>
    <w:rsid w:val="00E82038"/>
    <w:rsid w:val="00E83157"/>
    <w:rsid w:val="00E833C7"/>
    <w:rsid w:val="00E8348C"/>
    <w:rsid w:val="00E83C0A"/>
    <w:rsid w:val="00E83CB8"/>
    <w:rsid w:val="00E84226"/>
    <w:rsid w:val="00E8459B"/>
    <w:rsid w:val="00E84A23"/>
    <w:rsid w:val="00E8548C"/>
    <w:rsid w:val="00E856FE"/>
    <w:rsid w:val="00E85897"/>
    <w:rsid w:val="00E85D4E"/>
    <w:rsid w:val="00E8647C"/>
    <w:rsid w:val="00E865C5"/>
    <w:rsid w:val="00E87EC1"/>
    <w:rsid w:val="00E915FD"/>
    <w:rsid w:val="00E917AA"/>
    <w:rsid w:val="00E925CA"/>
    <w:rsid w:val="00E92C40"/>
    <w:rsid w:val="00E93A9C"/>
    <w:rsid w:val="00E94253"/>
    <w:rsid w:val="00E957F0"/>
    <w:rsid w:val="00E960C1"/>
    <w:rsid w:val="00E96D66"/>
    <w:rsid w:val="00E96EE7"/>
    <w:rsid w:val="00E96F15"/>
    <w:rsid w:val="00E97BC3"/>
    <w:rsid w:val="00EA0000"/>
    <w:rsid w:val="00EA044F"/>
    <w:rsid w:val="00EA079B"/>
    <w:rsid w:val="00EA116D"/>
    <w:rsid w:val="00EA1447"/>
    <w:rsid w:val="00EA1C23"/>
    <w:rsid w:val="00EA28FF"/>
    <w:rsid w:val="00EA2946"/>
    <w:rsid w:val="00EA29DC"/>
    <w:rsid w:val="00EA3FA8"/>
    <w:rsid w:val="00EA470C"/>
    <w:rsid w:val="00EA4BEE"/>
    <w:rsid w:val="00EA53A5"/>
    <w:rsid w:val="00EA5412"/>
    <w:rsid w:val="00EA5BFD"/>
    <w:rsid w:val="00EA5CBA"/>
    <w:rsid w:val="00EA5FB1"/>
    <w:rsid w:val="00EA5FCC"/>
    <w:rsid w:val="00EA61DC"/>
    <w:rsid w:val="00EA700B"/>
    <w:rsid w:val="00EB07BF"/>
    <w:rsid w:val="00EB1241"/>
    <w:rsid w:val="00EB1B5A"/>
    <w:rsid w:val="00EB33B1"/>
    <w:rsid w:val="00EB3D56"/>
    <w:rsid w:val="00EB3F9F"/>
    <w:rsid w:val="00EB401F"/>
    <w:rsid w:val="00EB42C1"/>
    <w:rsid w:val="00EB4400"/>
    <w:rsid w:val="00EB46C3"/>
    <w:rsid w:val="00EB6087"/>
    <w:rsid w:val="00EB7DEB"/>
    <w:rsid w:val="00EC0EBD"/>
    <w:rsid w:val="00EC0EF3"/>
    <w:rsid w:val="00EC17F5"/>
    <w:rsid w:val="00EC1871"/>
    <w:rsid w:val="00EC1A5E"/>
    <w:rsid w:val="00EC1B71"/>
    <w:rsid w:val="00EC1E28"/>
    <w:rsid w:val="00EC2549"/>
    <w:rsid w:val="00EC2618"/>
    <w:rsid w:val="00EC38EC"/>
    <w:rsid w:val="00EC3D50"/>
    <w:rsid w:val="00EC3F08"/>
    <w:rsid w:val="00EC4F2C"/>
    <w:rsid w:val="00EC5566"/>
    <w:rsid w:val="00EC5EAE"/>
    <w:rsid w:val="00EC6254"/>
    <w:rsid w:val="00EC64EA"/>
    <w:rsid w:val="00EC6866"/>
    <w:rsid w:val="00EC7722"/>
    <w:rsid w:val="00EC7C56"/>
    <w:rsid w:val="00ED06AE"/>
    <w:rsid w:val="00ED073E"/>
    <w:rsid w:val="00ED080D"/>
    <w:rsid w:val="00ED14D9"/>
    <w:rsid w:val="00ED3399"/>
    <w:rsid w:val="00ED3A16"/>
    <w:rsid w:val="00ED3A2C"/>
    <w:rsid w:val="00ED4056"/>
    <w:rsid w:val="00ED4A42"/>
    <w:rsid w:val="00ED53AF"/>
    <w:rsid w:val="00ED5A72"/>
    <w:rsid w:val="00ED5B1B"/>
    <w:rsid w:val="00ED6247"/>
    <w:rsid w:val="00ED7066"/>
    <w:rsid w:val="00ED75EB"/>
    <w:rsid w:val="00ED77B7"/>
    <w:rsid w:val="00ED7DDA"/>
    <w:rsid w:val="00EE04BA"/>
    <w:rsid w:val="00EE07E3"/>
    <w:rsid w:val="00EE0836"/>
    <w:rsid w:val="00EE0874"/>
    <w:rsid w:val="00EE116F"/>
    <w:rsid w:val="00EE1519"/>
    <w:rsid w:val="00EE1B79"/>
    <w:rsid w:val="00EE2557"/>
    <w:rsid w:val="00EE26E0"/>
    <w:rsid w:val="00EE2EFC"/>
    <w:rsid w:val="00EE3DA5"/>
    <w:rsid w:val="00EE40B5"/>
    <w:rsid w:val="00EE4264"/>
    <w:rsid w:val="00EE429C"/>
    <w:rsid w:val="00EE4D37"/>
    <w:rsid w:val="00EE6CC5"/>
    <w:rsid w:val="00EE6CFD"/>
    <w:rsid w:val="00EE6E3C"/>
    <w:rsid w:val="00EE79C5"/>
    <w:rsid w:val="00EE7B09"/>
    <w:rsid w:val="00EF0466"/>
    <w:rsid w:val="00EF0470"/>
    <w:rsid w:val="00EF0591"/>
    <w:rsid w:val="00EF0970"/>
    <w:rsid w:val="00EF145E"/>
    <w:rsid w:val="00EF171D"/>
    <w:rsid w:val="00EF1A8C"/>
    <w:rsid w:val="00EF2B56"/>
    <w:rsid w:val="00EF2FC2"/>
    <w:rsid w:val="00EF37C3"/>
    <w:rsid w:val="00EF3BE5"/>
    <w:rsid w:val="00EF42FD"/>
    <w:rsid w:val="00EF4B3E"/>
    <w:rsid w:val="00EF4E82"/>
    <w:rsid w:val="00EF5E58"/>
    <w:rsid w:val="00EF638B"/>
    <w:rsid w:val="00EF6654"/>
    <w:rsid w:val="00EF6AA8"/>
    <w:rsid w:val="00EF70EE"/>
    <w:rsid w:val="00EF726E"/>
    <w:rsid w:val="00EF76BC"/>
    <w:rsid w:val="00EF7CF9"/>
    <w:rsid w:val="00F00538"/>
    <w:rsid w:val="00F00DCA"/>
    <w:rsid w:val="00F01038"/>
    <w:rsid w:val="00F02761"/>
    <w:rsid w:val="00F0284F"/>
    <w:rsid w:val="00F03925"/>
    <w:rsid w:val="00F03B9F"/>
    <w:rsid w:val="00F03BB9"/>
    <w:rsid w:val="00F047A8"/>
    <w:rsid w:val="00F06A37"/>
    <w:rsid w:val="00F06C94"/>
    <w:rsid w:val="00F06E52"/>
    <w:rsid w:val="00F071E1"/>
    <w:rsid w:val="00F07542"/>
    <w:rsid w:val="00F07B0C"/>
    <w:rsid w:val="00F10723"/>
    <w:rsid w:val="00F111B2"/>
    <w:rsid w:val="00F11336"/>
    <w:rsid w:val="00F11719"/>
    <w:rsid w:val="00F1192B"/>
    <w:rsid w:val="00F11B17"/>
    <w:rsid w:val="00F12B05"/>
    <w:rsid w:val="00F131AB"/>
    <w:rsid w:val="00F13330"/>
    <w:rsid w:val="00F13EA3"/>
    <w:rsid w:val="00F148E4"/>
    <w:rsid w:val="00F151AE"/>
    <w:rsid w:val="00F164CB"/>
    <w:rsid w:val="00F1654C"/>
    <w:rsid w:val="00F16C31"/>
    <w:rsid w:val="00F16FC3"/>
    <w:rsid w:val="00F17594"/>
    <w:rsid w:val="00F17C77"/>
    <w:rsid w:val="00F17F7A"/>
    <w:rsid w:val="00F2010A"/>
    <w:rsid w:val="00F20AFE"/>
    <w:rsid w:val="00F2116A"/>
    <w:rsid w:val="00F215C9"/>
    <w:rsid w:val="00F219BA"/>
    <w:rsid w:val="00F21BFC"/>
    <w:rsid w:val="00F21E07"/>
    <w:rsid w:val="00F21F65"/>
    <w:rsid w:val="00F223CC"/>
    <w:rsid w:val="00F22455"/>
    <w:rsid w:val="00F23557"/>
    <w:rsid w:val="00F240D4"/>
    <w:rsid w:val="00F2459B"/>
    <w:rsid w:val="00F25E06"/>
    <w:rsid w:val="00F25FD1"/>
    <w:rsid w:val="00F2636E"/>
    <w:rsid w:val="00F26938"/>
    <w:rsid w:val="00F26BF1"/>
    <w:rsid w:val="00F271E1"/>
    <w:rsid w:val="00F27944"/>
    <w:rsid w:val="00F27966"/>
    <w:rsid w:val="00F27C5D"/>
    <w:rsid w:val="00F3028D"/>
    <w:rsid w:val="00F30E8F"/>
    <w:rsid w:val="00F31029"/>
    <w:rsid w:val="00F31F97"/>
    <w:rsid w:val="00F324B8"/>
    <w:rsid w:val="00F3261B"/>
    <w:rsid w:val="00F32697"/>
    <w:rsid w:val="00F32AEC"/>
    <w:rsid w:val="00F331B5"/>
    <w:rsid w:val="00F33FCB"/>
    <w:rsid w:val="00F35500"/>
    <w:rsid w:val="00F35971"/>
    <w:rsid w:val="00F359A7"/>
    <w:rsid w:val="00F359AF"/>
    <w:rsid w:val="00F364BF"/>
    <w:rsid w:val="00F3669D"/>
    <w:rsid w:val="00F37CAF"/>
    <w:rsid w:val="00F37D2E"/>
    <w:rsid w:val="00F4040D"/>
    <w:rsid w:val="00F41EBE"/>
    <w:rsid w:val="00F4260E"/>
    <w:rsid w:val="00F428E8"/>
    <w:rsid w:val="00F4450C"/>
    <w:rsid w:val="00F4500B"/>
    <w:rsid w:val="00F4592A"/>
    <w:rsid w:val="00F45DF2"/>
    <w:rsid w:val="00F45E67"/>
    <w:rsid w:val="00F47777"/>
    <w:rsid w:val="00F47B10"/>
    <w:rsid w:val="00F50E91"/>
    <w:rsid w:val="00F5268E"/>
    <w:rsid w:val="00F52BD7"/>
    <w:rsid w:val="00F53A36"/>
    <w:rsid w:val="00F53B46"/>
    <w:rsid w:val="00F53CD5"/>
    <w:rsid w:val="00F5471E"/>
    <w:rsid w:val="00F5696E"/>
    <w:rsid w:val="00F56E2C"/>
    <w:rsid w:val="00F575B8"/>
    <w:rsid w:val="00F578AB"/>
    <w:rsid w:val="00F579D4"/>
    <w:rsid w:val="00F57EB9"/>
    <w:rsid w:val="00F601F4"/>
    <w:rsid w:val="00F6031E"/>
    <w:rsid w:val="00F6042E"/>
    <w:rsid w:val="00F617BB"/>
    <w:rsid w:val="00F617F9"/>
    <w:rsid w:val="00F61A85"/>
    <w:rsid w:val="00F6256E"/>
    <w:rsid w:val="00F62624"/>
    <w:rsid w:val="00F638CE"/>
    <w:rsid w:val="00F64628"/>
    <w:rsid w:val="00F6521D"/>
    <w:rsid w:val="00F65AC1"/>
    <w:rsid w:val="00F66206"/>
    <w:rsid w:val="00F664B8"/>
    <w:rsid w:val="00F66A13"/>
    <w:rsid w:val="00F66EA1"/>
    <w:rsid w:val="00F67265"/>
    <w:rsid w:val="00F67ECC"/>
    <w:rsid w:val="00F704A8"/>
    <w:rsid w:val="00F71595"/>
    <w:rsid w:val="00F716B9"/>
    <w:rsid w:val="00F72194"/>
    <w:rsid w:val="00F7282F"/>
    <w:rsid w:val="00F72CC2"/>
    <w:rsid w:val="00F734A8"/>
    <w:rsid w:val="00F73609"/>
    <w:rsid w:val="00F736FD"/>
    <w:rsid w:val="00F744F2"/>
    <w:rsid w:val="00F7500B"/>
    <w:rsid w:val="00F76397"/>
    <w:rsid w:val="00F76524"/>
    <w:rsid w:val="00F76E42"/>
    <w:rsid w:val="00F77400"/>
    <w:rsid w:val="00F776A8"/>
    <w:rsid w:val="00F7774D"/>
    <w:rsid w:val="00F77D6A"/>
    <w:rsid w:val="00F8070D"/>
    <w:rsid w:val="00F80A49"/>
    <w:rsid w:val="00F80B59"/>
    <w:rsid w:val="00F8110A"/>
    <w:rsid w:val="00F81110"/>
    <w:rsid w:val="00F81332"/>
    <w:rsid w:val="00F81546"/>
    <w:rsid w:val="00F815DA"/>
    <w:rsid w:val="00F81A5C"/>
    <w:rsid w:val="00F822FF"/>
    <w:rsid w:val="00F8261A"/>
    <w:rsid w:val="00F8294E"/>
    <w:rsid w:val="00F82DA2"/>
    <w:rsid w:val="00F82E18"/>
    <w:rsid w:val="00F830B4"/>
    <w:rsid w:val="00F83A78"/>
    <w:rsid w:val="00F8464D"/>
    <w:rsid w:val="00F84975"/>
    <w:rsid w:val="00F849AE"/>
    <w:rsid w:val="00F8533B"/>
    <w:rsid w:val="00F86874"/>
    <w:rsid w:val="00F868C9"/>
    <w:rsid w:val="00F86AAF"/>
    <w:rsid w:val="00F90059"/>
    <w:rsid w:val="00F9034B"/>
    <w:rsid w:val="00F9064F"/>
    <w:rsid w:val="00F91090"/>
    <w:rsid w:val="00F910AC"/>
    <w:rsid w:val="00F91892"/>
    <w:rsid w:val="00F92613"/>
    <w:rsid w:val="00F93EC8"/>
    <w:rsid w:val="00F943BF"/>
    <w:rsid w:val="00F944EC"/>
    <w:rsid w:val="00F94EE1"/>
    <w:rsid w:val="00F954A6"/>
    <w:rsid w:val="00F967C5"/>
    <w:rsid w:val="00F97157"/>
    <w:rsid w:val="00F97607"/>
    <w:rsid w:val="00F97681"/>
    <w:rsid w:val="00F977D6"/>
    <w:rsid w:val="00FA00BF"/>
    <w:rsid w:val="00FA110B"/>
    <w:rsid w:val="00FA173A"/>
    <w:rsid w:val="00FA18B4"/>
    <w:rsid w:val="00FA1D56"/>
    <w:rsid w:val="00FA2596"/>
    <w:rsid w:val="00FA2E4C"/>
    <w:rsid w:val="00FA2E4E"/>
    <w:rsid w:val="00FA3326"/>
    <w:rsid w:val="00FA3E8B"/>
    <w:rsid w:val="00FA3ECC"/>
    <w:rsid w:val="00FA4844"/>
    <w:rsid w:val="00FA4985"/>
    <w:rsid w:val="00FA54A1"/>
    <w:rsid w:val="00FA5CC1"/>
    <w:rsid w:val="00FA691A"/>
    <w:rsid w:val="00FA69EA"/>
    <w:rsid w:val="00FA6E9B"/>
    <w:rsid w:val="00FA72EE"/>
    <w:rsid w:val="00FA74B2"/>
    <w:rsid w:val="00FB0A1F"/>
    <w:rsid w:val="00FB1558"/>
    <w:rsid w:val="00FB1ECC"/>
    <w:rsid w:val="00FB2E57"/>
    <w:rsid w:val="00FB32C6"/>
    <w:rsid w:val="00FB33DB"/>
    <w:rsid w:val="00FB3990"/>
    <w:rsid w:val="00FB5E33"/>
    <w:rsid w:val="00FB6373"/>
    <w:rsid w:val="00FB67A8"/>
    <w:rsid w:val="00FB719E"/>
    <w:rsid w:val="00FB7B75"/>
    <w:rsid w:val="00FB7D29"/>
    <w:rsid w:val="00FC0E4A"/>
    <w:rsid w:val="00FC0EEC"/>
    <w:rsid w:val="00FC1AB9"/>
    <w:rsid w:val="00FC1DF8"/>
    <w:rsid w:val="00FC24AA"/>
    <w:rsid w:val="00FC28A9"/>
    <w:rsid w:val="00FC298D"/>
    <w:rsid w:val="00FC2B19"/>
    <w:rsid w:val="00FC2DA8"/>
    <w:rsid w:val="00FC2F2F"/>
    <w:rsid w:val="00FC34A4"/>
    <w:rsid w:val="00FC34D2"/>
    <w:rsid w:val="00FC3DF4"/>
    <w:rsid w:val="00FC3FF1"/>
    <w:rsid w:val="00FC411E"/>
    <w:rsid w:val="00FC5C16"/>
    <w:rsid w:val="00FC77E3"/>
    <w:rsid w:val="00FC7F6D"/>
    <w:rsid w:val="00FD16FB"/>
    <w:rsid w:val="00FD170C"/>
    <w:rsid w:val="00FD17DB"/>
    <w:rsid w:val="00FD1815"/>
    <w:rsid w:val="00FD1D7B"/>
    <w:rsid w:val="00FD2170"/>
    <w:rsid w:val="00FD2693"/>
    <w:rsid w:val="00FD2ABD"/>
    <w:rsid w:val="00FD3209"/>
    <w:rsid w:val="00FD3474"/>
    <w:rsid w:val="00FD37AB"/>
    <w:rsid w:val="00FD463A"/>
    <w:rsid w:val="00FD4A5C"/>
    <w:rsid w:val="00FD4F22"/>
    <w:rsid w:val="00FD5737"/>
    <w:rsid w:val="00FD587A"/>
    <w:rsid w:val="00FD628B"/>
    <w:rsid w:val="00FD67D5"/>
    <w:rsid w:val="00FD6942"/>
    <w:rsid w:val="00FD6BB5"/>
    <w:rsid w:val="00FD7891"/>
    <w:rsid w:val="00FD7C04"/>
    <w:rsid w:val="00FD7E2C"/>
    <w:rsid w:val="00FE0079"/>
    <w:rsid w:val="00FE0A91"/>
    <w:rsid w:val="00FE161B"/>
    <w:rsid w:val="00FE16CC"/>
    <w:rsid w:val="00FE1B61"/>
    <w:rsid w:val="00FE2401"/>
    <w:rsid w:val="00FE26E3"/>
    <w:rsid w:val="00FE3644"/>
    <w:rsid w:val="00FE45CF"/>
    <w:rsid w:val="00FE5719"/>
    <w:rsid w:val="00FE674F"/>
    <w:rsid w:val="00FE6D61"/>
    <w:rsid w:val="00FE77B8"/>
    <w:rsid w:val="00FE7D72"/>
    <w:rsid w:val="00FF08DB"/>
    <w:rsid w:val="00FF23BB"/>
    <w:rsid w:val="00FF248A"/>
    <w:rsid w:val="00FF2556"/>
    <w:rsid w:val="00FF3E89"/>
    <w:rsid w:val="00FF4139"/>
    <w:rsid w:val="00FF455E"/>
    <w:rsid w:val="00FF4B22"/>
    <w:rsid w:val="00FF4D5E"/>
    <w:rsid w:val="00FF6C60"/>
    <w:rsid w:val="00FF6D96"/>
    <w:rsid w:val="00FF7F64"/>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CA798"/>
  <w15:chartTrackingRefBased/>
  <w15:docId w15:val="{C5ED62F0-4EBB-4121-99B3-20B51F535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de-DE" w:bidi="de-DE"/>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175"/>
  </w:style>
  <w:style w:type="paragraph" w:styleId="Heading1">
    <w:name w:val="heading 1"/>
    <w:basedOn w:val="Normal"/>
    <w:next w:val="Normal"/>
    <w:link w:val="Heading1Char"/>
    <w:rsid w:val="00930D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930D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30D5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D655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Heading4"/>
    <w:link w:val="Heading5Char"/>
    <w:uiPriority w:val="9"/>
    <w:unhideWhenUsed/>
    <w:qFormat/>
    <w:rsid w:val="00482BC7"/>
    <w:pPr>
      <w:keepNext w:val="0"/>
      <w:keepLines w:val="0"/>
      <w:tabs>
        <w:tab w:val="num" w:pos="1800"/>
      </w:tabs>
      <w:suppressAutoHyphens/>
      <w:autoSpaceDN w:val="0"/>
      <w:spacing w:before="120" w:after="120" w:line="240" w:lineRule="auto"/>
      <w:ind w:left="1800" w:hanging="360"/>
      <w:jc w:val="both"/>
      <w:textAlignment w:val="baseline"/>
      <w:outlineLvl w:val="4"/>
    </w:pPr>
    <w:rPr>
      <w:rFonts w:ascii="Calibri" w:eastAsia="MS Mincho" w:hAnsi="Calibri" w:cs="Calibri"/>
      <w:i w:val="0"/>
      <w:iCs w:val="0"/>
      <w:color w:val="auto"/>
    </w:rPr>
  </w:style>
  <w:style w:type="paragraph" w:styleId="Heading6">
    <w:name w:val="heading 6"/>
    <w:basedOn w:val="Heading5"/>
    <w:next w:val="Normal"/>
    <w:link w:val="Heading6Char"/>
    <w:uiPriority w:val="9"/>
    <w:unhideWhenUsed/>
    <w:qFormat/>
    <w:rsid w:val="00482BC7"/>
    <w:pPr>
      <w:tabs>
        <w:tab w:val="clear" w:pos="1800"/>
        <w:tab w:val="num" w:pos="2160"/>
      </w:tabs>
      <w:ind w:left="216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0D5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30D5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930D5E"/>
    <w:rPr>
      <w:rFonts w:asciiTheme="majorHAnsi" w:eastAsiaTheme="majorEastAsia" w:hAnsiTheme="majorHAnsi" w:cstheme="majorBidi"/>
      <w:color w:val="1F4D78" w:themeColor="accent1" w:themeShade="7F"/>
      <w:sz w:val="24"/>
      <w:szCs w:val="24"/>
    </w:rPr>
  </w:style>
  <w:style w:type="paragraph" w:customStyle="1" w:styleId="ProductList-Body">
    <w:name w:val="Product List - Body"/>
    <w:basedOn w:val="Normal"/>
    <w:link w:val="ProductList-BodyChar"/>
    <w:uiPriority w:val="1"/>
    <w:qFormat/>
    <w:rsid w:val="006D4483"/>
    <w:pPr>
      <w:tabs>
        <w:tab w:val="left" w:pos="360"/>
        <w:tab w:val="left" w:pos="720"/>
        <w:tab w:val="left" w:pos="1080"/>
      </w:tabs>
      <w:spacing w:after="0" w:line="240" w:lineRule="auto"/>
    </w:pPr>
    <w:rPr>
      <w:sz w:val="18"/>
    </w:rPr>
  </w:style>
  <w:style w:type="character" w:customStyle="1" w:styleId="ProductList-BodyChar">
    <w:name w:val="Product List - Body Char"/>
    <w:basedOn w:val="DefaultParagraphFont"/>
    <w:link w:val="ProductList-Body"/>
    <w:uiPriority w:val="1"/>
    <w:rsid w:val="006D4483"/>
    <w:rPr>
      <w:sz w:val="18"/>
    </w:rPr>
  </w:style>
  <w:style w:type="paragraph" w:customStyle="1" w:styleId="ProductList-SectionHeading">
    <w:name w:val="Product List - Section Heading"/>
    <w:basedOn w:val="ProductList-Body"/>
    <w:next w:val="ProductList-Body"/>
    <w:link w:val="ProductList-SectionHeadingChar"/>
    <w:qFormat/>
    <w:rsid w:val="00407E60"/>
    <w:pPr>
      <w:spacing w:after="240"/>
    </w:pPr>
    <w:rPr>
      <w:rFonts w:asciiTheme="majorHAnsi" w:hAnsiTheme="majorHAnsi"/>
      <w:b/>
      <w:sz w:val="40"/>
    </w:rPr>
  </w:style>
  <w:style w:type="character" w:customStyle="1" w:styleId="ProductList-SectionHeadingChar">
    <w:name w:val="Product List - Section Heading Char"/>
    <w:basedOn w:val="ProductList-BodyChar"/>
    <w:link w:val="ProductList-SectionHeading"/>
    <w:rsid w:val="00407E60"/>
    <w:rPr>
      <w:rFonts w:asciiTheme="majorHAnsi" w:hAnsiTheme="majorHAnsi"/>
      <w:b/>
      <w:sz w:val="40"/>
    </w:rPr>
  </w:style>
  <w:style w:type="paragraph" w:customStyle="1" w:styleId="ProductList-OfferingGroupHeading">
    <w:name w:val="Product List - Offering Group Heading"/>
    <w:basedOn w:val="ProductList-Body"/>
    <w:link w:val="ProductList-OfferingGroupHeadingChar"/>
    <w:qFormat/>
    <w:rsid w:val="00512D78"/>
    <w:pPr>
      <w:pBdr>
        <w:bottom w:val="single" w:sz="24" w:space="1" w:color="595959" w:themeColor="text1" w:themeTint="A6"/>
      </w:pBdr>
      <w:spacing w:after="240"/>
    </w:pPr>
    <w:rPr>
      <w:rFonts w:asciiTheme="majorHAnsi" w:hAnsiTheme="majorHAnsi"/>
      <w:b/>
      <w:color w:val="00188F"/>
      <w:sz w:val="28"/>
    </w:rPr>
  </w:style>
  <w:style w:type="character" w:customStyle="1" w:styleId="ProductList-OfferingGroupHeadingChar">
    <w:name w:val="Product List - Offering Group Heading Char"/>
    <w:basedOn w:val="ProductList-BodyChar"/>
    <w:link w:val="ProductList-OfferingGroupHeading"/>
    <w:rsid w:val="00512D78"/>
    <w:rPr>
      <w:rFonts w:asciiTheme="majorHAnsi" w:hAnsiTheme="majorHAnsi"/>
      <w:b/>
      <w:color w:val="00188F"/>
      <w:sz w:val="28"/>
    </w:rPr>
  </w:style>
  <w:style w:type="paragraph" w:customStyle="1" w:styleId="ProductList-Offering1">
    <w:name w:val="Product List - Offering 1"/>
    <w:basedOn w:val="ProductList-Body"/>
    <w:link w:val="ProductList-Offering1Char"/>
    <w:qFormat/>
    <w:rsid w:val="004F3C6D"/>
    <w:pPr>
      <w:spacing w:before="20" w:after="20"/>
      <w:ind w:left="-14" w:right="-101"/>
    </w:pPr>
    <w:rPr>
      <w:rFonts w:asciiTheme="majorHAnsi" w:hAnsiTheme="majorHAnsi"/>
      <w:sz w:val="16"/>
    </w:rPr>
  </w:style>
  <w:style w:type="character" w:customStyle="1" w:styleId="ProductList-Offering1Char">
    <w:name w:val="Product List - Offering 1 Char"/>
    <w:basedOn w:val="ProductList-BodyChar"/>
    <w:link w:val="ProductList-Offering1"/>
    <w:rsid w:val="004F3C6D"/>
    <w:rPr>
      <w:rFonts w:asciiTheme="majorHAnsi" w:hAnsiTheme="majorHAnsi"/>
      <w:sz w:val="16"/>
    </w:rPr>
  </w:style>
  <w:style w:type="paragraph" w:customStyle="1" w:styleId="ProductList-OfferingBody">
    <w:name w:val="Product List - Offering Body"/>
    <w:basedOn w:val="ProductList-Body"/>
    <w:next w:val="ProductList-Body"/>
    <w:link w:val="ProductList-OfferingBodyChar"/>
    <w:uiPriority w:val="1"/>
    <w:qFormat/>
    <w:rsid w:val="00287117"/>
    <w:pPr>
      <w:spacing w:before="20" w:after="20"/>
      <w:ind w:left="-14" w:right="-101"/>
    </w:pPr>
    <w:rPr>
      <w:sz w:val="16"/>
    </w:rPr>
  </w:style>
  <w:style w:type="character" w:customStyle="1" w:styleId="ProductList-OfferingBodyChar">
    <w:name w:val="Product List - Offering Body Char"/>
    <w:basedOn w:val="ProductList-BodyChar"/>
    <w:link w:val="ProductList-OfferingBody"/>
    <w:uiPriority w:val="1"/>
    <w:rsid w:val="00287117"/>
    <w:rPr>
      <w:sz w:val="16"/>
    </w:rPr>
  </w:style>
  <w:style w:type="paragraph" w:customStyle="1" w:styleId="ProductList-Offering1Heading">
    <w:name w:val="Product List - Offering 1 Heading"/>
    <w:basedOn w:val="ProductList-Body"/>
    <w:next w:val="ProductList-Body"/>
    <w:link w:val="ProductList-Offering1HeadingChar"/>
    <w:qFormat/>
    <w:rsid w:val="00512D78"/>
    <w:pPr>
      <w:pBdr>
        <w:bottom w:val="single" w:sz="4" w:space="1" w:color="595959" w:themeColor="text1" w:themeTint="A6"/>
      </w:pBdr>
      <w:tabs>
        <w:tab w:val="left" w:pos="187"/>
      </w:tabs>
      <w:spacing w:before="60" w:after="60"/>
    </w:pPr>
    <w:rPr>
      <w:rFonts w:asciiTheme="majorHAnsi" w:hAnsiTheme="majorHAnsi"/>
      <w:b/>
      <w:color w:val="00188F"/>
      <w:sz w:val="28"/>
    </w:rPr>
  </w:style>
  <w:style w:type="character" w:customStyle="1" w:styleId="ProductList-Offering1HeadingChar">
    <w:name w:val="Product List - Offering 1 Heading Char"/>
    <w:basedOn w:val="ProductList-BodyChar"/>
    <w:link w:val="ProductList-Offering1Heading"/>
    <w:rsid w:val="00512D78"/>
    <w:rPr>
      <w:rFonts w:asciiTheme="majorHAnsi" w:hAnsiTheme="majorHAnsi"/>
      <w:b/>
      <w:color w:val="00188F"/>
      <w:sz w:val="28"/>
    </w:rPr>
  </w:style>
  <w:style w:type="paragraph" w:customStyle="1" w:styleId="ProductList-SubSection1Heading">
    <w:name w:val="Product List - SubSection 1 Heading"/>
    <w:basedOn w:val="ProductList-Body"/>
    <w:link w:val="ProductList-SubSection1HeadingChar"/>
    <w:qFormat/>
    <w:rsid w:val="00512D78"/>
    <w:pPr>
      <w:pBdr>
        <w:bottom w:val="single" w:sz="4" w:space="1" w:color="595959" w:themeColor="text1" w:themeTint="A6"/>
      </w:pBdr>
      <w:tabs>
        <w:tab w:val="left" w:pos="187"/>
      </w:tabs>
      <w:spacing w:before="240" w:after="120"/>
    </w:pPr>
    <w:rPr>
      <w:rFonts w:asciiTheme="majorHAnsi" w:hAnsiTheme="majorHAnsi"/>
      <w:b/>
      <w:color w:val="00188F"/>
      <w:sz w:val="28"/>
    </w:rPr>
  </w:style>
  <w:style w:type="character" w:customStyle="1" w:styleId="ProductList-SubSection1HeadingChar">
    <w:name w:val="Product List - SubSection 1 Heading Char"/>
    <w:basedOn w:val="ProductList-BodyChar"/>
    <w:link w:val="ProductList-SubSection1Heading"/>
    <w:rsid w:val="00512D78"/>
    <w:rPr>
      <w:rFonts w:asciiTheme="majorHAnsi" w:hAnsiTheme="majorHAnsi"/>
      <w:b/>
      <w:color w:val="00188F"/>
      <w:sz w:val="28"/>
    </w:rPr>
  </w:style>
  <w:style w:type="paragraph" w:styleId="Header">
    <w:name w:val="header"/>
    <w:basedOn w:val="Normal"/>
    <w:link w:val="HeaderChar"/>
    <w:uiPriority w:val="99"/>
    <w:unhideWhenUsed/>
    <w:rsid w:val="009A57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73F"/>
  </w:style>
  <w:style w:type="paragraph" w:styleId="Footer">
    <w:name w:val="footer"/>
    <w:basedOn w:val="Normal"/>
    <w:link w:val="FooterChar"/>
    <w:uiPriority w:val="99"/>
    <w:unhideWhenUsed/>
    <w:rsid w:val="009A5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73F"/>
  </w:style>
  <w:style w:type="table" w:styleId="TableGrid">
    <w:name w:val="Table Grid"/>
    <w:basedOn w:val="TableNormal"/>
    <w:uiPriority w:val="39"/>
    <w:rsid w:val="00C76D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B3D69"/>
    <w:rPr>
      <w:color w:val="0563C1" w:themeColor="hyperlink"/>
      <w:u w:val="single"/>
    </w:rPr>
  </w:style>
  <w:style w:type="paragraph" w:styleId="BalloonText">
    <w:name w:val="Balloon Text"/>
    <w:basedOn w:val="Normal"/>
    <w:link w:val="BalloonTextChar"/>
    <w:uiPriority w:val="99"/>
    <w:semiHidden/>
    <w:unhideWhenUsed/>
    <w:rsid w:val="00E377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770D"/>
    <w:rPr>
      <w:rFonts w:ascii="Segoe UI" w:hAnsi="Segoe UI" w:cs="Segoe UI"/>
      <w:sz w:val="18"/>
      <w:szCs w:val="18"/>
    </w:rPr>
  </w:style>
  <w:style w:type="paragraph" w:customStyle="1" w:styleId="ProductList-Offering2Heading">
    <w:name w:val="Product List - Offering 2 Heading"/>
    <w:basedOn w:val="ProductList-Offering1Heading"/>
    <w:next w:val="ProductList-Body"/>
    <w:link w:val="ProductList-Offering2HeadingChar"/>
    <w:qFormat/>
    <w:rsid w:val="00512D78"/>
    <w:pPr>
      <w:tabs>
        <w:tab w:val="clear" w:pos="187"/>
      </w:tabs>
      <w:ind w:firstLine="187"/>
    </w:pPr>
    <w:rPr>
      <w:color w:val="0072C6"/>
    </w:rPr>
  </w:style>
  <w:style w:type="character" w:customStyle="1" w:styleId="ProductList-Offering2HeadingChar">
    <w:name w:val="Product List - Offering 2 Heading Char"/>
    <w:basedOn w:val="ProductList-Offering1HeadingChar"/>
    <w:link w:val="ProductList-Offering2Heading"/>
    <w:rsid w:val="00512D78"/>
    <w:rPr>
      <w:rFonts w:asciiTheme="majorHAnsi" w:hAnsiTheme="majorHAnsi"/>
      <w:b/>
      <w:color w:val="0072C6"/>
      <w:sz w:val="28"/>
    </w:rPr>
  </w:style>
  <w:style w:type="paragraph" w:customStyle="1" w:styleId="ProductList-Offering2">
    <w:name w:val="Product List - Offering 2"/>
    <w:basedOn w:val="ProductList-Offering1"/>
    <w:link w:val="ProductList-Offering2Char"/>
    <w:qFormat/>
    <w:rsid w:val="003F6BD4"/>
  </w:style>
  <w:style w:type="character" w:customStyle="1" w:styleId="ProductList-Offering2Char">
    <w:name w:val="Product List - Offering 2 Char"/>
    <w:basedOn w:val="ProductList-BodyChar"/>
    <w:link w:val="ProductList-Offering2"/>
    <w:rsid w:val="003F6BD4"/>
    <w:rPr>
      <w:rFonts w:asciiTheme="majorHAnsi" w:hAnsiTheme="majorHAnsi"/>
      <w:sz w:val="16"/>
    </w:rPr>
  </w:style>
  <w:style w:type="paragraph" w:customStyle="1" w:styleId="ProductList-SubSubSectionHeading">
    <w:name w:val="Product List - SubSubSection Heading"/>
    <w:basedOn w:val="ProductList-Body"/>
    <w:link w:val="ProductList-SubSubSectionHeadingChar"/>
    <w:qFormat/>
    <w:rsid w:val="00B4343E"/>
    <w:rPr>
      <w:b/>
      <w:color w:val="00188F"/>
    </w:rPr>
  </w:style>
  <w:style w:type="character" w:customStyle="1" w:styleId="ProductList-SubSubSectionHeadingChar">
    <w:name w:val="Product List - SubSubSection Heading Char"/>
    <w:basedOn w:val="ProductList-BodyChar"/>
    <w:link w:val="ProductList-SubSubSectionHeading"/>
    <w:rsid w:val="00B4343E"/>
    <w:rPr>
      <w:b/>
      <w:color w:val="00188F"/>
      <w:sz w:val="18"/>
    </w:rPr>
  </w:style>
  <w:style w:type="paragraph" w:customStyle="1" w:styleId="ProductList-SubSection2Heading">
    <w:name w:val="Product List - SubSection 2 Heading"/>
    <w:basedOn w:val="ProductList-SubSection1Heading"/>
    <w:link w:val="ProductList-SubSection2HeadingChar"/>
    <w:qFormat/>
    <w:rsid w:val="00D65BE7"/>
    <w:pPr>
      <w:tabs>
        <w:tab w:val="clear" w:pos="187"/>
      </w:tabs>
      <w:outlineLvl w:val="2"/>
    </w:pPr>
    <w:rPr>
      <w:color w:val="0072C6"/>
    </w:rPr>
  </w:style>
  <w:style w:type="character" w:customStyle="1" w:styleId="ProductList-SubSection2HeadingChar">
    <w:name w:val="Product List - SubSection 2 Heading Char"/>
    <w:basedOn w:val="ProductList-SubSection1HeadingChar"/>
    <w:link w:val="ProductList-SubSection2Heading"/>
    <w:rsid w:val="00D65BE7"/>
    <w:rPr>
      <w:rFonts w:asciiTheme="majorHAnsi" w:hAnsiTheme="majorHAnsi"/>
      <w:b/>
      <w:color w:val="0072C6"/>
      <w:sz w:val="28"/>
    </w:rPr>
  </w:style>
  <w:style w:type="paragraph" w:styleId="TOC1">
    <w:name w:val="toc 1"/>
    <w:basedOn w:val="Normal"/>
    <w:next w:val="Normal"/>
    <w:autoRedefine/>
    <w:uiPriority w:val="39"/>
    <w:unhideWhenUsed/>
    <w:qFormat/>
    <w:rsid w:val="00CA62C7"/>
    <w:pPr>
      <w:tabs>
        <w:tab w:val="right" w:leader="dot" w:pos="5030"/>
      </w:tabs>
      <w:spacing w:before="60" w:after="60" w:line="252" w:lineRule="auto"/>
    </w:pPr>
    <w:rPr>
      <w:b/>
      <w:caps/>
      <w:sz w:val="18"/>
    </w:rPr>
  </w:style>
  <w:style w:type="paragraph" w:styleId="TOC2">
    <w:name w:val="toc 2"/>
    <w:basedOn w:val="Normal"/>
    <w:next w:val="Normal"/>
    <w:autoRedefine/>
    <w:uiPriority w:val="39"/>
    <w:unhideWhenUsed/>
    <w:rsid w:val="003C75FF"/>
    <w:pPr>
      <w:spacing w:after="0" w:line="252" w:lineRule="auto"/>
      <w:ind w:left="158"/>
    </w:pPr>
    <w:rPr>
      <w:b/>
      <w:smallCaps/>
      <w:sz w:val="18"/>
    </w:rPr>
  </w:style>
  <w:style w:type="paragraph" w:styleId="TOC3">
    <w:name w:val="toc 3"/>
    <w:basedOn w:val="Normal"/>
    <w:next w:val="Normal"/>
    <w:autoRedefine/>
    <w:uiPriority w:val="39"/>
    <w:unhideWhenUsed/>
    <w:rsid w:val="003C75FF"/>
    <w:pPr>
      <w:spacing w:after="0" w:line="252" w:lineRule="auto"/>
      <w:ind w:left="158"/>
    </w:pPr>
    <w:rPr>
      <w:smallCaps/>
      <w:sz w:val="18"/>
    </w:rPr>
  </w:style>
  <w:style w:type="paragraph" w:styleId="TOC4">
    <w:name w:val="toc 4"/>
    <w:basedOn w:val="Normal"/>
    <w:next w:val="Normal"/>
    <w:autoRedefine/>
    <w:uiPriority w:val="39"/>
    <w:unhideWhenUsed/>
    <w:rsid w:val="002F4FA0"/>
    <w:pPr>
      <w:tabs>
        <w:tab w:val="right" w:leader="dot" w:pos="5030"/>
      </w:tabs>
      <w:spacing w:after="0" w:line="252" w:lineRule="auto"/>
      <w:ind w:left="317"/>
    </w:pPr>
    <w:rPr>
      <w:smallCaps/>
      <w:sz w:val="18"/>
    </w:rPr>
  </w:style>
  <w:style w:type="paragraph" w:styleId="TOC5">
    <w:name w:val="toc 5"/>
    <w:basedOn w:val="Normal"/>
    <w:next w:val="Normal"/>
    <w:autoRedefine/>
    <w:uiPriority w:val="39"/>
    <w:unhideWhenUsed/>
    <w:rsid w:val="00462C59"/>
    <w:pPr>
      <w:spacing w:after="0" w:line="252" w:lineRule="auto"/>
      <w:ind w:left="317"/>
    </w:pPr>
    <w:rPr>
      <w:sz w:val="16"/>
    </w:rPr>
  </w:style>
  <w:style w:type="paragraph" w:styleId="TOC6">
    <w:name w:val="toc 6"/>
    <w:basedOn w:val="Normal"/>
    <w:next w:val="Normal"/>
    <w:autoRedefine/>
    <w:uiPriority w:val="39"/>
    <w:unhideWhenUsed/>
    <w:rsid w:val="00462C59"/>
    <w:pPr>
      <w:spacing w:after="0" w:line="252" w:lineRule="auto"/>
      <w:ind w:left="475"/>
    </w:pPr>
    <w:rPr>
      <w:sz w:val="16"/>
    </w:rPr>
  </w:style>
  <w:style w:type="character" w:styleId="FollowedHyperlink">
    <w:name w:val="FollowedHyperlink"/>
    <w:basedOn w:val="DefaultParagraphFont"/>
    <w:uiPriority w:val="99"/>
    <w:semiHidden/>
    <w:unhideWhenUsed/>
    <w:rsid w:val="001602AC"/>
    <w:rPr>
      <w:color w:val="954F72" w:themeColor="followedHyperlink"/>
      <w:u w:val="single"/>
    </w:rPr>
  </w:style>
  <w:style w:type="paragraph" w:styleId="CommentText">
    <w:name w:val="annotation text"/>
    <w:basedOn w:val="Normal"/>
    <w:link w:val="CommentTextChar"/>
    <w:uiPriority w:val="99"/>
    <w:unhideWhenUsed/>
    <w:rsid w:val="00ED3A2C"/>
    <w:pPr>
      <w:spacing w:line="240" w:lineRule="auto"/>
    </w:pPr>
    <w:rPr>
      <w:sz w:val="20"/>
      <w:szCs w:val="20"/>
    </w:rPr>
  </w:style>
  <w:style w:type="character" w:customStyle="1" w:styleId="CommentTextChar">
    <w:name w:val="Comment Text Char"/>
    <w:basedOn w:val="DefaultParagraphFont"/>
    <w:link w:val="CommentText"/>
    <w:uiPriority w:val="99"/>
    <w:rsid w:val="00ED3A2C"/>
    <w:rPr>
      <w:sz w:val="20"/>
      <w:szCs w:val="20"/>
    </w:rPr>
  </w:style>
  <w:style w:type="character" w:styleId="CommentReference">
    <w:name w:val="annotation reference"/>
    <w:uiPriority w:val="99"/>
    <w:rsid w:val="00A41808"/>
    <w:rPr>
      <w:rFonts w:cs="Times New Roman"/>
      <w:sz w:val="16"/>
      <w:szCs w:val="16"/>
    </w:rPr>
  </w:style>
  <w:style w:type="paragraph" w:styleId="CommentSubject">
    <w:name w:val="annotation subject"/>
    <w:basedOn w:val="CommentText"/>
    <w:next w:val="CommentText"/>
    <w:link w:val="CommentSubjectChar"/>
    <w:uiPriority w:val="99"/>
    <w:semiHidden/>
    <w:unhideWhenUsed/>
    <w:rsid w:val="00ED3A2C"/>
    <w:rPr>
      <w:b/>
      <w:bCs/>
    </w:rPr>
  </w:style>
  <w:style w:type="character" w:customStyle="1" w:styleId="CommentSubjectChar">
    <w:name w:val="Comment Subject Char"/>
    <w:basedOn w:val="CommentTextChar"/>
    <w:link w:val="CommentSubject"/>
    <w:uiPriority w:val="99"/>
    <w:semiHidden/>
    <w:rsid w:val="00ED3A2C"/>
    <w:rPr>
      <w:b/>
      <w:bCs/>
      <w:sz w:val="20"/>
      <w:szCs w:val="20"/>
    </w:rPr>
  </w:style>
  <w:style w:type="paragraph" w:styleId="TOC7">
    <w:name w:val="toc 7"/>
    <w:basedOn w:val="Normal"/>
    <w:next w:val="Normal"/>
    <w:autoRedefine/>
    <w:uiPriority w:val="39"/>
    <w:unhideWhenUsed/>
    <w:rsid w:val="00CE0C80"/>
    <w:pPr>
      <w:spacing w:after="100"/>
      <w:ind w:left="1320"/>
    </w:pPr>
    <w:rPr>
      <w:rFonts w:eastAsiaTheme="minorEastAsia"/>
    </w:rPr>
  </w:style>
  <w:style w:type="paragraph" w:styleId="TOC8">
    <w:name w:val="toc 8"/>
    <w:basedOn w:val="Normal"/>
    <w:next w:val="Normal"/>
    <w:autoRedefine/>
    <w:uiPriority w:val="39"/>
    <w:unhideWhenUsed/>
    <w:rsid w:val="00CE0C80"/>
    <w:pPr>
      <w:spacing w:after="100"/>
      <w:ind w:left="1540"/>
    </w:pPr>
    <w:rPr>
      <w:rFonts w:eastAsiaTheme="minorEastAsia"/>
    </w:rPr>
  </w:style>
  <w:style w:type="paragraph" w:styleId="TOC9">
    <w:name w:val="toc 9"/>
    <w:basedOn w:val="Normal"/>
    <w:next w:val="Normal"/>
    <w:autoRedefine/>
    <w:uiPriority w:val="39"/>
    <w:unhideWhenUsed/>
    <w:rsid w:val="00CE0C80"/>
    <w:pPr>
      <w:spacing w:after="100"/>
      <w:ind w:left="1760"/>
    </w:pPr>
    <w:rPr>
      <w:rFonts w:eastAsiaTheme="minorEastAsia"/>
    </w:rPr>
  </w:style>
  <w:style w:type="paragraph" w:styleId="Revision">
    <w:name w:val="Revision"/>
    <w:hidden/>
    <w:uiPriority w:val="99"/>
    <w:semiHidden/>
    <w:rsid w:val="00780D45"/>
    <w:pPr>
      <w:spacing w:after="0" w:line="240" w:lineRule="auto"/>
    </w:pPr>
  </w:style>
  <w:style w:type="paragraph" w:styleId="Index1">
    <w:name w:val="index 1"/>
    <w:basedOn w:val="Normal"/>
    <w:next w:val="Normal"/>
    <w:autoRedefine/>
    <w:uiPriority w:val="99"/>
    <w:unhideWhenUsed/>
    <w:rsid w:val="00F72194"/>
    <w:pPr>
      <w:spacing w:after="0" w:line="240" w:lineRule="auto"/>
      <w:ind w:left="220" w:hanging="220"/>
    </w:pPr>
    <w:rPr>
      <w:sz w:val="16"/>
    </w:rPr>
  </w:style>
  <w:style w:type="paragraph" w:styleId="ListParagraph">
    <w:name w:val="List Paragraph"/>
    <w:aliases w:val="Bullet List,numbered,FooterText"/>
    <w:basedOn w:val="Normal"/>
    <w:link w:val="ListParagraphChar"/>
    <w:uiPriority w:val="34"/>
    <w:qFormat/>
    <w:rsid w:val="00677274"/>
    <w:pPr>
      <w:ind w:left="720"/>
      <w:contextualSpacing/>
    </w:pPr>
  </w:style>
  <w:style w:type="character" w:customStyle="1" w:styleId="ListParagraphChar">
    <w:name w:val="List Paragraph Char"/>
    <w:aliases w:val="Bullet List Char,numbered Char,FooterText Char"/>
    <w:basedOn w:val="DefaultParagraphFont"/>
    <w:link w:val="ListParagraph"/>
    <w:uiPriority w:val="34"/>
    <w:locked/>
    <w:rsid w:val="009472AC"/>
  </w:style>
  <w:style w:type="table" w:customStyle="1" w:styleId="TableGrid1">
    <w:name w:val="Table Grid1"/>
    <w:basedOn w:val="TableNormal"/>
    <w:next w:val="TableGrid"/>
    <w:uiPriority w:val="39"/>
    <w:rsid w:val="00B942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ductList-OfferingHeading">
    <w:name w:val="Product List - Offering Heading"/>
    <w:basedOn w:val="ProductList-Body"/>
    <w:link w:val="ProductList-OfferingHeadingChar"/>
    <w:qFormat/>
    <w:rsid w:val="00512D78"/>
    <w:pPr>
      <w:pBdr>
        <w:bottom w:val="single" w:sz="4" w:space="1" w:color="595959" w:themeColor="text1" w:themeTint="A6"/>
      </w:pBdr>
      <w:spacing w:before="60" w:after="60"/>
    </w:pPr>
    <w:rPr>
      <w:rFonts w:asciiTheme="majorHAnsi" w:hAnsiTheme="majorHAnsi"/>
      <w:b/>
      <w:sz w:val="28"/>
    </w:rPr>
  </w:style>
  <w:style w:type="character" w:customStyle="1" w:styleId="ProductList-OfferingHeadingChar">
    <w:name w:val="Product List - Offering Heading Char"/>
    <w:basedOn w:val="ProductList-BodyChar"/>
    <w:link w:val="ProductList-OfferingHeading"/>
    <w:rsid w:val="00512D78"/>
    <w:rPr>
      <w:rFonts w:asciiTheme="majorHAnsi" w:hAnsiTheme="majorHAnsi"/>
      <w:b/>
      <w:sz w:val="28"/>
    </w:rPr>
  </w:style>
  <w:style w:type="paragraph" w:styleId="FootnoteText">
    <w:name w:val="footnote text"/>
    <w:basedOn w:val="Normal"/>
    <w:link w:val="FootnoteTextChar"/>
    <w:uiPriority w:val="99"/>
    <w:semiHidden/>
    <w:unhideWhenUsed/>
    <w:rsid w:val="009657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5718"/>
    <w:rPr>
      <w:sz w:val="20"/>
      <w:szCs w:val="20"/>
    </w:rPr>
  </w:style>
  <w:style w:type="character" w:styleId="FootnoteReference">
    <w:name w:val="footnote reference"/>
    <w:basedOn w:val="DefaultParagraphFont"/>
    <w:uiPriority w:val="99"/>
    <w:semiHidden/>
    <w:unhideWhenUsed/>
    <w:rsid w:val="00965718"/>
    <w:rPr>
      <w:vertAlign w:val="superscript"/>
    </w:rPr>
  </w:style>
  <w:style w:type="character" w:styleId="HTMLCite">
    <w:name w:val="HTML Cite"/>
    <w:basedOn w:val="DefaultParagraphFont"/>
    <w:uiPriority w:val="99"/>
    <w:semiHidden/>
    <w:unhideWhenUsed/>
    <w:rsid w:val="0003269D"/>
    <w:rPr>
      <w:i w:val="0"/>
      <w:iCs w:val="0"/>
      <w:color w:val="009030"/>
    </w:rPr>
  </w:style>
  <w:style w:type="character" w:styleId="Strong">
    <w:name w:val="Strong"/>
    <w:basedOn w:val="DefaultParagraphFont"/>
    <w:uiPriority w:val="22"/>
    <w:qFormat/>
    <w:rsid w:val="0003269D"/>
    <w:rPr>
      <w:b/>
      <w:bCs/>
    </w:rPr>
  </w:style>
  <w:style w:type="paragraph" w:customStyle="1" w:styleId="ProductList-Offering1SubSection">
    <w:name w:val="Product List - Offering 1 SubSection"/>
    <w:basedOn w:val="ProductList-Body"/>
    <w:qFormat/>
    <w:rsid w:val="007A1DD7"/>
    <w:pPr>
      <w:pBdr>
        <w:top w:val="single" w:sz="4" w:space="1" w:color="595959" w:themeColor="text1" w:themeTint="A6"/>
      </w:pBdr>
      <w:tabs>
        <w:tab w:val="clear" w:pos="360"/>
        <w:tab w:val="clear" w:pos="720"/>
        <w:tab w:val="clear" w:pos="1080"/>
      </w:tabs>
      <w:spacing w:before="240" w:after="20"/>
    </w:pPr>
    <w:rPr>
      <w:b/>
      <w:sz w:val="24"/>
    </w:rPr>
  </w:style>
  <w:style w:type="paragraph" w:customStyle="1" w:styleId="ProductList-Offering">
    <w:name w:val="Product List - Offering"/>
    <w:basedOn w:val="ProductList-Body"/>
    <w:link w:val="ProductList-OfferingChar"/>
    <w:qFormat/>
    <w:rsid w:val="00900807"/>
    <w:pPr>
      <w:spacing w:before="20" w:after="20"/>
      <w:ind w:left="-14" w:right="101"/>
    </w:pPr>
    <w:rPr>
      <w:rFonts w:asciiTheme="majorHAnsi" w:hAnsiTheme="majorHAnsi"/>
      <w:sz w:val="16"/>
    </w:rPr>
  </w:style>
  <w:style w:type="character" w:customStyle="1" w:styleId="ProductList-OfferingChar">
    <w:name w:val="Product List - Offering Char"/>
    <w:basedOn w:val="ProductList-BodyChar"/>
    <w:link w:val="ProductList-Offering"/>
    <w:rsid w:val="00900807"/>
    <w:rPr>
      <w:rFonts w:asciiTheme="majorHAnsi" w:hAnsiTheme="majorHAnsi"/>
      <w:sz w:val="16"/>
    </w:rPr>
  </w:style>
  <w:style w:type="paragraph" w:customStyle="1" w:styleId="ProductList-ClauseHeading">
    <w:name w:val="Product List - Clause Heading"/>
    <w:basedOn w:val="ProductList-Body"/>
    <w:next w:val="ProductList-Body"/>
    <w:qFormat/>
    <w:rsid w:val="006D4483"/>
    <w:rPr>
      <w:b/>
      <w:color w:val="00188F"/>
    </w:rPr>
  </w:style>
  <w:style w:type="paragraph" w:customStyle="1" w:styleId="ProductList-SubClauseHeading">
    <w:name w:val="Product List - SubClause Heading"/>
    <w:basedOn w:val="ProductList-Body"/>
    <w:next w:val="ProductList-Body"/>
    <w:qFormat/>
    <w:rsid w:val="006D4483"/>
    <w:pPr>
      <w:ind w:left="360"/>
    </w:pPr>
    <w:rPr>
      <w:b/>
      <w:color w:val="0072C6"/>
    </w:rPr>
  </w:style>
  <w:style w:type="paragraph" w:customStyle="1" w:styleId="ProductList-SubSubClauseHeading">
    <w:name w:val="Product List - SubSubClause Heading"/>
    <w:basedOn w:val="ProductList-Body"/>
    <w:next w:val="ProductList-Body"/>
    <w:qFormat/>
    <w:rsid w:val="00CC0487"/>
    <w:pPr>
      <w:tabs>
        <w:tab w:val="clear" w:pos="360"/>
      </w:tabs>
      <w:ind w:left="720"/>
    </w:pPr>
    <w:rPr>
      <w:b/>
      <w:color w:val="4668C5"/>
    </w:rPr>
  </w:style>
  <w:style w:type="paragraph" w:customStyle="1" w:styleId="Default">
    <w:name w:val="Default"/>
    <w:rsid w:val="00873545"/>
    <w:pPr>
      <w:autoSpaceDE w:val="0"/>
      <w:autoSpaceDN w:val="0"/>
      <w:adjustRightInd w:val="0"/>
      <w:spacing w:after="0" w:line="240" w:lineRule="auto"/>
    </w:pPr>
    <w:rPr>
      <w:rFonts w:ascii="Segoe UI" w:hAnsi="Segoe UI" w:cs="Segoe UI"/>
      <w:color w:val="000000"/>
      <w:sz w:val="24"/>
      <w:szCs w:val="24"/>
    </w:rPr>
  </w:style>
  <w:style w:type="character" w:customStyle="1" w:styleId="PURBody-IndentedChar">
    <w:name w:val="PUR Body - Indented Char"/>
    <w:basedOn w:val="DefaultParagraphFont"/>
    <w:link w:val="PURBody-Indented"/>
    <w:uiPriority w:val="3"/>
    <w:locked/>
    <w:rsid w:val="00CC5137"/>
  </w:style>
  <w:style w:type="paragraph" w:customStyle="1" w:styleId="PURBody-Indented">
    <w:name w:val="PUR Body - Indented"/>
    <w:basedOn w:val="Normal"/>
    <w:link w:val="PURBody-IndentedChar"/>
    <w:uiPriority w:val="3"/>
    <w:qFormat/>
    <w:rsid w:val="00CC5137"/>
    <w:pPr>
      <w:spacing w:after="120" w:line="240" w:lineRule="auto"/>
      <w:ind w:left="270"/>
    </w:pPr>
  </w:style>
  <w:style w:type="character" w:customStyle="1" w:styleId="Heading4Char">
    <w:name w:val="Heading 4 Char"/>
    <w:basedOn w:val="DefaultParagraphFont"/>
    <w:link w:val="Heading4"/>
    <w:uiPriority w:val="9"/>
    <w:rsid w:val="004D6553"/>
    <w:rPr>
      <w:rFonts w:asciiTheme="majorHAnsi" w:eastAsiaTheme="majorEastAsia" w:hAnsiTheme="majorHAnsi" w:cstheme="majorBidi"/>
      <w:i/>
      <w:iCs/>
      <w:color w:val="2E74B5" w:themeColor="accent1" w:themeShade="BF"/>
    </w:rPr>
  </w:style>
  <w:style w:type="paragraph" w:customStyle="1" w:styleId="ToC-Service">
    <w:name w:val="ToC-Service"/>
    <w:basedOn w:val="ProductList-Body"/>
    <w:next w:val="ProductList-Body"/>
    <w:link w:val="ToC-ServiceChar"/>
    <w:qFormat/>
    <w:rsid w:val="001E0407"/>
    <w:pPr>
      <w:pBdr>
        <w:bottom w:val="single" w:sz="4" w:space="1" w:color="BFBFBF" w:themeColor="background1" w:themeShade="BF"/>
      </w:pBdr>
      <w:tabs>
        <w:tab w:val="clear" w:pos="360"/>
        <w:tab w:val="clear" w:pos="720"/>
        <w:tab w:val="clear" w:pos="1080"/>
        <w:tab w:val="left" w:pos="158"/>
        <w:tab w:val="left" w:pos="187"/>
      </w:tabs>
      <w:spacing w:before="60" w:after="60"/>
    </w:pPr>
    <w:rPr>
      <w:rFonts w:asciiTheme="majorHAnsi" w:hAnsiTheme="majorHAnsi"/>
      <w:b/>
      <w:sz w:val="28"/>
    </w:rPr>
  </w:style>
  <w:style w:type="character" w:customStyle="1" w:styleId="ToC-ServiceChar">
    <w:name w:val="ToC-Service Char"/>
    <w:basedOn w:val="ProductList-BodyChar"/>
    <w:link w:val="ToC-Service"/>
    <w:rsid w:val="001E0407"/>
    <w:rPr>
      <w:rFonts w:asciiTheme="majorHAnsi" w:hAnsiTheme="majorHAnsi"/>
      <w:b/>
      <w:sz w:val="28"/>
    </w:rPr>
  </w:style>
  <w:style w:type="paragraph" w:styleId="NormalWeb">
    <w:name w:val="Normal (Web)"/>
    <w:basedOn w:val="Normal"/>
    <w:uiPriority w:val="99"/>
    <w:unhideWhenUsed/>
    <w:rsid w:val="001E0407"/>
    <w:pPr>
      <w:spacing w:before="100" w:beforeAutospacing="1" w:after="100" w:afterAutospacing="1" w:line="240" w:lineRule="auto"/>
    </w:pPr>
    <w:rPr>
      <w:rFonts w:ascii="Times New Roman" w:eastAsia="PMingLiU" w:hAnsi="Times New Roman" w:cs="Times New Roman"/>
      <w:sz w:val="24"/>
      <w:szCs w:val="24"/>
    </w:rPr>
  </w:style>
  <w:style w:type="character" w:customStyle="1" w:styleId="Heading5Char">
    <w:name w:val="Heading 5 Char"/>
    <w:basedOn w:val="DefaultParagraphFont"/>
    <w:link w:val="Heading5"/>
    <w:uiPriority w:val="9"/>
    <w:rsid w:val="00482BC7"/>
    <w:rPr>
      <w:rFonts w:ascii="Calibri" w:eastAsia="MS Mincho" w:hAnsi="Calibri" w:cs="Calibri"/>
    </w:rPr>
  </w:style>
  <w:style w:type="character" w:customStyle="1" w:styleId="Heading6Char">
    <w:name w:val="Heading 6 Char"/>
    <w:basedOn w:val="DefaultParagraphFont"/>
    <w:link w:val="Heading6"/>
    <w:uiPriority w:val="9"/>
    <w:rsid w:val="00482BC7"/>
    <w:rPr>
      <w:rFonts w:ascii="Calibri" w:eastAsia="MS Mincho" w:hAnsi="Calibri" w:cs="Calibri"/>
    </w:rPr>
  </w:style>
  <w:style w:type="paragraph" w:customStyle="1" w:styleId="subhead">
    <w:name w:val="subhead"/>
    <w:basedOn w:val="Normal"/>
    <w:rsid w:val="00482BC7"/>
    <w:pPr>
      <w:suppressAutoHyphens/>
      <w:autoSpaceDN w:val="0"/>
      <w:spacing w:before="120" w:after="80" w:line="240" w:lineRule="auto"/>
      <w:textAlignment w:val="baseline"/>
    </w:pPr>
    <w:rPr>
      <w:rFonts w:ascii="Trebuchet MS" w:eastAsia="MS Mincho" w:hAnsi="Trebuchet MS" w:cs="Tahoma"/>
      <w:b/>
      <w:color w:val="FFFFFF"/>
      <w:sz w:val="20"/>
      <w:szCs w:val="20"/>
    </w:rPr>
  </w:style>
  <w:style w:type="character" w:customStyle="1" w:styleId="Mention1">
    <w:name w:val="Mention1"/>
    <w:basedOn w:val="DefaultParagraphFont"/>
    <w:uiPriority w:val="99"/>
    <w:semiHidden/>
    <w:unhideWhenUsed/>
    <w:rsid w:val="00871922"/>
    <w:rPr>
      <w:color w:val="2B579A"/>
      <w:shd w:val="clear" w:color="auto" w:fill="E6E6E6"/>
    </w:rPr>
  </w:style>
  <w:style w:type="character" w:customStyle="1" w:styleId="UnresolvedMention1">
    <w:name w:val="Unresolved Mention1"/>
    <w:basedOn w:val="DefaultParagraphFont"/>
    <w:uiPriority w:val="99"/>
    <w:semiHidden/>
    <w:unhideWhenUsed/>
    <w:rsid w:val="00C54E9C"/>
    <w:rPr>
      <w:color w:val="808080"/>
      <w:shd w:val="clear" w:color="auto" w:fill="E6E6E6"/>
    </w:rPr>
  </w:style>
  <w:style w:type="table" w:styleId="ListTable6Colorful">
    <w:name w:val="List Table 6 Colorful"/>
    <w:basedOn w:val="TableNormal"/>
    <w:uiPriority w:val="51"/>
    <w:rsid w:val="00F6521D"/>
    <w:pPr>
      <w:spacing w:after="0" w:line="240" w:lineRule="auto"/>
    </w:pPr>
    <w:rPr>
      <w:rFonts w:eastAsiaTheme="minorEastAsia"/>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1">
    <w:name w:val="List Table 3 Accent 1"/>
    <w:basedOn w:val="TableNormal"/>
    <w:uiPriority w:val="48"/>
    <w:rsid w:val="00FB67A8"/>
    <w:pPr>
      <w:spacing w:after="0" w:line="240" w:lineRule="auto"/>
    </w:pPr>
    <w:rPr>
      <w:rFonts w:eastAsiaTheme="minorEastAsia"/>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customStyle="1" w:styleId="paragraph">
    <w:name w:val="paragraph"/>
    <w:basedOn w:val="Normal"/>
    <w:rsid w:val="00BC2A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B2013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
    <w:name w:val="x_msolistparagraph"/>
    <w:basedOn w:val="Normal"/>
    <w:rsid w:val="00B201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0152D"/>
  </w:style>
  <w:style w:type="character" w:customStyle="1" w:styleId="eop">
    <w:name w:val="eop"/>
    <w:basedOn w:val="DefaultParagraphFont"/>
    <w:rsid w:val="0050152D"/>
  </w:style>
  <w:style w:type="character" w:customStyle="1" w:styleId="LogoportDoNotTranslate">
    <w:name w:val="LogoportDoNotTranslate"/>
    <w:rsid w:val="00F215C9"/>
    <w:rPr>
      <w:rFonts w:ascii="Courier New" w:hAnsi="Courier New" w:cs="Courier New"/>
      <w:noProof/>
      <w:color w:val="808080"/>
    </w:rPr>
  </w:style>
  <w:style w:type="character" w:styleId="UnresolvedMention">
    <w:name w:val="Unresolved Mention"/>
    <w:basedOn w:val="DefaultParagraphFont"/>
    <w:uiPriority w:val="99"/>
    <w:semiHidden/>
    <w:unhideWhenUsed/>
    <w:rsid w:val="00455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67538">
      <w:bodyDiv w:val="1"/>
      <w:marLeft w:val="0"/>
      <w:marRight w:val="0"/>
      <w:marTop w:val="0"/>
      <w:marBottom w:val="0"/>
      <w:divBdr>
        <w:top w:val="none" w:sz="0" w:space="0" w:color="auto"/>
        <w:left w:val="none" w:sz="0" w:space="0" w:color="auto"/>
        <w:bottom w:val="none" w:sz="0" w:space="0" w:color="auto"/>
        <w:right w:val="none" w:sz="0" w:space="0" w:color="auto"/>
      </w:divBdr>
    </w:div>
    <w:div w:id="124128869">
      <w:bodyDiv w:val="1"/>
      <w:marLeft w:val="0"/>
      <w:marRight w:val="0"/>
      <w:marTop w:val="0"/>
      <w:marBottom w:val="0"/>
      <w:divBdr>
        <w:top w:val="none" w:sz="0" w:space="0" w:color="auto"/>
        <w:left w:val="none" w:sz="0" w:space="0" w:color="auto"/>
        <w:bottom w:val="none" w:sz="0" w:space="0" w:color="auto"/>
        <w:right w:val="none" w:sz="0" w:space="0" w:color="auto"/>
      </w:divBdr>
    </w:div>
    <w:div w:id="129905692">
      <w:bodyDiv w:val="1"/>
      <w:marLeft w:val="0"/>
      <w:marRight w:val="0"/>
      <w:marTop w:val="0"/>
      <w:marBottom w:val="0"/>
      <w:divBdr>
        <w:top w:val="none" w:sz="0" w:space="0" w:color="auto"/>
        <w:left w:val="none" w:sz="0" w:space="0" w:color="auto"/>
        <w:bottom w:val="none" w:sz="0" w:space="0" w:color="auto"/>
        <w:right w:val="none" w:sz="0" w:space="0" w:color="auto"/>
      </w:divBdr>
    </w:div>
    <w:div w:id="156120478">
      <w:bodyDiv w:val="1"/>
      <w:marLeft w:val="0"/>
      <w:marRight w:val="0"/>
      <w:marTop w:val="0"/>
      <w:marBottom w:val="0"/>
      <w:divBdr>
        <w:top w:val="none" w:sz="0" w:space="0" w:color="auto"/>
        <w:left w:val="none" w:sz="0" w:space="0" w:color="auto"/>
        <w:bottom w:val="none" w:sz="0" w:space="0" w:color="auto"/>
        <w:right w:val="none" w:sz="0" w:space="0" w:color="auto"/>
      </w:divBdr>
    </w:div>
    <w:div w:id="158161218">
      <w:bodyDiv w:val="1"/>
      <w:marLeft w:val="0"/>
      <w:marRight w:val="0"/>
      <w:marTop w:val="0"/>
      <w:marBottom w:val="0"/>
      <w:divBdr>
        <w:top w:val="none" w:sz="0" w:space="0" w:color="auto"/>
        <w:left w:val="none" w:sz="0" w:space="0" w:color="auto"/>
        <w:bottom w:val="none" w:sz="0" w:space="0" w:color="auto"/>
        <w:right w:val="none" w:sz="0" w:space="0" w:color="auto"/>
      </w:divBdr>
    </w:div>
    <w:div w:id="257299054">
      <w:bodyDiv w:val="1"/>
      <w:marLeft w:val="0"/>
      <w:marRight w:val="0"/>
      <w:marTop w:val="0"/>
      <w:marBottom w:val="0"/>
      <w:divBdr>
        <w:top w:val="none" w:sz="0" w:space="0" w:color="auto"/>
        <w:left w:val="none" w:sz="0" w:space="0" w:color="auto"/>
        <w:bottom w:val="none" w:sz="0" w:space="0" w:color="auto"/>
        <w:right w:val="none" w:sz="0" w:space="0" w:color="auto"/>
      </w:divBdr>
    </w:div>
    <w:div w:id="265114364">
      <w:bodyDiv w:val="1"/>
      <w:marLeft w:val="0"/>
      <w:marRight w:val="0"/>
      <w:marTop w:val="0"/>
      <w:marBottom w:val="0"/>
      <w:divBdr>
        <w:top w:val="none" w:sz="0" w:space="0" w:color="auto"/>
        <w:left w:val="none" w:sz="0" w:space="0" w:color="auto"/>
        <w:bottom w:val="none" w:sz="0" w:space="0" w:color="auto"/>
        <w:right w:val="none" w:sz="0" w:space="0" w:color="auto"/>
      </w:divBdr>
    </w:div>
    <w:div w:id="285352986">
      <w:bodyDiv w:val="1"/>
      <w:marLeft w:val="0"/>
      <w:marRight w:val="0"/>
      <w:marTop w:val="0"/>
      <w:marBottom w:val="0"/>
      <w:divBdr>
        <w:top w:val="none" w:sz="0" w:space="0" w:color="auto"/>
        <w:left w:val="none" w:sz="0" w:space="0" w:color="auto"/>
        <w:bottom w:val="none" w:sz="0" w:space="0" w:color="auto"/>
        <w:right w:val="none" w:sz="0" w:space="0" w:color="auto"/>
      </w:divBdr>
    </w:div>
    <w:div w:id="300577504">
      <w:bodyDiv w:val="1"/>
      <w:marLeft w:val="0"/>
      <w:marRight w:val="0"/>
      <w:marTop w:val="0"/>
      <w:marBottom w:val="0"/>
      <w:divBdr>
        <w:top w:val="none" w:sz="0" w:space="0" w:color="auto"/>
        <w:left w:val="none" w:sz="0" w:space="0" w:color="auto"/>
        <w:bottom w:val="none" w:sz="0" w:space="0" w:color="auto"/>
        <w:right w:val="none" w:sz="0" w:space="0" w:color="auto"/>
      </w:divBdr>
    </w:div>
    <w:div w:id="389813948">
      <w:bodyDiv w:val="1"/>
      <w:marLeft w:val="0"/>
      <w:marRight w:val="0"/>
      <w:marTop w:val="0"/>
      <w:marBottom w:val="0"/>
      <w:divBdr>
        <w:top w:val="none" w:sz="0" w:space="0" w:color="auto"/>
        <w:left w:val="none" w:sz="0" w:space="0" w:color="auto"/>
        <w:bottom w:val="none" w:sz="0" w:space="0" w:color="auto"/>
        <w:right w:val="none" w:sz="0" w:space="0" w:color="auto"/>
      </w:divBdr>
    </w:div>
    <w:div w:id="439030961">
      <w:bodyDiv w:val="1"/>
      <w:marLeft w:val="0"/>
      <w:marRight w:val="0"/>
      <w:marTop w:val="0"/>
      <w:marBottom w:val="0"/>
      <w:divBdr>
        <w:top w:val="none" w:sz="0" w:space="0" w:color="auto"/>
        <w:left w:val="none" w:sz="0" w:space="0" w:color="auto"/>
        <w:bottom w:val="none" w:sz="0" w:space="0" w:color="auto"/>
        <w:right w:val="none" w:sz="0" w:space="0" w:color="auto"/>
      </w:divBdr>
    </w:div>
    <w:div w:id="553543264">
      <w:bodyDiv w:val="1"/>
      <w:marLeft w:val="0"/>
      <w:marRight w:val="0"/>
      <w:marTop w:val="0"/>
      <w:marBottom w:val="0"/>
      <w:divBdr>
        <w:top w:val="none" w:sz="0" w:space="0" w:color="auto"/>
        <w:left w:val="none" w:sz="0" w:space="0" w:color="auto"/>
        <w:bottom w:val="none" w:sz="0" w:space="0" w:color="auto"/>
        <w:right w:val="none" w:sz="0" w:space="0" w:color="auto"/>
      </w:divBdr>
    </w:div>
    <w:div w:id="603853407">
      <w:bodyDiv w:val="1"/>
      <w:marLeft w:val="0"/>
      <w:marRight w:val="0"/>
      <w:marTop w:val="0"/>
      <w:marBottom w:val="0"/>
      <w:divBdr>
        <w:top w:val="none" w:sz="0" w:space="0" w:color="auto"/>
        <w:left w:val="none" w:sz="0" w:space="0" w:color="auto"/>
        <w:bottom w:val="none" w:sz="0" w:space="0" w:color="auto"/>
        <w:right w:val="none" w:sz="0" w:space="0" w:color="auto"/>
      </w:divBdr>
    </w:div>
    <w:div w:id="611060148">
      <w:bodyDiv w:val="1"/>
      <w:marLeft w:val="0"/>
      <w:marRight w:val="0"/>
      <w:marTop w:val="0"/>
      <w:marBottom w:val="0"/>
      <w:divBdr>
        <w:top w:val="none" w:sz="0" w:space="0" w:color="auto"/>
        <w:left w:val="none" w:sz="0" w:space="0" w:color="auto"/>
        <w:bottom w:val="none" w:sz="0" w:space="0" w:color="auto"/>
        <w:right w:val="none" w:sz="0" w:space="0" w:color="auto"/>
      </w:divBdr>
    </w:div>
    <w:div w:id="678628067">
      <w:bodyDiv w:val="1"/>
      <w:marLeft w:val="0"/>
      <w:marRight w:val="0"/>
      <w:marTop w:val="0"/>
      <w:marBottom w:val="0"/>
      <w:divBdr>
        <w:top w:val="none" w:sz="0" w:space="0" w:color="auto"/>
        <w:left w:val="none" w:sz="0" w:space="0" w:color="auto"/>
        <w:bottom w:val="none" w:sz="0" w:space="0" w:color="auto"/>
        <w:right w:val="none" w:sz="0" w:space="0" w:color="auto"/>
      </w:divBdr>
    </w:div>
    <w:div w:id="712537712">
      <w:bodyDiv w:val="1"/>
      <w:marLeft w:val="0"/>
      <w:marRight w:val="0"/>
      <w:marTop w:val="0"/>
      <w:marBottom w:val="0"/>
      <w:divBdr>
        <w:top w:val="none" w:sz="0" w:space="0" w:color="auto"/>
        <w:left w:val="none" w:sz="0" w:space="0" w:color="auto"/>
        <w:bottom w:val="none" w:sz="0" w:space="0" w:color="auto"/>
        <w:right w:val="none" w:sz="0" w:space="0" w:color="auto"/>
      </w:divBdr>
    </w:div>
    <w:div w:id="740177743">
      <w:bodyDiv w:val="1"/>
      <w:marLeft w:val="0"/>
      <w:marRight w:val="0"/>
      <w:marTop w:val="0"/>
      <w:marBottom w:val="0"/>
      <w:divBdr>
        <w:top w:val="none" w:sz="0" w:space="0" w:color="auto"/>
        <w:left w:val="none" w:sz="0" w:space="0" w:color="auto"/>
        <w:bottom w:val="none" w:sz="0" w:space="0" w:color="auto"/>
        <w:right w:val="none" w:sz="0" w:space="0" w:color="auto"/>
      </w:divBdr>
    </w:div>
    <w:div w:id="757144005">
      <w:bodyDiv w:val="1"/>
      <w:marLeft w:val="0"/>
      <w:marRight w:val="0"/>
      <w:marTop w:val="0"/>
      <w:marBottom w:val="0"/>
      <w:divBdr>
        <w:top w:val="none" w:sz="0" w:space="0" w:color="auto"/>
        <w:left w:val="none" w:sz="0" w:space="0" w:color="auto"/>
        <w:bottom w:val="none" w:sz="0" w:space="0" w:color="auto"/>
        <w:right w:val="none" w:sz="0" w:space="0" w:color="auto"/>
      </w:divBdr>
    </w:div>
    <w:div w:id="915821822">
      <w:bodyDiv w:val="1"/>
      <w:marLeft w:val="0"/>
      <w:marRight w:val="0"/>
      <w:marTop w:val="0"/>
      <w:marBottom w:val="0"/>
      <w:divBdr>
        <w:top w:val="none" w:sz="0" w:space="0" w:color="auto"/>
        <w:left w:val="none" w:sz="0" w:space="0" w:color="auto"/>
        <w:bottom w:val="none" w:sz="0" w:space="0" w:color="auto"/>
        <w:right w:val="none" w:sz="0" w:space="0" w:color="auto"/>
      </w:divBdr>
    </w:div>
    <w:div w:id="1016351504">
      <w:bodyDiv w:val="1"/>
      <w:marLeft w:val="0"/>
      <w:marRight w:val="0"/>
      <w:marTop w:val="0"/>
      <w:marBottom w:val="0"/>
      <w:divBdr>
        <w:top w:val="none" w:sz="0" w:space="0" w:color="auto"/>
        <w:left w:val="none" w:sz="0" w:space="0" w:color="auto"/>
        <w:bottom w:val="none" w:sz="0" w:space="0" w:color="auto"/>
        <w:right w:val="none" w:sz="0" w:space="0" w:color="auto"/>
      </w:divBdr>
    </w:div>
    <w:div w:id="1058406783">
      <w:bodyDiv w:val="1"/>
      <w:marLeft w:val="0"/>
      <w:marRight w:val="0"/>
      <w:marTop w:val="0"/>
      <w:marBottom w:val="0"/>
      <w:divBdr>
        <w:top w:val="none" w:sz="0" w:space="0" w:color="auto"/>
        <w:left w:val="none" w:sz="0" w:space="0" w:color="auto"/>
        <w:bottom w:val="none" w:sz="0" w:space="0" w:color="auto"/>
        <w:right w:val="none" w:sz="0" w:space="0" w:color="auto"/>
      </w:divBdr>
      <w:divsChild>
        <w:div w:id="115562257">
          <w:marLeft w:val="0"/>
          <w:marRight w:val="0"/>
          <w:marTop w:val="0"/>
          <w:marBottom w:val="0"/>
          <w:divBdr>
            <w:top w:val="none" w:sz="0" w:space="0" w:color="auto"/>
            <w:left w:val="none" w:sz="0" w:space="0" w:color="auto"/>
            <w:bottom w:val="none" w:sz="0" w:space="0" w:color="auto"/>
            <w:right w:val="none" w:sz="0" w:space="0" w:color="auto"/>
          </w:divBdr>
          <w:divsChild>
            <w:div w:id="184565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311172">
      <w:bodyDiv w:val="1"/>
      <w:marLeft w:val="0"/>
      <w:marRight w:val="0"/>
      <w:marTop w:val="0"/>
      <w:marBottom w:val="0"/>
      <w:divBdr>
        <w:top w:val="none" w:sz="0" w:space="0" w:color="auto"/>
        <w:left w:val="none" w:sz="0" w:space="0" w:color="auto"/>
        <w:bottom w:val="none" w:sz="0" w:space="0" w:color="auto"/>
        <w:right w:val="none" w:sz="0" w:space="0" w:color="auto"/>
      </w:divBdr>
    </w:div>
    <w:div w:id="1233808921">
      <w:bodyDiv w:val="1"/>
      <w:marLeft w:val="0"/>
      <w:marRight w:val="0"/>
      <w:marTop w:val="0"/>
      <w:marBottom w:val="0"/>
      <w:divBdr>
        <w:top w:val="none" w:sz="0" w:space="0" w:color="auto"/>
        <w:left w:val="none" w:sz="0" w:space="0" w:color="auto"/>
        <w:bottom w:val="none" w:sz="0" w:space="0" w:color="auto"/>
        <w:right w:val="none" w:sz="0" w:space="0" w:color="auto"/>
      </w:divBdr>
    </w:div>
    <w:div w:id="1326591004">
      <w:bodyDiv w:val="1"/>
      <w:marLeft w:val="0"/>
      <w:marRight w:val="0"/>
      <w:marTop w:val="0"/>
      <w:marBottom w:val="0"/>
      <w:divBdr>
        <w:top w:val="none" w:sz="0" w:space="0" w:color="auto"/>
        <w:left w:val="none" w:sz="0" w:space="0" w:color="auto"/>
        <w:bottom w:val="none" w:sz="0" w:space="0" w:color="auto"/>
        <w:right w:val="none" w:sz="0" w:space="0" w:color="auto"/>
      </w:divBdr>
    </w:div>
    <w:div w:id="1395930275">
      <w:bodyDiv w:val="1"/>
      <w:marLeft w:val="0"/>
      <w:marRight w:val="0"/>
      <w:marTop w:val="0"/>
      <w:marBottom w:val="0"/>
      <w:divBdr>
        <w:top w:val="none" w:sz="0" w:space="0" w:color="auto"/>
        <w:left w:val="none" w:sz="0" w:space="0" w:color="auto"/>
        <w:bottom w:val="none" w:sz="0" w:space="0" w:color="auto"/>
        <w:right w:val="none" w:sz="0" w:space="0" w:color="auto"/>
      </w:divBdr>
    </w:div>
    <w:div w:id="1439527216">
      <w:bodyDiv w:val="1"/>
      <w:marLeft w:val="0"/>
      <w:marRight w:val="0"/>
      <w:marTop w:val="0"/>
      <w:marBottom w:val="0"/>
      <w:divBdr>
        <w:top w:val="none" w:sz="0" w:space="0" w:color="auto"/>
        <w:left w:val="none" w:sz="0" w:space="0" w:color="auto"/>
        <w:bottom w:val="none" w:sz="0" w:space="0" w:color="auto"/>
        <w:right w:val="none" w:sz="0" w:space="0" w:color="auto"/>
      </w:divBdr>
      <w:divsChild>
        <w:div w:id="281502612">
          <w:marLeft w:val="0"/>
          <w:marRight w:val="0"/>
          <w:marTop w:val="0"/>
          <w:marBottom w:val="0"/>
          <w:divBdr>
            <w:top w:val="none" w:sz="0" w:space="0" w:color="auto"/>
            <w:left w:val="none" w:sz="0" w:space="0" w:color="auto"/>
            <w:bottom w:val="none" w:sz="0" w:space="0" w:color="auto"/>
            <w:right w:val="none" w:sz="0" w:space="0" w:color="auto"/>
          </w:divBdr>
          <w:divsChild>
            <w:div w:id="132235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678064">
      <w:bodyDiv w:val="1"/>
      <w:marLeft w:val="0"/>
      <w:marRight w:val="0"/>
      <w:marTop w:val="0"/>
      <w:marBottom w:val="0"/>
      <w:divBdr>
        <w:top w:val="none" w:sz="0" w:space="0" w:color="auto"/>
        <w:left w:val="none" w:sz="0" w:space="0" w:color="auto"/>
        <w:bottom w:val="none" w:sz="0" w:space="0" w:color="auto"/>
        <w:right w:val="none" w:sz="0" w:space="0" w:color="auto"/>
      </w:divBdr>
    </w:div>
    <w:div w:id="1461533672">
      <w:bodyDiv w:val="1"/>
      <w:marLeft w:val="0"/>
      <w:marRight w:val="0"/>
      <w:marTop w:val="0"/>
      <w:marBottom w:val="0"/>
      <w:divBdr>
        <w:top w:val="none" w:sz="0" w:space="0" w:color="auto"/>
        <w:left w:val="none" w:sz="0" w:space="0" w:color="auto"/>
        <w:bottom w:val="none" w:sz="0" w:space="0" w:color="auto"/>
        <w:right w:val="none" w:sz="0" w:space="0" w:color="auto"/>
      </w:divBdr>
    </w:div>
    <w:div w:id="1506943770">
      <w:bodyDiv w:val="1"/>
      <w:marLeft w:val="0"/>
      <w:marRight w:val="0"/>
      <w:marTop w:val="0"/>
      <w:marBottom w:val="0"/>
      <w:divBdr>
        <w:top w:val="none" w:sz="0" w:space="0" w:color="auto"/>
        <w:left w:val="none" w:sz="0" w:space="0" w:color="auto"/>
        <w:bottom w:val="none" w:sz="0" w:space="0" w:color="auto"/>
        <w:right w:val="none" w:sz="0" w:space="0" w:color="auto"/>
      </w:divBdr>
    </w:div>
    <w:div w:id="1539928474">
      <w:bodyDiv w:val="1"/>
      <w:marLeft w:val="0"/>
      <w:marRight w:val="0"/>
      <w:marTop w:val="0"/>
      <w:marBottom w:val="0"/>
      <w:divBdr>
        <w:top w:val="none" w:sz="0" w:space="0" w:color="auto"/>
        <w:left w:val="none" w:sz="0" w:space="0" w:color="auto"/>
        <w:bottom w:val="none" w:sz="0" w:space="0" w:color="auto"/>
        <w:right w:val="none" w:sz="0" w:space="0" w:color="auto"/>
      </w:divBdr>
    </w:div>
    <w:div w:id="1617329151">
      <w:bodyDiv w:val="1"/>
      <w:marLeft w:val="0"/>
      <w:marRight w:val="0"/>
      <w:marTop w:val="0"/>
      <w:marBottom w:val="0"/>
      <w:divBdr>
        <w:top w:val="none" w:sz="0" w:space="0" w:color="auto"/>
        <w:left w:val="none" w:sz="0" w:space="0" w:color="auto"/>
        <w:bottom w:val="none" w:sz="0" w:space="0" w:color="auto"/>
        <w:right w:val="none" w:sz="0" w:space="0" w:color="auto"/>
      </w:divBdr>
    </w:div>
    <w:div w:id="1703939401">
      <w:bodyDiv w:val="1"/>
      <w:marLeft w:val="0"/>
      <w:marRight w:val="0"/>
      <w:marTop w:val="0"/>
      <w:marBottom w:val="0"/>
      <w:divBdr>
        <w:top w:val="none" w:sz="0" w:space="0" w:color="auto"/>
        <w:left w:val="none" w:sz="0" w:space="0" w:color="auto"/>
        <w:bottom w:val="none" w:sz="0" w:space="0" w:color="auto"/>
        <w:right w:val="none" w:sz="0" w:space="0" w:color="auto"/>
      </w:divBdr>
    </w:div>
    <w:div w:id="1765493305">
      <w:bodyDiv w:val="1"/>
      <w:marLeft w:val="0"/>
      <w:marRight w:val="0"/>
      <w:marTop w:val="0"/>
      <w:marBottom w:val="0"/>
      <w:divBdr>
        <w:top w:val="none" w:sz="0" w:space="0" w:color="auto"/>
        <w:left w:val="none" w:sz="0" w:space="0" w:color="auto"/>
        <w:bottom w:val="none" w:sz="0" w:space="0" w:color="auto"/>
        <w:right w:val="none" w:sz="0" w:space="0" w:color="auto"/>
      </w:divBdr>
    </w:div>
    <w:div w:id="1789203074">
      <w:bodyDiv w:val="1"/>
      <w:marLeft w:val="0"/>
      <w:marRight w:val="0"/>
      <w:marTop w:val="0"/>
      <w:marBottom w:val="0"/>
      <w:divBdr>
        <w:top w:val="none" w:sz="0" w:space="0" w:color="auto"/>
        <w:left w:val="none" w:sz="0" w:space="0" w:color="auto"/>
        <w:bottom w:val="none" w:sz="0" w:space="0" w:color="auto"/>
        <w:right w:val="none" w:sz="0" w:space="0" w:color="auto"/>
      </w:divBdr>
    </w:div>
    <w:div w:id="1835366481">
      <w:bodyDiv w:val="1"/>
      <w:marLeft w:val="0"/>
      <w:marRight w:val="0"/>
      <w:marTop w:val="0"/>
      <w:marBottom w:val="0"/>
      <w:divBdr>
        <w:top w:val="none" w:sz="0" w:space="0" w:color="auto"/>
        <w:left w:val="none" w:sz="0" w:space="0" w:color="auto"/>
        <w:bottom w:val="none" w:sz="0" w:space="0" w:color="auto"/>
        <w:right w:val="none" w:sz="0" w:space="0" w:color="auto"/>
      </w:divBdr>
    </w:div>
    <w:div w:id="1914584885">
      <w:bodyDiv w:val="1"/>
      <w:marLeft w:val="0"/>
      <w:marRight w:val="0"/>
      <w:marTop w:val="0"/>
      <w:marBottom w:val="0"/>
      <w:divBdr>
        <w:top w:val="none" w:sz="0" w:space="0" w:color="auto"/>
        <w:left w:val="none" w:sz="0" w:space="0" w:color="auto"/>
        <w:bottom w:val="none" w:sz="0" w:space="0" w:color="auto"/>
        <w:right w:val="none" w:sz="0" w:space="0" w:color="auto"/>
      </w:divBdr>
    </w:div>
    <w:div w:id="1924489682">
      <w:bodyDiv w:val="1"/>
      <w:marLeft w:val="0"/>
      <w:marRight w:val="0"/>
      <w:marTop w:val="0"/>
      <w:marBottom w:val="0"/>
      <w:divBdr>
        <w:top w:val="none" w:sz="0" w:space="0" w:color="auto"/>
        <w:left w:val="none" w:sz="0" w:space="0" w:color="auto"/>
        <w:bottom w:val="none" w:sz="0" w:space="0" w:color="auto"/>
        <w:right w:val="none" w:sz="0" w:space="0" w:color="auto"/>
      </w:divBdr>
    </w:div>
    <w:div w:id="1961918310">
      <w:bodyDiv w:val="1"/>
      <w:marLeft w:val="0"/>
      <w:marRight w:val="0"/>
      <w:marTop w:val="0"/>
      <w:marBottom w:val="0"/>
      <w:divBdr>
        <w:top w:val="none" w:sz="0" w:space="0" w:color="auto"/>
        <w:left w:val="none" w:sz="0" w:space="0" w:color="auto"/>
        <w:bottom w:val="none" w:sz="0" w:space="0" w:color="auto"/>
        <w:right w:val="none" w:sz="0" w:space="0" w:color="auto"/>
      </w:divBdr>
    </w:div>
    <w:div w:id="2002418692">
      <w:bodyDiv w:val="1"/>
      <w:marLeft w:val="0"/>
      <w:marRight w:val="0"/>
      <w:marTop w:val="0"/>
      <w:marBottom w:val="0"/>
      <w:divBdr>
        <w:top w:val="none" w:sz="0" w:space="0" w:color="auto"/>
        <w:left w:val="none" w:sz="0" w:space="0" w:color="auto"/>
        <w:bottom w:val="none" w:sz="0" w:space="0" w:color="auto"/>
        <w:right w:val="none" w:sz="0" w:space="0" w:color="auto"/>
      </w:divBdr>
    </w:div>
    <w:div w:id="2027174856">
      <w:bodyDiv w:val="1"/>
      <w:marLeft w:val="0"/>
      <w:marRight w:val="0"/>
      <w:marTop w:val="0"/>
      <w:marBottom w:val="0"/>
      <w:divBdr>
        <w:top w:val="none" w:sz="0" w:space="0" w:color="auto"/>
        <w:left w:val="none" w:sz="0" w:space="0" w:color="auto"/>
        <w:bottom w:val="none" w:sz="0" w:space="0" w:color="auto"/>
        <w:right w:val="none" w:sz="0" w:space="0" w:color="auto"/>
      </w:divBdr>
    </w:div>
    <w:div w:id="208896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microsoftvolumelicensing.com/" TargetMode="External"/><Relationship Id="rId26" Type="http://schemas.openxmlformats.org/officeDocument/2006/relationships/hyperlink" Target="https://protect.checkpoint.com/v2/___https://techdocs.broadcom.com/us/en/vmware-cis/vsan/vsan/8-0/vsan-planning/designing-and-sizing-a-virtual-san-cluster/sizing-a-virtual-san-datastore.html___.YzJ1Omxpb25icmlkZ2U6YzpvOmI5ZjFhYzVkMDJjMzk2NGIyODkxNjkwNzc0ZjhiZDNmOjY6YjY0NTpmMzJjYzJjNjVlYmI1NmJjNzI4NzcwNTA5ZjU1Y2M5MWM3OWY0NmQ1ODJlZjhkNzg1NDE4OTNiNzY3NjNmY2JjOnA6VDpO" TargetMode="External"/><Relationship Id="rId3" Type="http://schemas.openxmlformats.org/officeDocument/2006/relationships/customXml" Target="../customXml/item3.xml"/><Relationship Id="rId21" Type="http://schemas.openxmlformats.org/officeDocument/2006/relationships/hyperlink" Target="https://protect.checkpoint.com/v2/r01/___https://microsoft-my.sharepoint.com/personal/rghosalkar_microsoft_com/Documents/Recordings/SLA%20discussion%20-%20Capacity%20Blocks-20260501_113805-Meeting%20Recording.mp4___.YzJ1Omxpb25icmlkZ2U6YzpvZmZpY2UzNjVfZW1haWxzX2F0dGFjaG1lbnQ6MGE2ZDdjMjhlMTkwNjIyNDRlMjc3YWNjMzY3NWQ5Y2U6NzpiZjU0OjUwYzE2ZWM5YjY1ZDMyNDc4NzVlYzc3ODlkZWEyY2FhNDhjMzdmMWExNDYxNzBlMTdkOTIzMTE4YTAyN2MyYmY6cDpUOk4"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aka.ms/CSLA" TargetMode="External"/><Relationship Id="rId25" Type="http://schemas.openxmlformats.org/officeDocument/2006/relationships/hyperlink" Target="https://docs.microsoft.com/en-us/azure/virtual-machines/capacity-reservation-overview"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learn.microsoft.com/en-us/azure/virtual-machines/capacity-reservation-overview?tabs=cli1"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protect.checkpoint.com/v2/___https://learn.microsoft.com/fabric/enterprise/licenses___.YzJ1Omxpb25icmlkZ2U6YzpvOjUwYzgxNzZmMDQ2MTk1YmYxOWVlMzc4MWFiNTI2YzMwOjY6YThiNDo2Y2Y2OWM3M2UxZWFlZjViMWZlNjc0ODMyODM4YWNiMTFmNjY2ZWQzOWY0ZWZkMjA4YjI1MmQxNzQyZTkwOGZhOnA6VA" TargetMode="External"/><Relationship Id="rId28" Type="http://schemas.openxmlformats.org/officeDocument/2006/relationships/hyperlink" Target="https://aka.ms/DSLARegionLink"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protect.checkpoint.com/v2/___https://learn.microsoft.com/en-us/fabric/enterprise/licenses___.YzJ1Omxpb25icmlkZ2U6YzpvOjUwYzgxNzZmMDQ2MTk1YmYxOWVlMzc4MWFiNTI2YzMwOjY6MDUzMzplNGRiYzlmODk2ZTFmYzg5OTFkNTVkODhkNWI0OGVjNGMzODdkNWQ3ZWMxN2Q1YzI5NWQwNDM1OTI3NGVkYTg1OnA6VA" TargetMode="External"/><Relationship Id="rId27" Type="http://schemas.openxmlformats.org/officeDocument/2006/relationships/hyperlink" Target="https://docs.vmware.com/en/VMware-vSphere/6.7/vsan-671-administration-guide.pdf"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ebf34e1-3ce1-444e-acc4-010185dd52a4">
      <Terms xmlns="http://schemas.microsoft.com/office/infopath/2007/PartnerControls"/>
    </lcf76f155ced4ddcb4097134ff3c332f>
    <_ip_UnifiedCompliancePolicyProperties xmlns="http://schemas.microsoft.com/sharepoint/v3" xsi:nil="true"/>
    <TaxCatchAll xmlns="230e9df3-be65-4c73-a93b-d1236ebd677e" xsi:nil="true"/>
    <Notes xmlns="eebf34e1-3ce1-444e-acc4-010185dd52a4" xsi:nil="true"/>
    <Included xmlns="eebf34e1-3ce1-444e-acc4-010185dd52a4">false</Included>
    <Include xmlns="eebf34e1-3ce1-444e-acc4-010185dd52a4">0</Includ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4F5BC03CBE0C34D9CB54ED5A08DA3F5" ma:contentTypeVersion="26" ma:contentTypeDescription="Create a new document." ma:contentTypeScope="" ma:versionID="b9e6fa8fbe739edaeb4e90b9b0ca4d0f">
  <xsd:schema xmlns:xsd="http://www.w3.org/2001/XMLSchema" xmlns:xs="http://www.w3.org/2001/XMLSchema" xmlns:p="http://schemas.microsoft.com/office/2006/metadata/properties" xmlns:ns1="http://schemas.microsoft.com/sharepoint/v3" xmlns:ns2="eebf34e1-3ce1-444e-acc4-010185dd52a4" xmlns:ns3="46c117c8-efaa-4cbc-ab65-8fb13803fb07" xmlns:ns4="230e9df3-be65-4c73-a93b-d1236ebd677e" targetNamespace="http://schemas.microsoft.com/office/2006/metadata/properties" ma:root="true" ma:fieldsID="0a04eb53677755637a53386320cc3d80" ns1:_="" ns2:_="" ns3:_="" ns4:_="">
    <xsd:import namespace="http://schemas.microsoft.com/sharepoint/v3"/>
    <xsd:import namespace="eebf34e1-3ce1-444e-acc4-010185dd52a4"/>
    <xsd:import namespace="46c117c8-efaa-4cbc-ab65-8fb13803fb07"/>
    <xsd:import namespace="230e9df3-be65-4c73-a93b-d1236ebd67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1:_ip_UnifiedCompliancePolicyProperties" minOccurs="0"/>
                <xsd:element ref="ns1:_ip_UnifiedCompliancePolicyUIAction" minOccurs="0"/>
                <xsd:element ref="ns2:MediaServiceSearchProperties" minOccurs="0"/>
                <xsd:element ref="ns2:MediaServiceObjectDetectorVersions" minOccurs="0"/>
                <xsd:element ref="ns2:Notes" minOccurs="0"/>
                <xsd:element ref="ns2:Included"/>
                <xsd:element ref="ns2:Include"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bf34e1-3ce1-444e-acc4-010185dd5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Notes" ma:index="23" nillable="true" ma:displayName="Notes" ma:format="Dropdown" ma:internalName="Notes">
      <xsd:simpleType>
        <xsd:restriction base="dms:Text">
          <xsd:maxLength value="255"/>
        </xsd:restriction>
      </xsd:simpleType>
    </xsd:element>
    <xsd:element name="Included" ma:index="24" ma:displayName="Included" ma:default="0" ma:format="Dropdown" ma:internalName="Included">
      <xsd:simpleType>
        <xsd:restriction base="dms:Boolean"/>
      </xsd:simpleType>
    </xsd:element>
    <xsd:element name="Include" ma:index="25" nillable="true" ma:displayName="Include" ma:default="0" ma:format="Dropdown" ma:internalName="Include">
      <xsd:simpleType>
        <xsd:restriction base="dms:Text">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Location" ma:index="28" nillable="true" ma:displayName="Location" ma:indexed="true" ma:internalName="MediaServiceLocation" ma:readOnly="true">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c117c8-efaa-4cbc-ab65-8fb13803fb0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510acf9-039c-4a5b-9384-02d0726b896a}" ma:internalName="TaxCatchAll" ma:showField="CatchAllData" ma:web="46c117c8-efaa-4cbc-ab65-8fb13803fb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0472FB-4BCF-41B0-BF84-1A1F5B6391D5}">
  <ds:schemaRefs>
    <ds:schemaRef ds:uri="http://schemas.microsoft.com/office/2006/metadata/properties"/>
    <ds:schemaRef ds:uri="http://schemas.microsoft.com/office/infopath/2007/PartnerControls"/>
    <ds:schemaRef ds:uri="http://schemas.microsoft.com/sharepoint/v3"/>
    <ds:schemaRef ds:uri="eebf34e1-3ce1-444e-acc4-010185dd52a4"/>
    <ds:schemaRef ds:uri="230e9df3-be65-4c73-a93b-d1236ebd677e"/>
  </ds:schemaRefs>
</ds:datastoreItem>
</file>

<file path=customXml/itemProps2.xml><?xml version="1.0" encoding="utf-8"?>
<ds:datastoreItem xmlns:ds="http://schemas.openxmlformats.org/officeDocument/2006/customXml" ds:itemID="{0BE7FCC4-5064-4492-9D49-75CFE6D2D747}">
  <ds:schemaRefs>
    <ds:schemaRef ds:uri="http://schemas.openxmlformats.org/officeDocument/2006/bibliography"/>
  </ds:schemaRefs>
</ds:datastoreItem>
</file>

<file path=customXml/itemProps3.xml><?xml version="1.0" encoding="utf-8"?>
<ds:datastoreItem xmlns:ds="http://schemas.openxmlformats.org/officeDocument/2006/customXml" ds:itemID="{5A55C796-4C01-4F54-BE31-B5493582FE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ebf34e1-3ce1-444e-acc4-010185dd52a4"/>
    <ds:schemaRef ds:uri="46c117c8-efaa-4cbc-ab65-8fb13803fb07"/>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C10752-D1D6-40E4-9E87-B0D9249C635A}">
  <ds:schemaRefs>
    <ds:schemaRef ds:uri="http://schemas.microsoft.com/sharepoint/v3/contenttype/forms"/>
  </ds:schemaRefs>
</ds:datastoreItem>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105</Pages>
  <Words>67221</Words>
  <Characters>383161</Characters>
  <Application>Microsoft Office Word</Application>
  <DocSecurity>8</DocSecurity>
  <Lines>3193</Lines>
  <Paragraphs>898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Tammy Klatt (WIMMER SOLUTIONS CORPORATION)</cp:lastModifiedBy>
  <cp:revision>442</cp:revision>
  <dcterms:created xsi:type="dcterms:W3CDTF">2024-01-06T19:59:00Z</dcterms:created>
  <dcterms:modified xsi:type="dcterms:W3CDTF">2026-08-13T22:45:00Z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0x01010054F5BC03CBE0C34D9CB54ED5A08DA3F5</vt:lpwstr>
  </property>
  <property fmtid="{D5CDD505-2E9C-101B-9397-08002B2CF9AE}" pid="3" name="MediaServiceImageTags">
    <vt:lpwstr/>
  </property>
  <property fmtid="{D5CDD505-2E9C-101B-9397-08002B2CF9AE}" pid="4" name="MSIP_Label_4f1eb69c-1f4c-4df4-a01b-922f0787bf11_Enabled">
    <vt:lpwstr>true</vt:lpwstr>
  </property>
  <property fmtid="{D5CDD505-2E9C-101B-9397-08002B2CF9AE}" pid="5" name="MSIP_Label_4f1eb69c-1f4c-4df4-a01b-922f0787bf11_SetDate">
    <vt:lpwstr>2024-12-18T21:39:39Z</vt:lpwstr>
  </property>
  <property fmtid="{D5CDD505-2E9C-101B-9397-08002B2CF9AE}" pid="6" name="MSIP_Label_4f1eb69c-1f4c-4df4-a01b-922f0787bf11_Method">
    <vt:lpwstr>Standard</vt:lpwstr>
  </property>
  <property fmtid="{D5CDD505-2E9C-101B-9397-08002B2CF9AE}" pid="7" name="MSIP_Label_4f1eb69c-1f4c-4df4-a01b-922f0787bf11_Name">
    <vt:lpwstr>4f1eb69c-1f4c-4df4-a01b-922f0787bf11</vt:lpwstr>
  </property>
  <property fmtid="{D5CDD505-2E9C-101B-9397-08002B2CF9AE}" pid="8" name="MSIP_Label_4f1eb69c-1f4c-4df4-a01b-922f0787bf11_SiteId">
    <vt:lpwstr>4eb0a005-16a5-41b4-ade9-b283ab85b4fa</vt:lpwstr>
  </property>
  <property fmtid="{D5CDD505-2E9C-101B-9397-08002B2CF9AE}" pid="9" name="MSIP_Label_4f1eb69c-1f4c-4df4-a01b-922f0787bf11_ActionId">
    <vt:lpwstr>b6ba90c1-1f1a-45b8-93cb-8a19064a67ea</vt:lpwstr>
  </property>
  <property fmtid="{D5CDD505-2E9C-101B-9397-08002B2CF9AE}" pid="10" name="MSIP_Label_4f1eb69c-1f4c-4df4-a01b-922f0787bf11_ContentBits">
    <vt:lpwstr>0</vt:lpwstr>
  </property>
  <property fmtid="{D5CDD505-2E9C-101B-9397-08002B2CF9AE}" pid="11" name="docLang">
    <vt:lpwstr>de</vt:lpwstr>
  </property>
</Properties>
</file>